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087B" w:rsidRDefault="00A14659" w:rsidP="00A1465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A14659" w:rsidRDefault="00A14659" w:rsidP="00A1465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82087B" w:rsidRDefault="00A14659" w:rsidP="00A14659">
      <w:pPr>
        <w:spacing w:line="240" w:lineRule="auto"/>
        <w:jc w:val="both"/>
        <w:rPr>
          <w:rFonts w:ascii="Times New Roman" w:hAnsi="Times New Roman" w:cs="Times New Roman"/>
          <w:b/>
          <w:sz w:val="32"/>
          <w:szCs w:val="32"/>
        </w:rPr>
      </w:pPr>
      <w:r w:rsidRPr="00A14659">
        <w:rPr>
          <w:rFonts w:ascii="Times New Roman" w:hAnsi="Times New Roman" w:cs="Times New Roman"/>
          <w:b/>
          <w:sz w:val="32"/>
          <w:szCs w:val="32"/>
        </w:rPr>
        <w:t xml:space="preserve">                 </w:t>
      </w:r>
      <w:r>
        <w:rPr>
          <w:rFonts w:ascii="Times New Roman" w:hAnsi="Times New Roman" w:cs="Times New Roman"/>
          <w:b/>
          <w:sz w:val="32"/>
          <w:szCs w:val="32"/>
        </w:rPr>
        <w:t xml:space="preserve">   </w:t>
      </w:r>
    </w:p>
    <w:p w:rsidR="00A14659" w:rsidRPr="00A14659" w:rsidRDefault="0082087B" w:rsidP="00A14659">
      <w:pPr>
        <w:spacing w:line="240" w:lineRule="auto"/>
        <w:jc w:val="both"/>
        <w:rPr>
          <w:rFonts w:ascii="Times New Roman" w:hAnsi="Times New Roman" w:cs="Times New Roman"/>
          <w:b/>
          <w:sz w:val="32"/>
          <w:szCs w:val="32"/>
        </w:rPr>
      </w:pPr>
      <w:r>
        <w:rPr>
          <w:rFonts w:ascii="Times New Roman" w:hAnsi="Times New Roman" w:cs="Times New Roman"/>
          <w:b/>
          <w:sz w:val="32"/>
          <w:szCs w:val="32"/>
        </w:rPr>
        <w:t xml:space="preserve">                    </w:t>
      </w:r>
      <w:r w:rsidR="00A14659" w:rsidRPr="00A14659">
        <w:rPr>
          <w:rFonts w:ascii="Times New Roman" w:hAnsi="Times New Roman" w:cs="Times New Roman"/>
          <w:b/>
          <w:sz w:val="32"/>
          <w:szCs w:val="32"/>
        </w:rPr>
        <w:t xml:space="preserve">El “último” baile: la España que yo viví </w:t>
      </w:r>
    </w:p>
    <w:p w:rsidR="0082087B" w:rsidRDefault="0082087B" w:rsidP="00A14659">
      <w:pPr>
        <w:spacing w:line="240" w:lineRule="auto"/>
        <w:jc w:val="both"/>
        <w:rPr>
          <w:rFonts w:ascii="Times New Roman" w:hAnsi="Times New Roman" w:cs="Times New Roman"/>
          <w:b/>
          <w:sz w:val="32"/>
          <w:szCs w:val="32"/>
        </w:rPr>
      </w:pPr>
    </w:p>
    <w:p w:rsidR="00A14659" w:rsidRDefault="00A14659" w:rsidP="00A14659">
      <w:pPr>
        <w:spacing w:line="240" w:lineRule="auto"/>
        <w:jc w:val="both"/>
        <w:rPr>
          <w:rFonts w:ascii="Times New Roman" w:hAnsi="Times New Roman" w:cs="Times New Roman"/>
          <w:b/>
          <w:sz w:val="32"/>
          <w:szCs w:val="32"/>
        </w:rPr>
      </w:pPr>
      <w:r w:rsidRPr="00A14659">
        <w:rPr>
          <w:rFonts w:ascii="Times New Roman" w:hAnsi="Times New Roman" w:cs="Times New Roman"/>
          <w:b/>
          <w:sz w:val="32"/>
          <w:szCs w:val="32"/>
        </w:rPr>
        <w:t>Propuestas de cabotaje (ante un fallo multiorgánico): verdades dolorosas e incómodas (para que España no sea un capitalismo, sin mercado, o un socialismo, sin planificación)</w:t>
      </w:r>
    </w:p>
    <w:p w:rsidR="00A14659" w:rsidRPr="00A14659" w:rsidRDefault="00A14659" w:rsidP="00A14659">
      <w:pPr>
        <w:spacing w:line="240" w:lineRule="auto"/>
        <w:jc w:val="both"/>
        <w:rPr>
          <w:rFonts w:ascii="Times New Roman" w:hAnsi="Times New Roman" w:cs="Times New Roman"/>
          <w:b/>
          <w:sz w:val="32"/>
          <w:szCs w:val="32"/>
        </w:rPr>
      </w:pPr>
    </w:p>
    <w:p w:rsidR="00A14659" w:rsidRDefault="00A14659" w:rsidP="00A14659">
      <w:pPr>
        <w:spacing w:line="240" w:lineRule="auto"/>
        <w:jc w:val="both"/>
        <w:rPr>
          <w:rFonts w:ascii="Times New Roman" w:hAnsi="Times New Roman" w:cs="Times New Roman"/>
          <w:b/>
          <w:sz w:val="24"/>
          <w:szCs w:val="24"/>
        </w:rPr>
      </w:pPr>
      <w:r>
        <w:rPr>
          <w:noProof/>
          <w:lang w:eastAsia="es-ES"/>
        </w:rPr>
        <w:drawing>
          <wp:inline distT="0" distB="0" distL="0" distR="0" wp14:anchorId="732B94D7" wp14:editId="69F9FC9B">
            <wp:extent cx="5727700" cy="3943350"/>
            <wp:effectExtent l="0" t="0" r="6350" b="0"/>
            <wp:docPr id="1" name="Imagen 1" descr="España mapa agrietado, la representación conceptual de crisis nacional - 18129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paña mapa agrietado, la representación conceptual de crisis nacional - 1812920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945973"/>
                    </a:xfrm>
                    <a:prstGeom prst="rect">
                      <a:avLst/>
                    </a:prstGeom>
                    <a:noFill/>
                    <a:ln>
                      <a:noFill/>
                    </a:ln>
                  </pic:spPr>
                </pic:pic>
              </a:graphicData>
            </a:graphic>
          </wp:inline>
        </w:drawing>
      </w:r>
    </w:p>
    <w:p w:rsidR="00A14659" w:rsidRDefault="00A14659" w:rsidP="00A14659">
      <w:pPr>
        <w:spacing w:line="240" w:lineRule="auto"/>
        <w:jc w:val="both"/>
        <w:rPr>
          <w:rFonts w:ascii="Times New Roman" w:hAnsi="Times New Roman" w:cs="Times New Roman"/>
          <w:b/>
          <w:sz w:val="32"/>
          <w:szCs w:val="32"/>
        </w:rPr>
      </w:pPr>
    </w:p>
    <w:p w:rsidR="00A14659" w:rsidRPr="00A14659" w:rsidRDefault="00A14659" w:rsidP="00A14659">
      <w:pPr>
        <w:spacing w:line="240" w:lineRule="auto"/>
        <w:jc w:val="both"/>
        <w:rPr>
          <w:rFonts w:ascii="Times New Roman" w:hAnsi="Times New Roman" w:cs="Times New Roman"/>
          <w:b/>
          <w:sz w:val="32"/>
          <w:szCs w:val="32"/>
        </w:rPr>
      </w:pPr>
      <w:r w:rsidRPr="00A14659">
        <w:rPr>
          <w:rFonts w:ascii="Times New Roman" w:hAnsi="Times New Roman" w:cs="Times New Roman"/>
          <w:b/>
          <w:sz w:val="32"/>
          <w:szCs w:val="32"/>
        </w:rPr>
        <w:t xml:space="preserve">Un listado tentativo de tareas: “Nec spe, nec metu” (sin esperanza, ni miedo) </w:t>
      </w:r>
    </w:p>
    <w:p w:rsidR="00A14659" w:rsidRPr="005D72B7" w:rsidRDefault="00A14659" w:rsidP="00A14659">
      <w:pPr>
        <w:spacing w:line="240" w:lineRule="auto"/>
        <w:jc w:val="both"/>
        <w:rPr>
          <w:rFonts w:ascii="Times New Roman" w:hAnsi="Times New Roman" w:cs="Times New Roman"/>
          <w:b/>
          <w:sz w:val="24"/>
          <w:szCs w:val="24"/>
        </w:rPr>
      </w:pPr>
    </w:p>
    <w:p w:rsidR="004E3111" w:rsidRDefault="004E3111" w:rsidP="00A14659">
      <w:pPr>
        <w:spacing w:line="240" w:lineRule="auto"/>
        <w:jc w:val="both"/>
        <w:rPr>
          <w:rFonts w:ascii="Times New Roman" w:hAnsi="Times New Roman" w:cs="Times New Roman"/>
          <w:b/>
          <w:color w:val="FF0000"/>
          <w:sz w:val="24"/>
          <w:szCs w:val="24"/>
        </w:rPr>
      </w:pPr>
    </w:p>
    <w:p w:rsidR="004E3111" w:rsidRDefault="004E3111" w:rsidP="004E3111">
      <w:pPr>
        <w:spacing w:line="240" w:lineRule="auto"/>
        <w:jc w:val="both"/>
        <w:rPr>
          <w:rFonts w:ascii="Times New Roman" w:hAnsi="Times New Roman" w:cs="Times New Roman"/>
          <w:b/>
          <w:color w:val="FF0000"/>
          <w:sz w:val="24"/>
          <w:szCs w:val="24"/>
        </w:rPr>
      </w:pPr>
    </w:p>
    <w:p w:rsidR="004E3111" w:rsidRDefault="004E3111" w:rsidP="004E3111"/>
    <w:p w:rsidR="004E3111" w:rsidRDefault="004E3111" w:rsidP="004E3111"/>
    <w:p w:rsidR="004E3111" w:rsidRDefault="004E3111" w:rsidP="004E3111"/>
    <w:p w:rsidR="004E3111" w:rsidRDefault="004E3111" w:rsidP="004E3111"/>
    <w:p w:rsidR="004E3111" w:rsidRDefault="004E3111" w:rsidP="004E3111"/>
    <w:p w:rsidR="004E3111" w:rsidRDefault="004E3111" w:rsidP="004E3111">
      <w:pPr>
        <w:jc w:val="both"/>
        <w:rPr>
          <w:rFonts w:ascii="Times New Roman" w:hAnsi="Times New Roman" w:cs="Times New Roman"/>
          <w:b/>
          <w:sz w:val="24"/>
          <w:szCs w:val="24"/>
        </w:rPr>
      </w:pPr>
    </w:p>
    <w:p w:rsidR="004E3111" w:rsidRDefault="004E3111" w:rsidP="004E3111">
      <w:pPr>
        <w:jc w:val="both"/>
        <w:rPr>
          <w:rFonts w:ascii="Times New Roman" w:hAnsi="Times New Roman" w:cs="Times New Roman"/>
          <w:b/>
          <w:sz w:val="24"/>
          <w:szCs w:val="24"/>
        </w:rPr>
      </w:pPr>
    </w:p>
    <w:p w:rsidR="004E3111" w:rsidRDefault="004E3111" w:rsidP="004E3111">
      <w:pPr>
        <w:jc w:val="both"/>
        <w:rPr>
          <w:rFonts w:ascii="Times New Roman" w:hAnsi="Times New Roman" w:cs="Times New Roman"/>
          <w:b/>
          <w:sz w:val="24"/>
          <w:szCs w:val="24"/>
        </w:rPr>
      </w:pPr>
    </w:p>
    <w:p w:rsidR="004E3111" w:rsidRDefault="004E3111" w:rsidP="004E3111">
      <w:pPr>
        <w:jc w:val="both"/>
        <w:rPr>
          <w:rFonts w:ascii="Times New Roman" w:hAnsi="Times New Roman" w:cs="Times New Roman"/>
          <w:b/>
          <w:sz w:val="24"/>
          <w:szCs w:val="24"/>
        </w:rPr>
      </w:pPr>
    </w:p>
    <w:p w:rsidR="004E3111" w:rsidRDefault="004E3111" w:rsidP="004E3111">
      <w:pPr>
        <w:jc w:val="both"/>
        <w:rPr>
          <w:rFonts w:ascii="Times New Roman" w:hAnsi="Times New Roman" w:cs="Times New Roman"/>
          <w:b/>
          <w:sz w:val="24"/>
          <w:szCs w:val="24"/>
        </w:rPr>
      </w:pPr>
    </w:p>
    <w:p w:rsidR="004E3111" w:rsidRDefault="004E3111" w:rsidP="004E3111">
      <w:pPr>
        <w:jc w:val="both"/>
        <w:rPr>
          <w:rFonts w:ascii="Times New Roman" w:hAnsi="Times New Roman" w:cs="Times New Roman"/>
          <w:b/>
          <w:sz w:val="24"/>
          <w:szCs w:val="24"/>
        </w:rPr>
      </w:pPr>
    </w:p>
    <w:p w:rsidR="004E3111" w:rsidRDefault="004E3111" w:rsidP="004E3111">
      <w:pPr>
        <w:jc w:val="both"/>
        <w:rPr>
          <w:rFonts w:ascii="Times New Roman" w:hAnsi="Times New Roman" w:cs="Times New Roman"/>
          <w:b/>
          <w:sz w:val="24"/>
          <w:szCs w:val="24"/>
        </w:rPr>
      </w:pPr>
      <w:r w:rsidRPr="000B50EA">
        <w:rPr>
          <w:rFonts w:ascii="Times New Roman" w:hAnsi="Times New Roman" w:cs="Times New Roman"/>
          <w:b/>
          <w:sz w:val="24"/>
          <w:szCs w:val="24"/>
        </w:rPr>
        <w:t xml:space="preserve">Dedicatoria: </w:t>
      </w:r>
      <w:r>
        <w:rPr>
          <w:rFonts w:ascii="Times New Roman" w:hAnsi="Times New Roman" w:cs="Times New Roman"/>
          <w:b/>
          <w:sz w:val="24"/>
          <w:szCs w:val="24"/>
        </w:rPr>
        <w:t>a Santiago Valencia, que ha publicado, de forma voluntaria y gratuita, todos mis Papers y Ensayos, desde octubre de 1998.</w:t>
      </w:r>
    </w:p>
    <w:p w:rsidR="004E3111" w:rsidRDefault="004E3111" w:rsidP="004E3111">
      <w:pPr>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t>a Arturo García Cano, que ha ilustrado, de forma voluntaria y gratuita, mis primeros Papers y Ensayos, hasta que colgó el lápiz.</w:t>
      </w:r>
    </w:p>
    <w:p w:rsidR="004E3111" w:rsidRDefault="004E3111" w:rsidP="004E3111">
      <w:pPr>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t xml:space="preserve">a mi esposa Marta, que corrigió, mis primeros Papers y Ensayos, hasta que fue relevada por San Google. </w:t>
      </w:r>
    </w:p>
    <w:p w:rsidR="004E3111" w:rsidRDefault="004E3111" w:rsidP="004E3111">
      <w:pPr>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t>a mis hijas, Julia y Laura, que nunca me leyeron.</w:t>
      </w:r>
    </w:p>
    <w:p w:rsidR="004E3111" w:rsidRDefault="004E3111" w:rsidP="004E3111">
      <w:pPr>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t>a mis nietos, Lucas, Paula, Malena y Daniel, que nunca me leerán.</w:t>
      </w:r>
    </w:p>
    <w:p w:rsidR="004E3111" w:rsidRDefault="004E3111" w:rsidP="004E3111">
      <w:pPr>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t xml:space="preserve">a la Santa Compaña, que me ha acompañado en mi desvarío intelectual. </w:t>
      </w:r>
    </w:p>
    <w:p w:rsidR="004E3111" w:rsidRDefault="004E3111" w:rsidP="004E3111">
      <w:pPr>
        <w:jc w:val="both"/>
        <w:rPr>
          <w:rFonts w:ascii="Times New Roman" w:hAnsi="Times New Roman" w:cs="Times New Roman"/>
          <w:b/>
          <w:sz w:val="24"/>
          <w:szCs w:val="24"/>
        </w:rPr>
      </w:pPr>
    </w:p>
    <w:p w:rsidR="004E3111" w:rsidRDefault="004E3111" w:rsidP="004E3111">
      <w:pPr>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 xml:space="preserve">                           </w:t>
      </w:r>
    </w:p>
    <w:p w:rsidR="004E3111" w:rsidRDefault="004E3111" w:rsidP="004E3111">
      <w:pPr>
        <w:ind w:left="6372" w:firstLine="708"/>
        <w:jc w:val="both"/>
        <w:rPr>
          <w:rFonts w:ascii="Times New Roman" w:hAnsi="Times New Roman" w:cs="Times New Roman"/>
          <w:b/>
          <w:sz w:val="24"/>
          <w:szCs w:val="24"/>
        </w:rPr>
      </w:pPr>
      <w:r>
        <w:rPr>
          <w:rFonts w:ascii="Times New Roman" w:hAnsi="Times New Roman" w:cs="Times New Roman"/>
          <w:b/>
          <w:sz w:val="24"/>
          <w:szCs w:val="24"/>
        </w:rPr>
        <w:t xml:space="preserve">   Ricardo Lomoro</w:t>
      </w:r>
    </w:p>
    <w:p w:rsidR="004E3111" w:rsidRDefault="004E3111" w:rsidP="004E3111">
      <w:pPr>
        <w:jc w:val="both"/>
        <w:rPr>
          <w:rFonts w:ascii="Times New Roman" w:hAnsi="Times New Roman" w:cs="Times New Roman"/>
          <w:b/>
          <w:sz w:val="24"/>
          <w:szCs w:val="24"/>
        </w:rPr>
      </w:pPr>
    </w:p>
    <w:p w:rsidR="004E3111" w:rsidRDefault="004E3111" w:rsidP="004E3111">
      <w:pPr>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 xml:space="preserve">           Enero, 2026</w:t>
      </w:r>
    </w:p>
    <w:p w:rsidR="004E3111" w:rsidRDefault="004E3111" w:rsidP="004E3111">
      <w:pPr>
        <w:jc w:val="both"/>
        <w:rPr>
          <w:rFonts w:ascii="Times New Roman" w:hAnsi="Times New Roman" w:cs="Times New Roman"/>
          <w:b/>
          <w:sz w:val="24"/>
          <w:szCs w:val="24"/>
        </w:rPr>
      </w:pPr>
    </w:p>
    <w:p w:rsidR="004E3111" w:rsidRDefault="004E3111" w:rsidP="004E3111">
      <w:pPr>
        <w:jc w:val="both"/>
        <w:rPr>
          <w:rFonts w:ascii="Times New Roman" w:hAnsi="Times New Roman" w:cs="Times New Roman"/>
          <w:b/>
          <w:sz w:val="24"/>
          <w:szCs w:val="24"/>
        </w:rPr>
      </w:pPr>
    </w:p>
    <w:p w:rsidR="00D5297A" w:rsidRDefault="00D5297A" w:rsidP="004F2666">
      <w:pPr>
        <w:jc w:val="both"/>
        <w:rPr>
          <w:rFonts w:ascii="Times New Roman" w:hAnsi="Times New Roman" w:cs="Times New Roman"/>
          <w:b/>
          <w:sz w:val="24"/>
          <w:szCs w:val="24"/>
        </w:rPr>
      </w:pPr>
    </w:p>
    <w:p w:rsidR="001D2556" w:rsidRDefault="001D2556" w:rsidP="004F2666">
      <w:pPr>
        <w:jc w:val="both"/>
        <w:rPr>
          <w:rFonts w:ascii="Times New Roman" w:hAnsi="Times New Roman" w:cs="Times New Roman"/>
          <w:b/>
          <w:sz w:val="24"/>
          <w:szCs w:val="24"/>
        </w:rPr>
      </w:pPr>
    </w:p>
    <w:p w:rsidR="004F2666" w:rsidRDefault="004F2666" w:rsidP="004F2666">
      <w:pPr>
        <w:jc w:val="both"/>
        <w:rPr>
          <w:rFonts w:ascii="Times New Roman" w:hAnsi="Times New Roman" w:cs="Times New Roman"/>
          <w:b/>
          <w:color w:val="FF0000"/>
          <w:sz w:val="24"/>
          <w:szCs w:val="24"/>
        </w:rPr>
      </w:pPr>
      <w:r>
        <w:rPr>
          <w:rFonts w:ascii="Times New Roman" w:hAnsi="Times New Roman" w:cs="Times New Roman"/>
          <w:b/>
          <w:sz w:val="24"/>
          <w:szCs w:val="24"/>
        </w:rPr>
        <w:t xml:space="preserve">Temario </w:t>
      </w:r>
    </w:p>
    <w:p w:rsidR="00D5297A" w:rsidRDefault="00D5297A" w:rsidP="004F2666">
      <w:pPr>
        <w:jc w:val="both"/>
        <w:rPr>
          <w:rFonts w:ascii="Times New Roman" w:hAnsi="Times New Roman" w:cs="Times New Roman"/>
          <w:b/>
          <w:color w:val="FF0000"/>
          <w:sz w:val="24"/>
          <w:szCs w:val="24"/>
        </w:rPr>
      </w:pPr>
    </w:p>
    <w:p w:rsidR="001D2556" w:rsidRDefault="001D2556" w:rsidP="004F2666">
      <w:pPr>
        <w:jc w:val="both"/>
        <w:rPr>
          <w:rFonts w:ascii="Times New Roman" w:hAnsi="Times New Roman" w:cs="Times New Roman"/>
          <w:b/>
          <w:color w:val="FF0000"/>
          <w:sz w:val="24"/>
          <w:szCs w:val="24"/>
        </w:rPr>
      </w:pPr>
    </w:p>
    <w:p w:rsidR="00D5297A" w:rsidRDefault="00D5297A" w:rsidP="00D5297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5D72B7">
        <w:rPr>
          <w:rFonts w:ascii="Times New Roman" w:hAnsi="Times New Roman" w:cs="Times New Roman"/>
          <w:b/>
          <w:sz w:val="24"/>
          <w:szCs w:val="24"/>
        </w:rPr>
        <w:t xml:space="preserve">Introducción - </w:t>
      </w:r>
      <w:r>
        <w:rPr>
          <w:rFonts w:ascii="Times New Roman" w:hAnsi="Times New Roman" w:cs="Times New Roman"/>
          <w:b/>
          <w:sz w:val="24"/>
          <w:szCs w:val="24"/>
        </w:rPr>
        <w:t>Los pliegues del tiempo (las razones</w:t>
      </w:r>
      <w:r w:rsidRPr="005D72B7">
        <w:rPr>
          <w:rFonts w:ascii="Times New Roman" w:hAnsi="Times New Roman" w:cs="Times New Roman"/>
          <w:b/>
          <w:sz w:val="24"/>
          <w:szCs w:val="24"/>
        </w:rPr>
        <w:t xml:space="preserve"> del </w:t>
      </w:r>
      <w:r>
        <w:rPr>
          <w:rFonts w:ascii="Times New Roman" w:hAnsi="Times New Roman" w:cs="Times New Roman"/>
          <w:b/>
          <w:sz w:val="24"/>
          <w:szCs w:val="24"/>
        </w:rPr>
        <w:t>‘</w:t>
      </w:r>
      <w:r w:rsidRPr="005D72B7">
        <w:rPr>
          <w:rFonts w:ascii="Times New Roman" w:hAnsi="Times New Roman" w:cs="Times New Roman"/>
          <w:b/>
          <w:sz w:val="24"/>
          <w:szCs w:val="24"/>
        </w:rPr>
        <w:t>último</w:t>
      </w:r>
      <w:r>
        <w:rPr>
          <w:rFonts w:ascii="Times New Roman" w:hAnsi="Times New Roman" w:cs="Times New Roman"/>
          <w:b/>
          <w:sz w:val="24"/>
          <w:szCs w:val="24"/>
        </w:rPr>
        <w:t>’</w:t>
      </w:r>
      <w:r w:rsidRPr="005D72B7">
        <w:rPr>
          <w:rFonts w:ascii="Times New Roman" w:hAnsi="Times New Roman" w:cs="Times New Roman"/>
          <w:b/>
          <w:sz w:val="24"/>
          <w:szCs w:val="24"/>
        </w:rPr>
        <w:t xml:space="preserve"> baile</w:t>
      </w:r>
      <w:r>
        <w:rPr>
          <w:rFonts w:ascii="Times New Roman" w:hAnsi="Times New Roman" w:cs="Times New Roman"/>
          <w:b/>
          <w:sz w:val="24"/>
          <w:szCs w:val="24"/>
        </w:rPr>
        <w:t xml:space="preserve"> y la pareja elegida)</w:t>
      </w:r>
    </w:p>
    <w:p w:rsidR="00D5297A" w:rsidRPr="000813DC" w:rsidRDefault="00D5297A" w:rsidP="00D5297A">
      <w:pPr>
        <w:spacing w:line="240" w:lineRule="auto"/>
        <w:jc w:val="both"/>
        <w:rPr>
          <w:rFonts w:ascii="Times New Roman" w:hAnsi="Times New Roman" w:cs="Times New Roman"/>
          <w:sz w:val="24"/>
          <w:szCs w:val="24"/>
        </w:rPr>
      </w:pPr>
      <w:r w:rsidRPr="000B2684">
        <w:rPr>
          <w:rFonts w:ascii="Times New Roman" w:hAnsi="Times New Roman" w:cs="Times New Roman"/>
          <w:b/>
          <w:sz w:val="24"/>
          <w:szCs w:val="24"/>
        </w:rPr>
        <w:t>Setenta “razones” y ninguna flor (Dioses y hombres, todos fuimos así engañados)</w:t>
      </w:r>
    </w:p>
    <w:p w:rsidR="00D5297A" w:rsidRPr="00C05769" w:rsidRDefault="00D5297A" w:rsidP="00D5297A">
      <w:pPr>
        <w:spacing w:line="240" w:lineRule="auto"/>
        <w:jc w:val="both"/>
        <w:rPr>
          <w:rFonts w:ascii="Times New Roman" w:hAnsi="Times New Roman" w:cs="Times New Roman"/>
          <w:sz w:val="24"/>
          <w:szCs w:val="24"/>
        </w:rPr>
      </w:pPr>
      <w:r w:rsidRPr="00C05769">
        <w:rPr>
          <w:rFonts w:ascii="Times New Roman" w:hAnsi="Times New Roman" w:cs="Times New Roman"/>
          <w:b/>
          <w:sz w:val="24"/>
          <w:szCs w:val="24"/>
        </w:rPr>
        <w:t>Cuando los incapaces hacen política, es la sociedad la que se jode</w:t>
      </w:r>
      <w:r>
        <w:rPr>
          <w:rFonts w:ascii="Times New Roman" w:hAnsi="Times New Roman" w:cs="Times New Roman"/>
          <w:b/>
          <w:sz w:val="24"/>
          <w:szCs w:val="24"/>
        </w:rPr>
        <w:t xml:space="preserve"> </w:t>
      </w:r>
    </w:p>
    <w:p w:rsidR="00D5297A" w:rsidRDefault="00D5297A" w:rsidP="00D5297A">
      <w:pPr>
        <w:pStyle w:val="NormalWeb"/>
        <w:spacing w:before="0" w:beforeAutospacing="0" w:after="0" w:afterAutospacing="0"/>
        <w:jc w:val="both"/>
        <w:rPr>
          <w:spacing w:val="-2"/>
        </w:rPr>
      </w:pPr>
      <w:r w:rsidRPr="00B2210F">
        <w:rPr>
          <w:b/>
          <w:spacing w:val="-2"/>
        </w:rPr>
        <w:t>Punto de partida</w:t>
      </w:r>
      <w:r>
        <w:rPr>
          <w:b/>
          <w:spacing w:val="-2"/>
        </w:rPr>
        <w:t xml:space="preserve"> </w:t>
      </w:r>
      <w:r>
        <w:rPr>
          <w:spacing w:val="-2"/>
        </w:rPr>
        <w:t>(para que nadie pueda sentirse sorprendido en su buena fe)</w:t>
      </w:r>
    </w:p>
    <w:p w:rsidR="00D5297A" w:rsidRDefault="00D5297A" w:rsidP="00D5297A">
      <w:pPr>
        <w:pStyle w:val="NormalWeb"/>
        <w:spacing w:before="0" w:beforeAutospacing="0" w:after="0" w:afterAutospacing="0"/>
        <w:jc w:val="both"/>
        <w:rPr>
          <w:spacing w:val="-2"/>
        </w:rPr>
      </w:pPr>
    </w:p>
    <w:p w:rsidR="00D5297A" w:rsidRDefault="00D5297A" w:rsidP="00D5297A">
      <w:pPr>
        <w:pStyle w:val="NormalWeb"/>
        <w:spacing w:before="0" w:beforeAutospacing="0" w:after="0" w:afterAutospacing="0"/>
        <w:jc w:val="both"/>
        <w:rPr>
          <w:b/>
        </w:rPr>
      </w:pPr>
      <w:r>
        <w:rPr>
          <w:spacing w:val="-2"/>
        </w:rPr>
        <w:t xml:space="preserve">  </w:t>
      </w:r>
      <w:r w:rsidRPr="005C030D">
        <w:t>-</w:t>
      </w:r>
      <w:r>
        <w:rPr>
          <w:color w:val="FF0000"/>
        </w:rPr>
        <w:t xml:space="preserve"> </w:t>
      </w:r>
      <w:r w:rsidRPr="00C016F6">
        <w:rPr>
          <w:b/>
        </w:rPr>
        <w:t>Un TAC a la España del Tercer Mundo - Unos cuantos d</w:t>
      </w:r>
      <w:r>
        <w:rPr>
          <w:b/>
        </w:rPr>
        <w:t>atos lo dicen todo. O casi todo</w:t>
      </w:r>
      <w:r w:rsidRPr="00C016F6">
        <w:rPr>
          <w:b/>
        </w:rPr>
        <w:t xml:space="preserve"> </w:t>
      </w:r>
    </w:p>
    <w:p w:rsidR="00D5297A" w:rsidRDefault="00D5297A" w:rsidP="00D5297A">
      <w:pPr>
        <w:pStyle w:val="NormalWeb"/>
        <w:spacing w:before="0" w:beforeAutospacing="0" w:after="0" w:afterAutospacing="0"/>
        <w:jc w:val="both"/>
        <w:rPr>
          <w:b/>
        </w:rPr>
      </w:pPr>
    </w:p>
    <w:p w:rsidR="00D5297A" w:rsidRDefault="00D5297A" w:rsidP="00D5297A">
      <w:pPr>
        <w:spacing w:line="240" w:lineRule="auto"/>
        <w:jc w:val="both"/>
        <w:rPr>
          <w:rFonts w:ascii="Times New Roman" w:hAnsi="Times New Roman" w:cs="Times New Roman"/>
          <w:b/>
          <w:sz w:val="24"/>
          <w:szCs w:val="24"/>
        </w:rPr>
      </w:pPr>
      <w:r>
        <w:rPr>
          <w:rFonts w:ascii="Times New Roman" w:hAnsi="Times New Roman" w:cs="Times New Roman"/>
          <w:b/>
          <w:sz w:val="24"/>
          <w:szCs w:val="24"/>
        </w:rPr>
        <w:t>“In fraganti”: ú</w:t>
      </w:r>
      <w:r w:rsidRPr="001E036D">
        <w:rPr>
          <w:rFonts w:ascii="Times New Roman" w:hAnsi="Times New Roman" w:cs="Times New Roman"/>
          <w:b/>
          <w:sz w:val="24"/>
          <w:szCs w:val="24"/>
        </w:rPr>
        <w:t>ltimas “radi</w:t>
      </w:r>
      <w:r>
        <w:rPr>
          <w:rFonts w:ascii="Times New Roman" w:hAnsi="Times New Roman" w:cs="Times New Roman"/>
          <w:b/>
          <w:sz w:val="24"/>
          <w:szCs w:val="24"/>
        </w:rPr>
        <w:t>ografías” de España, en su camino hacia la quiebra</w:t>
      </w:r>
      <w:r w:rsidRPr="001E036D">
        <w:rPr>
          <w:rFonts w:ascii="Times New Roman" w:hAnsi="Times New Roman" w:cs="Times New Roman"/>
          <w:b/>
          <w:sz w:val="24"/>
          <w:szCs w:val="24"/>
        </w:rPr>
        <w:t xml:space="preserve"> </w:t>
      </w:r>
    </w:p>
    <w:p w:rsidR="00D5297A" w:rsidRPr="004B7C7E" w:rsidRDefault="00D5297A" w:rsidP="00D5297A">
      <w:pPr>
        <w:pStyle w:val="NormalWeb"/>
        <w:shd w:val="clear" w:color="auto" w:fill="FFFFFF"/>
        <w:jc w:val="both"/>
      </w:pPr>
      <w:r>
        <w:rPr>
          <w:b/>
        </w:rPr>
        <w:t xml:space="preserve">- </w:t>
      </w:r>
      <w:r w:rsidRPr="002E46E6">
        <w:rPr>
          <w:b/>
        </w:rPr>
        <w:t>Propuestas de cabotaje (ante un fallo multiorgánico): verdades dolorosas e incómodas (para que España no sea un capitalismo, sin mercado, o un socialismo, sin planificación)</w:t>
      </w:r>
    </w:p>
    <w:p w:rsidR="00DA7F01" w:rsidRDefault="00D5297A" w:rsidP="00D5297A">
      <w:pPr>
        <w:spacing w:line="240" w:lineRule="auto"/>
        <w:jc w:val="both"/>
        <w:rPr>
          <w:rFonts w:ascii="Times New Roman" w:hAnsi="Times New Roman" w:cs="Times New Roman"/>
          <w:b/>
          <w:sz w:val="24"/>
          <w:szCs w:val="24"/>
        </w:rPr>
      </w:pPr>
      <w:r w:rsidRPr="00C51284">
        <w:rPr>
          <w:rFonts w:ascii="Times New Roman" w:hAnsi="Times New Roman" w:cs="Times New Roman"/>
          <w:b/>
          <w:sz w:val="24"/>
          <w:szCs w:val="24"/>
        </w:rPr>
        <w:t>Un listado tentativo de tareas: “Nec spe, nec metu” (sin esperanza, ni miedo)</w:t>
      </w:r>
    </w:p>
    <w:p w:rsidR="00DA7F01" w:rsidRDefault="00DA7F01" w:rsidP="00DA7F0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BB6501">
        <w:rPr>
          <w:rFonts w:ascii="Times New Roman" w:hAnsi="Times New Roman" w:cs="Times New Roman"/>
          <w:b/>
          <w:sz w:val="24"/>
          <w:szCs w:val="24"/>
        </w:rPr>
        <w:t>Memoria Económica y Base de Datos (hasta donde la vista alcanza)</w:t>
      </w:r>
    </w:p>
    <w:p w:rsidR="00DA7F01" w:rsidRPr="005326AC" w:rsidRDefault="00DA7F01" w:rsidP="00DA7F01">
      <w:pPr>
        <w:spacing w:line="240" w:lineRule="auto"/>
        <w:jc w:val="both"/>
        <w:rPr>
          <w:rFonts w:ascii="Times New Roman" w:hAnsi="Times New Roman" w:cs="Times New Roman"/>
          <w:b/>
          <w:color w:val="000000"/>
          <w:sz w:val="24"/>
          <w:szCs w:val="24"/>
          <w:shd w:val="clear" w:color="auto" w:fill="FFFFFF"/>
        </w:rPr>
      </w:pPr>
      <w:r w:rsidRPr="001B5F85">
        <w:rPr>
          <w:rFonts w:ascii="Times New Roman" w:hAnsi="Times New Roman" w:cs="Times New Roman"/>
          <w:b/>
          <w:color w:val="000000"/>
          <w:sz w:val="24"/>
          <w:szCs w:val="24"/>
          <w:shd w:val="clear" w:color="auto" w:fill="FFFFFF"/>
        </w:rPr>
        <w:t>El final de la escapada</w:t>
      </w:r>
      <w:r>
        <w:rPr>
          <w:rFonts w:ascii="Times New Roman" w:hAnsi="Times New Roman" w:cs="Times New Roman"/>
          <w:b/>
          <w:color w:val="000000"/>
          <w:sz w:val="24"/>
          <w:szCs w:val="24"/>
          <w:shd w:val="clear" w:color="auto" w:fill="FFFFFF"/>
        </w:rPr>
        <w:t xml:space="preserve">: </w:t>
      </w:r>
      <w:r>
        <w:rPr>
          <w:rFonts w:ascii="Times New Roman" w:hAnsi="Times New Roman" w:cs="Times New Roman"/>
          <w:b/>
          <w:sz w:val="24"/>
          <w:szCs w:val="24"/>
        </w:rPr>
        <w:t>s</w:t>
      </w:r>
      <w:r w:rsidRPr="001B5F85">
        <w:rPr>
          <w:rFonts w:ascii="Times New Roman" w:hAnsi="Times New Roman" w:cs="Times New Roman"/>
          <w:b/>
          <w:sz w:val="24"/>
          <w:szCs w:val="24"/>
        </w:rPr>
        <w:t>e pongan como se pongan, la única verdad es la realidad</w:t>
      </w:r>
    </w:p>
    <w:p w:rsidR="00DA7F01" w:rsidRPr="005326AC" w:rsidRDefault="00DA7F01" w:rsidP="00DA7F01">
      <w:pPr>
        <w:spacing w:line="240" w:lineRule="auto"/>
        <w:jc w:val="both"/>
        <w:rPr>
          <w:rFonts w:ascii="Times New Roman" w:hAnsi="Times New Roman" w:cs="Times New Roman"/>
          <w:b/>
          <w:color w:val="000000"/>
          <w:sz w:val="24"/>
          <w:szCs w:val="24"/>
          <w:shd w:val="clear" w:color="auto" w:fill="FFFFFF"/>
        </w:rPr>
      </w:pPr>
      <w:r>
        <w:rPr>
          <w:rFonts w:ascii="Times New Roman" w:hAnsi="Times New Roman" w:cs="Times New Roman"/>
          <w:b/>
          <w:color w:val="000000"/>
          <w:sz w:val="24"/>
          <w:szCs w:val="24"/>
          <w:shd w:val="clear" w:color="auto" w:fill="FFFFFF"/>
        </w:rPr>
        <w:t>(“El que quiera entender que entienda”)</w:t>
      </w:r>
    </w:p>
    <w:p w:rsidR="00D5297A" w:rsidRDefault="00D5297A" w:rsidP="00D5297A">
      <w:pPr>
        <w:autoSpaceDE w:val="0"/>
        <w:autoSpaceDN w:val="0"/>
        <w:adjustRightInd w:val="0"/>
        <w:spacing w:after="0"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 </w:t>
      </w:r>
      <w:r w:rsidRPr="004D71E4">
        <w:rPr>
          <w:rFonts w:ascii="Times New Roman" w:hAnsi="Times New Roman" w:cs="Times New Roman"/>
          <w:b/>
          <w:sz w:val="24"/>
          <w:szCs w:val="24"/>
          <w:shd w:val="clear" w:color="auto" w:fill="FFFFFF"/>
        </w:rPr>
        <w:t>Conclusión: “En el nombre del nieto”</w:t>
      </w:r>
    </w:p>
    <w:p w:rsidR="00D5297A" w:rsidRDefault="00D5297A" w:rsidP="00D5297A">
      <w:pPr>
        <w:autoSpaceDE w:val="0"/>
        <w:autoSpaceDN w:val="0"/>
        <w:adjustRightInd w:val="0"/>
        <w:spacing w:after="0" w:line="240" w:lineRule="auto"/>
        <w:jc w:val="both"/>
        <w:rPr>
          <w:rFonts w:ascii="Times New Roman" w:hAnsi="Times New Roman" w:cs="Times New Roman"/>
          <w:b/>
          <w:sz w:val="24"/>
          <w:szCs w:val="24"/>
          <w:shd w:val="clear" w:color="auto" w:fill="FFFFFF"/>
        </w:rPr>
      </w:pPr>
    </w:p>
    <w:p w:rsidR="00D5297A" w:rsidRDefault="00D5297A" w:rsidP="00D5297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Coda para los jóvenes (y no tan jóvenes) españoles: </w:t>
      </w:r>
      <w:r w:rsidRPr="00BE65CB">
        <w:rPr>
          <w:rFonts w:ascii="Times New Roman" w:hAnsi="Times New Roman" w:cs="Times New Roman"/>
          <w:b/>
          <w:sz w:val="24"/>
          <w:szCs w:val="24"/>
        </w:rPr>
        <w:t xml:space="preserve">¿Cómo qué esto no va con ustedes? </w:t>
      </w:r>
    </w:p>
    <w:p w:rsidR="00D5297A" w:rsidRPr="00EF023D" w:rsidRDefault="00D5297A" w:rsidP="00D5297A">
      <w:pPr>
        <w:spacing w:line="240" w:lineRule="auto"/>
        <w:jc w:val="both"/>
        <w:rPr>
          <w:rFonts w:ascii="Times New Roman" w:hAnsi="Times New Roman" w:cs="Times New Roman"/>
          <w:b/>
          <w:sz w:val="24"/>
          <w:szCs w:val="24"/>
        </w:rPr>
      </w:pPr>
      <w:r w:rsidRPr="00EF023D">
        <w:rPr>
          <w:rFonts w:ascii="Times New Roman" w:hAnsi="Times New Roman" w:cs="Times New Roman"/>
          <w:b/>
          <w:sz w:val="24"/>
          <w:szCs w:val="24"/>
        </w:rPr>
        <w:t xml:space="preserve">Si todavía piensan que esto </w:t>
      </w:r>
      <w:r w:rsidR="001C2EF0">
        <w:rPr>
          <w:rFonts w:ascii="Times New Roman" w:hAnsi="Times New Roman" w:cs="Times New Roman"/>
          <w:b/>
          <w:sz w:val="24"/>
          <w:szCs w:val="24"/>
        </w:rPr>
        <w:t>no va con ustedes… pasen y lean</w:t>
      </w:r>
    </w:p>
    <w:p w:rsidR="00D5297A" w:rsidRPr="00EF023D" w:rsidRDefault="00D5297A" w:rsidP="00D5297A">
      <w:pPr>
        <w:spacing w:line="240" w:lineRule="auto"/>
        <w:jc w:val="both"/>
        <w:rPr>
          <w:rFonts w:ascii="Times New Roman" w:hAnsi="Times New Roman" w:cs="Times New Roman"/>
          <w:b/>
          <w:sz w:val="24"/>
          <w:szCs w:val="24"/>
        </w:rPr>
      </w:pPr>
      <w:r w:rsidRPr="00EF023D">
        <w:rPr>
          <w:rFonts w:ascii="Times New Roman" w:hAnsi="Times New Roman" w:cs="Times New Roman"/>
          <w:b/>
          <w:sz w:val="24"/>
          <w:szCs w:val="24"/>
        </w:rPr>
        <w:t>Algunos “picotazos” más, para ver si “despie</w:t>
      </w:r>
      <w:r w:rsidR="001C2EF0">
        <w:rPr>
          <w:rFonts w:ascii="Times New Roman" w:hAnsi="Times New Roman" w:cs="Times New Roman"/>
          <w:b/>
          <w:sz w:val="24"/>
          <w:szCs w:val="24"/>
        </w:rPr>
        <w:t>rtan” (aunque resulte doloroso)</w:t>
      </w:r>
      <w:r w:rsidRPr="00EF023D">
        <w:rPr>
          <w:rFonts w:ascii="Times New Roman" w:hAnsi="Times New Roman" w:cs="Times New Roman"/>
          <w:b/>
          <w:sz w:val="24"/>
          <w:szCs w:val="24"/>
        </w:rPr>
        <w:t xml:space="preserve"> </w:t>
      </w:r>
    </w:p>
    <w:p w:rsidR="00D5297A" w:rsidRPr="00BE65CB" w:rsidRDefault="00D5297A" w:rsidP="00D5297A">
      <w:pPr>
        <w:spacing w:line="240" w:lineRule="auto"/>
        <w:jc w:val="both"/>
        <w:rPr>
          <w:rFonts w:ascii="Times New Roman" w:hAnsi="Times New Roman" w:cs="Times New Roman"/>
          <w:b/>
          <w:sz w:val="24"/>
          <w:szCs w:val="24"/>
        </w:rPr>
      </w:pPr>
      <w:r>
        <w:rPr>
          <w:rFonts w:ascii="Times New Roman" w:hAnsi="Times New Roman" w:cs="Times New Roman"/>
          <w:b/>
          <w:sz w:val="24"/>
          <w:szCs w:val="24"/>
        </w:rPr>
        <w:t>Así y todo… ¿siguen pensando,</w:t>
      </w:r>
      <w:r w:rsidRPr="00BE65CB">
        <w:rPr>
          <w:rFonts w:ascii="Times New Roman" w:hAnsi="Times New Roman" w:cs="Times New Roman"/>
          <w:b/>
          <w:sz w:val="24"/>
          <w:szCs w:val="24"/>
        </w:rPr>
        <w:t xml:space="preserve"> qué esto no va con ustedes? </w:t>
      </w:r>
    </w:p>
    <w:p w:rsidR="00D5297A" w:rsidRDefault="00D5297A" w:rsidP="00D5297A">
      <w:pPr>
        <w:jc w:val="both"/>
        <w:rPr>
          <w:rFonts w:ascii="Times New Roman" w:hAnsi="Times New Roman" w:cs="Times New Roman"/>
          <w:b/>
          <w:sz w:val="24"/>
          <w:szCs w:val="24"/>
        </w:rPr>
      </w:pPr>
      <w:r>
        <w:rPr>
          <w:rFonts w:ascii="Times New Roman" w:hAnsi="Times New Roman" w:cs="Times New Roman"/>
          <w:b/>
          <w:sz w:val="24"/>
          <w:szCs w:val="24"/>
        </w:rPr>
        <w:t>La economía del malestar, y los juegos del hambre (en la “sociedad de los conformes”)</w:t>
      </w:r>
    </w:p>
    <w:p w:rsidR="001D2556" w:rsidRPr="001D2556" w:rsidRDefault="001D2556" w:rsidP="001D2556">
      <w:pPr>
        <w:spacing w:line="240" w:lineRule="auto"/>
        <w:jc w:val="both"/>
        <w:rPr>
          <w:rFonts w:ascii="Times New Roman" w:hAnsi="Times New Roman" w:cs="Times New Roman"/>
          <w:sz w:val="24"/>
          <w:szCs w:val="24"/>
          <w:shd w:val="clear" w:color="auto" w:fill="FFFFFF"/>
        </w:rPr>
      </w:pPr>
      <w:r w:rsidRPr="001D2556">
        <w:rPr>
          <w:rFonts w:ascii="Times New Roman" w:hAnsi="Times New Roman" w:cs="Times New Roman"/>
          <w:b/>
          <w:sz w:val="24"/>
          <w:szCs w:val="24"/>
          <w:shd w:val="clear" w:color="auto" w:fill="FFFFFF"/>
        </w:rPr>
        <w:t>- Fin del camino: ú</w:t>
      </w:r>
      <w:r>
        <w:rPr>
          <w:rFonts w:ascii="Times New Roman" w:hAnsi="Times New Roman" w:cs="Times New Roman"/>
          <w:b/>
          <w:sz w:val="24"/>
          <w:szCs w:val="24"/>
          <w:shd w:val="clear" w:color="auto" w:fill="FFFFFF"/>
        </w:rPr>
        <w:t>ltimo baile</w:t>
      </w:r>
      <w:r w:rsidRPr="001D2556">
        <w:rPr>
          <w:rFonts w:ascii="Times New Roman" w:hAnsi="Times New Roman" w:cs="Times New Roman"/>
          <w:b/>
          <w:sz w:val="24"/>
          <w:szCs w:val="24"/>
          <w:shd w:val="clear" w:color="auto" w:fill="FFFFFF"/>
        </w:rPr>
        <w:t xml:space="preserve"> (no va más…) -</w:t>
      </w:r>
      <w:r w:rsidRPr="001D2556">
        <w:rPr>
          <w:rFonts w:ascii="Times New Roman" w:hAnsi="Times New Roman" w:cs="Times New Roman"/>
          <w:sz w:val="24"/>
          <w:szCs w:val="24"/>
          <w:shd w:val="clear" w:color="auto" w:fill="FFFFFF"/>
        </w:rPr>
        <w:t xml:space="preserve"> </w:t>
      </w:r>
      <w:r w:rsidRPr="001D2556">
        <w:rPr>
          <w:rFonts w:ascii="Times New Roman" w:hAnsi="Times New Roman" w:cs="Times New Roman"/>
          <w:b/>
          <w:sz w:val="24"/>
          <w:szCs w:val="24"/>
          <w:shd w:val="clear" w:color="auto" w:fill="FFFFFF"/>
        </w:rPr>
        <w:t xml:space="preserve">Un legado imaginario </w:t>
      </w:r>
    </w:p>
    <w:p w:rsidR="00D5297A" w:rsidRDefault="00D5297A" w:rsidP="00D5297A"/>
    <w:p w:rsidR="00D5297A" w:rsidRPr="004F2666" w:rsidRDefault="00D5297A" w:rsidP="004F2666">
      <w:pPr>
        <w:jc w:val="both"/>
        <w:rPr>
          <w:rFonts w:ascii="Times New Roman" w:hAnsi="Times New Roman" w:cs="Times New Roman"/>
          <w:b/>
          <w:color w:val="FF0000"/>
          <w:sz w:val="24"/>
          <w:szCs w:val="24"/>
        </w:rPr>
      </w:pPr>
    </w:p>
    <w:p w:rsidR="004E3111" w:rsidRDefault="004E3111" w:rsidP="004E3111">
      <w:pPr>
        <w:jc w:val="both"/>
        <w:rPr>
          <w:rFonts w:ascii="Times New Roman" w:hAnsi="Times New Roman" w:cs="Times New Roman"/>
          <w:b/>
          <w:sz w:val="24"/>
          <w:szCs w:val="24"/>
        </w:rPr>
      </w:pPr>
    </w:p>
    <w:p w:rsidR="004E3111" w:rsidRDefault="004E3111" w:rsidP="004E3111">
      <w:pPr>
        <w:jc w:val="both"/>
        <w:rPr>
          <w:rFonts w:ascii="Times New Roman" w:hAnsi="Times New Roman" w:cs="Times New Roman"/>
          <w:b/>
          <w:sz w:val="24"/>
          <w:szCs w:val="24"/>
        </w:rPr>
      </w:pPr>
    </w:p>
    <w:p w:rsidR="004E3111" w:rsidRDefault="004E3111" w:rsidP="004E311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5D72B7">
        <w:rPr>
          <w:rFonts w:ascii="Times New Roman" w:hAnsi="Times New Roman" w:cs="Times New Roman"/>
          <w:b/>
          <w:sz w:val="24"/>
          <w:szCs w:val="24"/>
        </w:rPr>
        <w:t xml:space="preserve">Introducción - </w:t>
      </w:r>
      <w:r>
        <w:rPr>
          <w:rFonts w:ascii="Times New Roman" w:hAnsi="Times New Roman" w:cs="Times New Roman"/>
          <w:b/>
          <w:sz w:val="24"/>
          <w:szCs w:val="24"/>
        </w:rPr>
        <w:t>Los pliegues del tiempo (las razones</w:t>
      </w:r>
      <w:r w:rsidRPr="005D72B7">
        <w:rPr>
          <w:rFonts w:ascii="Times New Roman" w:hAnsi="Times New Roman" w:cs="Times New Roman"/>
          <w:b/>
          <w:sz w:val="24"/>
          <w:szCs w:val="24"/>
        </w:rPr>
        <w:t xml:space="preserve"> del </w:t>
      </w:r>
      <w:r>
        <w:rPr>
          <w:rFonts w:ascii="Times New Roman" w:hAnsi="Times New Roman" w:cs="Times New Roman"/>
          <w:b/>
          <w:sz w:val="24"/>
          <w:szCs w:val="24"/>
        </w:rPr>
        <w:t>‘</w:t>
      </w:r>
      <w:r w:rsidRPr="005D72B7">
        <w:rPr>
          <w:rFonts w:ascii="Times New Roman" w:hAnsi="Times New Roman" w:cs="Times New Roman"/>
          <w:b/>
          <w:sz w:val="24"/>
          <w:szCs w:val="24"/>
        </w:rPr>
        <w:t>último</w:t>
      </w:r>
      <w:r>
        <w:rPr>
          <w:rFonts w:ascii="Times New Roman" w:hAnsi="Times New Roman" w:cs="Times New Roman"/>
          <w:b/>
          <w:sz w:val="24"/>
          <w:szCs w:val="24"/>
        </w:rPr>
        <w:t>’</w:t>
      </w:r>
      <w:r w:rsidRPr="005D72B7">
        <w:rPr>
          <w:rFonts w:ascii="Times New Roman" w:hAnsi="Times New Roman" w:cs="Times New Roman"/>
          <w:b/>
          <w:sz w:val="24"/>
          <w:szCs w:val="24"/>
        </w:rPr>
        <w:t xml:space="preserve"> baile</w:t>
      </w:r>
      <w:r>
        <w:rPr>
          <w:rFonts w:ascii="Times New Roman" w:hAnsi="Times New Roman" w:cs="Times New Roman"/>
          <w:b/>
          <w:sz w:val="24"/>
          <w:szCs w:val="24"/>
        </w:rPr>
        <w:t xml:space="preserve"> y la pareja elegida)</w:t>
      </w:r>
    </w:p>
    <w:p w:rsidR="004E3111" w:rsidRDefault="004E3111" w:rsidP="004E311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5D72B7">
        <w:rPr>
          <w:rFonts w:ascii="Times New Roman" w:hAnsi="Times New Roman" w:cs="Times New Roman"/>
          <w:b/>
          <w:noProof/>
          <w:sz w:val="24"/>
          <w:szCs w:val="24"/>
          <w:lang w:eastAsia="es-ES"/>
        </w:rPr>
        <w:drawing>
          <wp:inline distT="0" distB="0" distL="0" distR="0" wp14:anchorId="31C06673" wp14:editId="3D271621">
            <wp:extent cx="4810126" cy="3162300"/>
            <wp:effectExtent l="0" t="0" r="9525" b="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810797" cy="3162741"/>
                    </a:xfrm>
                    <a:prstGeom prst="rect">
                      <a:avLst/>
                    </a:prstGeom>
                  </pic:spPr>
                </pic:pic>
              </a:graphicData>
            </a:graphic>
          </wp:inline>
        </w:drawing>
      </w:r>
    </w:p>
    <w:p w:rsidR="004E3111" w:rsidRPr="000B2684" w:rsidRDefault="004E3111" w:rsidP="004E3111">
      <w:pPr>
        <w:spacing w:line="240" w:lineRule="auto"/>
        <w:jc w:val="both"/>
        <w:rPr>
          <w:rFonts w:ascii="Times New Roman" w:hAnsi="Times New Roman" w:cs="Times New Roman"/>
          <w:sz w:val="24"/>
          <w:szCs w:val="24"/>
        </w:rPr>
      </w:pPr>
      <w:r w:rsidRPr="000B2684">
        <w:rPr>
          <w:rFonts w:ascii="Times New Roman" w:hAnsi="Times New Roman" w:cs="Times New Roman"/>
          <w:sz w:val="24"/>
          <w:szCs w:val="24"/>
        </w:rPr>
        <w:t xml:space="preserve">Un título alternativo para esta Introducción podría haber sido: </w:t>
      </w:r>
      <w:r w:rsidRPr="006A08A5">
        <w:rPr>
          <w:rFonts w:ascii="Times New Roman" w:hAnsi="Times New Roman" w:cs="Times New Roman"/>
          <w:b/>
          <w:sz w:val="24"/>
          <w:szCs w:val="24"/>
        </w:rPr>
        <w:t>“Vengo del futuro”</w:t>
      </w:r>
      <w:r w:rsidRPr="000B2684">
        <w:rPr>
          <w:rFonts w:ascii="Times New Roman" w:hAnsi="Times New Roman" w:cs="Times New Roman"/>
          <w:sz w:val="24"/>
          <w:szCs w:val="24"/>
        </w:rPr>
        <w:t>… (y se ha c</w:t>
      </w:r>
      <w:r>
        <w:rPr>
          <w:rFonts w:ascii="Times New Roman" w:hAnsi="Times New Roman" w:cs="Times New Roman"/>
          <w:sz w:val="24"/>
          <w:szCs w:val="24"/>
        </w:rPr>
        <w:t xml:space="preserve">umplido, vaya si se ha cumplido: </w:t>
      </w:r>
      <w:r w:rsidRPr="00302AAA">
        <w:rPr>
          <w:rFonts w:ascii="Times New Roman" w:hAnsi="Times New Roman" w:cs="Times New Roman"/>
          <w:b/>
          <w:sz w:val="24"/>
          <w:szCs w:val="24"/>
        </w:rPr>
        <w:t>la “argentinización” de España</w:t>
      </w:r>
      <w:r>
        <w:rPr>
          <w:rFonts w:ascii="Times New Roman" w:hAnsi="Times New Roman" w:cs="Times New Roman"/>
          <w:sz w:val="24"/>
          <w:szCs w:val="24"/>
        </w:rPr>
        <w:t>).</w:t>
      </w:r>
    </w:p>
    <w:p w:rsidR="004E3111" w:rsidRDefault="004E3111" w:rsidP="004E3111">
      <w:pPr>
        <w:spacing w:line="240" w:lineRule="auto"/>
        <w:jc w:val="both"/>
        <w:rPr>
          <w:rFonts w:ascii="Times New Roman" w:hAnsi="Times New Roman" w:cs="Times New Roman"/>
          <w:sz w:val="24"/>
          <w:szCs w:val="24"/>
        </w:rPr>
      </w:pPr>
      <w:r w:rsidRPr="000B2684">
        <w:rPr>
          <w:rFonts w:ascii="Times New Roman" w:hAnsi="Times New Roman" w:cs="Times New Roman"/>
          <w:sz w:val="24"/>
          <w:szCs w:val="24"/>
        </w:rPr>
        <w:t xml:space="preserve">Y sobre la compañera del baile elegida “sin esperanza, ni miedo”: </w:t>
      </w:r>
      <w:r w:rsidRPr="006A08A5">
        <w:rPr>
          <w:rFonts w:ascii="Times New Roman" w:hAnsi="Times New Roman" w:cs="Times New Roman"/>
          <w:b/>
          <w:sz w:val="24"/>
          <w:szCs w:val="24"/>
        </w:rPr>
        <w:t>“La España que yo viví</w:t>
      </w:r>
      <w:r>
        <w:rPr>
          <w:rFonts w:ascii="Times New Roman" w:hAnsi="Times New Roman" w:cs="Times New Roman"/>
          <w:b/>
          <w:sz w:val="24"/>
          <w:szCs w:val="24"/>
        </w:rPr>
        <w:t>”</w:t>
      </w:r>
      <w:r w:rsidRPr="000B2684">
        <w:rPr>
          <w:rFonts w:ascii="Times New Roman" w:hAnsi="Times New Roman" w:cs="Times New Roman"/>
          <w:sz w:val="24"/>
          <w:szCs w:val="24"/>
        </w:rPr>
        <w:t xml:space="preserve"> (después de 35 añ</w:t>
      </w:r>
      <w:r>
        <w:rPr>
          <w:rFonts w:ascii="Times New Roman" w:hAnsi="Times New Roman" w:cs="Times New Roman"/>
          <w:sz w:val="24"/>
          <w:szCs w:val="24"/>
        </w:rPr>
        <w:t>os, como corresponsal voluntario</w:t>
      </w:r>
      <w:r w:rsidRPr="000B2684">
        <w:rPr>
          <w:rFonts w:ascii="Times New Roman" w:hAnsi="Times New Roman" w:cs="Times New Roman"/>
          <w:sz w:val="24"/>
          <w:szCs w:val="24"/>
        </w:rPr>
        <w:t>)</w:t>
      </w:r>
      <w:r>
        <w:rPr>
          <w:rFonts w:ascii="Times New Roman" w:hAnsi="Times New Roman" w:cs="Times New Roman"/>
          <w:sz w:val="24"/>
          <w:szCs w:val="24"/>
        </w:rPr>
        <w:t xml:space="preserve">. </w:t>
      </w:r>
      <w:r w:rsidRPr="00302AAA">
        <w:rPr>
          <w:rFonts w:ascii="Times New Roman" w:hAnsi="Times New Roman" w:cs="Times New Roman"/>
          <w:b/>
          <w:sz w:val="24"/>
          <w:szCs w:val="24"/>
        </w:rPr>
        <w:t>El que quiera entender, que entienda</w:t>
      </w:r>
      <w:r>
        <w:rPr>
          <w:rFonts w:ascii="Times New Roman" w:hAnsi="Times New Roman" w:cs="Times New Roman"/>
          <w:sz w:val="24"/>
          <w:szCs w:val="24"/>
        </w:rPr>
        <w:t>.</w:t>
      </w:r>
      <w:r w:rsidRPr="000B2684">
        <w:rPr>
          <w:rFonts w:ascii="Times New Roman" w:hAnsi="Times New Roman" w:cs="Times New Roman"/>
          <w:sz w:val="24"/>
          <w:szCs w:val="24"/>
        </w:rPr>
        <w:t xml:space="preserve"> </w:t>
      </w:r>
    </w:p>
    <w:p w:rsidR="004E3111" w:rsidRDefault="004E3111" w:rsidP="004E3111">
      <w:pPr>
        <w:spacing w:line="240" w:lineRule="auto"/>
        <w:jc w:val="both"/>
        <w:rPr>
          <w:rFonts w:ascii="Times New Roman" w:hAnsi="Times New Roman" w:cs="Times New Roman"/>
          <w:sz w:val="24"/>
          <w:szCs w:val="24"/>
        </w:rPr>
      </w:pPr>
      <w:r>
        <w:rPr>
          <w:rFonts w:ascii="Times New Roman" w:hAnsi="Times New Roman" w:cs="Times New Roman"/>
          <w:sz w:val="24"/>
          <w:szCs w:val="24"/>
        </w:rPr>
        <w:t>Para finalizar mi peregrinaje literario, he querido escribir  una “Carta a los Reyes Magos”, para pedirle una larga lista de “acciones reparadoras” para la economía española, algunos pueden llamarles “ajustes”, otros hablar de “reformas”, los libertarios pueden señalar que “faltan algunas medidas audaces”, los liberticidas pueden alegar que se está “destruyendo el Estado de Bienestar” y, tal vez, todos tengan algo de razón. Pero este enfermo, no se cura con aspirina o tiritas. Hay que reducir al máximo el espacio operativo a los presuntos indecentes.</w:t>
      </w:r>
    </w:p>
    <w:p w:rsidR="004E3111" w:rsidRDefault="004E3111" w:rsidP="004E311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pretendo descubrir nada. Solo intento hacer una lista (preliminar, parcial, y desordenada) de decisiones económicas que España debería tomar para recuperar la competitividad y el crecimiento, que ha ido perdiendo enredada en el estatismo, la corrupción y el conformismo. </w:t>
      </w:r>
    </w:p>
    <w:p w:rsidR="004E3111" w:rsidRDefault="004E3111" w:rsidP="004E311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todo ello, y en adelante, ruego al (generoso) lector que tome </w:t>
      </w:r>
      <w:r w:rsidRPr="00DD0722">
        <w:rPr>
          <w:rFonts w:ascii="Times New Roman" w:hAnsi="Times New Roman" w:cs="Times New Roman"/>
          <w:sz w:val="24"/>
          <w:szCs w:val="24"/>
        </w:rPr>
        <w:t>este texto como un ejercicio de (relat</w:t>
      </w:r>
      <w:r>
        <w:rPr>
          <w:rFonts w:ascii="Times New Roman" w:hAnsi="Times New Roman" w:cs="Times New Roman"/>
          <w:sz w:val="24"/>
          <w:szCs w:val="24"/>
        </w:rPr>
        <w:t xml:space="preserve">ivo) entretenimiento literario. Un relato sobre un país (España) </w:t>
      </w:r>
      <w:r w:rsidRPr="006139C8">
        <w:rPr>
          <w:rFonts w:ascii="Times New Roman" w:hAnsi="Times New Roman" w:cs="Times New Roman"/>
          <w:sz w:val="24"/>
          <w:szCs w:val="24"/>
        </w:rPr>
        <w:t>anclado en la gloriosa leyenda de las prestaciones sociales</w:t>
      </w:r>
      <w:r>
        <w:rPr>
          <w:rFonts w:ascii="Times New Roman" w:hAnsi="Times New Roman" w:cs="Times New Roman"/>
          <w:sz w:val="24"/>
          <w:szCs w:val="24"/>
        </w:rPr>
        <w:t>, y las subvenciones a tutiplén, pagadas a crédito, y de un médico de urgencia, que ante tan catastrófico diagnóstico, receta cierto tratamiento perentorio e inaplazable (aunque radical y doloroso) a sabiendas que el paciente, nunca lo cumplirá.</w:t>
      </w:r>
    </w:p>
    <w:p w:rsidR="004E3111" w:rsidRPr="000813DC" w:rsidRDefault="004E3111" w:rsidP="004E3111">
      <w:pPr>
        <w:spacing w:line="240" w:lineRule="auto"/>
        <w:jc w:val="both"/>
        <w:rPr>
          <w:rFonts w:ascii="Times New Roman" w:hAnsi="Times New Roman" w:cs="Times New Roman"/>
          <w:sz w:val="24"/>
          <w:szCs w:val="24"/>
        </w:rPr>
      </w:pPr>
      <w:r w:rsidRPr="000B2684">
        <w:rPr>
          <w:rFonts w:ascii="Times New Roman" w:hAnsi="Times New Roman" w:cs="Times New Roman"/>
          <w:b/>
          <w:sz w:val="24"/>
          <w:szCs w:val="24"/>
        </w:rPr>
        <w:t>Setenta “razones” y ninguna flor (Dioses y hombres, todos fuimos así engañados)</w:t>
      </w:r>
    </w:p>
    <w:p w:rsidR="004E3111" w:rsidRPr="000B2684" w:rsidRDefault="004E3111" w:rsidP="004E3111">
      <w:pPr>
        <w:spacing w:line="240" w:lineRule="auto"/>
        <w:jc w:val="both"/>
        <w:rPr>
          <w:rFonts w:ascii="Times New Roman" w:hAnsi="Times New Roman" w:cs="Times New Roman"/>
          <w:sz w:val="24"/>
          <w:szCs w:val="24"/>
        </w:rPr>
      </w:pPr>
      <w:r w:rsidRPr="000B2684">
        <w:rPr>
          <w:rFonts w:ascii="Times New Roman" w:hAnsi="Times New Roman" w:cs="Times New Roman"/>
          <w:sz w:val="24"/>
          <w:szCs w:val="24"/>
        </w:rPr>
        <w:t>El pesimismo es un vicio fatal, pero renunciar a tener en cuenta las circunstancias condicionantes puede resultar una tarea desesperada y tragicómica.</w:t>
      </w:r>
    </w:p>
    <w:p w:rsidR="004E3111" w:rsidRPr="000B2684" w:rsidRDefault="004E3111" w:rsidP="004E3111">
      <w:pPr>
        <w:spacing w:line="240" w:lineRule="auto"/>
        <w:jc w:val="both"/>
        <w:rPr>
          <w:rFonts w:ascii="Times New Roman" w:hAnsi="Times New Roman" w:cs="Times New Roman"/>
          <w:sz w:val="24"/>
          <w:szCs w:val="24"/>
        </w:rPr>
      </w:pPr>
      <w:r w:rsidRPr="000B2684">
        <w:rPr>
          <w:rFonts w:ascii="Times New Roman" w:hAnsi="Times New Roman" w:cs="Times New Roman"/>
          <w:sz w:val="24"/>
          <w:szCs w:val="24"/>
        </w:rPr>
        <w:t xml:space="preserve">España, la vieja nación europea que, por fin, parecía haber encontrado su camino de convivencia y crecimiento, </w:t>
      </w:r>
      <w:r w:rsidRPr="00C23EA7">
        <w:rPr>
          <w:rFonts w:ascii="Times New Roman" w:hAnsi="Times New Roman" w:cs="Times New Roman"/>
          <w:sz w:val="24"/>
          <w:szCs w:val="24"/>
        </w:rPr>
        <w:t xml:space="preserve">la que </w:t>
      </w:r>
      <w:r w:rsidRPr="000B2684">
        <w:rPr>
          <w:rFonts w:ascii="Times New Roman" w:hAnsi="Times New Roman" w:cs="Times New Roman"/>
          <w:sz w:val="24"/>
          <w:szCs w:val="24"/>
        </w:rPr>
        <w:t xml:space="preserve">aparece hecha unos zorros bajo una nueva luz, acaso rota y desguazada, pero enteramente saqueada sin miramientos, por unos dirigentes corruptos </w:t>
      </w:r>
      <w:r w:rsidRPr="000B2684">
        <w:rPr>
          <w:rFonts w:ascii="Times New Roman" w:hAnsi="Times New Roman" w:cs="Times New Roman"/>
          <w:sz w:val="24"/>
          <w:szCs w:val="24"/>
        </w:rPr>
        <w:lastRenderedPageBreak/>
        <w:t>(políticos, empresariales, sindicales…), que cuentan sus ganancias, sobre los despojos del reino.</w:t>
      </w:r>
    </w:p>
    <w:p w:rsidR="004E3111" w:rsidRPr="000B2684" w:rsidRDefault="004E3111" w:rsidP="004E3111">
      <w:pPr>
        <w:spacing w:line="240" w:lineRule="auto"/>
        <w:jc w:val="both"/>
        <w:rPr>
          <w:rFonts w:ascii="Times New Roman" w:hAnsi="Times New Roman" w:cs="Times New Roman"/>
          <w:sz w:val="24"/>
          <w:szCs w:val="24"/>
        </w:rPr>
      </w:pPr>
      <w:r w:rsidRPr="000B2684">
        <w:rPr>
          <w:rFonts w:ascii="Times New Roman" w:hAnsi="Times New Roman" w:cs="Times New Roman"/>
          <w:sz w:val="24"/>
          <w:szCs w:val="24"/>
        </w:rPr>
        <w:t>Costará Dios y ayuda reconstruir la nación española. Ésa es la herencia que nos lega una corrupta mediocridad que -olvidarlo resultaría suicida- sólo fue posible por la caprichosa ingenuidad de un electorado.</w:t>
      </w:r>
    </w:p>
    <w:p w:rsidR="004E3111" w:rsidRPr="000B2684" w:rsidRDefault="004E3111" w:rsidP="004E3111">
      <w:pPr>
        <w:spacing w:line="240" w:lineRule="auto"/>
        <w:jc w:val="both"/>
        <w:rPr>
          <w:rFonts w:ascii="Times New Roman" w:hAnsi="Times New Roman" w:cs="Times New Roman"/>
          <w:sz w:val="24"/>
          <w:szCs w:val="24"/>
        </w:rPr>
      </w:pPr>
      <w:r w:rsidRPr="000B2684">
        <w:rPr>
          <w:rFonts w:ascii="Times New Roman" w:hAnsi="Times New Roman" w:cs="Times New Roman"/>
          <w:sz w:val="24"/>
          <w:szCs w:val="24"/>
        </w:rPr>
        <w:t>Ante eso me encuentro, haciendo un último</w:t>
      </w:r>
      <w:r w:rsidRPr="000B2684">
        <w:rPr>
          <w:rFonts w:ascii="Times New Roman" w:hAnsi="Times New Roman" w:cs="Times New Roman"/>
          <w:sz w:val="24"/>
          <w:szCs w:val="24"/>
          <w:shd w:val="clear" w:color="auto" w:fill="FFFFFF"/>
        </w:rPr>
        <w:t xml:space="preserve"> </w:t>
      </w:r>
      <w:r w:rsidRPr="000B2684">
        <w:rPr>
          <w:rFonts w:ascii="Times New Roman" w:hAnsi="Times New Roman" w:cs="Times New Roman"/>
          <w:sz w:val="24"/>
          <w:szCs w:val="24"/>
        </w:rPr>
        <w:t>ejercicio de atrevimiento (tardío) y responsabilidad (generacional), intentando poner algo de luz… en todo aquello que el lector apenas atisba aunque esté en la convicción de quienes lo analizan. Un esfuerzo (agónico), para que los lectores se enteren de lo que deberían saber, aunqu</w:t>
      </w:r>
      <w:r>
        <w:rPr>
          <w:rFonts w:ascii="Times New Roman" w:hAnsi="Times New Roman" w:cs="Times New Roman"/>
          <w:sz w:val="24"/>
          <w:szCs w:val="24"/>
        </w:rPr>
        <w:t>e a veces desconfío que les importe</w:t>
      </w:r>
      <w:r w:rsidRPr="000B2684">
        <w:rPr>
          <w:rFonts w:ascii="Times New Roman" w:hAnsi="Times New Roman" w:cs="Times New Roman"/>
          <w:sz w:val="24"/>
          <w:szCs w:val="24"/>
        </w:rPr>
        <w:t>.</w:t>
      </w:r>
    </w:p>
    <w:p w:rsidR="004E3111" w:rsidRPr="000B2684" w:rsidRDefault="004E3111" w:rsidP="004E3111">
      <w:pPr>
        <w:spacing w:line="240" w:lineRule="auto"/>
        <w:jc w:val="both"/>
        <w:rPr>
          <w:rFonts w:ascii="Times New Roman" w:hAnsi="Times New Roman" w:cs="Times New Roman"/>
          <w:sz w:val="24"/>
          <w:szCs w:val="24"/>
        </w:rPr>
      </w:pPr>
      <w:r>
        <w:rPr>
          <w:rFonts w:ascii="Times New Roman" w:hAnsi="Times New Roman" w:cs="Times New Roman"/>
          <w:sz w:val="24"/>
          <w:szCs w:val="24"/>
        </w:rPr>
        <w:t>Dudo</w:t>
      </w:r>
      <w:r w:rsidRPr="000B2684">
        <w:rPr>
          <w:rFonts w:ascii="Times New Roman" w:hAnsi="Times New Roman" w:cs="Times New Roman"/>
          <w:sz w:val="24"/>
          <w:szCs w:val="24"/>
        </w:rPr>
        <w:t xml:space="preserve"> que una sociedad hecha a todo y sensible al impulso… aunque incapaz de mantenerlo, en la que solo cuenta el presente, se interese por comentarios (análisis críticos) que iluminen la realidad.</w:t>
      </w:r>
    </w:p>
    <w:p w:rsidR="004E3111" w:rsidRPr="000B2684" w:rsidRDefault="004E3111" w:rsidP="004E3111">
      <w:pPr>
        <w:spacing w:line="240" w:lineRule="auto"/>
        <w:jc w:val="both"/>
        <w:rPr>
          <w:rFonts w:ascii="Times New Roman" w:hAnsi="Times New Roman" w:cs="Times New Roman"/>
          <w:sz w:val="24"/>
          <w:szCs w:val="24"/>
        </w:rPr>
      </w:pPr>
      <w:r w:rsidRPr="000B2684">
        <w:rPr>
          <w:rFonts w:ascii="Times New Roman" w:hAnsi="Times New Roman" w:cs="Times New Roman"/>
          <w:sz w:val="24"/>
          <w:szCs w:val="24"/>
        </w:rPr>
        <w:t>Es difícil mantener cierta dignidad intelectual en un entramado social donde un clic decide el </w:t>
      </w:r>
      <w:r w:rsidRPr="00F45AB6">
        <w:rPr>
          <w:rStyle w:val="Textoennegrita"/>
          <w:rFonts w:ascii="Times New Roman" w:hAnsi="Times New Roman" w:cs="Times New Roman"/>
          <w:b w:val="0"/>
          <w:sz w:val="24"/>
          <w:szCs w:val="24"/>
        </w:rPr>
        <w:t>futuro</w:t>
      </w:r>
      <w:r w:rsidRPr="000B2684">
        <w:rPr>
          <w:rStyle w:val="Textoennegrita"/>
          <w:rFonts w:ascii="Times New Roman" w:hAnsi="Times New Roman" w:cs="Times New Roman"/>
          <w:sz w:val="24"/>
          <w:szCs w:val="24"/>
        </w:rPr>
        <w:t> </w:t>
      </w:r>
      <w:r w:rsidRPr="000B2684">
        <w:rPr>
          <w:rFonts w:ascii="Times New Roman" w:hAnsi="Times New Roman" w:cs="Times New Roman"/>
          <w:sz w:val="24"/>
          <w:szCs w:val="24"/>
        </w:rPr>
        <w:t xml:space="preserve">y un icono pretende ser argumento. Se puede terminar viviendo en realidades paralelas, donde unos (me incluyo) se niegan a adaptarse al mundo de los </w:t>
      </w:r>
      <w:r>
        <w:rPr>
          <w:rFonts w:ascii="Times New Roman" w:hAnsi="Times New Roman" w:cs="Times New Roman"/>
          <w:sz w:val="24"/>
          <w:szCs w:val="24"/>
        </w:rPr>
        <w:t>“</w:t>
      </w:r>
      <w:r w:rsidRPr="000B2684">
        <w:rPr>
          <w:rFonts w:ascii="Times New Roman" w:hAnsi="Times New Roman" w:cs="Times New Roman"/>
          <w:sz w:val="24"/>
          <w:szCs w:val="24"/>
        </w:rPr>
        <w:t>influencers</w:t>
      </w:r>
      <w:r>
        <w:rPr>
          <w:rFonts w:ascii="Times New Roman" w:hAnsi="Times New Roman" w:cs="Times New Roman"/>
          <w:sz w:val="24"/>
          <w:szCs w:val="24"/>
        </w:rPr>
        <w:t>”</w:t>
      </w:r>
      <w:r w:rsidRPr="000B2684">
        <w:rPr>
          <w:rFonts w:ascii="Times New Roman" w:hAnsi="Times New Roman" w:cs="Times New Roman"/>
          <w:sz w:val="24"/>
          <w:szCs w:val="24"/>
        </w:rPr>
        <w:t>, y otros se sienten felices por estar “conectados”, con el riesgo de no encontrarse nunca.</w:t>
      </w:r>
    </w:p>
    <w:p w:rsidR="004E3111" w:rsidRPr="000B2684" w:rsidRDefault="004E3111" w:rsidP="004E3111">
      <w:pPr>
        <w:spacing w:line="240" w:lineRule="auto"/>
        <w:jc w:val="both"/>
        <w:rPr>
          <w:rFonts w:ascii="Times New Roman" w:hAnsi="Times New Roman" w:cs="Times New Roman"/>
          <w:sz w:val="24"/>
          <w:szCs w:val="24"/>
          <w:shd w:val="clear" w:color="auto" w:fill="FFFFFF"/>
        </w:rPr>
      </w:pPr>
      <w:r w:rsidRPr="000B2684">
        <w:rPr>
          <w:rFonts w:ascii="Times New Roman" w:hAnsi="Times New Roman" w:cs="Times New Roman"/>
          <w:sz w:val="24"/>
          <w:szCs w:val="24"/>
          <w:shd w:val="clear" w:color="auto" w:fill="FFFFFF"/>
        </w:rPr>
        <w:t>Se me disculpará, pero cuestionarlos con respeto y sin otro objetivo que sumar al debate, me resulta no solo un deber sino también una estimulante tarea intelectual.</w:t>
      </w:r>
    </w:p>
    <w:p w:rsidR="004E3111" w:rsidRPr="000B2684" w:rsidRDefault="004E3111" w:rsidP="004E3111">
      <w:pPr>
        <w:spacing w:line="240" w:lineRule="auto"/>
        <w:jc w:val="both"/>
        <w:rPr>
          <w:rFonts w:ascii="Times New Roman" w:hAnsi="Times New Roman" w:cs="Times New Roman"/>
          <w:sz w:val="24"/>
          <w:szCs w:val="24"/>
          <w:shd w:val="clear" w:color="auto" w:fill="FFFFFF"/>
        </w:rPr>
      </w:pPr>
      <w:r w:rsidRPr="000B2684">
        <w:rPr>
          <w:rFonts w:ascii="Times New Roman" w:hAnsi="Times New Roman" w:cs="Times New Roman"/>
          <w:sz w:val="24"/>
          <w:szCs w:val="24"/>
          <w:shd w:val="clear" w:color="auto" w:fill="FFFFFF"/>
        </w:rPr>
        <w:t xml:space="preserve">Tal vez, algunas verdades incómodas, </w:t>
      </w:r>
      <w:r>
        <w:rPr>
          <w:rFonts w:ascii="Times New Roman" w:hAnsi="Times New Roman" w:cs="Times New Roman"/>
          <w:sz w:val="24"/>
          <w:szCs w:val="24"/>
          <w:shd w:val="clear" w:color="auto" w:fill="FFFFFF"/>
        </w:rPr>
        <w:t>para el “progresismo iliberal</w:t>
      </w:r>
      <w:r w:rsidRPr="000B2684">
        <w:rPr>
          <w:rFonts w:ascii="Times New Roman" w:hAnsi="Times New Roman" w:cs="Times New Roman"/>
          <w:sz w:val="24"/>
          <w:szCs w:val="24"/>
          <w:shd w:val="clear" w:color="auto" w:fill="FFFFFF"/>
        </w:rPr>
        <w:t>”, en un contexto de crisis estructural crónica, donde abunda el conflicto emocional (controlado) que intenta evitar cualquier forma de conciliación reflexiva (ritualizada), condenando al 50% del país al ostracismo y la irrelev</w:t>
      </w:r>
      <w:r>
        <w:rPr>
          <w:rFonts w:ascii="Times New Roman" w:hAnsi="Times New Roman" w:cs="Times New Roman"/>
          <w:sz w:val="24"/>
          <w:szCs w:val="24"/>
          <w:shd w:val="clear" w:color="auto" w:fill="FFFFFF"/>
        </w:rPr>
        <w:t xml:space="preserve">ancia (no merecen existir y </w:t>
      </w:r>
      <w:r w:rsidRPr="000B2684">
        <w:rPr>
          <w:rFonts w:ascii="Times New Roman" w:hAnsi="Times New Roman" w:cs="Times New Roman"/>
          <w:sz w:val="24"/>
          <w:szCs w:val="24"/>
          <w:shd w:val="clear" w:color="auto" w:fill="FFFFFF"/>
        </w:rPr>
        <w:t>deben ser soslayados y sometidos).</w:t>
      </w:r>
    </w:p>
    <w:p w:rsidR="004E3111" w:rsidRPr="000B2684" w:rsidRDefault="004E3111" w:rsidP="004E3111">
      <w:pPr>
        <w:spacing w:line="240" w:lineRule="auto"/>
        <w:jc w:val="both"/>
        <w:rPr>
          <w:rFonts w:ascii="Times New Roman" w:hAnsi="Times New Roman" w:cs="Times New Roman"/>
          <w:sz w:val="24"/>
          <w:szCs w:val="24"/>
        </w:rPr>
      </w:pPr>
      <w:r w:rsidRPr="000B2684">
        <w:rPr>
          <w:rFonts w:ascii="Times New Roman" w:hAnsi="Times New Roman" w:cs="Times New Roman"/>
          <w:sz w:val="24"/>
          <w:szCs w:val="24"/>
        </w:rPr>
        <w:t>Esta última oportunidad, antes del silencio voluntario definitivo, me sitúa en la tesitura moral de echar la vista atrás para hacer, o quizá rehacer con propósito de enmienda, un juicio crítico del Gobierno de España, con la voluntad de proponer algunas alternativas económicas que puedan ayudar a corregir el rumbo de un país que lo ha perdido.</w:t>
      </w:r>
    </w:p>
    <w:p w:rsidR="004E3111" w:rsidRPr="000B2684" w:rsidRDefault="004E3111" w:rsidP="004E3111">
      <w:pPr>
        <w:spacing w:line="240" w:lineRule="auto"/>
        <w:jc w:val="both"/>
        <w:rPr>
          <w:rFonts w:ascii="Times New Roman" w:hAnsi="Times New Roman" w:cs="Times New Roman"/>
          <w:sz w:val="24"/>
          <w:szCs w:val="24"/>
        </w:rPr>
      </w:pPr>
      <w:r w:rsidRPr="000B2684">
        <w:rPr>
          <w:rFonts w:ascii="Times New Roman" w:hAnsi="Times New Roman" w:cs="Times New Roman"/>
          <w:sz w:val="24"/>
          <w:szCs w:val="24"/>
        </w:rPr>
        <w:t>Las medidas propuestas (seguramente hay más…) no son para tomar a medias, tarde</w:t>
      </w:r>
      <w:r>
        <w:rPr>
          <w:rFonts w:ascii="Times New Roman" w:hAnsi="Times New Roman" w:cs="Times New Roman"/>
          <w:sz w:val="24"/>
          <w:szCs w:val="24"/>
        </w:rPr>
        <w:t>,</w:t>
      </w:r>
      <w:r w:rsidRPr="000B2684">
        <w:rPr>
          <w:rFonts w:ascii="Times New Roman" w:hAnsi="Times New Roman" w:cs="Times New Roman"/>
          <w:sz w:val="24"/>
          <w:szCs w:val="24"/>
        </w:rPr>
        <w:t xml:space="preserve"> mal y nunca, y de forma torticera. Son para situar el cuerpo enfermo de la España masacrada por  sus dirigentes políticos, sindicales, empresariales, y financieros, en la mesa de operaciones y abrir en canal con cirugía de urgencia. Espero, y deseo que al final el epitafio no sea: “Nada se hizo” (como único activo digno de mención).</w:t>
      </w:r>
    </w:p>
    <w:p w:rsidR="004E3111" w:rsidRPr="000B2684" w:rsidRDefault="004E3111" w:rsidP="004E3111">
      <w:pPr>
        <w:spacing w:line="240" w:lineRule="auto"/>
        <w:jc w:val="both"/>
        <w:rPr>
          <w:rFonts w:ascii="Times New Roman" w:hAnsi="Times New Roman" w:cs="Times New Roman"/>
          <w:sz w:val="24"/>
          <w:szCs w:val="24"/>
        </w:rPr>
      </w:pPr>
      <w:r w:rsidRPr="000B2684">
        <w:rPr>
          <w:rFonts w:ascii="Times New Roman" w:hAnsi="Times New Roman" w:cs="Times New Roman"/>
          <w:sz w:val="24"/>
          <w:szCs w:val="24"/>
        </w:rPr>
        <w:t>Aunque mi intención (premeditada) es no tratar los asuntos de política general no se puede negar la evidencia sobre la existencia en España de una corrupción sistémica, una corrupción estructural, que ha echado raíces. Un cáncer sin aparente solución. Donde uno de los vértices del fenómeno es el político corrupto; otro, el empresario corruptor</w:t>
      </w:r>
      <w:r>
        <w:rPr>
          <w:rFonts w:ascii="Times New Roman" w:hAnsi="Times New Roman" w:cs="Times New Roman"/>
          <w:sz w:val="24"/>
          <w:szCs w:val="24"/>
        </w:rPr>
        <w:t>,</w:t>
      </w:r>
      <w:r w:rsidRPr="000B2684">
        <w:rPr>
          <w:rFonts w:ascii="Times New Roman" w:hAnsi="Times New Roman" w:cs="Times New Roman"/>
          <w:sz w:val="24"/>
          <w:szCs w:val="24"/>
        </w:rPr>
        <w:t xml:space="preserve"> y después la tecnoestructura administrativa que gestiona y</w:t>
      </w:r>
      <w:r>
        <w:rPr>
          <w:rFonts w:ascii="Times New Roman" w:hAnsi="Times New Roman" w:cs="Times New Roman"/>
          <w:sz w:val="24"/>
          <w:szCs w:val="24"/>
        </w:rPr>
        <w:t>,</w:t>
      </w:r>
      <w:r w:rsidRPr="000B2684">
        <w:rPr>
          <w:rFonts w:ascii="Times New Roman" w:hAnsi="Times New Roman" w:cs="Times New Roman"/>
          <w:sz w:val="24"/>
          <w:szCs w:val="24"/>
        </w:rPr>
        <w:t xml:space="preserve"> o bien mira hacia otro lado</w:t>
      </w:r>
      <w:r>
        <w:rPr>
          <w:rFonts w:ascii="Times New Roman" w:hAnsi="Times New Roman" w:cs="Times New Roman"/>
          <w:sz w:val="24"/>
          <w:szCs w:val="24"/>
        </w:rPr>
        <w:t>,</w:t>
      </w:r>
      <w:r w:rsidRPr="000B2684">
        <w:rPr>
          <w:rFonts w:ascii="Times New Roman" w:hAnsi="Times New Roman" w:cs="Times New Roman"/>
          <w:sz w:val="24"/>
          <w:szCs w:val="24"/>
        </w:rPr>
        <w:t xml:space="preserve"> o bien participa directamente en el amaño. </w:t>
      </w:r>
    </w:p>
    <w:p w:rsidR="004E3111" w:rsidRPr="000B2684" w:rsidRDefault="004E3111" w:rsidP="004E3111">
      <w:pPr>
        <w:spacing w:line="240" w:lineRule="auto"/>
        <w:jc w:val="both"/>
        <w:rPr>
          <w:rFonts w:ascii="Times New Roman" w:hAnsi="Times New Roman" w:cs="Times New Roman"/>
          <w:sz w:val="24"/>
          <w:szCs w:val="24"/>
        </w:rPr>
      </w:pPr>
      <w:r w:rsidRPr="000B2684">
        <w:rPr>
          <w:rFonts w:ascii="Times New Roman" w:hAnsi="Times New Roman" w:cs="Times New Roman"/>
          <w:sz w:val="24"/>
          <w:szCs w:val="24"/>
        </w:rPr>
        <w:t>“Esta tercera pieza es clave porque la Administración funciona con informes jurídicos, financieros, pliegos técnicos, papeleo ingente… Un tercer vértice sobre el que nunca se han puesto los focos”, afirma Joan Llinares, ex director de la Agencia Valenciana Antifraude. Una corrupción que ha venido para quedarse, como si de una especie de ma</w:t>
      </w:r>
      <w:r>
        <w:rPr>
          <w:rFonts w:ascii="Times New Roman" w:hAnsi="Times New Roman" w:cs="Times New Roman"/>
          <w:sz w:val="24"/>
          <w:szCs w:val="24"/>
        </w:rPr>
        <w:t>ldición bíblica se tratara”, señala Jesús Cacho (</w:t>
      </w:r>
      <w:r w:rsidRPr="000B2684">
        <w:rPr>
          <w:rFonts w:ascii="Times New Roman" w:hAnsi="Times New Roman" w:cs="Times New Roman"/>
          <w:sz w:val="24"/>
          <w:szCs w:val="24"/>
        </w:rPr>
        <w:t xml:space="preserve">Vozpópuli - </w:t>
      </w:r>
      <w:r w:rsidRPr="001C2EF0">
        <w:rPr>
          <w:rFonts w:ascii="Times New Roman" w:hAnsi="Times New Roman" w:cs="Times New Roman"/>
          <w:b/>
          <w:sz w:val="24"/>
          <w:szCs w:val="24"/>
        </w:rPr>
        <w:t>20/7/25</w:t>
      </w:r>
      <w:r w:rsidRPr="000B2684">
        <w:rPr>
          <w:rFonts w:ascii="Times New Roman" w:hAnsi="Times New Roman" w:cs="Times New Roman"/>
          <w:sz w:val="24"/>
          <w:szCs w:val="24"/>
        </w:rPr>
        <w:t>)</w:t>
      </w:r>
      <w:r>
        <w:rPr>
          <w:rFonts w:ascii="Times New Roman" w:hAnsi="Times New Roman" w:cs="Times New Roman"/>
          <w:sz w:val="24"/>
          <w:szCs w:val="24"/>
        </w:rPr>
        <w:t>.</w:t>
      </w:r>
      <w:r w:rsidRPr="000B2684">
        <w:rPr>
          <w:rFonts w:ascii="Times New Roman" w:hAnsi="Times New Roman" w:cs="Times New Roman"/>
          <w:sz w:val="24"/>
          <w:szCs w:val="24"/>
        </w:rPr>
        <w:t xml:space="preserve"> </w:t>
      </w:r>
    </w:p>
    <w:p w:rsidR="004E3111" w:rsidRPr="00C05769" w:rsidRDefault="004E3111" w:rsidP="004E3111">
      <w:pPr>
        <w:spacing w:line="240" w:lineRule="auto"/>
        <w:jc w:val="both"/>
        <w:rPr>
          <w:rFonts w:ascii="Times New Roman" w:hAnsi="Times New Roman" w:cs="Times New Roman"/>
          <w:sz w:val="24"/>
          <w:szCs w:val="24"/>
          <w:shd w:val="clear" w:color="auto" w:fill="FFFFFF"/>
        </w:rPr>
      </w:pPr>
      <w:r w:rsidRPr="00C05769">
        <w:rPr>
          <w:rFonts w:ascii="Times New Roman" w:hAnsi="Times New Roman" w:cs="Times New Roman"/>
          <w:sz w:val="24"/>
          <w:szCs w:val="24"/>
          <w:shd w:val="clear" w:color="auto" w:fill="FFFFFF"/>
        </w:rPr>
        <w:lastRenderedPageBreak/>
        <w:t>En su obra “El concepto de lo político”, el teórico </w:t>
      </w:r>
      <w:r w:rsidRPr="00C05769">
        <w:rPr>
          <w:rStyle w:val="Textoennegrita"/>
          <w:rFonts w:ascii="Times New Roman" w:hAnsi="Times New Roman" w:cs="Times New Roman"/>
          <w:b w:val="0"/>
          <w:sz w:val="24"/>
          <w:szCs w:val="24"/>
          <w:shd w:val="clear" w:color="auto" w:fill="FFFFFF"/>
        </w:rPr>
        <w:t>Carl Schmitt</w:t>
      </w:r>
      <w:r w:rsidRPr="00C05769">
        <w:rPr>
          <w:rFonts w:ascii="Times New Roman" w:hAnsi="Times New Roman" w:cs="Times New Roman"/>
          <w:sz w:val="24"/>
          <w:szCs w:val="24"/>
          <w:shd w:val="clear" w:color="auto" w:fill="FFFFFF"/>
        </w:rPr>
        <w:t> (Alemania, 1888) definía la política como una acción humana marcada por </w:t>
      </w:r>
      <w:r w:rsidRPr="00C05769">
        <w:rPr>
          <w:rStyle w:val="Textoennegrita"/>
          <w:rFonts w:ascii="Times New Roman" w:hAnsi="Times New Roman" w:cs="Times New Roman"/>
          <w:b w:val="0"/>
          <w:sz w:val="24"/>
          <w:szCs w:val="24"/>
          <w:shd w:val="clear" w:color="auto" w:fill="FFFFFF"/>
        </w:rPr>
        <w:t>la dialéctica amigo-enemigo</w:t>
      </w:r>
      <w:r w:rsidRPr="00C05769">
        <w:rPr>
          <w:rFonts w:ascii="Times New Roman" w:hAnsi="Times New Roman" w:cs="Times New Roman"/>
          <w:sz w:val="24"/>
          <w:szCs w:val="24"/>
          <w:shd w:val="clear" w:color="auto" w:fill="FFFFFF"/>
        </w:rPr>
        <w:t>, de modo que la clave de toda estrategia pasa por identificar al adversario, incluso </w:t>
      </w:r>
      <w:r w:rsidRPr="00C05769">
        <w:rPr>
          <w:rStyle w:val="Textoennegrita"/>
          <w:rFonts w:ascii="Times New Roman" w:hAnsi="Times New Roman" w:cs="Times New Roman"/>
          <w:b w:val="0"/>
          <w:sz w:val="24"/>
          <w:szCs w:val="24"/>
          <w:shd w:val="clear" w:color="auto" w:fill="FFFFFF"/>
        </w:rPr>
        <w:t>elegirlo adecuadamente para tus intereses</w:t>
      </w:r>
      <w:r w:rsidRPr="00C05769">
        <w:rPr>
          <w:rFonts w:ascii="Times New Roman" w:hAnsi="Times New Roman" w:cs="Times New Roman"/>
          <w:sz w:val="24"/>
          <w:szCs w:val="24"/>
          <w:shd w:val="clear" w:color="auto" w:fill="FFFFFF"/>
        </w:rPr>
        <w:t>. En suma, se trata de reducir la política a la averiguación de las decisiones que hay que tomar para conseguir beneficio electoral sin tener en cuenta el interés general.</w:t>
      </w:r>
    </w:p>
    <w:p w:rsidR="004E3111" w:rsidRPr="00C05769" w:rsidRDefault="004E3111" w:rsidP="004E3111">
      <w:pPr>
        <w:spacing w:line="240" w:lineRule="auto"/>
        <w:jc w:val="both"/>
        <w:rPr>
          <w:rFonts w:ascii="Times New Roman" w:hAnsi="Times New Roman" w:cs="Times New Roman"/>
          <w:sz w:val="24"/>
          <w:szCs w:val="24"/>
          <w:shd w:val="clear" w:color="auto" w:fill="FFFFFF"/>
        </w:rPr>
      </w:pPr>
      <w:r w:rsidRPr="00C05769">
        <w:rPr>
          <w:rFonts w:ascii="Times New Roman" w:hAnsi="Times New Roman" w:cs="Times New Roman"/>
          <w:sz w:val="24"/>
          <w:szCs w:val="24"/>
          <w:shd w:val="clear" w:color="auto" w:fill="FFFFFF"/>
        </w:rPr>
        <w:t>Un “progresismo iliberal” que pretende crear un irreversible </w:t>
      </w:r>
      <w:r w:rsidRPr="00C05769">
        <w:rPr>
          <w:rFonts w:ascii="Times New Roman" w:hAnsi="Times New Roman" w:cs="Times New Roman"/>
          <w:bCs/>
          <w:sz w:val="24"/>
          <w:szCs w:val="24"/>
          <w:shd w:val="clear" w:color="auto" w:fill="FFFFFF"/>
        </w:rPr>
        <w:t>Nuevo Orden</w:t>
      </w:r>
      <w:r w:rsidRPr="00C05769">
        <w:rPr>
          <w:rFonts w:ascii="Times New Roman" w:hAnsi="Times New Roman" w:cs="Times New Roman"/>
          <w:sz w:val="24"/>
          <w:szCs w:val="24"/>
          <w:shd w:val="clear" w:color="auto" w:fill="FFFFFF"/>
        </w:rPr>
        <w:t> jurídico, político y económico, que se siente poseedor de la verdad única, que busca instaurar un  gobierno eterno, un régimen definitivo y sin vuelta atrás.</w:t>
      </w:r>
      <w:r w:rsidR="00872221">
        <w:rPr>
          <w:rFonts w:ascii="Times New Roman" w:hAnsi="Times New Roman" w:cs="Times New Roman"/>
          <w:sz w:val="24"/>
          <w:szCs w:val="24"/>
          <w:shd w:val="clear" w:color="auto" w:fill="FFFFFF"/>
        </w:rPr>
        <w:t xml:space="preserve"> </w:t>
      </w:r>
      <w:r w:rsidRPr="00C05769">
        <w:rPr>
          <w:rFonts w:ascii="Times New Roman" w:hAnsi="Times New Roman" w:cs="Times New Roman"/>
          <w:sz w:val="24"/>
          <w:szCs w:val="24"/>
          <w:shd w:val="clear" w:color="auto" w:fill="FFFFFF"/>
        </w:rPr>
        <w:t>Cuando se profundiza ese criterio es obvio que se necesitan un proyecto hegemónico, décadas de poder continuado, anulación de la alternancia y una democracia iliberal: es decir, un sistema que desde lejos parezca un Estado de derecho, pero que visto de cerca funcione como un modelo feudal clásico.</w:t>
      </w:r>
    </w:p>
    <w:p w:rsidR="004E3111" w:rsidRPr="00C05769" w:rsidRDefault="004E3111" w:rsidP="004E3111">
      <w:pPr>
        <w:spacing w:line="240" w:lineRule="auto"/>
        <w:jc w:val="both"/>
        <w:rPr>
          <w:rFonts w:ascii="Times New Roman" w:hAnsi="Times New Roman" w:cs="Times New Roman"/>
          <w:sz w:val="24"/>
          <w:szCs w:val="24"/>
        </w:rPr>
      </w:pPr>
      <w:r w:rsidRPr="00C05769">
        <w:rPr>
          <w:rFonts w:ascii="Times New Roman" w:hAnsi="Times New Roman" w:cs="Times New Roman"/>
          <w:sz w:val="24"/>
          <w:szCs w:val="24"/>
        </w:rPr>
        <w:t>Para rehacer todo lo deshecho en este ominoso período hará falta mucho más que tiempo…</w:t>
      </w:r>
    </w:p>
    <w:p w:rsidR="004E3111" w:rsidRPr="00C05769" w:rsidRDefault="004E3111" w:rsidP="004E3111">
      <w:pPr>
        <w:spacing w:line="240" w:lineRule="auto"/>
        <w:jc w:val="both"/>
        <w:rPr>
          <w:rFonts w:ascii="Times New Roman" w:hAnsi="Times New Roman" w:cs="Times New Roman"/>
          <w:sz w:val="24"/>
          <w:szCs w:val="24"/>
        </w:rPr>
      </w:pPr>
      <w:r w:rsidRPr="00C05769">
        <w:rPr>
          <w:rFonts w:ascii="Times New Roman" w:hAnsi="Times New Roman" w:cs="Times New Roman"/>
          <w:sz w:val="24"/>
          <w:szCs w:val="24"/>
        </w:rPr>
        <w:t>Aunque al principio me pareció excesivo, estuve tentado de utilizar la frase: “Setenta balcones y ninguna flor”, para emplearla como metáfora para: “Setenta propuestas y ninguna flor”, al final, terminé excediendo la cantidad de “balcones” (perdón, “propuestas”).</w:t>
      </w:r>
    </w:p>
    <w:p w:rsidR="004E3111" w:rsidRPr="00C05769" w:rsidRDefault="004E3111" w:rsidP="004E3111">
      <w:pPr>
        <w:spacing w:line="240" w:lineRule="auto"/>
        <w:jc w:val="both"/>
        <w:rPr>
          <w:rFonts w:ascii="Times New Roman" w:hAnsi="Times New Roman" w:cs="Times New Roman"/>
          <w:sz w:val="24"/>
          <w:szCs w:val="24"/>
        </w:rPr>
      </w:pPr>
      <w:r w:rsidRPr="00C05769">
        <w:rPr>
          <w:rFonts w:ascii="Times New Roman" w:hAnsi="Times New Roman" w:cs="Times New Roman"/>
          <w:sz w:val="24"/>
          <w:szCs w:val="24"/>
        </w:rPr>
        <w:t>Setenta balcones hay en esta casa</w:t>
      </w:r>
      <w:r w:rsidR="001C2EF0" w:rsidRPr="00C05769">
        <w:rPr>
          <w:rFonts w:ascii="Times New Roman" w:hAnsi="Times New Roman" w:cs="Times New Roman"/>
          <w:sz w:val="24"/>
          <w:szCs w:val="24"/>
        </w:rPr>
        <w:t>, /</w:t>
      </w:r>
      <w:r w:rsidRPr="00C05769">
        <w:rPr>
          <w:rFonts w:ascii="Times New Roman" w:hAnsi="Times New Roman" w:cs="Times New Roman"/>
          <w:sz w:val="24"/>
          <w:szCs w:val="24"/>
        </w:rPr>
        <w:t xml:space="preserve"> setenta balcones y ninguna flor.</w:t>
      </w:r>
      <w:r w:rsidR="001C2EF0">
        <w:rPr>
          <w:rFonts w:ascii="Times New Roman" w:hAnsi="Times New Roman" w:cs="Times New Roman"/>
          <w:sz w:val="24"/>
          <w:szCs w:val="24"/>
        </w:rPr>
        <w:t xml:space="preserve"> </w:t>
      </w:r>
      <w:r w:rsidRPr="00C05769">
        <w:rPr>
          <w:rFonts w:ascii="Times New Roman" w:hAnsi="Times New Roman" w:cs="Times New Roman"/>
          <w:sz w:val="24"/>
          <w:szCs w:val="24"/>
        </w:rPr>
        <w:t>/ ¿A sus habitantes, Señor, qué les pasa?</w:t>
      </w:r>
      <w:r w:rsidR="001C2EF0">
        <w:rPr>
          <w:rFonts w:ascii="Times New Roman" w:hAnsi="Times New Roman" w:cs="Times New Roman"/>
          <w:sz w:val="24"/>
          <w:szCs w:val="24"/>
        </w:rPr>
        <w:t xml:space="preserve"> </w:t>
      </w:r>
      <w:r w:rsidRPr="00C05769">
        <w:rPr>
          <w:rFonts w:ascii="Times New Roman" w:hAnsi="Times New Roman" w:cs="Times New Roman"/>
          <w:sz w:val="24"/>
          <w:szCs w:val="24"/>
        </w:rPr>
        <w:t xml:space="preserve">/ ¿Odian el perfume, odian el color? Así empieza el soneto Setenta balcones y ninguna flor, el más famoso del poeta Baldomero Fernández Moreno, que nació en el barrio de San Telmo en 1886 y murió el 7 de junio de 1950 en el barrio de Flores (Buenos Aires, Argentina), después de publicar sus versos en más de veinte libros, como Intermedio provinciano o Versos de Negrita… (Fuente: Dalia Ber - Clarín - </w:t>
      </w:r>
      <w:r w:rsidRPr="001C2EF0">
        <w:rPr>
          <w:rFonts w:ascii="Times New Roman" w:hAnsi="Times New Roman" w:cs="Times New Roman"/>
          <w:b/>
          <w:sz w:val="24"/>
          <w:szCs w:val="24"/>
        </w:rPr>
        <w:t>7/6/20</w:t>
      </w:r>
      <w:r w:rsidRPr="00C05769">
        <w:rPr>
          <w:rFonts w:ascii="Times New Roman" w:hAnsi="Times New Roman" w:cs="Times New Roman"/>
          <w:sz w:val="24"/>
          <w:szCs w:val="24"/>
        </w:rPr>
        <w:t>)</w:t>
      </w:r>
    </w:p>
    <w:p w:rsidR="004E3111" w:rsidRPr="00C05769" w:rsidRDefault="004E3111" w:rsidP="004E3111">
      <w:pPr>
        <w:pStyle w:val="NormalWeb"/>
        <w:spacing w:before="0" w:beforeAutospacing="0" w:after="0" w:afterAutospacing="0"/>
        <w:jc w:val="both"/>
        <w:rPr>
          <w:spacing w:val="-2"/>
        </w:rPr>
      </w:pPr>
      <w:r w:rsidRPr="00C05769">
        <w:rPr>
          <w:spacing w:val="-2"/>
        </w:rPr>
        <w:t>El propio Jorge Luis </w:t>
      </w:r>
      <w:hyperlink r:id="rId9" w:tooltip="jorge-luis-borges" w:history="1">
        <w:r w:rsidRPr="00C05769">
          <w:rPr>
            <w:rStyle w:val="Hipervnculo"/>
            <w:color w:val="auto"/>
            <w:spacing w:val="-2"/>
            <w:u w:val="none"/>
          </w:rPr>
          <w:t>Borges </w:t>
        </w:r>
      </w:hyperlink>
      <w:r w:rsidRPr="00C05769">
        <w:rPr>
          <w:spacing w:val="-2"/>
        </w:rPr>
        <w:t>escribió en la revista El Hogar acerca de los inicios de Fernández Moreno en la poesía: “Había ejecutado un acto que siempre es asombroso y</w:t>
      </w:r>
      <w:r w:rsidRPr="00C05769">
        <w:rPr>
          <w:rStyle w:val="Textoennegrita"/>
          <w:rFonts w:eastAsiaTheme="majorEastAsia"/>
          <w:spacing w:val="-2"/>
        </w:rPr>
        <w:t> </w:t>
      </w:r>
      <w:r w:rsidRPr="00C05769">
        <w:rPr>
          <w:rStyle w:val="Textoennegrita"/>
          <w:rFonts w:eastAsiaTheme="majorEastAsia"/>
          <w:b w:val="0"/>
          <w:spacing w:val="-2"/>
        </w:rPr>
        <w:t>que en 1915 era insólito</w:t>
      </w:r>
      <w:r w:rsidRPr="00C05769">
        <w:rPr>
          <w:b/>
          <w:spacing w:val="-2"/>
        </w:rPr>
        <w:t>.</w:t>
      </w:r>
      <w:r w:rsidRPr="00C05769">
        <w:rPr>
          <w:spacing w:val="-2"/>
        </w:rPr>
        <w:t xml:space="preserve"> Un acto que con todo rigor etimológico podemos calificar de revolucionario. Lo diré sin más dilaciones: </w:t>
      </w:r>
      <w:r w:rsidRPr="00C05769">
        <w:rPr>
          <w:rStyle w:val="Textoennegrita"/>
          <w:rFonts w:eastAsiaTheme="majorEastAsia"/>
          <w:b w:val="0"/>
          <w:spacing w:val="-2"/>
        </w:rPr>
        <w:t>Fernández Moreno había mirado a su alrededor”.</w:t>
      </w:r>
    </w:p>
    <w:p w:rsidR="004E3111" w:rsidRPr="00E42969" w:rsidRDefault="004E3111" w:rsidP="004E3111">
      <w:pPr>
        <w:pStyle w:val="NormalWeb"/>
        <w:spacing w:before="0" w:beforeAutospacing="0" w:after="0" w:afterAutospacing="0"/>
        <w:jc w:val="both"/>
        <w:rPr>
          <w:b/>
          <w:spacing w:val="-2"/>
        </w:rPr>
      </w:pPr>
    </w:p>
    <w:p w:rsidR="004E3111" w:rsidRPr="00E42969" w:rsidRDefault="004E3111" w:rsidP="004E3111">
      <w:pPr>
        <w:pStyle w:val="NormalWeb"/>
        <w:spacing w:before="0" w:beforeAutospacing="0" w:after="0" w:afterAutospacing="0"/>
        <w:jc w:val="both"/>
        <w:rPr>
          <w:spacing w:val="-2"/>
        </w:rPr>
      </w:pPr>
      <w:r w:rsidRPr="00E42969">
        <w:rPr>
          <w:spacing w:val="-2"/>
        </w:rPr>
        <w:t xml:space="preserve">Otra frase que vino en mi ayuda fue: “Para lo que me queda en el convento, cago dentro”. Significa que, dado que se espera que la persona permanezca en una situación o lugar por un tiempo limitado, aprovechará al máximo esa situación o lugar antes de que termine. </w:t>
      </w:r>
    </w:p>
    <w:p w:rsidR="004E3111" w:rsidRPr="00E42969" w:rsidRDefault="004E3111" w:rsidP="004E3111">
      <w:pPr>
        <w:pStyle w:val="NormalWeb"/>
        <w:spacing w:before="0" w:beforeAutospacing="0" w:after="0" w:afterAutospacing="0"/>
        <w:jc w:val="both"/>
        <w:rPr>
          <w:spacing w:val="-2"/>
        </w:rPr>
      </w:pPr>
    </w:p>
    <w:p w:rsidR="004E3111" w:rsidRPr="00E42969" w:rsidRDefault="004E3111" w:rsidP="004E3111">
      <w:pPr>
        <w:pStyle w:val="NormalWeb"/>
        <w:spacing w:before="0" w:beforeAutospacing="0" w:after="0" w:afterAutospacing="0"/>
        <w:jc w:val="both"/>
        <w:rPr>
          <w:spacing w:val="-2"/>
        </w:rPr>
      </w:pPr>
      <w:r w:rsidRPr="00E42969">
        <w:rPr>
          <w:spacing w:val="-2"/>
        </w:rPr>
        <w:t>Aprovecho estos “juegos literarios”, para hacer mis propuestas (“a tumba abierta”) para la reforma estructural de España (con el conocimiento, aprecio, y respeto, alcanzados en más d</w:t>
      </w:r>
      <w:r>
        <w:rPr>
          <w:spacing w:val="-2"/>
        </w:rPr>
        <w:t>e 35 años de actuación como observador (corresponsal) voluntario</w:t>
      </w:r>
      <w:r w:rsidRPr="00E42969">
        <w:rPr>
          <w:spacing w:val="-2"/>
        </w:rPr>
        <w:t>.</w:t>
      </w:r>
    </w:p>
    <w:p w:rsidR="004E3111" w:rsidRPr="00E42969" w:rsidRDefault="004E3111" w:rsidP="004E3111">
      <w:pPr>
        <w:pStyle w:val="NormalWeb"/>
        <w:spacing w:before="0" w:beforeAutospacing="0" w:after="0" w:afterAutospacing="0"/>
        <w:jc w:val="both"/>
        <w:rPr>
          <w:b/>
          <w:spacing w:val="-2"/>
        </w:rPr>
      </w:pPr>
    </w:p>
    <w:p w:rsidR="004E3111" w:rsidRDefault="004E3111" w:rsidP="004E3111">
      <w:pPr>
        <w:spacing w:line="240" w:lineRule="auto"/>
        <w:jc w:val="both"/>
        <w:rPr>
          <w:rFonts w:ascii="Times New Roman" w:hAnsi="Times New Roman" w:cs="Times New Roman"/>
          <w:sz w:val="24"/>
          <w:szCs w:val="24"/>
        </w:rPr>
      </w:pPr>
      <w:r w:rsidRPr="00E42969">
        <w:rPr>
          <w:rFonts w:ascii="Times New Roman" w:hAnsi="Times New Roman" w:cs="Times New Roman"/>
          <w:sz w:val="24"/>
          <w:szCs w:val="24"/>
        </w:rPr>
        <w:t>Todas las propuestas de reforma tienen por objeto evitar hacer cierta la siguiente sentencia: Nada va a cambiar, todo seguirá igual en España como antes fue en Argentina, en Venezuela y qué, más pronto que tarde, “vendrán del futuro”.</w:t>
      </w:r>
    </w:p>
    <w:p w:rsidR="004E3111" w:rsidRPr="00C05769" w:rsidRDefault="004E3111" w:rsidP="004E3111">
      <w:pPr>
        <w:spacing w:line="240" w:lineRule="auto"/>
        <w:jc w:val="both"/>
        <w:rPr>
          <w:rFonts w:ascii="Times New Roman" w:hAnsi="Times New Roman" w:cs="Times New Roman"/>
          <w:sz w:val="24"/>
          <w:szCs w:val="24"/>
        </w:rPr>
      </w:pPr>
      <w:r w:rsidRPr="00C05769">
        <w:rPr>
          <w:rFonts w:ascii="Times New Roman" w:hAnsi="Times New Roman" w:cs="Times New Roman"/>
          <w:b/>
          <w:sz w:val="24"/>
          <w:szCs w:val="24"/>
        </w:rPr>
        <w:t>Cuando los incapaces hacen política, es la sociedad la que se jode</w:t>
      </w:r>
      <w:r>
        <w:rPr>
          <w:rFonts w:ascii="Times New Roman" w:hAnsi="Times New Roman" w:cs="Times New Roman"/>
          <w:b/>
          <w:sz w:val="24"/>
          <w:szCs w:val="24"/>
        </w:rPr>
        <w:t xml:space="preserve"> </w:t>
      </w:r>
    </w:p>
    <w:p w:rsidR="004E3111" w:rsidRPr="00171E34" w:rsidRDefault="004E3111" w:rsidP="004E3111">
      <w:pPr>
        <w:spacing w:line="240" w:lineRule="auto"/>
        <w:jc w:val="both"/>
        <w:rPr>
          <w:rFonts w:ascii="Times New Roman" w:hAnsi="Times New Roman" w:cs="Times New Roman"/>
          <w:sz w:val="24"/>
          <w:szCs w:val="24"/>
        </w:rPr>
      </w:pPr>
      <w:r w:rsidRPr="00171E34">
        <w:rPr>
          <w:rFonts w:ascii="Times New Roman" w:hAnsi="Times New Roman" w:cs="Times New Roman"/>
          <w:sz w:val="24"/>
          <w:szCs w:val="24"/>
        </w:rPr>
        <w:t>Si en 2011 la riqueza per cápita de los españoles estaba sólo un punto por debajo de la media de la Unión Europea, en 2024 esa distancia había aumentado hasta el 10%.</w:t>
      </w:r>
    </w:p>
    <w:p w:rsidR="004E3111" w:rsidRPr="00171E34" w:rsidRDefault="004E3111" w:rsidP="004E3111">
      <w:pPr>
        <w:spacing w:line="240" w:lineRule="auto"/>
        <w:jc w:val="both"/>
        <w:rPr>
          <w:rFonts w:ascii="Times New Roman" w:hAnsi="Times New Roman" w:cs="Times New Roman"/>
          <w:sz w:val="24"/>
          <w:szCs w:val="24"/>
        </w:rPr>
      </w:pPr>
      <w:r w:rsidRPr="00171E34">
        <w:rPr>
          <w:rFonts w:ascii="Times New Roman" w:hAnsi="Times New Roman" w:cs="Times New Roman"/>
          <w:sz w:val="24"/>
          <w:szCs w:val="24"/>
        </w:rPr>
        <w:t xml:space="preserve">¿Cómo es posible que las élites políticas sigan hablando, y a todas horas, de la clase media como estrato de referencia para apelar a los rasgos más representativos del conjunto del país cuando el 20% de la población laboral apenas ingresa el SMI, mientras que otro 47% sólo alcanza a doblar ese mismo SMI? Estamos hablando de casi dos terceras partes de la </w:t>
      </w:r>
      <w:r w:rsidRPr="00171E34">
        <w:rPr>
          <w:rFonts w:ascii="Times New Roman" w:hAnsi="Times New Roman" w:cs="Times New Roman"/>
          <w:sz w:val="24"/>
          <w:szCs w:val="24"/>
        </w:rPr>
        <w:lastRenderedPageBreak/>
        <w:t>población activa ocupada y con ingresos por cuenta ajena. ¿Dónde se ve ahí la clase media? No se ve en ninguna parte, salvo en la imaginación de los que redactan los capítulos conclusiones en las estadísticas del INE.</w:t>
      </w:r>
    </w:p>
    <w:p w:rsidR="004E3111" w:rsidRPr="00171E34" w:rsidRDefault="004E3111" w:rsidP="004E3111">
      <w:pPr>
        <w:spacing w:line="240" w:lineRule="auto"/>
        <w:jc w:val="both"/>
        <w:rPr>
          <w:rFonts w:ascii="Times New Roman" w:hAnsi="Times New Roman" w:cs="Times New Roman"/>
          <w:sz w:val="24"/>
          <w:szCs w:val="24"/>
        </w:rPr>
      </w:pPr>
      <w:r w:rsidRPr="00171E34">
        <w:rPr>
          <w:rFonts w:ascii="Times New Roman" w:hAnsi="Times New Roman" w:cs="Times New Roman"/>
          <w:sz w:val="24"/>
          <w:szCs w:val="24"/>
        </w:rPr>
        <w:t>¿Cómo seguir hablando en serio de que este sigue siendo un país de clases medias cuando ya la mitad de la población laboral ocupada desarrolla su actividad cotidiana en el sector del comercio y la distribución (16%), la hostelería (9%),  la construcción (7%) y los llamados servicios personales de bajo valor añadido -cajón de sastre donde se agrupan los trabajos de limpieza, cuidado de mayores, vigilantes de seguridad o empleo doméstico, entre otros de similar perfil- (16%)?</w:t>
      </w:r>
    </w:p>
    <w:p w:rsidR="004E3111" w:rsidRPr="00171E34" w:rsidRDefault="004E3111" w:rsidP="004E3111">
      <w:pPr>
        <w:spacing w:line="240" w:lineRule="auto"/>
        <w:jc w:val="both"/>
        <w:rPr>
          <w:rFonts w:ascii="Times New Roman" w:hAnsi="Times New Roman" w:cs="Times New Roman"/>
          <w:sz w:val="24"/>
          <w:szCs w:val="24"/>
        </w:rPr>
      </w:pPr>
      <w:r w:rsidRPr="00171E34">
        <w:rPr>
          <w:rFonts w:ascii="Times New Roman" w:hAnsi="Times New Roman" w:cs="Times New Roman"/>
          <w:sz w:val="24"/>
          <w:szCs w:val="24"/>
        </w:rPr>
        <w:t>La hoy menguante clase media fue el cemento social que avaló la estabilidad del orden bipartidista surgido de la Transición, ese mismo orden que ahora se tambalea en todas las encuestas electorales, ilustrando una descomposición creciente del consenso colectivo en torno a nuestra democracia liberal. Una descomposición, la que ahora se expresa en el campo político, que no es más que un reflejo de otra descomposición, la de aquella categoría social que operó como el gran amortiguador de las tensiones colectivas a partir de su irrupción en escena en la década de los sesenta.</w:t>
      </w:r>
    </w:p>
    <w:p w:rsidR="004E3111" w:rsidRPr="00171E34" w:rsidRDefault="004E3111" w:rsidP="004E3111">
      <w:pPr>
        <w:spacing w:line="240" w:lineRule="auto"/>
        <w:jc w:val="both"/>
        <w:rPr>
          <w:rFonts w:ascii="Times New Roman" w:hAnsi="Times New Roman" w:cs="Times New Roman"/>
          <w:sz w:val="24"/>
          <w:szCs w:val="24"/>
        </w:rPr>
      </w:pPr>
      <w:r w:rsidRPr="00171E34">
        <w:rPr>
          <w:rFonts w:ascii="Times New Roman" w:hAnsi="Times New Roman" w:cs="Times New Roman"/>
          <w:sz w:val="24"/>
          <w:szCs w:val="24"/>
        </w:rPr>
        <w:t>En 2008, el año en el que estalló la crisis financiera, la deuda de las comunidades autónomas representaba el 6,7% de su PIB. O lo que es lo mismo, casi 74.500 millones de euros. ¿Qué ha pasado después? En 2024, la deuda equivalía ya al 21,1%. Es decir, 335.947 millones de euros en términos absolutos. Eso quiere decir que el endeudamiento regional se ha multiplicado por cuatro veces y media en apenas dieciséis años en euros corrientes (con inflación).</w:t>
      </w:r>
    </w:p>
    <w:p w:rsidR="004E3111" w:rsidRPr="00171E34" w:rsidRDefault="004E3111" w:rsidP="004E3111">
      <w:pPr>
        <w:spacing w:line="240" w:lineRule="auto"/>
        <w:jc w:val="both"/>
        <w:rPr>
          <w:rFonts w:ascii="Times New Roman" w:hAnsi="Times New Roman" w:cs="Times New Roman"/>
          <w:sz w:val="24"/>
          <w:szCs w:val="24"/>
        </w:rPr>
      </w:pPr>
      <w:r w:rsidRPr="00171E34">
        <w:rPr>
          <w:rFonts w:ascii="Times New Roman" w:hAnsi="Times New Roman" w:cs="Times New Roman"/>
          <w:sz w:val="24"/>
          <w:szCs w:val="24"/>
        </w:rPr>
        <w:t>Mientras entrevemos la imagen definitiva del descalabro de la Nación y el hundimiento de Estado, la economía española se parece mucho a una amenazante carretilla cuyo estropicio evitan los fondos europeos, donde solo vislumbran “ciertos días o tiempos inciertos” (dies certus an incertus quandum).</w:t>
      </w:r>
    </w:p>
    <w:p w:rsidR="004E3111" w:rsidRPr="00171E34" w:rsidRDefault="004E3111" w:rsidP="004E3111">
      <w:pPr>
        <w:spacing w:line="240" w:lineRule="auto"/>
        <w:jc w:val="both"/>
        <w:rPr>
          <w:rFonts w:ascii="Times New Roman" w:hAnsi="Times New Roman" w:cs="Times New Roman"/>
          <w:sz w:val="24"/>
          <w:szCs w:val="24"/>
        </w:rPr>
      </w:pPr>
      <w:r w:rsidRPr="00171E34">
        <w:rPr>
          <w:rFonts w:ascii="Times New Roman" w:hAnsi="Times New Roman" w:cs="Times New Roman"/>
          <w:sz w:val="24"/>
          <w:szCs w:val="24"/>
        </w:rPr>
        <w:t xml:space="preserve">Ante una España en “vías de subdesarrollo” (camino del Tercer Mundo) una mayoría clientelar, resignada, sumisa, aborregada, estabulada, pastueña, dirá: “No hay nada que hacer”… Pero, realmente… ¿no hay nada que hacer? </w:t>
      </w:r>
    </w:p>
    <w:p w:rsidR="004E3111" w:rsidRPr="00171E34" w:rsidRDefault="004E3111" w:rsidP="004E3111">
      <w:pPr>
        <w:spacing w:line="240" w:lineRule="auto"/>
        <w:jc w:val="both"/>
        <w:rPr>
          <w:rFonts w:ascii="Times New Roman" w:hAnsi="Times New Roman" w:cs="Times New Roman"/>
          <w:sz w:val="24"/>
          <w:szCs w:val="24"/>
        </w:rPr>
      </w:pPr>
      <w:r w:rsidRPr="00171E34">
        <w:rPr>
          <w:rFonts w:ascii="Times New Roman" w:hAnsi="Times New Roman" w:cs="Times New Roman"/>
          <w:sz w:val="24"/>
          <w:szCs w:val="24"/>
        </w:rPr>
        <w:t>Frente al lema socialista “que España funcione” de los primeros años ochenta, el panorama actual no puede ser más desolador. La España que funcionaba ha sido sustituida por la actual, en la que  las pandemias, las riadas, los incendios, los apagones eléctricos,  la crisis ferroviaria, la inmigración descontrolada, etc…revelan  una pésima gestión gubernamental; y no por falta de recursos extraídos a los contribuyentes… ¿no hay nada que hacer?</w:t>
      </w:r>
    </w:p>
    <w:p w:rsidR="004E3111" w:rsidRPr="00171E34" w:rsidRDefault="004E3111" w:rsidP="004E3111">
      <w:pPr>
        <w:spacing w:line="240" w:lineRule="auto"/>
        <w:jc w:val="both"/>
        <w:rPr>
          <w:rFonts w:ascii="Times New Roman" w:hAnsi="Times New Roman" w:cs="Times New Roman"/>
          <w:sz w:val="24"/>
          <w:szCs w:val="24"/>
        </w:rPr>
      </w:pPr>
      <w:r w:rsidRPr="00171E34">
        <w:rPr>
          <w:rFonts w:ascii="Times New Roman" w:hAnsi="Times New Roman" w:cs="Times New Roman"/>
          <w:sz w:val="24"/>
          <w:szCs w:val="24"/>
        </w:rPr>
        <w:t>Con más de 80 años de residencia en la tierra (con algo más de 40, dando tumbos por esa Argentina, falaz y fugaz), y después de casi 40 años de exilio voluntario en España, como economista sin fronteras, observador voluntario, o corresponsal aficionado, puedo decir como Antonio Machado que: “He navegado en cien mares y atracado en cien riberas”.</w:t>
      </w:r>
    </w:p>
    <w:p w:rsidR="004E3111" w:rsidRPr="00171E34" w:rsidRDefault="004E3111" w:rsidP="004E3111">
      <w:pPr>
        <w:spacing w:line="240" w:lineRule="auto"/>
        <w:jc w:val="both"/>
        <w:rPr>
          <w:rFonts w:ascii="Times New Roman" w:hAnsi="Times New Roman" w:cs="Times New Roman"/>
          <w:sz w:val="24"/>
          <w:szCs w:val="24"/>
        </w:rPr>
      </w:pPr>
      <w:r w:rsidRPr="00171E34">
        <w:rPr>
          <w:rFonts w:ascii="Times New Roman" w:hAnsi="Times New Roman" w:cs="Times New Roman"/>
          <w:sz w:val="24"/>
          <w:szCs w:val="24"/>
        </w:rPr>
        <w:t>Por eso, en tiempo y forma, y con el debido respeto, me animo a sostener que: el intento de los sucesivos gobiernos de España de implantar un Estado de Bienestar por encima de sus posibilidades, ha hecho que la gestión pública descarrile y toque fondo, en un ambiente en el que lo sórdido y lo escandaloso son rasgos inseparables.</w:t>
      </w:r>
    </w:p>
    <w:p w:rsidR="004E3111" w:rsidRPr="00171E34" w:rsidRDefault="004E3111" w:rsidP="004E3111">
      <w:pPr>
        <w:spacing w:line="240" w:lineRule="auto"/>
        <w:jc w:val="both"/>
        <w:rPr>
          <w:rFonts w:ascii="Times New Roman" w:hAnsi="Times New Roman" w:cs="Times New Roman"/>
          <w:sz w:val="24"/>
          <w:szCs w:val="24"/>
        </w:rPr>
      </w:pPr>
      <w:r w:rsidRPr="00171E34">
        <w:rPr>
          <w:rFonts w:ascii="Times New Roman" w:hAnsi="Times New Roman" w:cs="Times New Roman"/>
          <w:sz w:val="24"/>
          <w:szCs w:val="24"/>
        </w:rPr>
        <w:t xml:space="preserve">Aunque aceptemos que: “la ansiedad es el precio que pagamos por imaginar un futuro catastrófico”, como dijo Alain de Botton, ante el deplorable espectáculo de ver a una España </w:t>
      </w:r>
      <w:r w:rsidRPr="00171E34">
        <w:rPr>
          <w:rFonts w:ascii="Times New Roman" w:hAnsi="Times New Roman" w:cs="Times New Roman"/>
          <w:sz w:val="24"/>
          <w:szCs w:val="24"/>
        </w:rPr>
        <w:lastRenderedPageBreak/>
        <w:t>“en vías de subdesarrollo”, que podamos llamar, o no, “crisis terminal”, solo puede esperarse que hagamos algo.</w:t>
      </w:r>
    </w:p>
    <w:p w:rsidR="004E3111" w:rsidRPr="00171E34" w:rsidRDefault="004E3111" w:rsidP="004E3111">
      <w:pPr>
        <w:spacing w:line="240" w:lineRule="auto"/>
        <w:jc w:val="both"/>
        <w:rPr>
          <w:rFonts w:ascii="Times New Roman" w:hAnsi="Times New Roman" w:cs="Times New Roman"/>
          <w:sz w:val="24"/>
          <w:szCs w:val="24"/>
        </w:rPr>
      </w:pPr>
      <w:r w:rsidRPr="00171E34">
        <w:rPr>
          <w:rFonts w:ascii="Times New Roman" w:hAnsi="Times New Roman" w:cs="Times New Roman"/>
          <w:sz w:val="24"/>
          <w:szCs w:val="24"/>
        </w:rPr>
        <w:t>Habrá que admitir el agotamiento de un modelo basado en el despilfarro, el endeudamiento y la cronificación del déficit.</w:t>
      </w:r>
    </w:p>
    <w:p w:rsidR="004E3111" w:rsidRPr="00171E34" w:rsidRDefault="004E3111" w:rsidP="004E3111">
      <w:pPr>
        <w:spacing w:line="240" w:lineRule="auto"/>
        <w:jc w:val="both"/>
        <w:rPr>
          <w:rFonts w:ascii="Times New Roman" w:hAnsi="Times New Roman" w:cs="Times New Roman"/>
          <w:sz w:val="24"/>
          <w:szCs w:val="24"/>
        </w:rPr>
      </w:pPr>
      <w:r w:rsidRPr="00171E34">
        <w:rPr>
          <w:rFonts w:ascii="Times New Roman" w:hAnsi="Times New Roman" w:cs="Times New Roman"/>
          <w:sz w:val="24"/>
          <w:szCs w:val="24"/>
        </w:rPr>
        <w:t>La clave: Es un problema económico cuya solución depende de la política.</w:t>
      </w:r>
    </w:p>
    <w:p w:rsidR="004E3111" w:rsidRDefault="004E3111" w:rsidP="004E3111">
      <w:pPr>
        <w:pStyle w:val="NormalWeb"/>
        <w:spacing w:before="0" w:beforeAutospacing="0" w:after="0" w:afterAutospacing="0"/>
        <w:jc w:val="both"/>
        <w:rPr>
          <w:spacing w:val="-2"/>
        </w:rPr>
      </w:pPr>
      <w:r w:rsidRPr="00B2210F">
        <w:rPr>
          <w:b/>
          <w:spacing w:val="-2"/>
        </w:rPr>
        <w:t>Punto de partida</w:t>
      </w:r>
      <w:r>
        <w:rPr>
          <w:b/>
          <w:spacing w:val="-2"/>
        </w:rPr>
        <w:t xml:space="preserve"> </w:t>
      </w:r>
      <w:r>
        <w:rPr>
          <w:spacing w:val="-2"/>
        </w:rPr>
        <w:t>(para que nadie pueda sentirse sorprendido en su buena fe)</w:t>
      </w:r>
    </w:p>
    <w:p w:rsidR="004E3111" w:rsidRDefault="004E3111" w:rsidP="004E3111">
      <w:pPr>
        <w:pStyle w:val="NormalWeb"/>
        <w:spacing w:before="0" w:beforeAutospacing="0" w:after="0" w:afterAutospacing="0"/>
        <w:jc w:val="both"/>
        <w:rPr>
          <w:spacing w:val="-2"/>
        </w:rPr>
      </w:pPr>
    </w:p>
    <w:p w:rsidR="004E3111" w:rsidRDefault="004E3111" w:rsidP="004E3111">
      <w:pPr>
        <w:pStyle w:val="NormalWeb"/>
        <w:spacing w:before="0" w:beforeAutospacing="0" w:after="0" w:afterAutospacing="0"/>
        <w:jc w:val="both"/>
        <w:rPr>
          <w:spacing w:val="-2"/>
        </w:rPr>
      </w:pPr>
      <w:r>
        <w:rPr>
          <w:spacing w:val="-2"/>
        </w:rPr>
        <w:t>En todos los asuntos que voy a señalar (“diagnóstico”), asigno una grave culpabilidad (por acción, u omisión) a la dirigencia (política, empresarial, sindical, y funcionarial), pero no ignoro, justifico, acepto, disculpo, o excuso, la gran responsabilidad de la sociedad civil (contribuyentes), por no reaccionar ante el atropello a las libertades individuales, la desigualdad ante la ley, la perdida de la unidad nacional,  la desviación del poder, la patrimonialización del estado, la degeneración del sistema, la mentira sistemática, la carencia de escrúpulos, las excusas delirantes, la ineficiencia de gestión, la honestidad falsa, la inmoralidad, la corrupción, el nepotismo, el tráfico de influencias, el fanatismo militante, el sectarismo, el ecologismo extremo, el feminismo radical, la inmigración irregular, el fundamentalismo islámico… (y podría seguir, señalando otros síntomas del “pudridero” español).</w:t>
      </w:r>
    </w:p>
    <w:p w:rsidR="004E3111" w:rsidRDefault="004E3111" w:rsidP="004E3111">
      <w:pPr>
        <w:pStyle w:val="NormalWeb"/>
        <w:spacing w:before="0" w:beforeAutospacing="0" w:after="0" w:afterAutospacing="0"/>
        <w:jc w:val="both"/>
        <w:rPr>
          <w:spacing w:val="-2"/>
        </w:rPr>
      </w:pPr>
      <w:r>
        <w:rPr>
          <w:spacing w:val="-2"/>
        </w:rPr>
        <w:t xml:space="preserve">  </w:t>
      </w:r>
    </w:p>
    <w:p w:rsidR="004E3111" w:rsidRDefault="004E3111" w:rsidP="004E3111">
      <w:pPr>
        <w:pStyle w:val="NormalWeb"/>
        <w:spacing w:before="0" w:beforeAutospacing="0" w:after="0" w:afterAutospacing="0"/>
        <w:jc w:val="both"/>
        <w:rPr>
          <w:spacing w:val="-2"/>
        </w:rPr>
      </w:pPr>
      <w:r>
        <w:rPr>
          <w:spacing w:val="-2"/>
        </w:rPr>
        <w:t>“No me duelen prendas” en repartir los fallos (“diagnóstico”) por partes iguales (50% de responsabilidad de los gobernantes, y 50 % de responsabilidad de los gobernados). Por aquello de (para seguir con los refranes populares): “la culpa no es del chanco sino de quien le da de comer” (</w:t>
      </w:r>
      <w:r w:rsidRPr="00D01482">
        <w:rPr>
          <w:spacing w:val="-2"/>
        </w:rPr>
        <w:t>la responsabilidad por un daño o un mal hecho no recae en quien lo comete, sino en quien crea las condiciones o permite que eso ocurra</w:t>
      </w:r>
      <w:r>
        <w:rPr>
          <w:spacing w:val="-2"/>
        </w:rPr>
        <w:t>)</w:t>
      </w:r>
      <w:r w:rsidRPr="00D01482">
        <w:rPr>
          <w:spacing w:val="-2"/>
        </w:rPr>
        <w:t>.</w:t>
      </w:r>
    </w:p>
    <w:p w:rsidR="004E3111" w:rsidRDefault="004E3111" w:rsidP="004E3111">
      <w:pPr>
        <w:pStyle w:val="NormalWeb"/>
        <w:spacing w:before="0" w:beforeAutospacing="0" w:after="0" w:afterAutospacing="0"/>
        <w:jc w:val="both"/>
        <w:rPr>
          <w:spacing w:val="-2"/>
        </w:rPr>
      </w:pPr>
    </w:p>
    <w:p w:rsidR="004E3111" w:rsidRDefault="004E3111" w:rsidP="004E3111">
      <w:pPr>
        <w:pStyle w:val="NormalWeb"/>
        <w:spacing w:before="0" w:beforeAutospacing="0" w:after="0" w:afterAutospacing="0"/>
        <w:jc w:val="both"/>
        <w:rPr>
          <w:spacing w:val="-2"/>
        </w:rPr>
      </w:pPr>
      <w:r>
        <w:rPr>
          <w:spacing w:val="-2"/>
        </w:rPr>
        <w:t>Mayor aún si cabe, será la responsabilidad de la sociedad civil a la hora de pedir, reclamar exigir, reivindicar… o en su caso, aceptar, admitir, acatar, respetar, practicar, o habituarse a las propuestas de cambio estructural (“tratamiento”). Como descuento que la dirigencia (política, empresarial, sindical, y funcionarial) hará todo lo posible (mientras la situación lo permita), para no modificar el “statu quo”, tendrán que ser los contribuyentes los actores del cambio.</w:t>
      </w:r>
    </w:p>
    <w:p w:rsidR="004E3111" w:rsidRDefault="004E3111" w:rsidP="004E3111">
      <w:pPr>
        <w:pStyle w:val="NormalWeb"/>
        <w:spacing w:before="0" w:beforeAutospacing="0" w:after="0" w:afterAutospacing="0"/>
        <w:jc w:val="both"/>
        <w:rPr>
          <w:spacing w:val="-2"/>
        </w:rPr>
      </w:pPr>
    </w:p>
    <w:p w:rsidR="004E3111" w:rsidRDefault="004E3111" w:rsidP="004E3111">
      <w:pPr>
        <w:pStyle w:val="NormalWeb"/>
        <w:spacing w:before="0" w:beforeAutospacing="0" w:after="0" w:afterAutospacing="0"/>
        <w:jc w:val="both"/>
        <w:rPr>
          <w:spacing w:val="-2"/>
        </w:rPr>
      </w:pPr>
      <w:r>
        <w:rPr>
          <w:spacing w:val="-2"/>
        </w:rPr>
        <w:t>¿Podrá una generación que solo sabe sincronizar el dedo en la pantalla del Smartphone (un avance tecnológico al servicio del retroceso político… y mental), que no puede expresarse más allá de los 140 caracteres (donde la mentira solo exige automatización), oponerse a la “decadencia de las costumbres”, a una “descomposición repugnante”? ¡That is the question!</w:t>
      </w:r>
    </w:p>
    <w:p w:rsidR="004E3111" w:rsidRDefault="004E3111" w:rsidP="004E3111">
      <w:pPr>
        <w:pStyle w:val="NormalWeb"/>
        <w:spacing w:before="0" w:beforeAutospacing="0" w:after="0" w:afterAutospacing="0"/>
        <w:jc w:val="both"/>
        <w:rPr>
          <w:spacing w:val="-2"/>
        </w:rPr>
      </w:pPr>
    </w:p>
    <w:p w:rsidR="00872221" w:rsidRPr="00F62F4B" w:rsidRDefault="004E3111" w:rsidP="00872221">
      <w:pPr>
        <w:spacing w:line="240" w:lineRule="auto"/>
        <w:jc w:val="both"/>
        <w:rPr>
          <w:rFonts w:ascii="Times New Roman" w:hAnsi="Times New Roman" w:cs="Times New Roman"/>
          <w:sz w:val="24"/>
          <w:szCs w:val="24"/>
        </w:rPr>
      </w:pPr>
      <w:r w:rsidRPr="00F62F4B">
        <w:rPr>
          <w:rFonts w:ascii="Times New Roman" w:hAnsi="Times New Roman" w:cs="Times New Roman"/>
          <w:sz w:val="24"/>
          <w:szCs w:val="24"/>
        </w:rPr>
        <w:t xml:space="preserve">“Me cuentan los sueldos de la gente en España y me digo, ¿pero cómo se puede vivir con esos salarios? ¿Cómo puede ser posible que los chavales de 29 años no estén en las calles con antorchas y guadañas prendiendo fuego al país?”, se preguntaba Jesús Fernández-Villaverde, catedrático de Economía en la universidad de Pennsylvania, en una entrevista reciente. </w:t>
      </w:r>
      <w:r w:rsidR="00872221" w:rsidRPr="00F62F4B">
        <w:rPr>
          <w:rFonts w:ascii="Times New Roman" w:hAnsi="Times New Roman" w:cs="Times New Roman"/>
          <w:sz w:val="24"/>
          <w:szCs w:val="24"/>
        </w:rPr>
        <w:t xml:space="preserve">(Vozpópuli - </w:t>
      </w:r>
      <w:r w:rsidR="00872221" w:rsidRPr="000B6DCB">
        <w:rPr>
          <w:rFonts w:ascii="Times New Roman" w:hAnsi="Times New Roman" w:cs="Times New Roman"/>
          <w:b/>
          <w:sz w:val="24"/>
          <w:szCs w:val="24"/>
        </w:rPr>
        <w:t>14/9/25</w:t>
      </w:r>
      <w:r w:rsidR="00872221" w:rsidRPr="00F62F4B">
        <w:rPr>
          <w:rFonts w:ascii="Times New Roman" w:hAnsi="Times New Roman" w:cs="Times New Roman"/>
          <w:sz w:val="24"/>
          <w:szCs w:val="24"/>
        </w:rPr>
        <w:t>)</w:t>
      </w:r>
    </w:p>
    <w:p w:rsidR="00872221" w:rsidRPr="00F62F4B" w:rsidRDefault="004E3111" w:rsidP="00872221">
      <w:pPr>
        <w:spacing w:line="240" w:lineRule="auto"/>
        <w:jc w:val="both"/>
        <w:rPr>
          <w:rFonts w:ascii="Times New Roman" w:hAnsi="Times New Roman" w:cs="Times New Roman"/>
          <w:sz w:val="24"/>
          <w:szCs w:val="24"/>
        </w:rPr>
      </w:pPr>
      <w:r w:rsidRPr="00F62F4B">
        <w:rPr>
          <w:rFonts w:ascii="Times New Roman" w:hAnsi="Times New Roman" w:cs="Times New Roman"/>
          <w:sz w:val="24"/>
          <w:szCs w:val="24"/>
        </w:rPr>
        <w:t xml:space="preserve"> </w:t>
      </w:r>
      <w:r w:rsidR="00872221" w:rsidRPr="00F62F4B">
        <w:rPr>
          <w:rFonts w:ascii="Times New Roman" w:hAnsi="Times New Roman" w:cs="Times New Roman"/>
          <w:sz w:val="24"/>
          <w:szCs w:val="24"/>
        </w:rPr>
        <w:t xml:space="preserve">Cuando no alcancen las “paguitas” para mantener anestesiado el rebaño de la “sociedad de los conformes”, cuando no queden más “relatos” con los que animar a los “aliados del resentimiento”, cuando “estalle” la mezcla tóxica de mentiras, ironías y resignación, del “progresismo liberticida”, cuando termine por “derrumbarse” el Estado de Bienestar… </w:t>
      </w:r>
    </w:p>
    <w:p w:rsidR="00872221" w:rsidRPr="00F62F4B" w:rsidRDefault="00872221" w:rsidP="00872221">
      <w:pPr>
        <w:spacing w:line="240" w:lineRule="auto"/>
        <w:jc w:val="both"/>
        <w:rPr>
          <w:rFonts w:ascii="Times New Roman" w:hAnsi="Times New Roman" w:cs="Times New Roman"/>
          <w:sz w:val="24"/>
          <w:szCs w:val="24"/>
        </w:rPr>
      </w:pPr>
      <w:r w:rsidRPr="00F62F4B">
        <w:rPr>
          <w:rFonts w:ascii="Times New Roman" w:hAnsi="Times New Roman" w:cs="Times New Roman"/>
          <w:sz w:val="24"/>
          <w:szCs w:val="24"/>
        </w:rPr>
        <w:t>¿Habrá llegado la hora del “fin de la inocencia”, o tendremos que esperar que llegue la hora del “fin de la connivencia? Ustedes mismos…</w:t>
      </w:r>
    </w:p>
    <w:p w:rsidR="004E3111" w:rsidRPr="001A56CB" w:rsidRDefault="004E3111" w:rsidP="004E3111">
      <w:pPr>
        <w:pStyle w:val="NormalWeb"/>
        <w:spacing w:before="0" w:beforeAutospacing="0" w:after="0" w:afterAutospacing="0"/>
        <w:jc w:val="both"/>
        <w:rPr>
          <w:color w:val="FF0000"/>
          <w:spacing w:val="-2"/>
        </w:rPr>
      </w:pPr>
      <w:r>
        <w:rPr>
          <w:spacing w:val="-2"/>
        </w:rPr>
        <w:lastRenderedPageBreak/>
        <w:t xml:space="preserve">  </w:t>
      </w:r>
      <w:r w:rsidRPr="005C030D">
        <w:t>-</w:t>
      </w:r>
      <w:r>
        <w:rPr>
          <w:color w:val="FF0000"/>
        </w:rPr>
        <w:t xml:space="preserve"> </w:t>
      </w:r>
      <w:r w:rsidRPr="00C016F6">
        <w:rPr>
          <w:b/>
        </w:rPr>
        <w:t>Un TAC a la España del Tercer Mundo - Unos cuantos d</w:t>
      </w:r>
      <w:r>
        <w:rPr>
          <w:b/>
        </w:rPr>
        <w:t>atos lo dicen todo. O casi todo</w:t>
      </w:r>
      <w:r w:rsidRPr="00C016F6">
        <w:rPr>
          <w:b/>
        </w:rPr>
        <w:t xml:space="preserve"> </w:t>
      </w:r>
    </w:p>
    <w:p w:rsidR="004E3111" w:rsidRPr="00C016F6" w:rsidRDefault="004E3111" w:rsidP="004E3111">
      <w:pPr>
        <w:spacing w:line="240" w:lineRule="auto"/>
        <w:jc w:val="both"/>
        <w:rPr>
          <w:rFonts w:ascii="Times New Roman" w:hAnsi="Times New Roman" w:cs="Times New Roman"/>
          <w:b/>
          <w:sz w:val="24"/>
          <w:szCs w:val="24"/>
        </w:rPr>
      </w:pPr>
      <w:r>
        <w:rPr>
          <w:noProof/>
          <w:lang w:eastAsia="es-ES"/>
        </w:rPr>
        <w:drawing>
          <wp:inline distT="0" distB="0" distL="0" distR="0" wp14:anchorId="23D82A4E" wp14:editId="36DBAE5B">
            <wp:extent cx="5731510" cy="3825875"/>
            <wp:effectExtent l="0" t="0" r="2540" b="3175"/>
            <wp:docPr id="253" name="Imagen 253" descr="Recomendaciones a tener en cuenta antes de hacerse un T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comendaciones a tener en cuenta antes de hacerse un TAC"/>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3825875"/>
                    </a:xfrm>
                    <a:prstGeom prst="rect">
                      <a:avLst/>
                    </a:prstGeom>
                    <a:noFill/>
                    <a:ln>
                      <a:noFill/>
                    </a:ln>
                  </pic:spPr>
                </pic:pic>
              </a:graphicData>
            </a:graphic>
          </wp:inline>
        </w:drawing>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(Un TAC (Tomografía Axial Computarizada), también llamado TC o escáner, es una prueba de diagnóstico por imagen que usa rayos X y computadoras para crear imágenes detalladas y transversales del interior del cuerpo. Esta técnica permite a los médicos visualizar huesos, tejidos blandos, órganos y vasos sanguíneos con mayor precisión que una radiografía convencional, siendo útil para detectar fracturas, hemorragias, tumores y otras afecciones, además de planificar cirugías y tratamientos) </w:t>
      </w:r>
    </w:p>
    <w:p w:rsidR="004E3111" w:rsidRPr="00BD6B3D" w:rsidRDefault="004E3111" w:rsidP="004E3111">
      <w:pPr>
        <w:pStyle w:val="NormalWeb"/>
        <w:shd w:val="clear" w:color="auto" w:fill="FFFFFF"/>
        <w:spacing w:before="0" w:beforeAutospacing="0" w:after="0" w:afterAutospacing="0"/>
        <w:jc w:val="both"/>
        <w:textAlignment w:val="baseline"/>
      </w:pPr>
      <w:r w:rsidRPr="00BD6B3D">
        <w:t>- De acuerdo con los </w:t>
      </w:r>
      <w:hyperlink r:id="rId11" w:tgtFrame="_blank" w:history="1">
        <w:r w:rsidRPr="004E3111">
          <w:rPr>
            <w:rStyle w:val="Hipervnculo"/>
            <w:rFonts w:eastAsiaTheme="majorEastAsia"/>
            <w:color w:val="auto"/>
            <w:u w:val="none"/>
            <w:bdr w:val="none" w:sz="0" w:space="0" w:color="auto" w:frame="1"/>
          </w:rPr>
          <w:t>datos ofrecidos por Eurostat</w:t>
        </w:r>
      </w:hyperlink>
      <w:r w:rsidRPr="004A3E03">
        <w:t xml:space="preserve">, </w:t>
      </w:r>
      <w:r w:rsidRPr="00BD6B3D">
        <w:t>entre el año 2002 y el año 2009 el PIB per cápita español fue superior a la media de la UE, y ya desde el año 2010 permaneció por debajo.</w:t>
      </w:r>
    </w:p>
    <w:p w:rsidR="004E3111" w:rsidRPr="00BD6B3D" w:rsidRDefault="004E3111" w:rsidP="004E3111">
      <w:pPr>
        <w:pStyle w:val="NormalWeb"/>
        <w:shd w:val="clear" w:color="auto" w:fill="FFFFFF"/>
        <w:spacing w:before="0" w:beforeAutospacing="0" w:after="0" w:afterAutospacing="0"/>
        <w:jc w:val="both"/>
        <w:textAlignment w:val="baseline"/>
      </w:pP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España no figura entre las 25 principales economías del mundo, según su Producto Interior Bruto per cápita (2025)</w:t>
      </w:r>
      <w:r>
        <w:rPr>
          <w:rFonts w:ascii="Times New Roman" w:hAnsi="Times New Roman" w:cs="Times New Roman"/>
          <w:sz w:val="24"/>
          <w:szCs w:val="24"/>
        </w:rPr>
        <w:t>.</w:t>
      </w:r>
      <w:r w:rsidRPr="00BD6B3D">
        <w:rPr>
          <w:rFonts w:ascii="Times New Roman" w:hAnsi="Times New Roman" w:cs="Times New Roman"/>
          <w:sz w:val="24"/>
          <w:szCs w:val="24"/>
        </w:rPr>
        <w:t xml:space="preserve"> (Ranking Visual Capitalist)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España no figura entre las 25 principales economías del mundo, según su Ingreso Nacional bruto per cápita (2024)</w:t>
      </w:r>
      <w:r>
        <w:rPr>
          <w:rFonts w:ascii="Times New Roman" w:hAnsi="Times New Roman" w:cs="Times New Roman"/>
          <w:sz w:val="24"/>
          <w:szCs w:val="24"/>
        </w:rPr>
        <w:t>.</w:t>
      </w:r>
      <w:r w:rsidRPr="00BD6B3D">
        <w:rPr>
          <w:rFonts w:ascii="Times New Roman" w:hAnsi="Times New Roman" w:cs="Times New Roman"/>
          <w:sz w:val="24"/>
          <w:szCs w:val="24"/>
        </w:rPr>
        <w:t xml:space="preserve"> (Ranking Visual Capitalist)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España figura en el puesto 13  entre las 25 principales economías del mundo, según la riqueza mediana por adulto (el valor que divide a una población en dos partes iguales en términos de patrimonio) (2024)</w:t>
      </w:r>
      <w:r>
        <w:rPr>
          <w:rFonts w:ascii="Times New Roman" w:hAnsi="Times New Roman" w:cs="Times New Roman"/>
          <w:sz w:val="24"/>
          <w:szCs w:val="24"/>
        </w:rPr>
        <w:t>.</w:t>
      </w:r>
      <w:r w:rsidRPr="00BD6B3D">
        <w:rPr>
          <w:rFonts w:ascii="Times New Roman" w:hAnsi="Times New Roman" w:cs="Times New Roman"/>
          <w:sz w:val="24"/>
          <w:szCs w:val="24"/>
        </w:rPr>
        <w:t xml:space="preserve"> (Ranking Visual Capitalist)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España ocupa el quinto lugar, con el 103,5% del PIB, en el ratio más elevado de deuda pública respecto del PIB, en el bloque europeo al final del primer trimestre de 2025.</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España era el quinto país de la Unión Europea con el déficit público más elevado (3,4%), en el bloque europeo en el año 2022. </w:t>
      </w:r>
    </w:p>
    <w:p w:rsidR="004E3111" w:rsidRPr="00BD6B3D" w:rsidRDefault="004E3111" w:rsidP="004E3111">
      <w:pPr>
        <w:pStyle w:val="Ttulo2"/>
        <w:shd w:val="clear" w:color="auto" w:fill="FFFFFF"/>
        <w:spacing w:before="0" w:after="300" w:line="240" w:lineRule="auto"/>
        <w:jc w:val="both"/>
        <w:rPr>
          <w:rFonts w:ascii="Times New Roman" w:hAnsi="Times New Roman" w:cs="Times New Roman"/>
          <w:b w:val="0"/>
          <w:bCs w:val="0"/>
          <w:color w:val="auto"/>
          <w:sz w:val="24"/>
          <w:szCs w:val="24"/>
        </w:rPr>
      </w:pPr>
      <w:r w:rsidRPr="00BD6B3D">
        <w:rPr>
          <w:rFonts w:ascii="Times New Roman" w:hAnsi="Times New Roman" w:cs="Times New Roman"/>
          <w:b w:val="0"/>
          <w:bCs w:val="0"/>
          <w:color w:val="auto"/>
          <w:sz w:val="24"/>
          <w:szCs w:val="24"/>
        </w:rPr>
        <w:lastRenderedPageBreak/>
        <w:t>- El déficit cerró 2024 en el 3,15% y suma 438.000 millones con el gobierno de P. Sánchez.</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El gasto público en España representó un 46,4% del PIB en 2023. </w:t>
      </w:r>
    </w:p>
    <w:p w:rsidR="004E3111" w:rsidRPr="00BD6B3D" w:rsidRDefault="004E3111" w:rsidP="004E3111">
      <w:pPr>
        <w:pStyle w:val="NormalWeb"/>
        <w:shd w:val="clear" w:color="auto" w:fill="FFFFFF"/>
        <w:spacing w:before="0" w:beforeAutospacing="0" w:after="0" w:afterAutospacing="0"/>
        <w:jc w:val="both"/>
        <w:textAlignment w:val="baseline"/>
      </w:pPr>
      <w:r w:rsidRPr="00BD6B3D">
        <w:t>- El gasto público rompe por primera vez la barrera de los 700.000 millones en 2024. La cifra, récord absoluto, se ha disparado 230.000 millones con el gobierno de Pedro Sánchez. El gasto público crece cuatro veces más de lo que crece el consumo privado.</w:t>
      </w:r>
    </w:p>
    <w:p w:rsidR="004E3111" w:rsidRPr="00BD6B3D" w:rsidRDefault="004E3111" w:rsidP="004E3111">
      <w:pPr>
        <w:pStyle w:val="NormalWeb"/>
        <w:shd w:val="clear" w:color="auto" w:fill="FFFFFF"/>
        <w:spacing w:before="0" w:beforeAutospacing="0" w:after="0" w:afterAutospacing="0"/>
        <w:jc w:val="both"/>
        <w:textAlignment w:val="baseline"/>
      </w:pP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España es el país de la Unión Europea con el índice de desempleo más alto (10,4% - Julio 2025). Media de la UE (5,9%).</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España es el segundo país de la Unión Europea con el índice de desempleo juvenil más alto (24 % - Junio 2025). Media de la UE (14,7%).</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España es cuarto país de la Unión Europea con mayor porcentaje de personas en riesgo de pobreza en 2024 (25,8%).</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En 2024, la tasa AROPE (riesgo de pobreza o exclusión social) para la infancia en España se situó en el 33,4%. La tasa española de pobreza infantil es significativamente mayor que la media de la UE-27, que se sitúa en torno al 24,2%.</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La tasa de abandono escolar en España cerró 2024 en el 13,4%. Se trata de la segunda cifra más alta de la Unión Europea, solo por detrás de Rumanía (16,6%). La tasa media de abandono escolar temprano en Europa es del 9,5% (según datos de 2024).</w:t>
      </w:r>
    </w:p>
    <w:p w:rsidR="004E3111" w:rsidRPr="00BD6B3D" w:rsidRDefault="004E3111" w:rsidP="004E3111">
      <w:pPr>
        <w:spacing w:line="240" w:lineRule="auto"/>
        <w:jc w:val="both"/>
        <w:rPr>
          <w:rFonts w:ascii="Times New Roman" w:hAnsi="Times New Roman" w:cs="Times New Roman"/>
          <w:color w:val="000000"/>
          <w:sz w:val="24"/>
          <w:szCs w:val="24"/>
          <w:shd w:val="clear" w:color="auto" w:fill="FFFFFF"/>
        </w:rPr>
      </w:pPr>
      <w:r w:rsidRPr="00BD6B3D">
        <w:rPr>
          <w:rFonts w:ascii="Times New Roman" w:hAnsi="Times New Roman" w:cs="Times New Roman"/>
          <w:color w:val="000000"/>
          <w:sz w:val="24"/>
          <w:szCs w:val="24"/>
          <w:shd w:val="clear" w:color="auto" w:fill="FFFFFF"/>
        </w:rPr>
        <w:t xml:space="preserve">- Los alumnos españoles caen en todas las áreas del Informe PISA y logran los peores resultados de la historia en Ciencias y Matemáticas (El Mundo - </w:t>
      </w:r>
      <w:r w:rsidRPr="00BD6B3D">
        <w:rPr>
          <w:rFonts w:ascii="Times New Roman" w:hAnsi="Times New Roman" w:cs="Times New Roman"/>
          <w:b/>
          <w:color w:val="000000"/>
          <w:sz w:val="24"/>
          <w:szCs w:val="24"/>
          <w:shd w:val="clear" w:color="auto" w:fill="FFFFFF"/>
        </w:rPr>
        <w:t>5/12/23</w:t>
      </w:r>
      <w:r w:rsidRPr="00BD6B3D">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w:t>
      </w:r>
    </w:p>
    <w:p w:rsidR="004E3111"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En el año 2024, el 60% de los menores de 30 años en España había alcanzado un nivel educativo superior al obligatorio. El 37% había terminado estudios secundarios postobligatorios -como puede ser el bachillerato o la formación profesional de grado medio- y el 29,8 % había completado estudios superiores -FP superior o un grado universitario-. Aunque un mayor nivel educativo suele asociarse con una menor tasa de paro, los altos niveles de estudios han derivado en que, el año pasado, el 36,2% de los menores de 30 estaba sobrecualificado para su puesto de trabajo. Una tasa que crece hasta el 37,4% en los mayores de 34 años y al 38,5% para los que tienen entre 30 y 34 años.</w:t>
      </w:r>
    </w:p>
    <w:p w:rsidR="004E3111" w:rsidRPr="00374464" w:rsidRDefault="004E3111" w:rsidP="004E3111">
      <w:pPr>
        <w:spacing w:line="240" w:lineRule="auto"/>
        <w:jc w:val="both"/>
        <w:rPr>
          <w:rFonts w:ascii="Times New Roman" w:hAnsi="Times New Roman" w:cs="Times New Roman"/>
          <w:sz w:val="24"/>
          <w:szCs w:val="24"/>
        </w:rPr>
      </w:pPr>
      <w:r w:rsidRPr="00374464">
        <w:rPr>
          <w:rFonts w:ascii="Times New Roman" w:hAnsi="Times New Roman" w:cs="Times New Roman"/>
          <w:sz w:val="24"/>
          <w:szCs w:val="24"/>
        </w:rPr>
        <w:t xml:space="preserve">- Los españoles son los europeos que más abandonan los estudios de bachillerato (The Objective - </w:t>
      </w:r>
      <w:r w:rsidRPr="00374464">
        <w:rPr>
          <w:rFonts w:ascii="Times New Roman" w:hAnsi="Times New Roman" w:cs="Times New Roman"/>
          <w:b/>
          <w:sz w:val="24"/>
          <w:szCs w:val="24"/>
        </w:rPr>
        <w:t>12/9/25</w:t>
      </w:r>
      <w:r w:rsidRPr="00374464">
        <w:rPr>
          <w:rFonts w:ascii="Times New Roman" w:hAnsi="Times New Roman" w:cs="Times New Roman"/>
          <w:sz w:val="24"/>
          <w:szCs w:val="24"/>
        </w:rPr>
        <w:t>). Con el mayor índice de paro juvenil de la UE, hoy los estudiantes españoles ya son los primeros de Europa en liderar el abandono escolar en bachillerato. Uno de cada cuatro jóvenes no termina esta formación. Dicho de otro modo, el 26 % de los jóvenes españoles de entre 25 y 34 años no ha completado la secundaria superior, una cifra que duplica la del Reino Unido (12 %) y supera ampliamente a Alemania (16 %).</w:t>
      </w:r>
    </w:p>
    <w:p w:rsidR="004E3111" w:rsidRPr="00BD6B3D" w:rsidRDefault="004E3111" w:rsidP="004E3111">
      <w:pPr>
        <w:pStyle w:val="NormalWeb"/>
        <w:shd w:val="clear" w:color="auto" w:fill="FFFFFF"/>
        <w:spacing w:before="0" w:beforeAutospacing="0" w:after="0" w:afterAutospacing="0"/>
        <w:jc w:val="both"/>
        <w:textAlignment w:val="baseline"/>
      </w:pPr>
      <w:r w:rsidRPr="00BD6B3D">
        <w:t>- La renta real de los hogares españoles en 2024 se mantiene aún por debajo del umbral de 2008. En este período de tiempo los precios han crecido alrededor de 6 puntos más que la renta neta nominal, erosionando la renta neta real. En consecuencia, explican, la renta neta real de 2024 equivale, aproximadamente, al 95,6% del valor que tomó en 2008.</w:t>
      </w:r>
    </w:p>
    <w:p w:rsidR="004E3111" w:rsidRPr="00BD6B3D" w:rsidRDefault="004E3111" w:rsidP="004E3111">
      <w:pPr>
        <w:pStyle w:val="NormalWeb"/>
        <w:shd w:val="clear" w:color="auto" w:fill="FFFFFF"/>
        <w:spacing w:before="0" w:beforeAutospacing="0" w:after="0" w:afterAutospacing="0"/>
        <w:jc w:val="both"/>
        <w:textAlignment w:val="baseline"/>
      </w:pPr>
    </w:p>
    <w:p w:rsidR="004E3111" w:rsidRPr="00BD6B3D" w:rsidRDefault="004E3111" w:rsidP="004E3111">
      <w:pPr>
        <w:pStyle w:val="NormalWeb"/>
        <w:shd w:val="clear" w:color="auto" w:fill="FFFFFF"/>
        <w:spacing w:before="0" w:beforeAutospacing="0" w:after="0" w:afterAutospacing="0"/>
        <w:jc w:val="both"/>
        <w:textAlignment w:val="baseline"/>
      </w:pPr>
      <w:r w:rsidRPr="00BD6B3D">
        <w:t xml:space="preserve">- El crecimiento de la renta real en 2024 debería haber sido, aproximadamente, del 9% para conseguir la plena equiparación a la renta real de 2008. Desde 2019, la renta neta real ha crecido a un promedio de 1,9 puntos por año, motivo por el cual, con las demás variables </w:t>
      </w:r>
      <w:r w:rsidRPr="00BD6B3D">
        <w:lastRenderedPageBreak/>
        <w:t xml:space="preserve">constantes, </w:t>
      </w:r>
      <w:r w:rsidRPr="00BD6B3D">
        <w:rPr>
          <w:rStyle w:val="Textoennegrita"/>
          <w:rFonts w:eastAsiaTheme="majorEastAsia"/>
          <w:b w:val="0"/>
          <w:bdr w:val="none" w:sz="0" w:space="0" w:color="auto" w:frame="1"/>
        </w:rPr>
        <w:t>la convergencia no se alcanzaría hasta 2027</w:t>
      </w:r>
      <w:r w:rsidRPr="00BD6B3D">
        <w:t>, dos décadas después de la crisis financiera.</w:t>
      </w:r>
    </w:p>
    <w:p w:rsidR="004E3111" w:rsidRPr="00BD6B3D" w:rsidRDefault="004E3111" w:rsidP="004E3111">
      <w:pPr>
        <w:pStyle w:val="NormalWeb"/>
        <w:shd w:val="clear" w:color="auto" w:fill="FFFFFF"/>
        <w:spacing w:before="0" w:beforeAutospacing="0" w:after="0" w:afterAutospacing="0"/>
        <w:jc w:val="both"/>
        <w:textAlignment w:val="baseline"/>
      </w:pP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La OCDE ha puesto de manifiesto que los salarios reales de España apenas ha crecido un 2,76% en los últimos 30 años, el cuarto peor resultado de los 38 países desarrollados, frente a un 30,86% de media; con un decaimiento especialmente acusado desde la pandemia del COVID. Estos datos, fruto del estancamiento de nuestro nivel de productividad, han venido acompañados de un acusado descenso de la actividad industrial.</w:t>
      </w:r>
    </w:p>
    <w:p w:rsidR="004E3111" w:rsidRPr="00BD6B3D" w:rsidRDefault="004E3111" w:rsidP="004E3111">
      <w:pPr>
        <w:pStyle w:val="NormalWeb"/>
        <w:shd w:val="clear" w:color="auto" w:fill="FFFFFF"/>
        <w:jc w:val="both"/>
      </w:pPr>
      <w:r w:rsidRPr="00BD6B3D">
        <w:t xml:space="preserve">- El 90% de los españoles señala que han perdido poder adquisitivo. </w:t>
      </w:r>
    </w:p>
    <w:p w:rsidR="004E3111" w:rsidRPr="00BD6B3D" w:rsidRDefault="004E3111" w:rsidP="004E3111">
      <w:pPr>
        <w:pStyle w:val="NormalWeb"/>
        <w:shd w:val="clear" w:color="auto" w:fill="FFFFFF"/>
        <w:jc w:val="both"/>
      </w:pPr>
      <w:r w:rsidRPr="00BD6B3D">
        <w:t>- Desde que Pedro Sánchez llegó al poder se han aprobado más de 90 subidas de impuestos. Hacienda cerró el año 2024 con récord de recaudación (casi 295.000 millones de euros).</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Según un  reciente informe de la OCDE -Taxing Wages- las familias españolas dedican el 45% de su renta real a pagar impuestos, con un aumento de cinco puntos en el periodo 2002-2024. Mientras tanto la renta familiar de España se sitúa por debajo de la que teníamos cuando entramos en el euro, para situarse en el 88% de la renta media de la UE en 2002 en paridad de poder de compra. </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España es el quinto país de la OCDE donde más ha crecido la presión fiscal en trece años (El Economista - </w:t>
      </w:r>
      <w:r w:rsidRPr="00BD6B3D">
        <w:rPr>
          <w:rFonts w:ascii="Times New Roman" w:hAnsi="Times New Roman" w:cs="Times New Roman"/>
          <w:b/>
          <w:sz w:val="24"/>
          <w:szCs w:val="24"/>
        </w:rPr>
        <w:t>21/11/24</w:t>
      </w:r>
      <w:r w:rsidRPr="00BD6B3D">
        <w:rPr>
          <w:rFonts w:ascii="Times New Roman" w:hAnsi="Times New Roman" w:cs="Times New Roman"/>
          <w:sz w:val="24"/>
          <w:szCs w:val="24"/>
        </w:rPr>
        <w:t xml:space="preserve">). La carga tributaria aumentó hasta cinco puntos porcentuales. La tasa tributaria sobre el PIB en 2023 fue del 37,3% frente al 33,9% de media de la OCDE. En el año 2000 la carga era del 33% en España.  </w:t>
      </w:r>
    </w:p>
    <w:p w:rsidR="004E3111"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El Estado pasa de quedarse con el 30% del coste laboral para un SMI a quedarse con casi el 50% de un salario bruto de 100.000 euros. (Libertad Digital - </w:t>
      </w:r>
      <w:r w:rsidRPr="00BD6B3D">
        <w:rPr>
          <w:rFonts w:ascii="Times New Roman" w:hAnsi="Times New Roman" w:cs="Times New Roman"/>
          <w:b/>
          <w:sz w:val="24"/>
          <w:szCs w:val="24"/>
        </w:rPr>
        <w:t>11/8/25</w:t>
      </w:r>
      <w:r w:rsidRPr="00BD6B3D">
        <w:rPr>
          <w:rFonts w:ascii="Times New Roman" w:hAnsi="Times New Roman" w:cs="Times New Roman"/>
          <w:sz w:val="24"/>
          <w:szCs w:val="24"/>
        </w:rPr>
        <w:t>)</w:t>
      </w:r>
    </w:p>
    <w:p w:rsidR="004E3111" w:rsidRPr="00DD2F92" w:rsidRDefault="004E3111" w:rsidP="004E3111">
      <w:pPr>
        <w:spacing w:line="240" w:lineRule="auto"/>
        <w:jc w:val="both"/>
        <w:rPr>
          <w:rFonts w:ascii="Times New Roman" w:hAnsi="Times New Roman" w:cs="Times New Roman"/>
          <w:sz w:val="24"/>
          <w:szCs w:val="24"/>
        </w:rPr>
      </w:pPr>
      <w:r w:rsidRPr="00DD2F92">
        <w:rPr>
          <w:rFonts w:ascii="Times New Roman" w:hAnsi="Times New Roman" w:cs="Times New Roman"/>
          <w:sz w:val="24"/>
          <w:szCs w:val="24"/>
        </w:rPr>
        <w:t>- En 2024, los españoles destinaron el 14,36% de su renta a pagar el IRPF, lo que supone el tipo efectivo más elevado de la historia. Si comparamos con 2018, sólo la subida del tipo efectivo, derivado de no adaptar el IRPF a la inflación, ha supuesto una recaudación adicional, derivada de esta subida encubierta de impuestos de 13.766 millones de euros, que es muchísimo dinero, y una de las subidas de impuestos de may</w:t>
      </w:r>
      <w:r>
        <w:rPr>
          <w:rFonts w:ascii="Times New Roman" w:hAnsi="Times New Roman" w:cs="Times New Roman"/>
          <w:sz w:val="24"/>
          <w:szCs w:val="24"/>
        </w:rPr>
        <w:t>or importe de la</w:t>
      </w:r>
      <w:r w:rsidRPr="00DD2F92">
        <w:rPr>
          <w:rFonts w:ascii="Times New Roman" w:hAnsi="Times New Roman" w:cs="Times New Roman"/>
          <w:sz w:val="24"/>
          <w:szCs w:val="24"/>
        </w:rPr>
        <w:t xml:space="preserve"> historia. (The Objective - </w:t>
      </w:r>
      <w:r w:rsidRPr="00DD2F92">
        <w:rPr>
          <w:rFonts w:ascii="Times New Roman" w:hAnsi="Times New Roman" w:cs="Times New Roman"/>
          <w:b/>
          <w:sz w:val="24"/>
          <w:szCs w:val="24"/>
        </w:rPr>
        <w:t>10/9/25</w:t>
      </w:r>
      <w:r w:rsidRPr="00DD2F92">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En el año 2024, el 60% de los menores de 30 años en España había alcanzado un nivel educativo superior al obligatorio. El 37% había terminado estudios secundarios posto</w:t>
      </w:r>
      <w:r>
        <w:rPr>
          <w:rFonts w:ascii="Times New Roman" w:hAnsi="Times New Roman" w:cs="Times New Roman"/>
          <w:sz w:val="24"/>
          <w:szCs w:val="24"/>
        </w:rPr>
        <w:t>bligatorios</w:t>
      </w:r>
      <w:r w:rsidRPr="00BD6B3D">
        <w:rPr>
          <w:rFonts w:ascii="Times New Roman" w:hAnsi="Times New Roman" w:cs="Times New Roman"/>
          <w:sz w:val="24"/>
          <w:szCs w:val="24"/>
        </w:rPr>
        <w:t xml:space="preserve"> -como puede ser el bachillerato o la formación profesional de grado medio- y el 29,8 % había completado estudios superiores -FP superior o un grado universitario-. Aunque un mayor nivel educativo suele asociarse con una menor tasa de paro, los altos niveles de estudios han derivado en que, el año pasado, el 36,2% de los menores de 30 estaba sobrecualificado para su puesto de trabajo. Una tasa que crece hasta el 37,4% en los mayores de 34 años y al 38,5% para los que tienen entre 30 y 34 años.</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En el último informe del Consejo de la Juventud Española (CJE) publicado en agosto de 2025 (Observatorio de Emancipación), se destaca que, aunque el salario mediano de los menores de 30 años ha crecido un 11% en comparación con 2023, la población joven sigue siendo el segundo grupo de edad con mayor riesgo de pobreza y exclusión social (solo por detrás de la infancia). En concreto, uno de cada tres jóvenes se encontraba en esta situación a finales de año. Y, entre los que contaban con un empleo, la proporción se situó en el 18,8%, una cifra que supera en casi 5 puntos porcentuales la registrada en 2009.</w:t>
      </w:r>
    </w:p>
    <w:p w:rsidR="004E3111" w:rsidRPr="00BD6B3D" w:rsidRDefault="004E3111" w:rsidP="004E3111">
      <w:pPr>
        <w:spacing w:line="240" w:lineRule="auto"/>
        <w:jc w:val="both"/>
        <w:rPr>
          <w:rFonts w:ascii="Times New Roman" w:hAnsi="Times New Roman" w:cs="Times New Roman"/>
          <w:sz w:val="24"/>
          <w:szCs w:val="24"/>
        </w:rPr>
      </w:pPr>
      <w:r w:rsidRPr="00BD6B3D">
        <w:lastRenderedPageBreak/>
        <w:t xml:space="preserve">- </w:t>
      </w:r>
      <w:r w:rsidRPr="00BD6B3D">
        <w:rPr>
          <w:rFonts w:ascii="Times New Roman" w:hAnsi="Times New Roman" w:cs="Times New Roman"/>
          <w:sz w:val="24"/>
          <w:szCs w:val="24"/>
        </w:rPr>
        <w:t>Los jóvenes españoles no se pueden ir de casa: obligados a dedicar el 92% de su sueldo a pagar el alquiler si quieren independizarse solos</w:t>
      </w:r>
      <w:r w:rsidRPr="00BD6B3D">
        <w:t xml:space="preserve">. </w:t>
      </w:r>
      <w:r w:rsidRPr="00BD6B3D">
        <w:rPr>
          <w:rFonts w:ascii="Times New Roman" w:hAnsi="Times New Roman" w:cs="Times New Roman"/>
          <w:sz w:val="24"/>
          <w:szCs w:val="24"/>
        </w:rPr>
        <w:t>Tendrían que destinar 14 años de salario íntegro para poder acceder a una vivienda en propiedad.</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Un trabajador necesita más de 45 años de media para comprar un piso sin sobrepasar el umbral de esfuerzo recomendado. Los empleados con peores condiciones del sector de la hostelería, comercio o agricultura, deben destinar casi el 100% de su salario para pagar un alquiler básico, según un estudio de la UGT</w:t>
      </w:r>
      <w:r>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A pesar de que el salario mediano de la juventud asalariada creció un 11% interanual (hasta los 14.046,52 euros anuales) durante el segundo semestre de 2024 y que la tasa de paro descendió hasta el 19,1%, los jóvenes españoles siguen sin poder irse de casa hasta bien entrada la madurez. Pero ya no es una cuestión de edad, sino económica.</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La mayoría de los jóvenes que viven emancipados en España viven de alquiler (57,9%), reduciéndose el número de personas que se independizan solas y aumentando las que comparten piso, dado que aunque ambas opciones son costosas, la primera supone invertir casi la totalidad del salario en el pago de una vivienda que ni siquiera es de su propiedad.</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Así llegamos a la que es la peor tasa de emancipación en un segundo semestre desde 2006. Entre julio y diciembre del año pasado tan solo el 15,2% de las personas jóvenes pudieron salir del hogar familiar para iniciar una nueva vida, 102.203 menos que un año antes, un porcentaje que se sitúa casi 11 puntos por debajo del máximo registrado antes de la Gran Recesión de 2008 y cerca de 3,5 puntos por debajo del nivel prepandemia.</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Según datos de Eurostat, España es el cuarto país de la Unión Europea en el que los jóvenes tardan más en abandonar el hogar de sus padres. La edad media es de 30,4 años, solo por detrás de Croacia, que se sitúa en cabeza con una media de 31,8 años, Eslovaquia (31,0 años) y Grecia (30,6 años). En el lado opuesto, los jóvenes que más pronto se independizan de sus hogares familiares se encuentran en Finlandia, con una media de 21,4 años. Entre las medias más bajas, menores de 23 años, también están Suecia y Dinamarca (ambos con 21,8 años), y Estonia (22,8 años).</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Un informe de Comisiones Obreras (CCOO) revela que los jóvenes españoles ganan en 2025 un 20% menos que sus padres cuando tenían su edad. El 43% de las personas jóvenes reconoce haber trabajado sin contrato, quedándose sin protección legal frente a accidentes laborales y sin cotizar para su futura pensión, lo que les perjudicará gravemente en el futuro ya que, para la Seguridad Social, es como si no hubieran trabajado. Esta mala praxis repercute directamente en el hecho de que España prácticamente duplique la tasa de paro juvenil de Europa (14,7%), porcentaje que en nuestro país se dispara hasta el 24% y nos sitúa solo por detrás de Estonia y Rumanía, según datos recopilados por Eurostat.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Según el informe Jóvenes sin filtros, publicado por la Unión Sindical Obrera (USO), el paro juvenil se sitúa en el 19,9 %, casi el doble que la media nacional. Entre quienes tienen estudios superiores, el desempleo ha crecido en el último año más de dos puntos, hasta el 31,3 %. El 40,4 % de los menores de 24 años con empleo tienen contratos temporales -frente al 14,4 % de media en la UE- y el 26,9 % trabaja a tiempo parcial.</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Las mujeres jóvenes soportan una temporalidad del 46 % (frente al 38,1 % de los hombres) y una brecha salarial del 13,2 %. En 2024, el paro femenino joven creció un 13,75 %, mientras que el masculino bajó un 1,85 %. Un marco legal que limita la flexibilidad y aumenta el riesgo para las empresas a la hora de contratar agrava esta desigualdad.</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lastRenderedPageBreak/>
        <w:t xml:space="preserve">- Los jóvenes que ni trabajan ni buscan un empleo crecen más de un 10% desde 2021 (El Economista - </w:t>
      </w:r>
      <w:r w:rsidRPr="00BD6B3D">
        <w:rPr>
          <w:rFonts w:ascii="Times New Roman" w:hAnsi="Times New Roman" w:cs="Times New Roman"/>
          <w:b/>
          <w:sz w:val="24"/>
          <w:szCs w:val="24"/>
        </w:rPr>
        <w:t>4/9/25</w:t>
      </w:r>
      <w:r w:rsidRPr="00BD6B3D">
        <w:rPr>
          <w:rFonts w:ascii="Times New Roman" w:hAnsi="Times New Roman" w:cs="Times New Roman"/>
          <w:sz w:val="24"/>
          <w:szCs w:val="24"/>
        </w:rPr>
        <w:t>).  En España hay algo más de 17 millones de personas que ni trabajan ni están buscando activamente un nuevo empleo. Estas integran la población inactiva, que ha crecido en los últimos años impulsada por el incremento de las jubilaciones. Si bien, los datos recopilados por el INE ponen de manifiesto que esta cifra también crece del lado de los jóvenes, entre los que el número de inactivos ha aumentado más de un 10% en los últimos cuatro años. De acuerdo con los datos del segundo trimestre del año, hay cerca de 3,5 millones de jóvenes con edades comprendidas entre los 16 y los 30 años que se encuentran en esta situación, por motivos diversos. Siendo el grupo más mayoritario los menores de 20 años, que acostumbran a extender sus estudios. A modo de comparativa, estos representan un 45% del total de jóvenes, dado que los activos apenas superan los 4 millones (de los que 3,3 millones tienen un empleo).</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w:t>
      </w:r>
      <w:r w:rsidRPr="00BD6B3D">
        <w:rPr>
          <w:rFonts w:ascii="Times New Roman" w:hAnsi="Times New Roman" w:cs="Times New Roman"/>
          <w:color w:val="FF0000"/>
          <w:sz w:val="24"/>
          <w:szCs w:val="24"/>
        </w:rPr>
        <w:t xml:space="preserve"> </w:t>
      </w:r>
      <w:r w:rsidRPr="00BD6B3D">
        <w:rPr>
          <w:rFonts w:ascii="Times New Roman" w:hAnsi="Times New Roman" w:cs="Times New Roman"/>
          <w:sz w:val="24"/>
          <w:szCs w:val="24"/>
        </w:rPr>
        <w:t xml:space="preserve">La tributación efectiva por vivienda en España es 24 puntos mayor que la media de la UE (El Economista - </w:t>
      </w:r>
      <w:r w:rsidRPr="00BD6B3D">
        <w:rPr>
          <w:rFonts w:ascii="Times New Roman" w:hAnsi="Times New Roman" w:cs="Times New Roman"/>
          <w:b/>
          <w:sz w:val="24"/>
          <w:szCs w:val="24"/>
        </w:rPr>
        <w:t>19/5/25</w:t>
      </w:r>
      <w:r w:rsidRPr="00BD6B3D">
        <w:rPr>
          <w:rFonts w:ascii="Times New Roman" w:hAnsi="Times New Roman" w:cs="Times New Roman"/>
          <w:sz w:val="24"/>
          <w:szCs w:val="24"/>
        </w:rPr>
        <w:t>). Por cada compra antes de impuestos se pierde el 30,3% debido a las tasas nacionales</w:t>
      </w:r>
      <w:r>
        <w:rPr>
          <w:rFonts w:ascii="Times New Roman" w:hAnsi="Times New Roman" w:cs="Times New Roman"/>
          <w:sz w:val="24"/>
          <w:szCs w:val="24"/>
        </w:rPr>
        <w:t>.</w:t>
      </w:r>
    </w:p>
    <w:p w:rsidR="004E3111"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La vivien</w:t>
      </w:r>
      <w:r>
        <w:rPr>
          <w:rFonts w:ascii="Times New Roman" w:hAnsi="Times New Roman" w:cs="Times New Roman"/>
          <w:sz w:val="24"/>
          <w:szCs w:val="24"/>
        </w:rPr>
        <w:t>da en propiedad cae en España: “</w:t>
      </w:r>
      <w:r w:rsidRPr="00BD6B3D">
        <w:rPr>
          <w:rFonts w:ascii="Times New Roman" w:hAnsi="Times New Roman" w:cs="Times New Roman"/>
          <w:sz w:val="24"/>
          <w:szCs w:val="24"/>
        </w:rPr>
        <w:t>De un país de propietarios</w:t>
      </w:r>
      <w:r>
        <w:rPr>
          <w:rFonts w:ascii="Times New Roman" w:hAnsi="Times New Roman" w:cs="Times New Roman"/>
          <w:sz w:val="24"/>
          <w:szCs w:val="24"/>
        </w:rPr>
        <w:t xml:space="preserve"> a un país de proletarios”</w:t>
      </w:r>
      <w:r w:rsidRPr="00BD6B3D">
        <w:rPr>
          <w:rFonts w:ascii="Times New Roman" w:hAnsi="Times New Roman" w:cs="Times New Roman"/>
          <w:sz w:val="24"/>
          <w:szCs w:val="24"/>
        </w:rPr>
        <w:t xml:space="preserve"> (Libertad Digital - </w:t>
      </w:r>
      <w:r w:rsidRPr="00BD6B3D">
        <w:rPr>
          <w:rFonts w:ascii="Times New Roman" w:hAnsi="Times New Roman" w:cs="Times New Roman"/>
          <w:b/>
          <w:sz w:val="24"/>
          <w:szCs w:val="24"/>
        </w:rPr>
        <w:t>29/8/25</w:t>
      </w:r>
      <w:r w:rsidRPr="00BD6B3D">
        <w:rPr>
          <w:rFonts w:ascii="Times New Roman" w:hAnsi="Times New Roman" w:cs="Times New Roman"/>
          <w:sz w:val="24"/>
          <w:szCs w:val="24"/>
        </w:rPr>
        <w:t>). La vivienda en propiedad sigue cayendo en España y ya sólo el 72% de los hogares españoles residen en una vivienda en propiedad.</w:t>
      </w:r>
    </w:p>
    <w:p w:rsidR="004E3111" w:rsidRPr="00BD6B3D" w:rsidRDefault="004E3111" w:rsidP="004E3111">
      <w:pPr>
        <w:spacing w:line="240" w:lineRule="auto"/>
        <w:jc w:val="both"/>
        <w:rPr>
          <w:rFonts w:ascii="Times New Roman" w:hAnsi="Times New Roman" w:cs="Times New Roman"/>
          <w:sz w:val="24"/>
          <w:szCs w:val="24"/>
        </w:rPr>
      </w:pPr>
      <w:r w:rsidRPr="004A3906">
        <w:rPr>
          <w:rFonts w:ascii="Times New Roman" w:hAnsi="Times New Roman" w:cs="Times New Roman"/>
          <w:sz w:val="24"/>
          <w:szCs w:val="24"/>
        </w:rPr>
        <w:t xml:space="preserve">- El 48% de los propietarios de vivienda desconfían de los inquilinos: se dispara el miedo a los impagos y la okupación (Libertad Digital - </w:t>
      </w:r>
      <w:r w:rsidRPr="004A3906">
        <w:rPr>
          <w:rFonts w:ascii="Times New Roman" w:hAnsi="Times New Roman" w:cs="Times New Roman"/>
          <w:b/>
          <w:sz w:val="24"/>
          <w:szCs w:val="24"/>
        </w:rPr>
        <w:t>14/9/25</w:t>
      </w:r>
      <w:r>
        <w:rPr>
          <w:rFonts w:ascii="Times New Roman" w:hAnsi="Times New Roman" w:cs="Times New Roman"/>
          <w:sz w:val="24"/>
          <w:szCs w:val="24"/>
        </w:rPr>
        <w:t xml:space="preserve">). </w:t>
      </w:r>
      <w:r w:rsidRPr="004A3906">
        <w:rPr>
          <w:rFonts w:ascii="Times New Roman" w:hAnsi="Times New Roman" w:cs="Times New Roman"/>
          <w:sz w:val="24"/>
          <w:szCs w:val="24"/>
        </w:rPr>
        <w:t>Esta percepción se relaciona directamente con la falta de seguridad jurídica y con la sensación de desprotecció</w:t>
      </w:r>
      <w:r>
        <w:rPr>
          <w:rFonts w:ascii="Times New Roman" w:hAnsi="Times New Roman" w:cs="Times New Roman"/>
          <w:sz w:val="24"/>
          <w:szCs w:val="24"/>
        </w:rPr>
        <w:t xml:space="preserve">n que padecen los arrendadores. </w:t>
      </w:r>
      <w:r w:rsidRPr="004A3906">
        <w:rPr>
          <w:rFonts w:ascii="Times New Roman" w:hAnsi="Times New Roman" w:cs="Times New Roman"/>
          <w:sz w:val="24"/>
          <w:szCs w:val="24"/>
        </w:rPr>
        <w:t>Según datos del Consejo General del Poder Judicial, la duración media de un procedimiento ligado a una okupación ilegal ha pasado de 11,7 meses en 2018 a 23,2 meses en 2023. En regiones como Castilla y León, la demora med</w:t>
      </w:r>
      <w:r>
        <w:rPr>
          <w:rFonts w:ascii="Times New Roman" w:hAnsi="Times New Roman" w:cs="Times New Roman"/>
          <w:sz w:val="24"/>
          <w:szCs w:val="24"/>
        </w:rPr>
        <w:t xml:space="preserve">ia supera incluso los 35 meses. </w:t>
      </w:r>
      <w:r w:rsidRPr="004A3906">
        <w:rPr>
          <w:rFonts w:ascii="Times New Roman" w:hAnsi="Times New Roman" w:cs="Times New Roman"/>
          <w:sz w:val="24"/>
          <w:szCs w:val="24"/>
        </w:rPr>
        <w:t>A ello se suma la llamada inquiokupación, es decir, el impago continuado de los arrendatarios. Aunque no existe una categoría legal específica para este fenómeno, los datos del CGPJ muestran que en 2023 se produjeron 20.562 desahucios por impago de alquiler y más de 10.000 sentencias ligadas a rentas no abonadas. Estos números refuerzan el temor de muchos propietarios de que, una vez cedida la vivienda, quedarse atrapados en procedimientos largos y costosos sea casi inevitable.</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L</w:t>
      </w:r>
      <w:r>
        <w:rPr>
          <w:rFonts w:ascii="Times New Roman" w:hAnsi="Times New Roman" w:cs="Times New Roman"/>
          <w:sz w:val="24"/>
          <w:szCs w:val="24"/>
        </w:rPr>
        <w:t>a Fundación BBVA ha publicado una</w:t>
      </w:r>
      <w:r w:rsidRPr="00BD6B3D">
        <w:rPr>
          <w:rFonts w:ascii="Times New Roman" w:hAnsi="Times New Roman" w:cs="Times New Roman"/>
          <w:sz w:val="24"/>
          <w:szCs w:val="24"/>
        </w:rPr>
        <w:t xml:space="preserve"> monografía donde se muestra que la industria manufacturera ha perdido peso en la economía española desde principios de siglo, tanto en valor añadido (VAB) como en empleo. En 2024 se sitúa por debajo de la media europea en ambos indicadores. Las manufacturas aportan el 11,8% del VAB, frente al 15,7% en la UE-27, y el 9,9% del empleo total del país frente al 13,7% de media en Europa, tras registrar una caída del 25% en trabajadores desde el año 2000.</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La industria pierde el 25% de su empleo en España desde el año 2000 (El Economista - </w:t>
      </w:r>
      <w:r w:rsidRPr="00BD6B3D">
        <w:rPr>
          <w:rFonts w:ascii="Times New Roman" w:hAnsi="Times New Roman" w:cs="Times New Roman"/>
          <w:b/>
          <w:sz w:val="24"/>
          <w:szCs w:val="24"/>
        </w:rPr>
        <w:t>22/7/25</w:t>
      </w:r>
      <w:r w:rsidRPr="00BD6B3D">
        <w:rPr>
          <w:rFonts w:ascii="Times New Roman" w:hAnsi="Times New Roman" w:cs="Times New Roman"/>
          <w:sz w:val="24"/>
          <w:szCs w:val="24"/>
        </w:rPr>
        <w:t>). La desindustrialización ya ha costado más de 723.000 puestos en el sector este siglo. Su aportación a la renta nacional ha pasado del 17,9% al 11,8% según un estudio</w:t>
      </w:r>
      <w:r>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La bonificación fiscal a empresas por inversión cae dos puntos hasta el 61,3% (El Economista - </w:t>
      </w:r>
      <w:r w:rsidRPr="00BD6B3D">
        <w:rPr>
          <w:rFonts w:ascii="Times New Roman" w:hAnsi="Times New Roman" w:cs="Times New Roman"/>
          <w:b/>
          <w:sz w:val="24"/>
          <w:szCs w:val="24"/>
        </w:rPr>
        <w:t>25/7/25</w:t>
      </w:r>
      <w:r w:rsidRPr="00BD6B3D">
        <w:rPr>
          <w:rFonts w:ascii="Times New Roman" w:hAnsi="Times New Roman" w:cs="Times New Roman"/>
          <w:sz w:val="24"/>
          <w:szCs w:val="24"/>
        </w:rPr>
        <w:t>). El fisco español está a casi 10 puntos por debajo de la OCDE en estas desgravaciones. Italia devuelve casi el 80% de lo invertido, mientras que en Francia llegaría hasta el 74,2%</w:t>
      </w:r>
      <w:r>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La carga burocrática de las empresas en España es un 33% superior a la de la UE (El Economista - </w:t>
      </w:r>
      <w:r w:rsidRPr="00BD6B3D">
        <w:rPr>
          <w:rFonts w:ascii="Times New Roman" w:hAnsi="Times New Roman" w:cs="Times New Roman"/>
          <w:b/>
          <w:sz w:val="24"/>
          <w:szCs w:val="24"/>
        </w:rPr>
        <w:t>15/8/25</w:t>
      </w:r>
      <w:r w:rsidRPr="00BD6B3D">
        <w:rPr>
          <w:rFonts w:ascii="Times New Roman" w:hAnsi="Times New Roman" w:cs="Times New Roman"/>
          <w:sz w:val="24"/>
          <w:szCs w:val="24"/>
        </w:rPr>
        <w:t xml:space="preserve">). El país está en el puesto 12 de 34 naciones dentro del Índice de </w:t>
      </w:r>
      <w:r w:rsidRPr="00BD6B3D">
        <w:rPr>
          <w:rFonts w:ascii="Times New Roman" w:hAnsi="Times New Roman" w:cs="Times New Roman"/>
          <w:sz w:val="24"/>
          <w:szCs w:val="24"/>
        </w:rPr>
        <w:lastRenderedPageBreak/>
        <w:t>deficiencia reguladora. En el ejercicio de 2024 se aprobaron 894 normas entre el Estado y las autonomías</w:t>
      </w:r>
      <w:r>
        <w:rPr>
          <w:rFonts w:ascii="Times New Roman" w:hAnsi="Times New Roman" w:cs="Times New Roman"/>
          <w:sz w:val="24"/>
          <w:szCs w:val="24"/>
        </w:rPr>
        <w:t>.</w:t>
      </w:r>
      <w:r w:rsidRPr="00BD6B3D">
        <w:rPr>
          <w:rFonts w:ascii="Times New Roman" w:hAnsi="Times New Roman" w:cs="Times New Roman"/>
          <w:sz w:val="24"/>
          <w:szCs w:val="24"/>
        </w:rPr>
        <w:t xml:space="preserve"> </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La recaudación fiscal empresarial de España es la cuarta más alta de la OCDE; casi un 30%  por encima de la media y un 23,8% mayor que la de UE.</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La presión fiscal empresarial española se sitúa un 29,2% por encima de la media de la UE, solo detrás de Chequia, Estonia, Chipre y Eslovenia.</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Las cotizaciones sociales a cargo de las empresas son un 34,24% superior, a la media de la UE.</w:t>
      </w:r>
    </w:p>
    <w:p w:rsidR="004E3111" w:rsidRPr="00BD6B3D" w:rsidRDefault="004E3111" w:rsidP="004E3111">
      <w:pPr>
        <w:pStyle w:val="NormalWeb"/>
        <w:shd w:val="clear" w:color="auto" w:fill="FFFFFF"/>
        <w:jc w:val="both"/>
        <w:rPr>
          <w:color w:val="000000"/>
        </w:rPr>
      </w:pPr>
      <w:r w:rsidRPr="00BD6B3D">
        <w:rPr>
          <w:color w:val="000000"/>
        </w:rPr>
        <w:t>- La inversión extranjera bruta es un 50% menor que cuando Sánchez llegó al Gobierno.</w:t>
      </w:r>
    </w:p>
    <w:p w:rsidR="004E3111" w:rsidRPr="00BD6B3D" w:rsidRDefault="004E3111" w:rsidP="004E3111">
      <w:pPr>
        <w:pStyle w:val="NormalWeb"/>
        <w:shd w:val="clear" w:color="auto" w:fill="FFFFFF"/>
        <w:jc w:val="both"/>
        <w:rPr>
          <w:color w:val="000000"/>
        </w:rPr>
      </w:pPr>
      <w:r w:rsidRPr="00BD6B3D">
        <w:rPr>
          <w:color w:val="000000"/>
        </w:rPr>
        <w:t>- El 28 de abril de 2025, se vivió el mayor apagón eléctrico de nuestra historia. La red eléctrica colapsó con una rapidez tan humillante como previsible.</w:t>
      </w:r>
    </w:p>
    <w:p w:rsidR="004E3111" w:rsidRPr="00BD6B3D" w:rsidRDefault="004E3111" w:rsidP="004E3111">
      <w:pPr>
        <w:pStyle w:val="NormalWeb"/>
        <w:shd w:val="clear" w:color="auto" w:fill="FFFFFF"/>
        <w:jc w:val="both"/>
        <w:rPr>
          <w:color w:val="000000"/>
        </w:rPr>
      </w:pPr>
      <w:r w:rsidRPr="00BD6B3D">
        <w:rPr>
          <w:color w:val="000000"/>
        </w:rPr>
        <w:t xml:space="preserve">- El transporte en tren es un deporte de riesgo (ya no hay indemnizaciones si el AVE se retrasa treinta minutos; ahora, si el tren se retrasa media hora, son los ciudadanos los que tienen que dar las gracias). </w:t>
      </w:r>
    </w:p>
    <w:p w:rsidR="004E3111"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Resulta muy duro escuchar a un ministro de Transportes (septiembre 2025) decir que al menos habrá tres años más de fallos en los trenes. Como también lo es no saber nunca quién provocó el apagón o por qué un presidente puede gobernar sin Presupuestos y no inmutarse al decirlo en la televisión pública (septiembre 2025). Trenes, incendios, apagones, alquileres, médicos: la España colapsada agota la paciencia.</w:t>
      </w:r>
    </w:p>
    <w:p w:rsidR="004E3111" w:rsidRPr="00F34371" w:rsidRDefault="004E3111" w:rsidP="004E3111">
      <w:pPr>
        <w:spacing w:line="240" w:lineRule="auto"/>
        <w:jc w:val="both"/>
        <w:rPr>
          <w:rFonts w:ascii="Times New Roman" w:hAnsi="Times New Roman" w:cs="Times New Roman"/>
          <w:sz w:val="24"/>
          <w:szCs w:val="24"/>
        </w:rPr>
      </w:pPr>
      <w:r w:rsidRPr="00F34371">
        <w:rPr>
          <w:rFonts w:ascii="Times New Roman" w:hAnsi="Times New Roman" w:cs="Times New Roman"/>
          <w:sz w:val="24"/>
          <w:szCs w:val="24"/>
        </w:rPr>
        <w:t xml:space="preserve">- </w:t>
      </w:r>
      <w:r>
        <w:rPr>
          <w:rFonts w:ascii="Times New Roman" w:hAnsi="Times New Roman" w:cs="Times New Roman"/>
          <w:sz w:val="24"/>
          <w:szCs w:val="24"/>
        </w:rPr>
        <w:t>El 52% de la red de carreteras “</w:t>
      </w:r>
      <w:r w:rsidRPr="00F34371">
        <w:rPr>
          <w:rFonts w:ascii="Times New Roman" w:hAnsi="Times New Roman" w:cs="Times New Roman"/>
          <w:sz w:val="24"/>
          <w:szCs w:val="24"/>
        </w:rPr>
        <w:t xml:space="preserve">presenta deterioros de </w:t>
      </w:r>
      <w:r>
        <w:rPr>
          <w:rFonts w:ascii="Times New Roman" w:hAnsi="Times New Roman" w:cs="Times New Roman"/>
          <w:sz w:val="24"/>
          <w:szCs w:val="24"/>
        </w:rPr>
        <w:t>gravedad”</w:t>
      </w:r>
      <w:r w:rsidRPr="00F34371">
        <w:rPr>
          <w:rFonts w:ascii="Times New Roman" w:hAnsi="Times New Roman" w:cs="Times New Roman"/>
          <w:sz w:val="24"/>
          <w:szCs w:val="24"/>
        </w:rPr>
        <w:t xml:space="preserve"> (Libertad Digital - </w:t>
      </w:r>
      <w:r w:rsidRPr="00F34371">
        <w:rPr>
          <w:rFonts w:ascii="Times New Roman" w:hAnsi="Times New Roman" w:cs="Times New Roman"/>
          <w:b/>
          <w:sz w:val="24"/>
          <w:szCs w:val="24"/>
        </w:rPr>
        <w:t>10/9/25</w:t>
      </w:r>
      <w:r w:rsidRPr="00F34371">
        <w:rPr>
          <w:rFonts w:ascii="Times New Roman" w:hAnsi="Times New Roman" w:cs="Times New Roman"/>
          <w:sz w:val="24"/>
          <w:szCs w:val="24"/>
        </w:rPr>
        <w:t>). La Asociación Española de la Carretera ha elaborado su último informe sobre la situación viaria. Y el resultado es igual de demoledor que la conclusión. Un total de 34.000 kilómetros (el 32%) necesita reconstrucción urgente. Y el problema es la falta de inversión destinada: el déficit de conservación vial supera ya los 13.400 millones de euros.</w:t>
      </w:r>
    </w:p>
    <w:p w:rsidR="004E3111" w:rsidRPr="00F34371" w:rsidRDefault="004E3111" w:rsidP="004E3111">
      <w:pPr>
        <w:spacing w:line="240" w:lineRule="auto"/>
        <w:jc w:val="both"/>
        <w:rPr>
          <w:rFonts w:ascii="Times New Roman" w:hAnsi="Times New Roman" w:cs="Times New Roman"/>
          <w:sz w:val="24"/>
          <w:szCs w:val="24"/>
        </w:rPr>
      </w:pPr>
      <w:r w:rsidRPr="00F34371">
        <w:rPr>
          <w:rFonts w:ascii="Times New Roman" w:hAnsi="Times New Roman" w:cs="Times New Roman"/>
          <w:sz w:val="24"/>
          <w:szCs w:val="24"/>
        </w:rPr>
        <w:t xml:space="preserve">- El 83,4% de los nudos de la red de distribución eléctrica ya están saturados, impidiendo que la nueva demanda pueda conectarse a estos puntos. Así lo acredita Aelec, la Asociación de Empresas de Energía Eléctrica que agrupa a empresas como Iberdrola, Endesa o EDP, que ha recopilado los datos de estas y de UFD, la distribuidora de Naturgy. (El Economista - </w:t>
      </w:r>
      <w:r w:rsidRPr="00F34371">
        <w:rPr>
          <w:rFonts w:ascii="Times New Roman" w:hAnsi="Times New Roman" w:cs="Times New Roman"/>
          <w:b/>
          <w:sz w:val="24"/>
          <w:szCs w:val="24"/>
        </w:rPr>
        <w:t>9/9/25</w:t>
      </w:r>
      <w:r w:rsidRPr="00F34371">
        <w:rPr>
          <w:rFonts w:ascii="Times New Roman" w:hAnsi="Times New Roman" w:cs="Times New Roman"/>
          <w:sz w:val="24"/>
          <w:szCs w:val="24"/>
        </w:rPr>
        <w:t>)</w:t>
      </w:r>
    </w:p>
    <w:p w:rsidR="004E3111" w:rsidRPr="00286F81" w:rsidRDefault="004E3111" w:rsidP="004E3111">
      <w:pPr>
        <w:spacing w:line="240" w:lineRule="auto"/>
        <w:jc w:val="both"/>
        <w:rPr>
          <w:rFonts w:ascii="Times New Roman" w:hAnsi="Times New Roman" w:cs="Times New Roman"/>
          <w:sz w:val="24"/>
          <w:szCs w:val="24"/>
        </w:rPr>
      </w:pPr>
      <w:r w:rsidRPr="00286F81">
        <w:rPr>
          <w:rFonts w:ascii="Times New Roman" w:hAnsi="Times New Roman" w:cs="Times New Roman"/>
          <w:sz w:val="24"/>
          <w:szCs w:val="24"/>
        </w:rPr>
        <w:t xml:space="preserve">- No sólo apagones: el caos eléctrico amenaza 58.000 millones en inversiones industriales (Vozpópuli - </w:t>
      </w:r>
      <w:r w:rsidRPr="00286F81">
        <w:rPr>
          <w:rFonts w:ascii="Times New Roman" w:hAnsi="Times New Roman" w:cs="Times New Roman"/>
          <w:b/>
          <w:sz w:val="24"/>
          <w:szCs w:val="24"/>
        </w:rPr>
        <w:t>10/9/25</w:t>
      </w:r>
      <w:r w:rsidRPr="00286F81">
        <w:rPr>
          <w:rFonts w:ascii="Times New Roman" w:hAnsi="Times New Roman" w:cs="Times New Roman"/>
          <w:sz w:val="24"/>
          <w:szCs w:val="24"/>
        </w:rPr>
        <w:t>). Eléctricas e inversores alertan del impacto del actual colapso de las redes en el despliegue de nuevos proyectos. La información que han aportado las eléctricas a la CNMC ha encendido las alarmas en uno de los sectores más afectados por la saturación: el de los centros de datos. Sus promotores están representados por Spain DC, la Asociación Española de Data Centers, cuyos responsables manejan una cifra preocupante: el colapso de las redes amenaza inversiones valoradas en 58.000 millones de euros.</w:t>
      </w:r>
    </w:p>
    <w:p w:rsidR="004E3111" w:rsidRPr="00286F81" w:rsidRDefault="004E3111" w:rsidP="004E3111">
      <w:pPr>
        <w:spacing w:line="240" w:lineRule="auto"/>
        <w:jc w:val="both"/>
        <w:rPr>
          <w:rFonts w:ascii="Times New Roman" w:hAnsi="Times New Roman" w:cs="Times New Roman"/>
          <w:sz w:val="24"/>
          <w:szCs w:val="24"/>
        </w:rPr>
      </w:pPr>
      <w:r w:rsidRPr="00286F81">
        <w:rPr>
          <w:rFonts w:ascii="Times New Roman" w:hAnsi="Times New Roman" w:cs="Times New Roman"/>
          <w:sz w:val="24"/>
          <w:szCs w:val="24"/>
        </w:rPr>
        <w:t xml:space="preserve">- Fondos europeos. La cifra está muy lejana de los 164.000 millones de fondos europeos que recibirá España, 80.000 en ayudas directas y el resto en créditos consignados en la Adenda al Plan de Recuperación. Es así como hasta la fecha solo se ha pagado uno de cada cuatro euros (el 25%) de los Next Generation y con un horizonte de un año y medio para poder gastarlos. Quedan por adjudicar nada menos que 122.790 millones y en agosto de 2026 expira la fecha </w:t>
      </w:r>
      <w:r w:rsidRPr="00286F81">
        <w:rPr>
          <w:rFonts w:ascii="Times New Roman" w:hAnsi="Times New Roman" w:cs="Times New Roman"/>
          <w:sz w:val="24"/>
          <w:szCs w:val="24"/>
        </w:rPr>
        <w:lastRenderedPageBreak/>
        <w:t xml:space="preserve">para entregarlos o al menos comprometerlos, pero por el avance del plan hasta la fecha parece difícil que se alcance este objetivo. (The Objective - </w:t>
      </w:r>
      <w:r w:rsidRPr="00286F81">
        <w:rPr>
          <w:rFonts w:ascii="Times New Roman" w:hAnsi="Times New Roman" w:cs="Times New Roman"/>
          <w:b/>
          <w:sz w:val="24"/>
          <w:szCs w:val="24"/>
        </w:rPr>
        <w:t>7/4/25</w:t>
      </w:r>
      <w:r w:rsidRPr="00286F81">
        <w:rPr>
          <w:rFonts w:ascii="Times New Roman" w:hAnsi="Times New Roman" w:cs="Times New Roman"/>
          <w:sz w:val="24"/>
          <w:szCs w:val="24"/>
        </w:rPr>
        <w:t>)</w:t>
      </w:r>
    </w:p>
    <w:p w:rsidR="004E3111" w:rsidRPr="00286F81" w:rsidRDefault="004E3111" w:rsidP="004E3111">
      <w:pPr>
        <w:spacing w:line="240" w:lineRule="auto"/>
        <w:jc w:val="both"/>
        <w:rPr>
          <w:rFonts w:ascii="Times New Roman" w:hAnsi="Times New Roman" w:cs="Times New Roman"/>
          <w:sz w:val="24"/>
          <w:szCs w:val="24"/>
        </w:rPr>
      </w:pPr>
      <w:r w:rsidRPr="00286F81">
        <w:rPr>
          <w:rFonts w:ascii="Times New Roman" w:hAnsi="Times New Roman" w:cs="Times New Roman"/>
          <w:sz w:val="24"/>
          <w:szCs w:val="24"/>
        </w:rPr>
        <w:t xml:space="preserve">- En 2024 se realizaron pagos por valor de 9.114 millones de euros, el 26,6% del total comprometido para todo ese año; en 2023 se adjudicaron fondos europeos por valor de 9.822 millones, el 27,3% comprometido; mientras que en 2022 se pagaron 11.271 millones, el 39,6%; y en 2021 se ingresaron 11.003 millones, el 45,5% del total. Esto supone que efectivamente se hicieron pagos de unos 42.000 millones hasta el 31 de diciembre de este año, que al cerrar el primer semestre apenas ha crecido en otros 1.500. En total, han quedado sin gastar unos 80.000 millones asignados, aunque como este dinero se reutiliza al año siguiente, en realidad solo quedan remanentes por asignar de 40.000 millones en ayudas directas, siempre sin contar los 84.000 millones de créditos asignados a España.  Sumando todas las partidas se comprueba que se ha asignado apenas el 38% de todo el dinero asignado a España por el bloque comunitario en concepto de fondos europeos Next Generation y solo queda hasta el 31 de agosto de 2026 para gastar estos recursos. (The Objective - </w:t>
      </w:r>
      <w:r w:rsidRPr="00286F81">
        <w:rPr>
          <w:rFonts w:ascii="Times New Roman" w:hAnsi="Times New Roman" w:cs="Times New Roman"/>
          <w:b/>
          <w:sz w:val="24"/>
          <w:szCs w:val="24"/>
        </w:rPr>
        <w:t>10/9/25</w:t>
      </w:r>
      <w:r w:rsidRPr="00286F81">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xml:space="preserve">- El gasto público en España alcanzó los 723.000 millones de euros en 2024, lo que representa el 45,4% del PIB. Una partida destacada es el coste del personal. Con casi tres millones de funcionarios, no es de los países de la eurozona con mayor dotación, pero sí se encuentra entre los que más gasta en salarios. Supera en un 15% la media europea, según el informe Las sombras del mercado laboral español, del Instituto Juan de Mairena. </w:t>
      </w:r>
    </w:p>
    <w:p w:rsidR="004E3111" w:rsidRPr="00BD6B3D" w:rsidRDefault="004E3111" w:rsidP="004E3111">
      <w:pPr>
        <w:pStyle w:val="NormalWeb"/>
        <w:shd w:val="clear" w:color="auto" w:fill="FFFFFF"/>
        <w:jc w:val="both"/>
        <w:rPr>
          <w:shd w:val="clear" w:color="auto" w:fill="FFFFFF"/>
        </w:rPr>
      </w:pPr>
      <w:r w:rsidRPr="00BD6B3D">
        <w:rPr>
          <w:shd w:val="clear" w:color="auto" w:fill="FFFFFF"/>
        </w:rPr>
        <w:t>- Según el Boletín Estadístico del Personal al Servicio de las Administraciones Públicas (julio de 2024) del Ministerio para la Transformación Digital y de la Función Pública, en España hay: 1.542.404 funcionarios de carrera, 598.174 empleados de personal laboral, y un total de 2.965.946 empleados públicos, si sumamos otros colectivos como personal estatutario sanitario, militares o personal eventual. Esto representa cerca del 16,9 % de la población ocupada del país.</w:t>
      </w:r>
    </w:p>
    <w:p w:rsidR="004E3111" w:rsidRPr="00BD6B3D" w:rsidRDefault="004E3111" w:rsidP="004E3111">
      <w:pPr>
        <w:pStyle w:val="NormalWeb"/>
        <w:shd w:val="clear" w:color="auto" w:fill="FFFFFF"/>
        <w:jc w:val="both"/>
      </w:pPr>
      <w:r w:rsidRPr="00BD6B3D">
        <w:t>- En España, aproximadamente 21 millones de personas reciben algún tipo de pago o prestación del Estado, lo que representa alrededor del 44% de la población. Esto incluye a funcionarios públicos, pensionistas, beneficiarios de subsidios por desempleo y otras ayudas sociales. Más de la mitad de los españoles dependen de una pensión, subsidio o salario público</w:t>
      </w:r>
      <w: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El empleo público autonómico ya es un 13,1% mayor que antes de la pandemia. Las plantillas de las Administraciones autonómicas se consolidan por encima de los dos millones de asalariados</w:t>
      </w:r>
      <w:r>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Pr>
          <w:rFonts w:ascii="Times New Roman" w:hAnsi="Times New Roman" w:cs="Times New Roman"/>
          <w:sz w:val="24"/>
          <w:szCs w:val="24"/>
        </w:rPr>
        <w:t>- Las CCAA mantienen a 1.772 “chiringuitos”</w:t>
      </w:r>
      <w:r w:rsidRPr="00BD6B3D">
        <w:rPr>
          <w:rFonts w:ascii="Times New Roman" w:hAnsi="Times New Roman" w:cs="Times New Roman"/>
          <w:sz w:val="24"/>
          <w:szCs w:val="24"/>
        </w:rPr>
        <w:t xml:space="preserve"> dónde los partidos pueden enchufar a sus allegados</w:t>
      </w:r>
      <w:r>
        <w:rPr>
          <w:rFonts w:ascii="Times New Roman" w:hAnsi="Times New Roman" w:cs="Times New Roman"/>
          <w:sz w:val="24"/>
          <w:szCs w:val="24"/>
        </w:rPr>
        <w:t>.</w:t>
      </w:r>
      <w:r w:rsidRPr="00BD6B3D">
        <w:rPr>
          <w:rFonts w:ascii="Times New Roman" w:hAnsi="Times New Roman" w:cs="Times New Roman"/>
          <w:sz w:val="24"/>
          <w:szCs w:val="24"/>
        </w:rPr>
        <w:t xml:space="preserve"> (Vozpópuli - </w:t>
      </w:r>
      <w:r w:rsidRPr="00BD6B3D">
        <w:rPr>
          <w:rFonts w:ascii="Times New Roman" w:hAnsi="Times New Roman" w:cs="Times New Roman"/>
          <w:b/>
          <w:sz w:val="24"/>
          <w:szCs w:val="24"/>
        </w:rPr>
        <w:t>26/7/25</w:t>
      </w:r>
      <w:r w:rsidRPr="00BD6B3D">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Los ayuntamie</w:t>
      </w:r>
      <w:r>
        <w:rPr>
          <w:rFonts w:ascii="Times New Roman" w:hAnsi="Times New Roman" w:cs="Times New Roman"/>
          <w:sz w:val="24"/>
          <w:szCs w:val="24"/>
        </w:rPr>
        <w:t>ntos tienen más de 4.000 entes “fantasmas”</w:t>
      </w:r>
      <w:r w:rsidRPr="00BD6B3D">
        <w:rPr>
          <w:rFonts w:ascii="Times New Roman" w:hAnsi="Times New Roman" w:cs="Times New Roman"/>
          <w:sz w:val="24"/>
          <w:szCs w:val="24"/>
        </w:rPr>
        <w:t xml:space="preserve"> donde colocar a enchufados políticos a dedo</w:t>
      </w:r>
      <w:r>
        <w:rPr>
          <w:rFonts w:ascii="Times New Roman" w:hAnsi="Times New Roman" w:cs="Times New Roman"/>
          <w:sz w:val="24"/>
          <w:szCs w:val="24"/>
        </w:rPr>
        <w:t>.</w:t>
      </w:r>
      <w:r w:rsidRPr="00BD6B3D">
        <w:rPr>
          <w:rFonts w:ascii="Times New Roman" w:hAnsi="Times New Roman" w:cs="Times New Roman"/>
          <w:sz w:val="24"/>
          <w:szCs w:val="24"/>
        </w:rPr>
        <w:t xml:space="preserve"> (Vozpópuli - </w:t>
      </w:r>
      <w:r w:rsidRPr="00BD6B3D">
        <w:rPr>
          <w:rFonts w:ascii="Times New Roman" w:hAnsi="Times New Roman" w:cs="Times New Roman"/>
          <w:b/>
          <w:sz w:val="24"/>
          <w:szCs w:val="24"/>
        </w:rPr>
        <w:t>16/8/25</w:t>
      </w:r>
      <w:r w:rsidRPr="00BD6B3D">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Las</w:t>
      </w:r>
      <w:r>
        <w:rPr>
          <w:rFonts w:ascii="Times New Roman" w:hAnsi="Times New Roman" w:cs="Times New Roman"/>
          <w:sz w:val="24"/>
          <w:szCs w:val="24"/>
        </w:rPr>
        <w:t xml:space="preserve"> diputaciones se afianzan como “agencias de colocación”</w:t>
      </w:r>
      <w:r w:rsidRPr="00BD6B3D">
        <w:rPr>
          <w:rFonts w:ascii="Times New Roman" w:hAnsi="Times New Roman" w:cs="Times New Roman"/>
          <w:sz w:val="24"/>
          <w:szCs w:val="24"/>
        </w:rPr>
        <w:t xml:space="preserve"> de políticos con 800 entes instrumentales</w:t>
      </w:r>
      <w:r>
        <w:rPr>
          <w:rFonts w:ascii="Times New Roman" w:hAnsi="Times New Roman" w:cs="Times New Roman"/>
          <w:sz w:val="24"/>
          <w:szCs w:val="24"/>
        </w:rPr>
        <w:t>.</w:t>
      </w:r>
      <w:r w:rsidRPr="00BD6B3D">
        <w:rPr>
          <w:rFonts w:ascii="Times New Roman" w:hAnsi="Times New Roman" w:cs="Times New Roman"/>
          <w:sz w:val="24"/>
          <w:szCs w:val="24"/>
        </w:rPr>
        <w:t xml:space="preserve"> (Vozpópuli - </w:t>
      </w:r>
      <w:r w:rsidRPr="00BD6B3D">
        <w:rPr>
          <w:rFonts w:ascii="Times New Roman" w:hAnsi="Times New Roman" w:cs="Times New Roman"/>
          <w:b/>
          <w:sz w:val="24"/>
          <w:szCs w:val="24"/>
        </w:rPr>
        <w:t>24/8/25</w:t>
      </w:r>
      <w:r w:rsidRPr="00BD6B3D">
        <w:rPr>
          <w:rFonts w:ascii="Times New Roman" w:hAnsi="Times New Roman" w:cs="Times New Roman"/>
          <w:sz w:val="24"/>
          <w:szCs w:val="24"/>
        </w:rPr>
        <w:t>)</w:t>
      </w:r>
    </w:p>
    <w:p w:rsidR="004E3111" w:rsidRDefault="004E3111" w:rsidP="004E3111">
      <w:pPr>
        <w:spacing w:line="240" w:lineRule="auto"/>
        <w:jc w:val="both"/>
        <w:rPr>
          <w:rFonts w:ascii="Times New Roman" w:hAnsi="Times New Roman" w:cs="Times New Roman"/>
          <w:sz w:val="24"/>
          <w:szCs w:val="24"/>
        </w:rPr>
      </w:pPr>
      <w:r>
        <w:rPr>
          <w:rFonts w:ascii="Times New Roman" w:hAnsi="Times New Roman" w:cs="Times New Roman"/>
          <w:sz w:val="24"/>
          <w:szCs w:val="24"/>
        </w:rPr>
        <w:t>- El Gobierno dispone de una “Administración paralela”</w:t>
      </w:r>
      <w:r w:rsidRPr="00BD6B3D">
        <w:rPr>
          <w:rFonts w:ascii="Times New Roman" w:hAnsi="Times New Roman" w:cs="Times New Roman"/>
          <w:sz w:val="24"/>
          <w:szCs w:val="24"/>
        </w:rPr>
        <w:t xml:space="preserve"> con 500 entes públicos para colocar afines. Existe un número importante de entes ‘fantasmas’ de los que se desconoce el sentido de su existencia, de su actividad y de su eficiencia económica. (Vozpópuli - </w:t>
      </w:r>
      <w:r w:rsidRPr="00BD6B3D">
        <w:rPr>
          <w:rFonts w:ascii="Times New Roman" w:hAnsi="Times New Roman" w:cs="Times New Roman"/>
          <w:b/>
          <w:sz w:val="24"/>
          <w:szCs w:val="24"/>
        </w:rPr>
        <w:t>3/8/25</w:t>
      </w:r>
      <w:r w:rsidRPr="00BD6B3D">
        <w:rPr>
          <w:rFonts w:ascii="Times New Roman" w:hAnsi="Times New Roman" w:cs="Times New Roman"/>
          <w:sz w:val="24"/>
          <w:szCs w:val="24"/>
        </w:rPr>
        <w:t>)</w:t>
      </w:r>
    </w:p>
    <w:p w:rsidR="004E3111" w:rsidRDefault="004E3111" w:rsidP="004E3111">
      <w:pPr>
        <w:spacing w:line="240" w:lineRule="auto"/>
        <w:jc w:val="both"/>
        <w:rPr>
          <w:rFonts w:ascii="Times New Roman" w:hAnsi="Times New Roman" w:cs="Times New Roman"/>
          <w:sz w:val="24"/>
          <w:szCs w:val="24"/>
        </w:rPr>
      </w:pPr>
      <w:r w:rsidRPr="00170863">
        <w:rPr>
          <w:rFonts w:ascii="Times New Roman" w:hAnsi="Times New Roman" w:cs="Times New Roman"/>
          <w:sz w:val="24"/>
          <w:szCs w:val="24"/>
        </w:rPr>
        <w:lastRenderedPageBreak/>
        <w:t xml:space="preserve">- El Gobierno tiene 1.259 asesores, de los que 606 son solo para Sánchez (The Objective - </w:t>
      </w:r>
      <w:r w:rsidRPr="00170863">
        <w:rPr>
          <w:rFonts w:ascii="Times New Roman" w:hAnsi="Times New Roman" w:cs="Times New Roman"/>
          <w:b/>
          <w:sz w:val="24"/>
          <w:szCs w:val="24"/>
        </w:rPr>
        <w:t>13/9/25</w:t>
      </w:r>
      <w:r>
        <w:rPr>
          <w:rFonts w:ascii="Times New Roman" w:hAnsi="Times New Roman" w:cs="Times New Roman"/>
          <w:sz w:val="24"/>
          <w:szCs w:val="24"/>
        </w:rPr>
        <w:t xml:space="preserve">). </w:t>
      </w:r>
      <w:r w:rsidRPr="00170863">
        <w:rPr>
          <w:rFonts w:ascii="Times New Roman" w:hAnsi="Times New Roman" w:cs="Times New Roman"/>
          <w:sz w:val="24"/>
          <w:szCs w:val="24"/>
        </w:rPr>
        <w:t>El frenazo de la actividad legislativa, la parálisis política -sin apenas comparecencias públicas- y la cor</w:t>
      </w:r>
      <w:r>
        <w:rPr>
          <w:rFonts w:ascii="Times New Roman" w:hAnsi="Times New Roman" w:cs="Times New Roman"/>
          <w:sz w:val="24"/>
          <w:szCs w:val="24"/>
        </w:rPr>
        <w:t>rupción -que cerca La Moncloa-</w:t>
      </w:r>
      <w:r w:rsidRPr="00170863">
        <w:rPr>
          <w:rFonts w:ascii="Times New Roman" w:hAnsi="Times New Roman" w:cs="Times New Roman"/>
          <w:sz w:val="24"/>
          <w:szCs w:val="24"/>
        </w:rPr>
        <w:t xml:space="preserve"> no han impedido la contratación de una legión de asesores y personal de confianza por parte del Gobierno. Este colectivo, designado a dedo y que cuenta con muchos de los privilegios de los funcionarios, tiene vinculado su cargo a la trayectoria </w:t>
      </w:r>
      <w:r>
        <w:rPr>
          <w:rFonts w:ascii="Times New Roman" w:hAnsi="Times New Roman" w:cs="Times New Roman"/>
          <w:sz w:val="24"/>
          <w:szCs w:val="24"/>
        </w:rPr>
        <w:t>de quién o quiénes los nombran.</w:t>
      </w:r>
    </w:p>
    <w:p w:rsidR="004E3111" w:rsidRDefault="004E3111" w:rsidP="004E3111">
      <w:pPr>
        <w:spacing w:line="240" w:lineRule="auto"/>
        <w:jc w:val="both"/>
        <w:rPr>
          <w:rFonts w:ascii="Times New Roman" w:hAnsi="Times New Roman" w:cs="Times New Roman"/>
          <w:sz w:val="24"/>
          <w:szCs w:val="24"/>
        </w:rPr>
      </w:pPr>
      <w:r>
        <w:rPr>
          <w:rFonts w:ascii="Times New Roman" w:hAnsi="Times New Roman" w:cs="Times New Roman"/>
          <w:sz w:val="24"/>
          <w:szCs w:val="24"/>
        </w:rPr>
        <w:t>- El Gobierno crea el “observatorio público”</w:t>
      </w:r>
      <w:r w:rsidRPr="00F34371">
        <w:rPr>
          <w:rFonts w:ascii="Times New Roman" w:hAnsi="Times New Roman" w:cs="Times New Roman"/>
          <w:sz w:val="24"/>
          <w:szCs w:val="24"/>
        </w:rPr>
        <w:t xml:space="preserve"> 363 de España: “Nadie controla el sindiós” (The Objective - </w:t>
      </w:r>
      <w:r w:rsidRPr="00F34371">
        <w:rPr>
          <w:rFonts w:ascii="Times New Roman" w:hAnsi="Times New Roman" w:cs="Times New Roman"/>
          <w:b/>
          <w:sz w:val="24"/>
          <w:szCs w:val="24"/>
        </w:rPr>
        <w:t>10/9/25</w:t>
      </w:r>
      <w:r w:rsidRPr="00F34371">
        <w:rPr>
          <w:rFonts w:ascii="Times New Roman" w:hAnsi="Times New Roman" w:cs="Times New Roman"/>
          <w:sz w:val="24"/>
          <w:szCs w:val="24"/>
        </w:rPr>
        <w:t>). Observatorio contra el Fraude y la Corrupción Sanitaria, Observatorio de Salud de las Mujeres, Observatorio de Igualdad, Observatorio de Infancia, Observatorio de Derechos Digitales, Observatorio Permanente del Mercado de los Servicios Portuarios, Observatorio del Flamenco, Observatorio de Emancipación, Observatorio Canario del Cambio Climático, Observatorio del Agua, Observatorio Ibérico de la Minería… De un tiempo a esta parte, afloran sin control en España los observatorios públicos. El último, anunciado este martes por la ministra de Sanidad, Mónica García: el Observatorio para la Prevención del Tabaquismo. Con este, ya son 363.</w:t>
      </w:r>
    </w:p>
    <w:p w:rsidR="004E3111" w:rsidRDefault="004E3111" w:rsidP="004E3111">
      <w:pPr>
        <w:spacing w:line="240" w:lineRule="auto"/>
        <w:jc w:val="both"/>
        <w:rPr>
          <w:rFonts w:ascii="Times New Roman" w:hAnsi="Times New Roman" w:cs="Times New Roman"/>
          <w:sz w:val="24"/>
          <w:szCs w:val="24"/>
        </w:rPr>
      </w:pPr>
      <w:r>
        <w:rPr>
          <w:rFonts w:ascii="Times New Roman" w:hAnsi="Times New Roman" w:cs="Times New Roman"/>
          <w:sz w:val="24"/>
          <w:szCs w:val="24"/>
        </w:rPr>
        <w:t>- La última “ocurrencia”</w:t>
      </w:r>
      <w:r w:rsidRPr="00170863">
        <w:rPr>
          <w:rFonts w:ascii="Times New Roman" w:hAnsi="Times New Roman" w:cs="Times New Roman"/>
          <w:sz w:val="24"/>
          <w:szCs w:val="24"/>
        </w:rPr>
        <w:t xml:space="preserve"> de la agenda woke del Gobi</w:t>
      </w:r>
      <w:r>
        <w:rPr>
          <w:rFonts w:ascii="Times New Roman" w:hAnsi="Times New Roman" w:cs="Times New Roman"/>
          <w:sz w:val="24"/>
          <w:szCs w:val="24"/>
        </w:rPr>
        <w:t>erno: clases de “ocio saludable”</w:t>
      </w:r>
      <w:r w:rsidRPr="00170863">
        <w:rPr>
          <w:rFonts w:ascii="Times New Roman" w:hAnsi="Times New Roman" w:cs="Times New Roman"/>
          <w:sz w:val="24"/>
          <w:szCs w:val="24"/>
        </w:rPr>
        <w:t xml:space="preserve"> a pobres de solemnidad (Vozpópuli - </w:t>
      </w:r>
      <w:r w:rsidRPr="00170863">
        <w:rPr>
          <w:rFonts w:ascii="Times New Roman" w:hAnsi="Times New Roman" w:cs="Times New Roman"/>
          <w:b/>
          <w:sz w:val="24"/>
          <w:szCs w:val="24"/>
        </w:rPr>
        <w:t>14/9/25</w:t>
      </w:r>
      <w:r>
        <w:rPr>
          <w:rFonts w:ascii="Times New Roman" w:hAnsi="Times New Roman" w:cs="Times New Roman"/>
          <w:sz w:val="24"/>
          <w:szCs w:val="24"/>
        </w:rPr>
        <w:t xml:space="preserve">). </w:t>
      </w:r>
      <w:r w:rsidRPr="00170863">
        <w:rPr>
          <w:rFonts w:ascii="Times New Roman" w:hAnsi="Times New Roman" w:cs="Times New Roman"/>
          <w:sz w:val="24"/>
          <w:szCs w:val="24"/>
        </w:rPr>
        <w:t xml:space="preserve">Sanidad </w:t>
      </w:r>
      <w:r>
        <w:rPr>
          <w:rFonts w:ascii="Times New Roman" w:hAnsi="Times New Roman" w:cs="Times New Roman"/>
          <w:sz w:val="24"/>
          <w:szCs w:val="24"/>
        </w:rPr>
        <w:t>destina 112 millones a enseñar “ocio saludable” y “enfoque de equidad”</w:t>
      </w:r>
      <w:r w:rsidRPr="00170863">
        <w:rPr>
          <w:rFonts w:ascii="Times New Roman" w:hAnsi="Times New Roman" w:cs="Times New Roman"/>
          <w:sz w:val="24"/>
          <w:szCs w:val="24"/>
        </w:rPr>
        <w:t xml:space="preserve"> a personas en riesgo de pobreza o exclusión social</w:t>
      </w:r>
      <w:r>
        <w:rPr>
          <w:rFonts w:ascii="Times New Roman" w:hAnsi="Times New Roman" w:cs="Times New Roman"/>
          <w:sz w:val="24"/>
          <w:szCs w:val="24"/>
        </w:rPr>
        <w:t>. El lamento oficial por la “</w:t>
      </w:r>
      <w:r w:rsidRPr="00170863">
        <w:rPr>
          <w:rFonts w:ascii="Times New Roman" w:hAnsi="Times New Roman" w:cs="Times New Roman"/>
          <w:sz w:val="24"/>
          <w:szCs w:val="24"/>
        </w:rPr>
        <w:t>masculinización del t</w:t>
      </w:r>
      <w:r>
        <w:rPr>
          <w:rFonts w:ascii="Times New Roman" w:hAnsi="Times New Roman" w:cs="Times New Roman"/>
          <w:sz w:val="24"/>
          <w:szCs w:val="24"/>
        </w:rPr>
        <w:t>erritorio” español, la campaña “Hoy f*llas seguro”</w:t>
      </w:r>
      <w:r w:rsidRPr="00170863">
        <w:rPr>
          <w:rFonts w:ascii="Times New Roman" w:hAnsi="Times New Roman" w:cs="Times New Roman"/>
          <w:sz w:val="24"/>
          <w:szCs w:val="24"/>
        </w:rPr>
        <w:t xml:space="preserve"> de Sanidad, el apoyo de Asuntos Exteriores a una Bienal Afrodiaspórica e</w:t>
      </w:r>
      <w:r>
        <w:rPr>
          <w:rFonts w:ascii="Times New Roman" w:hAnsi="Times New Roman" w:cs="Times New Roman"/>
          <w:sz w:val="24"/>
          <w:szCs w:val="24"/>
        </w:rPr>
        <w:t>n Colombia, la subvención a la “</w:t>
      </w:r>
      <w:r w:rsidRPr="00170863">
        <w:rPr>
          <w:rFonts w:ascii="Times New Roman" w:hAnsi="Times New Roman" w:cs="Times New Roman"/>
          <w:sz w:val="24"/>
          <w:szCs w:val="24"/>
        </w:rPr>
        <w:t>cartog</w:t>
      </w:r>
      <w:r>
        <w:rPr>
          <w:rFonts w:ascii="Times New Roman" w:hAnsi="Times New Roman" w:cs="Times New Roman"/>
          <w:sz w:val="24"/>
          <w:szCs w:val="24"/>
        </w:rPr>
        <w:t>rafía urbana en clave de género”</w:t>
      </w:r>
      <w:r w:rsidRPr="00170863">
        <w:rPr>
          <w:rFonts w:ascii="Times New Roman" w:hAnsi="Times New Roman" w:cs="Times New Roman"/>
          <w:sz w:val="24"/>
          <w:szCs w:val="24"/>
        </w:rPr>
        <w:t>, la declaración como Bien de Interés Cultural de la sede de los Sindicatos franquistas ocultando que lo fue…  Son ejemplos recientes de iniciativas insólitas, extravagantes o ridículas del Gobierno y de otros poderes públicos.</w:t>
      </w:r>
      <w:r>
        <w:rPr>
          <w:rFonts w:ascii="Times New Roman" w:hAnsi="Times New Roman" w:cs="Times New Roman"/>
          <w:sz w:val="24"/>
          <w:szCs w:val="24"/>
        </w:rPr>
        <w:t xml:space="preserve"> </w:t>
      </w:r>
      <w:r w:rsidRPr="00142287">
        <w:rPr>
          <w:rFonts w:ascii="Times New Roman" w:hAnsi="Times New Roman" w:cs="Times New Roman"/>
          <w:sz w:val="24"/>
          <w:szCs w:val="24"/>
        </w:rPr>
        <w:t xml:space="preserve">Los casi 4 millones de euros dedicados por el Ministerio de Igualdad de Ana Redondo a la </w:t>
      </w:r>
      <w:r>
        <w:rPr>
          <w:rFonts w:ascii="Times New Roman" w:hAnsi="Times New Roman" w:cs="Times New Roman"/>
          <w:sz w:val="24"/>
          <w:szCs w:val="24"/>
        </w:rPr>
        <w:t>campaña “Por huevos”</w:t>
      </w:r>
      <w:r w:rsidRPr="00142287">
        <w:rPr>
          <w:rFonts w:ascii="Times New Roman" w:hAnsi="Times New Roman" w:cs="Times New Roman"/>
          <w:sz w:val="24"/>
          <w:szCs w:val="24"/>
        </w:rPr>
        <w:t xml:space="preserve"> para una “masculinidad más libre y más feminista” superan lo gastado por el Ministerio de Sanidad de Mónica Garcí</w:t>
      </w:r>
      <w:r>
        <w:rPr>
          <w:rFonts w:ascii="Times New Roman" w:hAnsi="Times New Roman" w:cs="Times New Roman"/>
          <w:sz w:val="24"/>
          <w:szCs w:val="24"/>
        </w:rPr>
        <w:t>a en la operación que prometía “Hoy f*llas seguro”</w:t>
      </w:r>
      <w:r w:rsidRPr="00142287">
        <w:rPr>
          <w:rFonts w:ascii="Times New Roman" w:hAnsi="Times New Roman" w:cs="Times New Roman"/>
          <w:sz w:val="24"/>
          <w:szCs w:val="24"/>
        </w:rPr>
        <w:t xml:space="preserve"> “dirigida especialmente a hombres GBHSH”. La misma ministra García dispone de 112,6 mill</w:t>
      </w:r>
      <w:r>
        <w:rPr>
          <w:rFonts w:ascii="Times New Roman" w:hAnsi="Times New Roman" w:cs="Times New Roman"/>
          <w:sz w:val="24"/>
          <w:szCs w:val="24"/>
        </w:rPr>
        <w:t>ones de euros para el programa “Tardes con Plan”</w:t>
      </w:r>
      <w:r w:rsidRPr="00142287">
        <w:rPr>
          <w:rFonts w:ascii="Times New Roman" w:hAnsi="Times New Roman" w:cs="Times New Roman"/>
          <w:sz w:val="24"/>
          <w:szCs w:val="24"/>
        </w:rPr>
        <w:t>, una millonaria cantidad destinada a las ONG que promuevan entre niños y mayores en riesgo de pobreza o exclusión social “acciones de ocio educativo y saludable, programas de estilos de vida saludable con enfoque de equidad”, como método de “lucha contra la pobreza”.</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xml:space="preserve">- En España, existen aproximadamente 2.282 empresas públicas que gestionan 226.000 millones de euros en activos. Estas empresas son entidades dependientes de las administraciones públicas (estatal, autonómica y local) e incluyen empresas, consorcios y fundaciones. Además, hay un total de 5.121 entes públicos en España, según el Inventario de entes públicos. (Libre Mercado - </w:t>
      </w:r>
      <w:r w:rsidRPr="00BD6B3D">
        <w:rPr>
          <w:rFonts w:ascii="Times New Roman" w:hAnsi="Times New Roman" w:cs="Times New Roman"/>
          <w:b/>
          <w:sz w:val="24"/>
          <w:szCs w:val="24"/>
          <w:shd w:val="clear" w:color="auto" w:fill="FFFFFF"/>
        </w:rPr>
        <w:t>17/3/19</w:t>
      </w:r>
      <w:r w:rsidRPr="00BD6B3D">
        <w:rPr>
          <w:rFonts w:ascii="Times New Roman" w:hAnsi="Times New Roman" w:cs="Times New Roman"/>
          <w:sz w:val="24"/>
          <w:szCs w:val="24"/>
          <w:shd w:val="clear" w:color="auto" w:fill="FFFFFF"/>
        </w:rPr>
        <w:t>)</w:t>
      </w:r>
    </w:p>
    <w:p w:rsidR="004E3111" w:rsidRPr="00BD6B3D" w:rsidRDefault="004E3111" w:rsidP="004E3111">
      <w:pPr>
        <w:spacing w:line="240" w:lineRule="auto"/>
        <w:jc w:val="both"/>
        <w:rPr>
          <w:rFonts w:ascii="Times New Roman" w:hAnsi="Times New Roman" w:cs="Times New Roman"/>
          <w:color w:val="000000"/>
          <w:sz w:val="24"/>
          <w:szCs w:val="24"/>
          <w:shd w:val="clear" w:color="auto" w:fill="FFFFFF"/>
        </w:rPr>
      </w:pPr>
      <w:r w:rsidRPr="00BD6B3D">
        <w:rPr>
          <w:rFonts w:ascii="Times New Roman" w:hAnsi="Times New Roman" w:cs="Times New Roman"/>
          <w:sz w:val="24"/>
          <w:szCs w:val="24"/>
        </w:rPr>
        <w:t xml:space="preserve">- Con los datos sobre la mesa, se destaca que en el año 2023, el Ejecutivo nacional destinó un 50,1% de los costes de producción a la pagar las nóminas de los trabajadores del sector público, mientras que la media de los países de la OCDE destinaron un 42,1% de media. </w:t>
      </w:r>
      <w:r w:rsidRPr="00BD6B3D">
        <w:rPr>
          <w:rFonts w:ascii="Times New Roman" w:hAnsi="Times New Roman" w:cs="Times New Roman"/>
          <w:color w:val="000000"/>
          <w:sz w:val="24"/>
          <w:szCs w:val="24"/>
          <w:shd w:val="clear" w:color="auto" w:fill="FFFFFF"/>
        </w:rPr>
        <w:t xml:space="preserve">El gasto en nóminas del sector público llega a su máximo con 172.350 millones. Las nóminas de los empleados públicos cuestan un 8% más que la media de la OCDE. (El Economista - </w:t>
      </w:r>
      <w:r w:rsidRPr="00BD6B3D">
        <w:rPr>
          <w:rFonts w:ascii="Times New Roman" w:hAnsi="Times New Roman" w:cs="Times New Roman"/>
          <w:b/>
          <w:color w:val="000000"/>
          <w:sz w:val="24"/>
          <w:szCs w:val="24"/>
          <w:shd w:val="clear" w:color="auto" w:fill="FFFFFF"/>
        </w:rPr>
        <w:t>30/6/25</w:t>
      </w:r>
      <w:r w:rsidRPr="00BD6B3D">
        <w:rPr>
          <w:rFonts w:ascii="Times New Roman" w:hAnsi="Times New Roman" w:cs="Times New Roman"/>
          <w:color w:val="000000"/>
          <w:sz w:val="24"/>
          <w:szCs w:val="24"/>
          <w:shd w:val="clear" w:color="auto" w:fill="FFFFFF"/>
        </w:rPr>
        <w:t xml:space="preserve">) </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El país de las subvenciones: las administraciones reparten 100.000 millones a 27.000 empresas, partidos y entes</w:t>
      </w:r>
      <w:r>
        <w:rPr>
          <w:rFonts w:ascii="Times New Roman" w:hAnsi="Times New Roman" w:cs="Times New Roman"/>
          <w:sz w:val="24"/>
          <w:szCs w:val="24"/>
          <w:shd w:val="clear" w:color="auto" w:fill="FFFFFF"/>
        </w:rPr>
        <w:t>.</w:t>
      </w:r>
      <w:r w:rsidRPr="00BD6B3D">
        <w:rPr>
          <w:rFonts w:ascii="Times New Roman" w:hAnsi="Times New Roman" w:cs="Times New Roman"/>
          <w:sz w:val="24"/>
          <w:szCs w:val="24"/>
          <w:shd w:val="clear" w:color="auto" w:fill="FFFFFF"/>
        </w:rPr>
        <w:t xml:space="preserve"> (Vozpópuli - </w:t>
      </w:r>
      <w:r w:rsidRPr="00BD6B3D">
        <w:rPr>
          <w:rFonts w:ascii="Times New Roman" w:hAnsi="Times New Roman" w:cs="Times New Roman"/>
          <w:b/>
          <w:sz w:val="24"/>
          <w:szCs w:val="24"/>
          <w:shd w:val="clear" w:color="auto" w:fill="FFFFFF"/>
        </w:rPr>
        <w:t>17/4/24</w:t>
      </w:r>
      <w:r w:rsidRPr="00BD6B3D">
        <w:rPr>
          <w:rFonts w:ascii="Times New Roman" w:hAnsi="Times New Roman" w:cs="Times New Roman"/>
          <w:sz w:val="24"/>
          <w:szCs w:val="24"/>
          <w:shd w:val="clear" w:color="auto" w:fill="FFFFFF"/>
        </w:rPr>
        <w:t xml:space="preserve">) </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El país de las subvenciones: España gasta en subsidios un 60% más que la media de la Unión Europea</w:t>
      </w:r>
      <w:r>
        <w:rPr>
          <w:rFonts w:ascii="Times New Roman" w:hAnsi="Times New Roman" w:cs="Times New Roman"/>
          <w:sz w:val="24"/>
          <w:szCs w:val="24"/>
          <w:shd w:val="clear" w:color="auto" w:fill="FFFFFF"/>
        </w:rPr>
        <w:t>.</w:t>
      </w:r>
      <w:r w:rsidRPr="00BD6B3D">
        <w:rPr>
          <w:rFonts w:ascii="Times New Roman" w:hAnsi="Times New Roman" w:cs="Times New Roman"/>
          <w:sz w:val="24"/>
          <w:szCs w:val="24"/>
          <w:shd w:val="clear" w:color="auto" w:fill="FFFFFF"/>
        </w:rPr>
        <w:t xml:space="preserve"> (okdiario.com - </w:t>
      </w:r>
      <w:r w:rsidRPr="00BD6B3D">
        <w:rPr>
          <w:rFonts w:ascii="Times New Roman" w:hAnsi="Times New Roman" w:cs="Times New Roman"/>
          <w:b/>
          <w:sz w:val="24"/>
          <w:szCs w:val="24"/>
          <w:shd w:val="clear" w:color="auto" w:fill="FFFFFF"/>
        </w:rPr>
        <w:t>12/12/24</w:t>
      </w:r>
      <w:r w:rsidRPr="00BD6B3D">
        <w:rPr>
          <w:rFonts w:ascii="Times New Roman" w:hAnsi="Times New Roman" w:cs="Times New Roman"/>
          <w:sz w:val="24"/>
          <w:szCs w:val="24"/>
          <w:shd w:val="clear" w:color="auto" w:fill="FFFFFF"/>
        </w:rPr>
        <w:t>)</w:t>
      </w:r>
    </w:p>
    <w:p w:rsidR="004E3111" w:rsidRPr="00BD6B3D" w:rsidRDefault="004E3111" w:rsidP="004E3111">
      <w:pPr>
        <w:shd w:val="clear" w:color="auto" w:fill="FFFFFF"/>
        <w:spacing w:after="170" w:line="240" w:lineRule="auto"/>
        <w:jc w:val="both"/>
        <w:textAlignment w:val="baseline"/>
        <w:outlineLvl w:val="0"/>
        <w:rPr>
          <w:rFonts w:ascii="Times New Roman" w:eastAsia="Times New Roman" w:hAnsi="Times New Roman" w:cs="Times New Roman"/>
          <w:bCs/>
          <w:kern w:val="36"/>
          <w:sz w:val="24"/>
          <w:szCs w:val="24"/>
          <w:lang w:eastAsia="es-ES"/>
        </w:rPr>
      </w:pPr>
      <w:r w:rsidRPr="00BD6B3D">
        <w:rPr>
          <w:rFonts w:ascii="Times New Roman" w:eastAsia="Times New Roman" w:hAnsi="Times New Roman" w:cs="Times New Roman"/>
          <w:bCs/>
          <w:kern w:val="36"/>
          <w:sz w:val="24"/>
          <w:szCs w:val="24"/>
          <w:lang w:eastAsia="es-ES"/>
        </w:rPr>
        <w:lastRenderedPageBreak/>
        <w:t>- Sánchez reparte 5.000 millones en subvenciones en 2024 a más de 6.000 organismos</w:t>
      </w:r>
      <w:r>
        <w:rPr>
          <w:rFonts w:ascii="Times New Roman" w:eastAsia="Times New Roman" w:hAnsi="Times New Roman" w:cs="Times New Roman"/>
          <w:bCs/>
          <w:kern w:val="36"/>
          <w:sz w:val="24"/>
          <w:szCs w:val="24"/>
          <w:lang w:eastAsia="es-ES"/>
        </w:rPr>
        <w:t>.</w:t>
      </w:r>
      <w:r w:rsidRPr="00BD6B3D">
        <w:rPr>
          <w:rFonts w:ascii="Times New Roman" w:eastAsia="Times New Roman" w:hAnsi="Times New Roman" w:cs="Times New Roman"/>
          <w:bCs/>
          <w:kern w:val="36"/>
          <w:sz w:val="24"/>
          <w:szCs w:val="24"/>
          <w:lang w:eastAsia="es-ES"/>
        </w:rPr>
        <w:t xml:space="preserve"> (Libertad Digital - </w:t>
      </w:r>
      <w:r w:rsidRPr="00BD6B3D">
        <w:rPr>
          <w:rFonts w:ascii="Times New Roman" w:eastAsia="Times New Roman" w:hAnsi="Times New Roman" w:cs="Times New Roman"/>
          <w:b/>
          <w:bCs/>
          <w:kern w:val="36"/>
          <w:sz w:val="24"/>
          <w:szCs w:val="24"/>
          <w:lang w:eastAsia="es-ES"/>
        </w:rPr>
        <w:t>5/7/25</w:t>
      </w:r>
      <w:r w:rsidRPr="00BD6B3D">
        <w:rPr>
          <w:rFonts w:ascii="Times New Roman" w:eastAsia="Times New Roman" w:hAnsi="Times New Roman" w:cs="Times New Roman"/>
          <w:bCs/>
          <w:kern w:val="36"/>
          <w:sz w:val="24"/>
          <w:szCs w:val="24"/>
          <w:lang w:eastAsia="es-ES"/>
        </w:rPr>
        <w:t>)</w:t>
      </w:r>
    </w:p>
    <w:p w:rsidR="004E3111"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CCOO y UGT recibieron más de 380 millones de euros en subvenciones entre 2020 y 2024</w:t>
      </w:r>
      <w:r>
        <w:rPr>
          <w:rFonts w:ascii="Times New Roman" w:hAnsi="Times New Roman" w:cs="Times New Roman"/>
          <w:sz w:val="24"/>
          <w:szCs w:val="24"/>
          <w:shd w:val="clear" w:color="auto" w:fill="FFFFFF"/>
        </w:rPr>
        <w:t>.</w:t>
      </w:r>
      <w:r w:rsidRPr="00BD6B3D">
        <w:rPr>
          <w:rFonts w:ascii="Times New Roman" w:hAnsi="Times New Roman" w:cs="Times New Roman"/>
          <w:sz w:val="24"/>
          <w:szCs w:val="24"/>
          <w:shd w:val="clear" w:color="auto" w:fill="FFFFFF"/>
        </w:rPr>
        <w:t xml:space="preserve"> (La Razón - Europa Press - </w:t>
      </w:r>
      <w:r w:rsidRPr="00BD6B3D">
        <w:rPr>
          <w:rFonts w:ascii="Times New Roman" w:hAnsi="Times New Roman" w:cs="Times New Roman"/>
          <w:b/>
          <w:sz w:val="24"/>
          <w:szCs w:val="24"/>
          <w:shd w:val="clear" w:color="auto" w:fill="FFFFFF"/>
        </w:rPr>
        <w:t>3/2/25</w:t>
      </w:r>
      <w:r w:rsidRPr="00BD6B3D">
        <w:rPr>
          <w:rFonts w:ascii="Times New Roman" w:hAnsi="Times New Roman" w:cs="Times New Roman"/>
          <w:sz w:val="24"/>
          <w:szCs w:val="24"/>
          <w:shd w:val="clear" w:color="auto" w:fill="FFFFFF"/>
        </w:rPr>
        <w:t>)</w:t>
      </w:r>
    </w:p>
    <w:p w:rsidR="004E3111" w:rsidRPr="001101BD" w:rsidRDefault="004E3111" w:rsidP="004E3111">
      <w:pPr>
        <w:spacing w:line="240" w:lineRule="auto"/>
        <w:jc w:val="both"/>
        <w:rPr>
          <w:rFonts w:ascii="Times New Roman" w:hAnsi="Times New Roman" w:cs="Times New Roman"/>
          <w:sz w:val="24"/>
          <w:szCs w:val="24"/>
        </w:rPr>
      </w:pPr>
      <w:r w:rsidRPr="00374464">
        <w:rPr>
          <w:rFonts w:ascii="Times New Roman" w:hAnsi="Times New Roman" w:cs="Times New Roman"/>
          <w:sz w:val="24"/>
          <w:szCs w:val="24"/>
        </w:rPr>
        <w:t>- El 60% de las empresas de la SEPI están en números rojos y duplican sus pérdidas (The</w:t>
      </w:r>
      <w:r w:rsidRPr="001101BD">
        <w:rPr>
          <w:rFonts w:ascii="Times New Roman" w:hAnsi="Times New Roman" w:cs="Times New Roman"/>
          <w:sz w:val="24"/>
          <w:szCs w:val="24"/>
        </w:rPr>
        <w:t xml:space="preserve"> Objective - </w:t>
      </w:r>
      <w:r w:rsidRPr="001101BD">
        <w:rPr>
          <w:rFonts w:ascii="Times New Roman" w:hAnsi="Times New Roman" w:cs="Times New Roman"/>
          <w:b/>
          <w:sz w:val="24"/>
          <w:szCs w:val="24"/>
        </w:rPr>
        <w:t>2/9/25</w:t>
      </w:r>
      <w:r w:rsidRPr="001101BD">
        <w:rPr>
          <w:rFonts w:ascii="Times New Roman" w:hAnsi="Times New Roman" w:cs="Times New Roman"/>
          <w:sz w:val="24"/>
          <w:szCs w:val="24"/>
        </w:rPr>
        <w:t>) El balance económico de las empresas controladas por la Sociedad Estatal de Participaciones Industriales (SEPI) ha vuelto a ser desastroso. Las cuentas consolidadas del holding público a las qu</w:t>
      </w:r>
      <w:r>
        <w:rPr>
          <w:rFonts w:ascii="Times New Roman" w:hAnsi="Times New Roman" w:cs="Times New Roman"/>
          <w:sz w:val="24"/>
          <w:szCs w:val="24"/>
        </w:rPr>
        <w:t>e ha tenido acceso The Objective</w:t>
      </w:r>
      <w:r w:rsidRPr="001101BD">
        <w:rPr>
          <w:rFonts w:ascii="Times New Roman" w:hAnsi="Times New Roman" w:cs="Times New Roman"/>
          <w:sz w:val="24"/>
          <w:szCs w:val="24"/>
        </w:rPr>
        <w:t xml:space="preserve"> reflejan que sus pérdidas operativas conjuntas se duplicaron por encima de los 700 millones de euros en 2024, un nuevo récord que confirma -un año más- los problemas estructurales de la mayoría de estas compañías: elevados costes, deudas disparadas, problemas para generar ingresos y grandes dificultades para ser competitivas.</w:t>
      </w:r>
    </w:p>
    <w:p w:rsidR="004E3111" w:rsidRDefault="004E3111" w:rsidP="004E3111">
      <w:pPr>
        <w:spacing w:line="240" w:lineRule="auto"/>
        <w:jc w:val="both"/>
        <w:rPr>
          <w:rFonts w:ascii="Times New Roman" w:hAnsi="Times New Roman" w:cs="Times New Roman"/>
          <w:sz w:val="24"/>
          <w:szCs w:val="24"/>
        </w:rPr>
      </w:pPr>
      <w:r>
        <w:rPr>
          <w:rFonts w:ascii="Times New Roman" w:hAnsi="Times New Roman" w:cs="Times New Roman"/>
          <w:sz w:val="24"/>
          <w:szCs w:val="24"/>
        </w:rPr>
        <w:t>- La SEPI</w:t>
      </w:r>
      <w:r w:rsidRPr="0053150B">
        <w:rPr>
          <w:rFonts w:ascii="Times New Roman" w:hAnsi="Times New Roman" w:cs="Times New Roman"/>
          <w:sz w:val="24"/>
          <w:szCs w:val="24"/>
        </w:rPr>
        <w:t xml:space="preserve"> acuerda con Bruselas tiempo extra para recuperar el dinero de los rescates (El Economista - </w:t>
      </w:r>
      <w:r w:rsidRPr="0053150B">
        <w:rPr>
          <w:rFonts w:ascii="Times New Roman" w:hAnsi="Times New Roman" w:cs="Times New Roman"/>
          <w:b/>
          <w:sz w:val="24"/>
          <w:szCs w:val="24"/>
        </w:rPr>
        <w:t>9/9/25</w:t>
      </w:r>
      <w:r w:rsidRPr="0053150B">
        <w:rPr>
          <w:rFonts w:ascii="Times New Roman" w:hAnsi="Times New Roman" w:cs="Times New Roman"/>
          <w:sz w:val="24"/>
          <w:szCs w:val="24"/>
        </w:rPr>
        <w:t>). El Gobierno quiere resolver la patata caliente de los 3.000 millones concedidos a las grandes empresas españolas en el marco de la pandemia del coronavirus a través de su fondo de rescate Fasee (Fondo de Apoyo a la Solvencia de Empresas Estratégicas), creado ad hoc para esta misión. El organismo que preside Belén Gualda ha acordado con las autoridades europeas extender los plazos legales y recuperar las ayudas concedidas más allá del límite fijado, el año 2029, según indican distintas fuentes financieras consultadas por elEconomista.es. La necesidad llega porque algunas de estas firmas no se han recuperado al ritmo esperado.</w:t>
      </w:r>
    </w:p>
    <w:p w:rsidR="004E3111" w:rsidRPr="0053150B" w:rsidRDefault="004E3111" w:rsidP="004E3111">
      <w:pPr>
        <w:spacing w:line="240" w:lineRule="auto"/>
        <w:jc w:val="both"/>
        <w:rPr>
          <w:rFonts w:ascii="Times New Roman" w:hAnsi="Times New Roman" w:cs="Times New Roman"/>
          <w:sz w:val="24"/>
          <w:szCs w:val="24"/>
        </w:rPr>
      </w:pPr>
      <w:r w:rsidRPr="00374464">
        <w:rPr>
          <w:rFonts w:ascii="Times New Roman" w:hAnsi="Times New Roman" w:cs="Times New Roman"/>
          <w:sz w:val="24"/>
          <w:szCs w:val="24"/>
        </w:rPr>
        <w:t xml:space="preserve">- Cuatro rescatadas por la SEPI están en riesgo de quiebra y complican el pago de 187 millones (The Objective - </w:t>
      </w:r>
      <w:r w:rsidRPr="00374464">
        <w:rPr>
          <w:rFonts w:ascii="Times New Roman" w:hAnsi="Times New Roman" w:cs="Times New Roman"/>
          <w:b/>
          <w:sz w:val="24"/>
          <w:szCs w:val="24"/>
        </w:rPr>
        <w:t>12/9/25</w:t>
      </w:r>
      <w:r w:rsidRPr="00374464">
        <w:rPr>
          <w:rFonts w:ascii="Times New Roman" w:hAnsi="Times New Roman" w:cs="Times New Roman"/>
          <w:sz w:val="24"/>
          <w:szCs w:val="24"/>
        </w:rPr>
        <w:t>). Duro Felguera, Industrias Losán, Imasa y Meeting Point</w:t>
      </w:r>
      <w:r w:rsidRPr="001101BD">
        <w:rPr>
          <w:rFonts w:ascii="Times New Roman" w:hAnsi="Times New Roman" w:cs="Times New Roman"/>
          <w:sz w:val="24"/>
          <w:szCs w:val="24"/>
        </w:rPr>
        <w:t xml:space="preserve"> abordan procesos de reestructuración y de venta de activos. La información contenida en las cuentas anuales del Fondo de Ayuda a la Solvencia de las Empresas Estratégicas (Fasee) a la que ha tenido acceso The Objective indica que en riesgo está el pago de al menos 187 millones de euros de recursos públicos.</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La publicidad institucional, al descubierto: superó los 200 M€ el año pasado</w:t>
      </w:r>
      <w:r>
        <w:rPr>
          <w:rFonts w:ascii="Times New Roman" w:hAnsi="Times New Roman" w:cs="Times New Roman"/>
          <w:sz w:val="24"/>
          <w:szCs w:val="24"/>
          <w:shd w:val="clear" w:color="auto" w:fill="FFFFFF"/>
        </w:rPr>
        <w:t>.</w:t>
      </w:r>
      <w:r w:rsidRPr="00BD6B3D">
        <w:rPr>
          <w:rFonts w:ascii="Times New Roman" w:hAnsi="Times New Roman" w:cs="Times New Roman"/>
          <w:sz w:val="24"/>
          <w:szCs w:val="24"/>
          <w:shd w:val="clear" w:color="auto" w:fill="FFFFFF"/>
        </w:rPr>
        <w:t xml:space="preserve">  (Fuente: dircomfidencial.com - </w:t>
      </w:r>
      <w:r w:rsidRPr="00BD6B3D">
        <w:rPr>
          <w:rFonts w:ascii="Times New Roman" w:hAnsi="Times New Roman" w:cs="Times New Roman"/>
          <w:b/>
          <w:sz w:val="24"/>
          <w:szCs w:val="24"/>
          <w:shd w:val="clear" w:color="auto" w:fill="FFFFFF"/>
        </w:rPr>
        <w:t>3/4/24</w:t>
      </w:r>
      <w:r w:rsidRPr="00BD6B3D">
        <w:rPr>
          <w:rFonts w:ascii="Times New Roman" w:hAnsi="Times New Roman" w:cs="Times New Roman"/>
          <w:sz w:val="24"/>
          <w:szCs w:val="24"/>
          <w:shd w:val="clear" w:color="auto" w:fill="FFFFFF"/>
        </w:rPr>
        <w:t>)</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- 100.000 millones de euros anuales de pérdidas a causa del absentismo laboral. Se suman un total de 12 días al año no trabajado por cada empleado, según el último informe de Grant Thornton. (</w:t>
      </w:r>
      <w:r>
        <w:rPr>
          <w:rFonts w:ascii="Times New Roman" w:hAnsi="Times New Roman" w:cs="Times New Roman"/>
          <w:sz w:val="24"/>
          <w:szCs w:val="24"/>
          <w:shd w:val="clear" w:color="auto" w:fill="FFFFFF"/>
        </w:rPr>
        <w:t xml:space="preserve">Fuente: </w:t>
      </w:r>
      <w:r w:rsidRPr="00BD6B3D">
        <w:rPr>
          <w:rFonts w:ascii="Times New Roman" w:hAnsi="Times New Roman" w:cs="Times New Roman"/>
          <w:sz w:val="24"/>
          <w:szCs w:val="24"/>
          <w:shd w:val="clear" w:color="auto" w:fill="FFFFFF"/>
        </w:rPr>
        <w:t xml:space="preserve">capital.es - </w:t>
      </w:r>
      <w:r w:rsidRPr="00BD6B3D">
        <w:rPr>
          <w:rFonts w:ascii="Times New Roman" w:hAnsi="Times New Roman" w:cs="Times New Roman"/>
          <w:b/>
          <w:sz w:val="24"/>
          <w:szCs w:val="24"/>
          <w:shd w:val="clear" w:color="auto" w:fill="FFFFFF"/>
        </w:rPr>
        <w:t>4/10/24</w:t>
      </w:r>
      <w:r w:rsidRPr="00BD6B3D">
        <w:rPr>
          <w:rFonts w:ascii="Times New Roman" w:hAnsi="Times New Roman" w:cs="Times New Roman"/>
          <w:sz w:val="24"/>
          <w:szCs w:val="24"/>
          <w:shd w:val="clear" w:color="auto" w:fill="FFFFFF"/>
        </w:rPr>
        <w:t>)</w:t>
      </w:r>
    </w:p>
    <w:p w:rsidR="004E3111" w:rsidRPr="00BD6B3D" w:rsidRDefault="004E3111" w:rsidP="004E3111">
      <w:pPr>
        <w:spacing w:line="240" w:lineRule="auto"/>
        <w:jc w:val="both"/>
        <w:rPr>
          <w:rFonts w:ascii="Times New Roman" w:hAnsi="Times New Roman" w:cs="Times New Roman"/>
          <w:color w:val="000000"/>
          <w:sz w:val="24"/>
          <w:szCs w:val="24"/>
          <w:shd w:val="clear" w:color="auto" w:fill="FFFFFF"/>
        </w:rPr>
      </w:pPr>
      <w:r w:rsidRPr="00BD6B3D">
        <w:rPr>
          <w:rFonts w:ascii="Times New Roman" w:hAnsi="Times New Roman" w:cs="Times New Roman"/>
          <w:color w:val="000000"/>
          <w:sz w:val="24"/>
          <w:szCs w:val="24"/>
          <w:shd w:val="clear" w:color="auto" w:fill="FFFFFF"/>
        </w:rPr>
        <w:t>- Un estudio realizado por Umivale Activa y el Ivie ha revelado que la tasa de absentismo por incapacidad temporal (IT) en España aumentó un 52% entre 2018 y 2023. El número de jornadas laborales perdidas pasó de 242 millones a 368,7 millones, y las principales causas del aumento del absentismo han sido los trabajadores que encadenan más de una baja al año.</w:t>
      </w:r>
    </w:p>
    <w:p w:rsidR="004E3111" w:rsidRPr="00BD6B3D" w:rsidRDefault="004E3111" w:rsidP="004E3111">
      <w:pPr>
        <w:spacing w:line="240" w:lineRule="auto"/>
        <w:jc w:val="both"/>
        <w:rPr>
          <w:rFonts w:ascii="Times New Roman" w:hAnsi="Times New Roman" w:cs="Times New Roman"/>
          <w:color w:val="000000"/>
          <w:sz w:val="24"/>
          <w:szCs w:val="24"/>
          <w:shd w:val="clear" w:color="auto" w:fill="FFFFFF"/>
        </w:rPr>
      </w:pPr>
      <w:r w:rsidRPr="00BD6B3D">
        <w:rPr>
          <w:rFonts w:ascii="Times New Roman" w:hAnsi="Times New Roman" w:cs="Times New Roman"/>
          <w:color w:val="000000"/>
          <w:sz w:val="24"/>
          <w:szCs w:val="24"/>
          <w:shd w:val="clear" w:color="auto" w:fill="FFFFFF"/>
        </w:rPr>
        <w:t>- El gasto por las bajas laborales se dispara un 78,5% desde 2019, según el</w:t>
      </w:r>
      <w:r>
        <w:rPr>
          <w:rFonts w:ascii="Times New Roman" w:hAnsi="Times New Roman" w:cs="Times New Roman"/>
          <w:color w:val="000000"/>
          <w:sz w:val="24"/>
          <w:szCs w:val="24"/>
          <w:shd w:val="clear" w:color="auto" w:fill="FFFFFF"/>
        </w:rPr>
        <w:t xml:space="preserve"> Banco de España. (</w:t>
      </w:r>
      <w:r w:rsidRPr="00BD6B3D">
        <w:rPr>
          <w:rFonts w:ascii="Times New Roman" w:hAnsi="Times New Roman" w:cs="Times New Roman"/>
          <w:color w:val="000000"/>
          <w:sz w:val="24"/>
          <w:szCs w:val="24"/>
          <w:shd w:val="clear" w:color="auto" w:fill="FFFFFF"/>
        </w:rPr>
        <w:t xml:space="preserve">El País - </w:t>
      </w:r>
      <w:r w:rsidRPr="00BD6B3D">
        <w:rPr>
          <w:rFonts w:ascii="Times New Roman" w:hAnsi="Times New Roman" w:cs="Times New Roman"/>
          <w:b/>
          <w:color w:val="000000"/>
          <w:sz w:val="24"/>
          <w:szCs w:val="24"/>
          <w:shd w:val="clear" w:color="auto" w:fill="FFFFFF"/>
        </w:rPr>
        <w:t>20/5/25</w:t>
      </w:r>
      <w:r w:rsidRPr="00BD6B3D">
        <w:rPr>
          <w:rFonts w:ascii="Times New Roman" w:hAnsi="Times New Roman" w:cs="Times New Roman"/>
          <w:color w:val="000000"/>
          <w:sz w:val="24"/>
          <w:szCs w:val="24"/>
          <w:shd w:val="clear" w:color="auto" w:fill="FFFFFF"/>
        </w:rPr>
        <w:t>)</w:t>
      </w:r>
    </w:p>
    <w:p w:rsidR="004E3111" w:rsidRPr="00BD6B3D" w:rsidRDefault="004E3111" w:rsidP="004E3111">
      <w:pPr>
        <w:spacing w:line="240" w:lineRule="auto"/>
        <w:jc w:val="both"/>
        <w:rPr>
          <w:rFonts w:ascii="Times New Roman" w:hAnsi="Times New Roman" w:cs="Times New Roman"/>
          <w:color w:val="000000"/>
          <w:sz w:val="24"/>
          <w:szCs w:val="24"/>
          <w:shd w:val="clear" w:color="auto" w:fill="FFFFFF"/>
        </w:rPr>
      </w:pPr>
      <w:r w:rsidRPr="00BD6B3D">
        <w:rPr>
          <w:rFonts w:ascii="Times New Roman" w:hAnsi="Times New Roman" w:cs="Times New Roman"/>
          <w:color w:val="000000"/>
          <w:sz w:val="24"/>
          <w:szCs w:val="24"/>
          <w:shd w:val="clear" w:color="auto" w:fill="FFFFFF"/>
        </w:rPr>
        <w:t>- La pérdida de producción asociada a las bajas por incapacidad temporal a</w:t>
      </w:r>
      <w:r>
        <w:rPr>
          <w:rFonts w:ascii="Times New Roman" w:hAnsi="Times New Roman" w:cs="Times New Roman"/>
          <w:color w:val="000000"/>
          <w:sz w:val="24"/>
          <w:szCs w:val="24"/>
          <w:shd w:val="clear" w:color="auto" w:fill="FFFFFF"/>
        </w:rPr>
        <w:t>sciende al 5,4% de PIB. (</w:t>
      </w:r>
      <w:r w:rsidRPr="00BD6B3D">
        <w:rPr>
          <w:rFonts w:ascii="Times New Roman" w:hAnsi="Times New Roman" w:cs="Times New Roman"/>
          <w:color w:val="000000"/>
          <w:sz w:val="24"/>
          <w:szCs w:val="24"/>
          <w:shd w:val="clear" w:color="auto" w:fill="FFFFFF"/>
        </w:rPr>
        <w:t xml:space="preserve">El País - </w:t>
      </w:r>
      <w:r w:rsidRPr="00BD6B3D">
        <w:rPr>
          <w:rFonts w:ascii="Times New Roman" w:hAnsi="Times New Roman" w:cs="Times New Roman"/>
          <w:b/>
          <w:color w:val="000000"/>
          <w:sz w:val="24"/>
          <w:szCs w:val="24"/>
          <w:shd w:val="clear" w:color="auto" w:fill="FFFFFF"/>
        </w:rPr>
        <w:t>11/6/25</w:t>
      </w:r>
      <w:r w:rsidRPr="00BD6B3D">
        <w:rPr>
          <w:rFonts w:ascii="Times New Roman" w:hAnsi="Times New Roman" w:cs="Times New Roman"/>
          <w:color w:val="000000"/>
          <w:sz w:val="24"/>
          <w:szCs w:val="24"/>
          <w:shd w:val="clear" w:color="auto" w:fill="FFFFFF"/>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Las horas no trabajadas por incapacidad temporal crecen un 15% en el último año. Las ausencias por bajas médicas aumentan un 78% en comparación con los niveles prepandemia. La jornada media por semana cae hasta las 35,8 horas.  (El Economista - </w:t>
      </w:r>
      <w:r w:rsidRPr="00BD6B3D">
        <w:rPr>
          <w:rFonts w:ascii="Times New Roman" w:hAnsi="Times New Roman" w:cs="Times New Roman"/>
          <w:b/>
          <w:sz w:val="24"/>
          <w:szCs w:val="24"/>
        </w:rPr>
        <w:t>1/8/25</w:t>
      </w:r>
      <w:r w:rsidRPr="00BD6B3D">
        <w:rPr>
          <w:rFonts w:ascii="Times New Roman" w:hAnsi="Times New Roman" w:cs="Times New Roman"/>
          <w:sz w:val="24"/>
          <w:szCs w:val="24"/>
        </w:rPr>
        <w:t>)</w:t>
      </w:r>
    </w:p>
    <w:p w:rsidR="004E3111"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lastRenderedPageBreak/>
        <w:t xml:space="preserve">- El coste del absentismo para las empresas crece un 60% en cuatro años. El gasto pagado por los empleadores sube en 2.500 millones de euros solo en un año. (El Economista - </w:t>
      </w:r>
      <w:r w:rsidRPr="00BD6B3D">
        <w:rPr>
          <w:rFonts w:ascii="Times New Roman" w:hAnsi="Times New Roman" w:cs="Times New Roman"/>
          <w:b/>
          <w:sz w:val="24"/>
          <w:szCs w:val="24"/>
        </w:rPr>
        <w:t>19/8/25</w:t>
      </w:r>
      <w:r w:rsidRPr="00BD6B3D">
        <w:rPr>
          <w:rFonts w:ascii="Times New Roman" w:hAnsi="Times New Roman" w:cs="Times New Roman"/>
          <w:sz w:val="24"/>
          <w:szCs w:val="24"/>
        </w:rPr>
        <w:t>)</w:t>
      </w:r>
    </w:p>
    <w:p w:rsidR="004E3111" w:rsidRPr="003F1A0D" w:rsidRDefault="004E3111" w:rsidP="004E3111">
      <w:pPr>
        <w:spacing w:line="240" w:lineRule="auto"/>
        <w:jc w:val="both"/>
        <w:rPr>
          <w:rFonts w:ascii="Times New Roman" w:hAnsi="Times New Roman" w:cs="Times New Roman"/>
          <w:sz w:val="24"/>
          <w:szCs w:val="24"/>
        </w:rPr>
      </w:pPr>
      <w:r w:rsidRPr="003F1A0D">
        <w:rPr>
          <w:rFonts w:ascii="Times New Roman" w:hAnsi="Times New Roman" w:cs="Times New Roman"/>
          <w:sz w:val="24"/>
          <w:szCs w:val="24"/>
        </w:rPr>
        <w:t xml:space="preserve">- España se sitúa como el tercer país de Europa con más absentismo, con un 4,1% de trabajadores entre 20 y 64 años que no acuden a su puesto de trabajo. (Libertad Digital - </w:t>
      </w:r>
      <w:r w:rsidRPr="003F1A0D">
        <w:rPr>
          <w:rFonts w:ascii="Times New Roman" w:hAnsi="Times New Roman" w:cs="Times New Roman"/>
          <w:b/>
          <w:sz w:val="24"/>
          <w:szCs w:val="24"/>
        </w:rPr>
        <w:t>8/9/25</w:t>
      </w:r>
      <w:r w:rsidRPr="003F1A0D">
        <w:rPr>
          <w:rFonts w:ascii="Times New Roman" w:hAnsi="Times New Roman" w:cs="Times New Roman"/>
          <w:sz w:val="24"/>
          <w:szCs w:val="24"/>
        </w:rPr>
        <w:t>). Las cifras de absentismo laboral en España cada día son más alarmantes. Según un informe del Instituto Valenciano de Investigaciones Económicas (IVIE), España se sitúa como el tercer país de Europa con más absentismo, de hecho, un 4,1% de trabajadores entre 20 y 64 años no acuden a su puesto, mientras que la media europea es del 2,5%.</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Sánchez dispara la factura del Ingreso Mínimo Vital y el número de beneficiarios llega a máximos (Libertad Digital - </w:t>
      </w:r>
      <w:r w:rsidRPr="00BD6B3D">
        <w:rPr>
          <w:rFonts w:ascii="Times New Roman" w:hAnsi="Times New Roman" w:cs="Times New Roman"/>
          <w:b/>
          <w:sz w:val="24"/>
          <w:szCs w:val="24"/>
        </w:rPr>
        <w:t>20/7/25</w:t>
      </w:r>
      <w:r w:rsidRPr="00BD6B3D">
        <w:rPr>
          <w:rFonts w:ascii="Times New Roman" w:hAnsi="Times New Roman" w:cs="Times New Roman"/>
          <w:sz w:val="24"/>
          <w:szCs w:val="24"/>
        </w:rPr>
        <w:t>). Cuando se cumplen cinco años desde que José Luis Escrivá inaugurara este subsidio, la Airef ha realizado una radiografía completa del impacto causal de esta prestación en las decisiones laborales de sus beneficiarios.</w:t>
      </w:r>
    </w:p>
    <w:p w:rsidR="004E3111" w:rsidRPr="00BD6B3D" w:rsidRDefault="004E3111" w:rsidP="004E3111">
      <w:pPr>
        <w:numPr>
          <w:ilvl w:val="0"/>
          <w:numId w:val="1"/>
        </w:numPr>
        <w:shd w:val="clear" w:color="auto" w:fill="FFFFFF"/>
        <w:spacing w:after="0" w:line="240" w:lineRule="auto"/>
        <w:ind w:left="360"/>
        <w:jc w:val="both"/>
        <w:textAlignment w:val="baseline"/>
        <w:rPr>
          <w:rFonts w:ascii="Times New Roman" w:hAnsi="Times New Roman" w:cs="Times New Roman"/>
          <w:sz w:val="24"/>
          <w:szCs w:val="24"/>
        </w:rPr>
      </w:pPr>
      <w:r w:rsidRPr="00BD6B3D">
        <w:rPr>
          <w:rFonts w:ascii="Times New Roman" w:hAnsi="Times New Roman" w:cs="Times New Roman"/>
          <w:sz w:val="24"/>
          <w:szCs w:val="24"/>
        </w:rPr>
        <w:t>Cobrar el SMI disminuye la probabilidad de trabajar un 12%</w:t>
      </w:r>
      <w:r>
        <w:rPr>
          <w:rFonts w:ascii="Times New Roman" w:hAnsi="Times New Roman" w:cs="Times New Roman"/>
          <w:sz w:val="24"/>
          <w:szCs w:val="24"/>
        </w:rPr>
        <w:t xml:space="preserve">, aunque, llega a superar el </w:t>
      </w:r>
      <w:r w:rsidRPr="00BD6B3D">
        <w:rPr>
          <w:rFonts w:ascii="Times New Roman" w:hAnsi="Times New Roman" w:cs="Times New Roman"/>
          <w:sz w:val="24"/>
          <w:szCs w:val="24"/>
        </w:rPr>
        <w:t>20% cuando se trata de nóminas altas o jóvenes.</w:t>
      </w:r>
    </w:p>
    <w:p w:rsidR="004E3111" w:rsidRPr="00BD6B3D" w:rsidRDefault="004E3111" w:rsidP="004E3111">
      <w:pPr>
        <w:numPr>
          <w:ilvl w:val="0"/>
          <w:numId w:val="1"/>
        </w:numPr>
        <w:shd w:val="clear" w:color="auto" w:fill="FFFFFF"/>
        <w:spacing w:after="0" w:line="240" w:lineRule="auto"/>
        <w:ind w:left="360"/>
        <w:jc w:val="both"/>
        <w:textAlignment w:val="baseline"/>
        <w:rPr>
          <w:rFonts w:ascii="Times New Roman" w:hAnsi="Times New Roman" w:cs="Times New Roman"/>
          <w:sz w:val="24"/>
          <w:szCs w:val="24"/>
        </w:rPr>
      </w:pPr>
      <w:r w:rsidRPr="00BD6B3D">
        <w:rPr>
          <w:rFonts w:ascii="Times New Roman" w:hAnsi="Times New Roman" w:cs="Times New Roman"/>
          <w:sz w:val="24"/>
          <w:szCs w:val="24"/>
        </w:rPr>
        <w:t>A los que se quedan sin IMV, les aumentan las ganas de trabajar, un 7%.</w:t>
      </w:r>
    </w:p>
    <w:p w:rsidR="004E3111" w:rsidRPr="00BD6B3D" w:rsidRDefault="004E3111" w:rsidP="004E3111">
      <w:pPr>
        <w:numPr>
          <w:ilvl w:val="0"/>
          <w:numId w:val="1"/>
        </w:numPr>
        <w:shd w:val="clear" w:color="auto" w:fill="FFFFFF"/>
        <w:spacing w:after="0" w:line="240" w:lineRule="auto"/>
        <w:ind w:left="360"/>
        <w:jc w:val="both"/>
        <w:textAlignment w:val="baseline"/>
        <w:rPr>
          <w:rFonts w:ascii="Times New Roman" w:hAnsi="Times New Roman" w:cs="Times New Roman"/>
          <w:sz w:val="24"/>
          <w:szCs w:val="24"/>
        </w:rPr>
      </w:pPr>
      <w:r w:rsidRPr="00BD6B3D">
        <w:rPr>
          <w:rFonts w:ascii="Times New Roman" w:hAnsi="Times New Roman" w:cs="Times New Roman"/>
          <w:sz w:val="24"/>
          <w:szCs w:val="24"/>
        </w:rPr>
        <w:t>Otro dato preocupante es que el 90% de los beneficiarios permanece más de doce meses cobrándolo, el 75%, supera los veinticuatro meses, y aproximadamente el 60% mantiene la prestación durante más de tres años. Por lo que no es una paga de emergencia.</w:t>
      </w:r>
    </w:p>
    <w:p w:rsidR="004E3111" w:rsidRPr="00BD6B3D" w:rsidRDefault="004E3111" w:rsidP="004E3111">
      <w:pPr>
        <w:shd w:val="clear" w:color="auto" w:fill="FFFFFF"/>
        <w:spacing w:after="0" w:line="240" w:lineRule="auto"/>
        <w:ind w:left="360"/>
        <w:jc w:val="both"/>
        <w:textAlignment w:val="baseline"/>
        <w:rPr>
          <w:rFonts w:ascii="Times New Roman" w:hAnsi="Times New Roman" w:cs="Times New Roman"/>
          <w:sz w:val="24"/>
          <w:szCs w:val="24"/>
        </w:rPr>
      </w:pP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El Gobierno saca pecho del aumento de la dependencia en España: 2,3 millones de personas cobraron el IMV en julio (Libertad Digital - </w:t>
      </w:r>
      <w:r w:rsidRPr="00BD6B3D">
        <w:rPr>
          <w:rFonts w:ascii="Times New Roman" w:hAnsi="Times New Roman" w:cs="Times New Roman"/>
          <w:b/>
          <w:sz w:val="24"/>
          <w:szCs w:val="24"/>
        </w:rPr>
        <w:t>9/8/25</w:t>
      </w:r>
      <w:r w:rsidRPr="00BD6B3D">
        <w:rPr>
          <w:rFonts w:ascii="Times New Roman" w:hAnsi="Times New Roman" w:cs="Times New Roman"/>
          <w:sz w:val="24"/>
          <w:szCs w:val="24"/>
        </w:rPr>
        <w:t>). En cinco años, la Seguridad Social ha destinado 16.204,7 millones de euros al pago del IMV. Crece la dependencia del Estado para poder vivir en España. De este modo, tal y como anunció el pasado jueves 7 de agosto el Ministerio de Inclusión, Seguridad Social y Migraciones, el Ingreso Mínimo Vital (IMV) llegó a 752.469 hogares en el mes de julio, superando en un 17,6% los niveles del mismo mes del año anterior. Así, esta prestación llegó a un total de 2.299.000 personas, un 19,2% más en términos anuales.</w:t>
      </w:r>
    </w:p>
    <w:p w:rsidR="004E3111" w:rsidRPr="00BD6B3D" w:rsidRDefault="004E3111" w:rsidP="004E3111">
      <w:pPr>
        <w:pStyle w:val="NormalWeb"/>
        <w:spacing w:after="0"/>
        <w:jc w:val="both"/>
      </w:pPr>
      <w:r w:rsidRPr="00BD6B3D">
        <w:t xml:space="preserve">- Récord histórico de desigualdad en el gasto sanitario: diferencias del 69% entre regiones (The Objective - </w:t>
      </w:r>
      <w:r w:rsidRPr="00BD6B3D">
        <w:rPr>
          <w:b/>
        </w:rPr>
        <w:t>18/8/25</w:t>
      </w:r>
      <w:r w:rsidRPr="00BD6B3D">
        <w:t>). La sanidad pública española afronta 2025 con un récord poco alentador: la brecha en gasto sanitario por habitante entre comunidades autónomas alcanza su máximo histórico, con una diferencia de casi un 69% (68,9 %) entre la comunidad que más invierte, Asturias, y la que menos, Cataluña. Según el informe Recursos Económicos del Sistema Nacional de Salud publicado por el Ministerio de Sanidad, Asturias destinará 2.436 euros por habitante a su sistema sanitario, frente a los 1.442 euros de Cataluña.</w:t>
      </w:r>
    </w:p>
    <w:p w:rsidR="004E3111" w:rsidRPr="00BD6B3D" w:rsidRDefault="004E3111" w:rsidP="004E3111">
      <w:pPr>
        <w:pStyle w:val="NormalWeb"/>
        <w:spacing w:after="0"/>
        <w:jc w:val="both"/>
        <w:rPr>
          <w:shd w:val="clear" w:color="auto" w:fill="FFFFFF"/>
        </w:rPr>
      </w:pPr>
      <w:r w:rsidRPr="00BD6B3D">
        <w:rPr>
          <w:b/>
        </w:rPr>
        <w:t xml:space="preserve">- </w:t>
      </w:r>
      <w:r w:rsidRPr="00BD6B3D">
        <w:t>Más de 6 meses de espera quirúrgica</w:t>
      </w:r>
      <w:r w:rsidRPr="00BD6B3D">
        <w:rPr>
          <w:b/>
        </w:rPr>
        <w:t xml:space="preserve">. </w:t>
      </w:r>
      <w:r w:rsidRPr="00BD6B3D">
        <w:rPr>
          <w:shd w:val="clear" w:color="auto" w:fill="FFFFFF"/>
        </w:rPr>
        <w:t>Un informe de Sanidad detalla el porcentaje de pacientes con </w:t>
      </w:r>
      <w:r w:rsidRPr="00BD6B3D">
        <w:rPr>
          <w:rStyle w:val="Textoennegrita"/>
          <w:rFonts w:eastAsiaTheme="majorEastAsia"/>
          <w:b w:val="0"/>
          <w:shd w:val="clear" w:color="auto" w:fill="FFFFFF"/>
        </w:rPr>
        <w:t>más de seis meses de espera</w:t>
      </w:r>
      <w:r w:rsidRPr="00BD6B3D">
        <w:rPr>
          <w:rStyle w:val="Textoennegrita"/>
          <w:rFonts w:eastAsiaTheme="majorEastAsia"/>
          <w:shd w:val="clear" w:color="auto" w:fill="FFFFFF"/>
        </w:rPr>
        <w:t> </w:t>
      </w:r>
      <w:r w:rsidRPr="00BD6B3D">
        <w:rPr>
          <w:shd w:val="clear" w:color="auto" w:fill="FFFFFF"/>
        </w:rPr>
        <w:t>para ser intervenidos en estos mismos procedimientos. En ese sentido, las cifras posicionan nuevamente a Madrid como la mejor con un 0,1 por ciento de pacientes en espera, seguida de País Vasco con 0,9 por ciento y Galicia con 1,9 por ciento. En un año, </w:t>
      </w:r>
      <w:r w:rsidRPr="00BD6B3D">
        <w:rPr>
          <w:rStyle w:val="Textoennegrita"/>
          <w:rFonts w:eastAsiaTheme="majorEastAsia"/>
          <w:b w:val="0"/>
          <w:shd w:val="clear" w:color="auto" w:fill="FFFFFF"/>
        </w:rPr>
        <w:t>Madrid ha mejorado sus cifras</w:t>
      </w:r>
      <w:r w:rsidRPr="00BD6B3D">
        <w:rPr>
          <w:rStyle w:val="Textoennegrita"/>
          <w:rFonts w:eastAsiaTheme="majorEastAsia"/>
          <w:shd w:val="clear" w:color="auto" w:fill="FFFFFF"/>
        </w:rPr>
        <w:t> </w:t>
      </w:r>
      <w:r w:rsidRPr="00BD6B3D">
        <w:rPr>
          <w:shd w:val="clear" w:color="auto" w:fill="FFFFFF"/>
        </w:rPr>
        <w:t>ya que en 2023 contaba con 0,4 por ciento de pacientes en espera, aunque no ha sido la única. Lo mismo ha pasado con Galicia que ese momento tenía 1,4 y País Vasco, con 2,1. Las tres mantienen su liderazgo.</w:t>
      </w:r>
    </w:p>
    <w:p w:rsidR="004E3111" w:rsidRPr="00BD6B3D" w:rsidRDefault="004E3111" w:rsidP="004E3111">
      <w:pPr>
        <w:pStyle w:val="NormalWeb"/>
        <w:spacing w:after="0"/>
        <w:jc w:val="both"/>
      </w:pPr>
      <w:r w:rsidRPr="00BD6B3D">
        <w:t xml:space="preserve">- Lista de espera para consultas en el SNS. En cuanto a las listas de espera de consultas en el Sistema Nacional de Salud (SNS) por cada 1.000 habitantes a junio de este año, el escenario cambia. Las comunidades con menor espera son Castilla-La Mancha con 28,86 días; País </w:t>
      </w:r>
      <w:r w:rsidRPr="00BD6B3D">
        <w:lastRenderedPageBreak/>
        <w:t>Vasco, con 30,26 y La Rioja con 48,45. Por el contrario, la comunidad que más espera tiene es Madrid con 118,59 días; seguida del Principado de Asturias con 109,98 y Andalucía con 101,53.</w:t>
      </w:r>
    </w:p>
    <w:p w:rsidR="004E3111" w:rsidRPr="00BD6B3D" w:rsidRDefault="004E3111" w:rsidP="004E3111">
      <w:pPr>
        <w:pStyle w:val="NormalWeb"/>
        <w:spacing w:after="0"/>
        <w:jc w:val="both"/>
      </w:pPr>
      <w:r w:rsidRPr="00BD6B3D">
        <w:t>- Los funcionarios del Estado en España pueden elegir entre la sanidad pública o privada; el resto de ciudadanos, no. Estos empleados públicos gozan de una mutualidad (Muface) que hace las veces de seguridad social y les proporciona cobertura por incapacidad y un seguro sanitario privado que subvenciona el Estado al 80%. Se trata de un modelo que incluye elementos muy sorprendentes. (</w:t>
      </w:r>
      <w:r>
        <w:t xml:space="preserve">Fuente: </w:t>
      </w:r>
      <w:r w:rsidRPr="00BD6B3D">
        <w:t xml:space="preserve">diariosigloxxi.com - </w:t>
      </w:r>
      <w:r w:rsidRPr="00BD6B3D">
        <w:rPr>
          <w:b/>
        </w:rPr>
        <w:t>23/12/24</w:t>
      </w:r>
      <w:r w:rsidRPr="00BD6B3D">
        <w:t>)</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El coste promedio por paciente en la sanidad pública en España es de 2.187 euros anuales, según datos de 2024. Este gasto ha ido incrementando en los últimos años, con un aumento del 4.59% en 2024 con respecto al año anterior, según Datosmacro.com. A fecha de 1 de enero de 2024, había 6.502.282 personas de nacionalidad extranjera residiendo en España, según el INE. De estas, 3.770.958 tenían un certificado de registro o tarjeta de residencia en vigor, según el Observatorio Permanente de la Inmigración. Además, 216.359 personas extranjeras tenían una tarjeta TIE-Acuerdo de Retirada.</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En España, hay aproximadamente 2,85 millones de inmigrantes afiliados a la Seguridad Social, lo que representa el 13,47% del total de afiliados, según el Servicio Público de Empleo Estatal. Además, el Ministerio de Inclusión, Seguridad Social y Migraciones informa que hay 3.299.701 personas extranjeras con autorización de residencia en vigor a fecha 31 de marzo de 2025, según el Observatorio Permanente de la Inmigración.</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xml:space="preserve">- 3,29 millones de inmigrantes con autorización de residencia - 2,85 millones de inmigrantes afiliados a la Seguridad Social = 440.000 inmigrantes que están empadronados sin tener contrato de trabajo. 440.000 inmigrantes empadronados (con derecho a utilizar la sanidad pública) x  2.187 euros anuales (coste promedio por paciente en la sanidad pública) = 962.280.000 millones de euros.  </w:t>
      </w:r>
    </w:p>
    <w:p w:rsidR="004E3111" w:rsidRPr="00BD6B3D" w:rsidRDefault="004E3111" w:rsidP="004E3111">
      <w:pPr>
        <w:shd w:val="clear" w:color="auto" w:fill="FFFFFF"/>
        <w:spacing w:line="240" w:lineRule="auto"/>
        <w:jc w:val="both"/>
        <w:rPr>
          <w:rFonts w:ascii="Times New Roman" w:eastAsia="Times New Roman" w:hAnsi="Times New Roman" w:cs="Times New Roman"/>
          <w:color w:val="001D35"/>
          <w:sz w:val="24"/>
          <w:szCs w:val="24"/>
          <w:lang w:eastAsia="es-ES"/>
        </w:rPr>
      </w:pPr>
      <w:r w:rsidRPr="00BD6B3D">
        <w:rPr>
          <w:rFonts w:ascii="Times New Roman" w:eastAsia="Times New Roman" w:hAnsi="Times New Roman" w:cs="Times New Roman"/>
          <w:color w:val="001D35"/>
          <w:sz w:val="24"/>
          <w:szCs w:val="24"/>
          <w:lang w:eastAsia="es-ES"/>
        </w:rPr>
        <w:t>- El gasto público promedio por alumno en la educación pública en España ronda los 6.622 euros anuales. Este gasto varía según la etapa educativa, siendo más bajo en infantil y más alto en educación superior. </w:t>
      </w:r>
    </w:p>
    <w:p w:rsidR="004E3111" w:rsidRPr="00BD6B3D" w:rsidRDefault="004E3111" w:rsidP="004E3111">
      <w:pPr>
        <w:shd w:val="clear" w:color="auto" w:fill="FFFFFF"/>
        <w:spacing w:line="240" w:lineRule="auto"/>
        <w:jc w:val="both"/>
        <w:rPr>
          <w:rFonts w:ascii="Times New Roman" w:eastAsia="Times New Roman" w:hAnsi="Times New Roman" w:cs="Times New Roman"/>
          <w:color w:val="001D35"/>
          <w:sz w:val="24"/>
          <w:szCs w:val="24"/>
          <w:lang w:eastAsia="es-ES"/>
        </w:rPr>
      </w:pPr>
      <w:r w:rsidRPr="00BD6B3D">
        <w:rPr>
          <w:rFonts w:ascii="Times New Roman" w:eastAsia="Times New Roman" w:hAnsi="Times New Roman" w:cs="Times New Roman"/>
          <w:color w:val="001D35"/>
          <w:sz w:val="24"/>
          <w:szCs w:val="24"/>
          <w:lang w:eastAsia="es-ES"/>
        </w:rPr>
        <w:t>- En la educación pública española, el porcentaje de estudiantes extranjeros varía según la fuente y el nivel educativo, pero generalmente se encuentra alrededor del 13.6% en centros públicos, según El Mundo. En el curso 2023-2024, el número total de estudiantes matriculados en enseñanzas no universitarias fue de 8.337.537, según datos del Gobierno.</w:t>
      </w:r>
    </w:p>
    <w:p w:rsidR="004E3111" w:rsidRPr="00BD6B3D" w:rsidRDefault="004E3111" w:rsidP="004E3111">
      <w:pPr>
        <w:shd w:val="clear" w:color="auto" w:fill="FFFFFF"/>
        <w:spacing w:line="240" w:lineRule="auto"/>
        <w:jc w:val="both"/>
        <w:rPr>
          <w:rFonts w:ascii="Times New Roman" w:eastAsia="Times New Roman" w:hAnsi="Times New Roman" w:cs="Times New Roman"/>
          <w:color w:val="001D35"/>
          <w:sz w:val="24"/>
          <w:szCs w:val="24"/>
          <w:lang w:eastAsia="es-ES"/>
        </w:rPr>
      </w:pPr>
      <w:r w:rsidRPr="00BD6B3D">
        <w:rPr>
          <w:rFonts w:ascii="Times New Roman" w:eastAsia="Times New Roman" w:hAnsi="Times New Roman" w:cs="Times New Roman"/>
          <w:color w:val="001D35"/>
          <w:sz w:val="24"/>
          <w:szCs w:val="24"/>
          <w:lang w:eastAsia="es-ES"/>
        </w:rPr>
        <w:t>- Suponiendo que se mantenga la misma relación afiliados a la seguridad social, y empadronados: 440.000 inmigrantes empadronados / 2.850.000 inmigrantes afiliados a la seguridad social = 15,44 %. Si se aplica ese porcentaje a los 590.130 jóvenes de 0 a 14 años, tenemos: 91.116 jóvenes. Si se aplica ese porcentaje a los 2.095.632 jóvenes de 15 a 29 años, tenemos: 323.566 jóvenes. Aplicando el gasto público promedio por alumno en la educación pública en España que ronda los 6.622 euros anuales x 91.116 jóvenes inmigrantes empadronados  = 630.370.150 millones de euros. Suponiendo que solo un tercio de los 323.566 jóvenes inmigrantes empadronados de 15 a 29 años de edad hagan uso de la educación pública, tendríamos: 323.566 / 3 x 6.622 euros anuales = 714.217.990 millones de euros. 630, 4 millones de euros + 714, 2 millones de euros = 1.344,6 millones de euros al año que el sistema de educación pública gasta en formación de jóvenes inmigrantes empadronados cuyos familiares no cotizan a la seguridad social.</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lastRenderedPageBreak/>
        <w:t xml:space="preserve">- La precariedad y la reforma de pensiones retrasarán hasta seis años la jubilación de los jóvenes (El Economista - </w:t>
      </w:r>
      <w:r w:rsidRPr="00BD6B3D">
        <w:rPr>
          <w:rFonts w:ascii="Times New Roman" w:hAnsi="Times New Roman" w:cs="Times New Roman"/>
          <w:b/>
          <w:sz w:val="24"/>
          <w:szCs w:val="24"/>
        </w:rPr>
        <w:t>3/7/25</w:t>
      </w:r>
      <w:r w:rsidRPr="00BD6B3D">
        <w:rPr>
          <w:rFonts w:ascii="Times New Roman" w:hAnsi="Times New Roman" w:cs="Times New Roman"/>
          <w:sz w:val="24"/>
          <w:szCs w:val="24"/>
        </w:rPr>
        <w:t>). La tasa de ocupación de los que tienen entre 16 y 29 años se encuentra en el 43,2%</w:t>
      </w:r>
      <w:r>
        <w:rPr>
          <w:rFonts w:ascii="Times New Roman" w:hAnsi="Times New Roman" w:cs="Times New Roman"/>
          <w:sz w:val="24"/>
          <w:szCs w:val="24"/>
        </w:rPr>
        <w:t>.</w:t>
      </w:r>
    </w:p>
    <w:p w:rsidR="004E3111" w:rsidRPr="00BD6B3D" w:rsidRDefault="004E3111" w:rsidP="004E3111">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D6B3D">
        <w:rPr>
          <w:rFonts w:ascii="Times New Roman" w:eastAsia="Times New Roman" w:hAnsi="Times New Roman" w:cs="Times New Roman"/>
          <w:sz w:val="24"/>
          <w:szCs w:val="24"/>
          <w:lang w:eastAsia="es-ES"/>
        </w:rPr>
        <w:t xml:space="preserve">- El empresario español ya soporta costes laborales un 34% mayor que la media de la UE (Vozpópuli - </w:t>
      </w:r>
      <w:r w:rsidRPr="00BD6B3D">
        <w:rPr>
          <w:rFonts w:ascii="Times New Roman" w:eastAsia="Times New Roman" w:hAnsi="Times New Roman" w:cs="Times New Roman"/>
          <w:b/>
          <w:sz w:val="24"/>
          <w:szCs w:val="24"/>
          <w:lang w:eastAsia="es-ES"/>
        </w:rPr>
        <w:t>5/7/25</w:t>
      </w:r>
      <w:r w:rsidRPr="00BD6B3D">
        <w:rPr>
          <w:rFonts w:ascii="Times New Roman" w:eastAsia="Times New Roman" w:hAnsi="Times New Roman" w:cs="Times New Roman"/>
          <w:sz w:val="24"/>
          <w:szCs w:val="24"/>
          <w:lang w:eastAsia="es-ES"/>
        </w:rPr>
        <w:t>). España presenta un sistema tributario notablemente complejo, un 16,5% superior al de los socios europeos</w:t>
      </w:r>
      <w:r>
        <w:rPr>
          <w:rFonts w:ascii="Times New Roman" w:eastAsia="Times New Roman" w:hAnsi="Times New Roman" w:cs="Times New Roman"/>
          <w:sz w:val="24"/>
          <w:szCs w:val="24"/>
          <w:lang w:eastAsia="es-ES"/>
        </w:rPr>
        <w:t>.</w:t>
      </w:r>
    </w:p>
    <w:p w:rsidR="004E3111" w:rsidRPr="00BD6B3D" w:rsidRDefault="004E3111" w:rsidP="004E3111">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D6B3D">
        <w:rPr>
          <w:rFonts w:ascii="Times New Roman" w:eastAsia="Times New Roman" w:hAnsi="Times New Roman" w:cs="Times New Roman"/>
          <w:sz w:val="24"/>
          <w:szCs w:val="24"/>
          <w:lang w:eastAsia="es-ES"/>
        </w:rPr>
        <w:t>- Sánchez</w:t>
      </w:r>
      <w:r>
        <w:rPr>
          <w:rFonts w:ascii="Times New Roman" w:eastAsia="Times New Roman" w:hAnsi="Times New Roman" w:cs="Times New Roman"/>
          <w:sz w:val="24"/>
          <w:szCs w:val="24"/>
          <w:lang w:eastAsia="es-ES"/>
        </w:rPr>
        <w:t xml:space="preserve"> ha elevado desde que gobierna </w:t>
      </w:r>
      <w:r w:rsidRPr="00BD6B3D">
        <w:rPr>
          <w:rFonts w:ascii="Times New Roman" w:eastAsia="Times New Roman" w:hAnsi="Times New Roman" w:cs="Times New Roman"/>
          <w:sz w:val="24"/>
          <w:szCs w:val="24"/>
          <w:lang w:eastAsia="es-ES"/>
        </w:rPr>
        <w:t>a 75.000 millones de euros la deuda de la Seguridad Social</w:t>
      </w:r>
      <w:r>
        <w:rPr>
          <w:rFonts w:ascii="Times New Roman" w:eastAsia="Times New Roman" w:hAnsi="Times New Roman" w:cs="Times New Roman"/>
          <w:sz w:val="24"/>
          <w:szCs w:val="24"/>
          <w:lang w:eastAsia="es-ES"/>
        </w:rPr>
        <w:t>.</w:t>
      </w:r>
      <w:r w:rsidRPr="00BD6B3D">
        <w:rPr>
          <w:rFonts w:ascii="Times New Roman" w:eastAsia="Times New Roman" w:hAnsi="Times New Roman" w:cs="Times New Roman"/>
          <w:sz w:val="24"/>
          <w:szCs w:val="24"/>
          <w:lang w:eastAsia="es-ES"/>
        </w:rPr>
        <w:t xml:space="preserve"> (El Economista - </w:t>
      </w:r>
      <w:r w:rsidRPr="00BD6B3D">
        <w:rPr>
          <w:rFonts w:ascii="Times New Roman" w:eastAsia="Times New Roman" w:hAnsi="Times New Roman" w:cs="Times New Roman"/>
          <w:b/>
          <w:sz w:val="24"/>
          <w:szCs w:val="24"/>
          <w:lang w:eastAsia="es-ES"/>
        </w:rPr>
        <w:t>8/7/25</w:t>
      </w:r>
      <w:r w:rsidRPr="00BD6B3D">
        <w:rPr>
          <w:rFonts w:ascii="Times New Roman" w:eastAsia="Times New Roman" w:hAnsi="Times New Roman" w:cs="Times New Roman"/>
          <w:sz w:val="24"/>
          <w:szCs w:val="24"/>
          <w:lang w:eastAsia="es-ES"/>
        </w:rPr>
        <w:t>)</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No hay trabajadores en España para ta</w:t>
      </w:r>
      <w:r>
        <w:rPr>
          <w:rFonts w:ascii="Times New Roman" w:hAnsi="Times New Roman" w:cs="Times New Roman"/>
          <w:sz w:val="24"/>
          <w:szCs w:val="24"/>
          <w:shd w:val="clear" w:color="auto" w:fill="FFFFFF"/>
        </w:rPr>
        <w:t>ntas “bocas”</w:t>
      </w:r>
      <w:r w:rsidRPr="00BD6B3D">
        <w:rPr>
          <w:rFonts w:ascii="Times New Roman" w:hAnsi="Times New Roman" w:cs="Times New Roman"/>
          <w:sz w:val="24"/>
          <w:szCs w:val="24"/>
          <w:shd w:val="clear" w:color="auto" w:fill="FFFFFF"/>
        </w:rPr>
        <w:t xml:space="preserve"> que alimentar: la economía solo crecerá un 0,13% anual hasta 2060 (El Economista - </w:t>
      </w:r>
      <w:r w:rsidRPr="00BD6B3D">
        <w:rPr>
          <w:rFonts w:ascii="Times New Roman" w:hAnsi="Times New Roman" w:cs="Times New Roman"/>
          <w:b/>
          <w:sz w:val="24"/>
          <w:szCs w:val="24"/>
          <w:shd w:val="clear" w:color="auto" w:fill="FFFFFF"/>
        </w:rPr>
        <w:t>14/7/25</w:t>
      </w:r>
      <w:r w:rsidRPr="00BD6B3D">
        <w:rPr>
          <w:rFonts w:ascii="Times New Roman" w:hAnsi="Times New Roman" w:cs="Times New Roman"/>
          <w:sz w:val="24"/>
          <w:szCs w:val="24"/>
          <w:shd w:val="clear" w:color="auto" w:fill="FFFFFF"/>
        </w:rPr>
        <w:t xml:space="preserve">). La OCDE cree que España tendrá la peor tasa de dependencia de toda Europa. Habrá casi un trabajador por cada persona </w:t>
      </w:r>
      <w:r>
        <w:rPr>
          <w:rFonts w:ascii="Times New Roman" w:hAnsi="Times New Roman" w:cs="Times New Roman"/>
          <w:sz w:val="24"/>
          <w:szCs w:val="24"/>
          <w:shd w:val="clear" w:color="auto" w:fill="FFFFFF"/>
        </w:rPr>
        <w:t>que no “produzca”</w:t>
      </w:r>
      <w:r w:rsidRPr="00BD6B3D">
        <w:rPr>
          <w:rFonts w:ascii="Times New Roman" w:hAnsi="Times New Roman" w:cs="Times New Roman"/>
          <w:sz w:val="24"/>
          <w:szCs w:val="24"/>
          <w:shd w:val="clear" w:color="auto" w:fill="FFFFFF"/>
        </w:rPr>
        <w:t xml:space="preserve"> en la economía. El PIB per cápita crecerá a un ritmo mucho más bajo que en la actualidad</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xml:space="preserve">- 20 millones de trabajadores para 49 millones de población (The Objective - </w:t>
      </w:r>
      <w:r w:rsidRPr="00BD6B3D">
        <w:rPr>
          <w:rFonts w:ascii="Times New Roman" w:hAnsi="Times New Roman" w:cs="Times New Roman"/>
          <w:b/>
          <w:sz w:val="24"/>
          <w:szCs w:val="24"/>
          <w:shd w:val="clear" w:color="auto" w:fill="FFFFFF"/>
        </w:rPr>
        <w:t>16/7/25</w:t>
      </w:r>
      <w:r w:rsidRPr="00BD6B3D">
        <w:rPr>
          <w:rFonts w:ascii="Times New Roman" w:hAnsi="Times New Roman" w:cs="Times New Roman"/>
          <w:sz w:val="24"/>
          <w:szCs w:val="24"/>
          <w:shd w:val="clear" w:color="auto" w:fill="FFFFFF"/>
        </w:rPr>
        <w:t>). Esta cifra, que se ha extraído de un análisis elaborado por el Consejo General de Gestores Administrativos, se obtiene tras descontar el absentismo medio diario y la inactividad de los fijos discontinuos. Ello refleja “una verdad incómoda”, que demuestra que “el país se mantiene con una base laboral mucho más estrecha de lo que indican los datos agregados”.</w:t>
      </w:r>
    </w:p>
    <w:p w:rsidR="004E3111" w:rsidRPr="004E3111"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El agujero de las pensiones es mucho más grande de lo que parecía: España debe más a sus futuros jubilados que cualquier otro país de Europa (El Economista - </w:t>
      </w:r>
      <w:r w:rsidRPr="00BD6B3D">
        <w:rPr>
          <w:rFonts w:ascii="Times New Roman" w:hAnsi="Times New Roman" w:cs="Times New Roman"/>
          <w:b/>
          <w:sz w:val="24"/>
          <w:szCs w:val="24"/>
        </w:rPr>
        <w:t>21/7/25</w:t>
      </w:r>
      <w:r w:rsidRPr="00BD6B3D">
        <w:rPr>
          <w:rFonts w:ascii="Times New Roman" w:hAnsi="Times New Roman" w:cs="Times New Roman"/>
          <w:sz w:val="24"/>
          <w:szCs w:val="24"/>
        </w:rPr>
        <w:t xml:space="preserve">). </w:t>
      </w:r>
      <w:r w:rsidRPr="00BD6B3D">
        <w:rPr>
          <w:rFonts w:ascii="Times New Roman" w:hAnsi="Times New Roman" w:cs="Times New Roman"/>
          <w:iCs/>
          <w:spacing w:val="-1"/>
          <w:sz w:val="24"/>
          <w:szCs w:val="24"/>
        </w:rPr>
        <w:t>España tiene la deuda implícita pensional más grande de Europa.  </w:t>
      </w:r>
      <w:r w:rsidRPr="00BD6B3D">
        <w:rPr>
          <w:rFonts w:ascii="Times New Roman" w:hAnsi="Times New Roman" w:cs="Times New Roman"/>
          <w:spacing w:val="-1"/>
          <w:sz w:val="24"/>
          <w:szCs w:val="24"/>
        </w:rPr>
        <w:t>Para entender la magnitud del problema,</w:t>
      </w:r>
      <w:r>
        <w:rPr>
          <w:rFonts w:ascii="Times New Roman" w:hAnsi="Times New Roman" w:cs="Times New Roman"/>
          <w:spacing w:val="-1"/>
          <w:sz w:val="24"/>
          <w:szCs w:val="24"/>
        </w:rPr>
        <w:t xml:space="preserve"> basta con mirar el dato: esta “deuda”</w:t>
      </w:r>
      <w:r w:rsidRPr="00BD6B3D">
        <w:rPr>
          <w:rFonts w:ascii="Times New Roman" w:hAnsi="Times New Roman" w:cs="Times New Roman"/>
          <w:spacing w:val="-1"/>
          <w:sz w:val="24"/>
          <w:szCs w:val="24"/>
        </w:rPr>
        <w:t xml:space="preserve"> asciende al 500% del PIB. Es decir, por cada euro que produce la economía española, hay cinco euros comprometidos en pensiones futuras. Y eso sin contar la deuda pública, la que sí se reconoce y se negocia en los mercados, que ronda el 100% del PIB en este momento. En total, el Estado español arrastra una carga que condicionará las finanzas públicas durante décadas. Además, España presenta</w:t>
      </w:r>
      <w:r w:rsidRPr="00BD6B3D">
        <w:rPr>
          <w:rFonts w:ascii="Times New Roman" w:hAnsi="Times New Roman" w:cs="Times New Roman"/>
          <w:b/>
          <w:bCs/>
          <w:spacing w:val="-1"/>
          <w:sz w:val="24"/>
          <w:szCs w:val="24"/>
        </w:rPr>
        <w:t> </w:t>
      </w:r>
      <w:r w:rsidRPr="00BD6B3D">
        <w:rPr>
          <w:rFonts w:ascii="Times New Roman" w:hAnsi="Times New Roman" w:cs="Times New Roman"/>
          <w:bCs/>
          <w:spacing w:val="-1"/>
          <w:sz w:val="24"/>
          <w:szCs w:val="24"/>
        </w:rPr>
        <w:t>hoy una de las tasas de sustitución más altas del mundo</w:t>
      </w:r>
      <w:r w:rsidRPr="00BD6B3D">
        <w:rPr>
          <w:rFonts w:ascii="Times New Roman" w:hAnsi="Times New Roman" w:cs="Times New Roman"/>
          <w:spacing w:val="-1"/>
          <w:sz w:val="24"/>
          <w:szCs w:val="24"/>
        </w:rPr>
        <w:t>. Esta tasa señala el porcentaje del último salario que se mantiene al jubilarse, es una de las más altas de la OCDE. Según datos de 2023, se sitúa en España en alrededor del 80%, lo que significa que, en promedio, </w:t>
      </w:r>
      <w:hyperlink r:id="rId12" w:tooltip="La generosidad de las pensiones españolas caerá 16 puntos las próximas décadas, el doble que en Europa" w:history="1">
        <w:r w:rsidRPr="004E3111">
          <w:rPr>
            <w:rStyle w:val="Hipervnculo"/>
            <w:rFonts w:ascii="Times New Roman" w:hAnsi="Times New Roman" w:cs="Times New Roman"/>
            <w:color w:val="auto"/>
            <w:spacing w:val="-1"/>
            <w:sz w:val="24"/>
            <w:szCs w:val="24"/>
            <w:u w:val="none"/>
          </w:rPr>
          <w:t>un jubilado español recibe el 80% de su salario previo a la jubilación </w:t>
        </w:r>
      </w:hyperlink>
      <w:r w:rsidRPr="004E3111">
        <w:rPr>
          <w:rFonts w:ascii="Times New Roman" w:hAnsi="Times New Roman" w:cs="Times New Roman"/>
          <w:spacing w:val="-1"/>
          <w:sz w:val="24"/>
          <w:szCs w:val="24"/>
        </w:rPr>
        <w:t>como pensión pública. Esta tasa es significativamente más alta que la media de la OCDE (56%) y de la Unión Europea (54,8%).</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La renta familiar en España está por debajo del nivel que tenía el país cuando entró en el euro, en 2002. Está exactamente en el 88% de la renta media de la UE-27 en paridad de poder de compra. Además, y desde entonces, las familias españolas dedican 45 euros de cada 100 de renta real a pagar impuestos; ha aumentado en cinco puntos durante este período, de acuerdo con otros informes como el Taxing Wages de la OCDE (The Objective - </w:t>
      </w:r>
      <w:r w:rsidRPr="00BD6B3D">
        <w:rPr>
          <w:rFonts w:ascii="Times New Roman" w:hAnsi="Times New Roman" w:cs="Times New Roman"/>
          <w:b/>
          <w:sz w:val="24"/>
          <w:szCs w:val="24"/>
        </w:rPr>
        <w:t>24/7/25</w:t>
      </w:r>
      <w:r w:rsidRPr="00BD6B3D">
        <w:rPr>
          <w:rFonts w:ascii="Times New Roman" w:hAnsi="Times New Roman" w:cs="Times New Roman"/>
          <w:sz w:val="24"/>
          <w:szCs w:val="24"/>
        </w:rPr>
        <w:t>). En este mismo espacio de tiempo, la renta familiar ha ido incrementando su dependencia del Estado en detrimento de los salarios y rentas de ahorro a cambio de pagar más impuestos directos. Mientras los salarios han crecido una media anual del 3,90% entre 1999 y 2024, las transferencias públicas han aumentado un 4,85% y los impuestos directos, un 4,43%.</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La mitad de los mayores de 18 años ya depende de una ayuda, una pensión o un empleo público.  (The Objective - </w:t>
      </w:r>
      <w:r w:rsidRPr="00BD6B3D">
        <w:rPr>
          <w:rFonts w:ascii="Times New Roman" w:hAnsi="Times New Roman" w:cs="Times New Roman"/>
          <w:b/>
          <w:sz w:val="24"/>
          <w:szCs w:val="24"/>
        </w:rPr>
        <w:t>31/7/23</w:t>
      </w:r>
      <w:r w:rsidRPr="00BD6B3D">
        <w:rPr>
          <w:rFonts w:ascii="Times New Roman" w:hAnsi="Times New Roman" w:cs="Times New Roman"/>
          <w:sz w:val="24"/>
          <w:szCs w:val="24"/>
        </w:rPr>
        <w:t xml:space="preserve">). La multiplicación de subsidios eleva a cotas nunca vistas el porcentaje de personas con ingresos procedentes del Estado. Uno de cada dos mayores de 18 años depende ya de una ayuda o subsidio, de una pensión o de un sueldo pagado por administraciones o empresas públicas, una proporción que seguirá aumentando con el </w:t>
      </w:r>
      <w:r w:rsidRPr="00BD6B3D">
        <w:rPr>
          <w:rFonts w:ascii="Times New Roman" w:hAnsi="Times New Roman" w:cs="Times New Roman"/>
          <w:sz w:val="24"/>
          <w:szCs w:val="24"/>
        </w:rPr>
        <w:lastRenderedPageBreak/>
        <w:t>envejecimiento de la población y en momentos de crisis económica. Las ayudas, a menudo de subsistencia, sirven para permitir malvivir a los ocupantes de millones de hogares y se han convertido en un recurso básico. 19,1 millones de ciudadanos con más de 18 años reciben una prestación vital, alguna ayuda de dependencia o un sueldo público. La población española en esa franja de edad supera los 39,4 millones, según los datos del Instituto Nacional de Estadística (INE) relativos a 2022.</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Los salarios de los españoles no consiguen despegar de niveles de hace 30 años (Libertad Digital - </w:t>
      </w:r>
      <w:r w:rsidRPr="00BD6B3D">
        <w:rPr>
          <w:rFonts w:ascii="Times New Roman" w:hAnsi="Times New Roman" w:cs="Times New Roman"/>
          <w:b/>
          <w:sz w:val="24"/>
          <w:szCs w:val="24"/>
        </w:rPr>
        <w:t>25/7/25</w:t>
      </w:r>
      <w:r w:rsidRPr="00BD6B3D">
        <w:rPr>
          <w:rFonts w:ascii="Times New Roman" w:hAnsi="Times New Roman" w:cs="Times New Roman"/>
          <w:sz w:val="24"/>
          <w:szCs w:val="24"/>
        </w:rPr>
        <w:t>). Ni suben los sueldos ni crece la ambición por crear riqueza, sumiendo a España en una mentalidad tercermundista. España lleva décadas atrapada en una parálisis salarial que no encuentra solución. Los datos lo confirman de forma abrumadora: en los últimos treinta años, el salario real medio ha crecido apenas un 6 %, según Eurostat. Mientras tanto, Irlanda lo ha hecho un +72 %, Suecia un +57 %, y países comparables como Portugal o Francia superan el +24 % y +27 % respectivamente. Solo Italia comparte con España este estancamiento, con un crecimiento del +3 % que incluso se torna negativo al analizar las cifras para los empleados a tiempo completo. Según los últimos datos de la OCDE que ha recogido El Mundo, el resultado es todavía peor para España porque los salarios reales en ese mismo periodo sólo habrían crecido un 2,76%, el cuarto peor de los 38 países miembros.</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Seis de cada diez pensiones no superan los 1.500 euros mensuales</w:t>
      </w:r>
      <w:r>
        <w:rPr>
          <w:rFonts w:ascii="Times New Roman" w:hAnsi="Times New Roman" w:cs="Times New Roman"/>
          <w:sz w:val="24"/>
          <w:szCs w:val="24"/>
        </w:rPr>
        <w:t>.</w:t>
      </w:r>
      <w:r w:rsidRPr="00BD6B3D">
        <w:rPr>
          <w:rFonts w:ascii="Times New Roman" w:hAnsi="Times New Roman" w:cs="Times New Roman"/>
          <w:sz w:val="24"/>
          <w:szCs w:val="24"/>
        </w:rPr>
        <w:t xml:space="preserve"> (Vozpópuli - </w:t>
      </w:r>
      <w:r w:rsidRPr="00BD6B3D">
        <w:rPr>
          <w:rFonts w:ascii="Times New Roman" w:hAnsi="Times New Roman" w:cs="Times New Roman"/>
          <w:b/>
          <w:sz w:val="24"/>
          <w:szCs w:val="24"/>
        </w:rPr>
        <w:t>27/7/25</w:t>
      </w:r>
      <w:r w:rsidRPr="00BD6B3D">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El gasto en pensiones crece un 6,2% en julio y la nómina media asciende hasta los 1.506 euros</w:t>
      </w:r>
      <w:r>
        <w:rPr>
          <w:rFonts w:ascii="Times New Roman" w:hAnsi="Times New Roman" w:cs="Times New Roman"/>
          <w:sz w:val="24"/>
          <w:szCs w:val="24"/>
        </w:rPr>
        <w:t>.</w:t>
      </w:r>
      <w:r w:rsidRPr="00BD6B3D">
        <w:rPr>
          <w:rFonts w:ascii="Times New Roman" w:hAnsi="Times New Roman" w:cs="Times New Roman"/>
          <w:sz w:val="24"/>
          <w:szCs w:val="24"/>
        </w:rPr>
        <w:t xml:space="preserve"> (El Economista - </w:t>
      </w:r>
      <w:r w:rsidRPr="00BD6B3D">
        <w:rPr>
          <w:rFonts w:ascii="Times New Roman" w:hAnsi="Times New Roman" w:cs="Times New Roman"/>
          <w:b/>
          <w:sz w:val="24"/>
          <w:szCs w:val="24"/>
        </w:rPr>
        <w:t>29/7/25</w:t>
      </w:r>
      <w:r w:rsidRPr="00BD6B3D">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La Seguridad Social consume 32.315 millones de los impuestos para pagar las pensiones (Expansión - </w:t>
      </w:r>
      <w:r w:rsidRPr="00BD6B3D">
        <w:rPr>
          <w:rFonts w:ascii="Times New Roman" w:hAnsi="Times New Roman" w:cs="Times New Roman"/>
          <w:b/>
          <w:sz w:val="24"/>
          <w:szCs w:val="24"/>
        </w:rPr>
        <w:t>1/8/25</w:t>
      </w:r>
      <w:r w:rsidRPr="00BD6B3D">
        <w:rPr>
          <w:rFonts w:ascii="Times New Roman" w:hAnsi="Times New Roman" w:cs="Times New Roman"/>
          <w:sz w:val="24"/>
          <w:szCs w:val="24"/>
        </w:rPr>
        <w:t>) El sistema necesita un 6,3% más de transferencias hasta junio que en el mismo periodo del pasado año, pese a que los ingresos por cotizaciones crecen un 7,2% (5.843 millones más), hasta alcanzar los 87.504 millones de euros. El aumento de la recaudación de cotizaciones sociales que está brindando la mejora del empleo y los aumentos de cuotas con origen en la última reforma de pensiones (mecanismo de equidad intergeneracional y destope de la base máxima) y la revalorización del salario mínimo interprofesional es, a todas luces, insuficiente para soportar la abultada factura de las pensiones que soporta cada mes la Seguridad Social.</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Llega el día D de las pensiones: las jubilaciones masivas del baby boom ponen en jaque al sistema (Libertad Digital - </w:t>
      </w:r>
      <w:r w:rsidRPr="00BD6B3D">
        <w:rPr>
          <w:rFonts w:ascii="Times New Roman" w:hAnsi="Times New Roman" w:cs="Times New Roman"/>
          <w:b/>
          <w:sz w:val="24"/>
          <w:szCs w:val="24"/>
        </w:rPr>
        <w:t>1/8/25</w:t>
      </w:r>
      <w:r>
        <w:rPr>
          <w:rFonts w:ascii="Times New Roman" w:hAnsi="Times New Roman" w:cs="Times New Roman"/>
          <w:sz w:val="24"/>
          <w:szCs w:val="24"/>
        </w:rPr>
        <w:t>). “</w:t>
      </w:r>
      <w:r w:rsidRPr="00BD6B3D">
        <w:rPr>
          <w:rFonts w:ascii="Times New Roman" w:hAnsi="Times New Roman" w:cs="Times New Roman"/>
          <w:sz w:val="24"/>
          <w:szCs w:val="24"/>
        </w:rPr>
        <w:t xml:space="preserve">España cuenta actualmente con 2,3 trabajadores por pensionista a pesar de que existen 3,3 personas </w:t>
      </w:r>
      <w:r>
        <w:rPr>
          <w:rFonts w:ascii="Times New Roman" w:hAnsi="Times New Roman" w:cs="Times New Roman"/>
          <w:sz w:val="24"/>
          <w:szCs w:val="24"/>
        </w:rPr>
        <w:t>en edad laboral por pensionista”</w:t>
      </w:r>
      <w:r w:rsidRPr="00BD6B3D">
        <w:rPr>
          <w:rFonts w:ascii="Times New Roman" w:hAnsi="Times New Roman" w:cs="Times New Roman"/>
          <w:sz w:val="24"/>
          <w:szCs w:val="24"/>
        </w:rPr>
        <w:t>. Las cuentas de la Seguridad Social hacen aguas a pesar de la recaudación récord que viene cosechando el Gobierno a través de las cotizaciones sociales de las empresas y los trabajadores del país. Según los últimos datos publicados el pasado jueves por la Seguridad Social relativos al mes de junio, los ingresos por cotizaciones registraron un incremento del 7,2% interanual en los datos acumulados de los 6 primeros meses del año alcanzando los 87.504 millones de euros. Esto supone 5.843 millones más que en el mismo periodo del año anterior y un nuevo récord para el Ejecutivo de Pedro Sánchez. Sin embargo, a pesar del éxito recaudador del Gobierno, desde hace años los ingresos por cotizaciones no son suficientes para pagar las pensiones, por lo que el Estado tiene que tirar de transferencias y deuda para poner pagar las prestaciones mes a mes. Este problema que hará todavía más grande en los próximos años cuando las jubilaciones del baby boom aumenten con más rapidez que ahora.</w:t>
      </w:r>
    </w:p>
    <w:p w:rsidR="004E3111" w:rsidRPr="00BD6B3D" w:rsidRDefault="004E3111" w:rsidP="004E3111">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D6B3D">
        <w:rPr>
          <w:rFonts w:ascii="Times New Roman" w:eastAsia="Times New Roman" w:hAnsi="Times New Roman" w:cs="Times New Roman"/>
          <w:sz w:val="24"/>
          <w:szCs w:val="24"/>
          <w:lang w:eastAsia="es-ES"/>
        </w:rPr>
        <w:t>- La Seguridad Social abona 10,3 millones de pensiones a 9,3 millones de pensionistas en diciembre (</w:t>
      </w:r>
      <w:r>
        <w:rPr>
          <w:rFonts w:ascii="Times New Roman" w:eastAsia="Times New Roman" w:hAnsi="Times New Roman" w:cs="Times New Roman"/>
          <w:sz w:val="24"/>
          <w:szCs w:val="24"/>
          <w:lang w:eastAsia="es-ES"/>
        </w:rPr>
        <w:t xml:space="preserve">Fuente: </w:t>
      </w:r>
      <w:r w:rsidRPr="00BD6B3D">
        <w:rPr>
          <w:rFonts w:ascii="Times New Roman" w:eastAsia="Times New Roman" w:hAnsi="Times New Roman" w:cs="Times New Roman"/>
          <w:sz w:val="24"/>
          <w:szCs w:val="24"/>
          <w:lang w:eastAsia="es-ES"/>
        </w:rPr>
        <w:t xml:space="preserve">La Moncloa - </w:t>
      </w:r>
      <w:r w:rsidRPr="00BD6B3D">
        <w:rPr>
          <w:rFonts w:ascii="Times New Roman" w:eastAsia="Times New Roman" w:hAnsi="Times New Roman" w:cs="Times New Roman"/>
          <w:b/>
          <w:sz w:val="24"/>
          <w:szCs w:val="24"/>
          <w:lang w:eastAsia="es-ES"/>
        </w:rPr>
        <w:t>27/12/24</w:t>
      </w:r>
      <w:r w:rsidRPr="00BD6B3D">
        <w:rPr>
          <w:rFonts w:ascii="Times New Roman" w:eastAsia="Times New Roman" w:hAnsi="Times New Roman" w:cs="Times New Roman"/>
          <w:sz w:val="24"/>
          <w:szCs w:val="24"/>
          <w:lang w:eastAsia="es-ES"/>
        </w:rPr>
        <w:t xml:space="preserve">) La pensión de jubilación es la principal prestación para 6,4 millones de personas que verán revalorizadas sus pensiones un 2,8% en </w:t>
      </w:r>
      <w:r w:rsidRPr="00BD6B3D">
        <w:rPr>
          <w:rFonts w:ascii="Times New Roman" w:eastAsia="Times New Roman" w:hAnsi="Times New Roman" w:cs="Times New Roman"/>
          <w:sz w:val="24"/>
          <w:szCs w:val="24"/>
          <w:lang w:eastAsia="es-ES"/>
        </w:rPr>
        <w:lastRenderedPageBreak/>
        <w:t>términos generales. La Seguridad Social ha abonado 10.281.477 pensiones a 9,3 millones de personas en la nómina de diciembre, que ha ascendido a 12.974,2 millones de euros.</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El SEPE lo deja claro: España sigue siendo un país de camareros, peones y limpiadores (El Economista - </w:t>
      </w:r>
      <w:r w:rsidRPr="00BD6B3D">
        <w:rPr>
          <w:rFonts w:ascii="Times New Roman" w:hAnsi="Times New Roman" w:cs="Times New Roman"/>
          <w:b/>
          <w:sz w:val="24"/>
          <w:szCs w:val="24"/>
        </w:rPr>
        <w:t>4/9/25</w:t>
      </w:r>
      <w:r>
        <w:rPr>
          <w:rFonts w:ascii="Times New Roman" w:hAnsi="Times New Roman" w:cs="Times New Roman"/>
          <w:sz w:val="24"/>
          <w:szCs w:val="24"/>
        </w:rPr>
        <w:t>). Las profesiones de “alto valor añadido”</w:t>
      </w:r>
      <w:r w:rsidRPr="00BD6B3D">
        <w:rPr>
          <w:rFonts w:ascii="Times New Roman" w:hAnsi="Times New Roman" w:cs="Times New Roman"/>
          <w:sz w:val="24"/>
          <w:szCs w:val="24"/>
        </w:rPr>
        <w:t xml:space="preserve"> no están entre las que más buscan las empresas. Los contratos se concentran en hombres menores de 45 años</w:t>
      </w:r>
      <w:r>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Las cotizaciones sociales cubren solo el 70% de los ingresos para pagar pensiones (El Economista - </w:t>
      </w:r>
      <w:r w:rsidRPr="00BD6B3D">
        <w:rPr>
          <w:rFonts w:ascii="Times New Roman" w:hAnsi="Times New Roman" w:cs="Times New Roman"/>
          <w:b/>
          <w:sz w:val="24"/>
          <w:szCs w:val="24"/>
        </w:rPr>
        <w:t>18/8/25</w:t>
      </w:r>
      <w:r w:rsidRPr="00BD6B3D">
        <w:rPr>
          <w:rFonts w:ascii="Times New Roman" w:hAnsi="Times New Roman" w:cs="Times New Roman"/>
          <w:sz w:val="24"/>
          <w:szCs w:val="24"/>
        </w:rPr>
        <w:t>). Las transferencias del Estado a Seguridad Social han crecido 14 puntos porcentuales desde 2019. El dinero que el Estado aporta a la Seguridad Social para que esta pueda cumplir con sus obligaciones es cada vez mayor. Hasta el mes de junio, las transferencias totales recibidas por el Ministerio dirigido por Elma Saiz suponían casi el 30% de los ingresos (un 27% en concreto). Es decir, las cotizaciones sociales solo cubrieron el 70% de los recursos del Departamento encargado de pagar las pensiones. Esta partida de gasto se lleva -según el presupuesto del Ministerio- el 88% del gasto total en el nivel contributivo de la Seguridad Social y el 55% en el no contributivo.</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Pensiones públicas: pagar más para recibir menos (El Confidencial - </w:t>
      </w:r>
      <w:r w:rsidRPr="00BD6B3D">
        <w:rPr>
          <w:rFonts w:ascii="Times New Roman" w:hAnsi="Times New Roman" w:cs="Times New Roman"/>
          <w:b/>
          <w:sz w:val="24"/>
          <w:szCs w:val="24"/>
        </w:rPr>
        <w:t>16/8/25</w:t>
      </w:r>
      <w:r w:rsidRPr="00BD6B3D">
        <w:rPr>
          <w:rFonts w:ascii="Times New Roman" w:hAnsi="Times New Roman" w:cs="Times New Roman"/>
          <w:sz w:val="24"/>
          <w:szCs w:val="24"/>
        </w:rPr>
        <w:t>). Pagar más impuestos para recibir menos servicios públicos. Ésa es la consecuencia última de la crisis del sistema de pensiones español. En un reciente informe del Centro Ruth Richardson (de la Universidad de las Hespérides) se constata la realidad de la desastrosa situación financiera de nuestro sistema de pensiones: en 2024, los ingresos contributivos de la Seguridad Social fueron de 146.000 millones de euros, mientras que los gastos contributivos se ubicaron en 199.000 millones de euros, esto es, un déficit contributivo de 53.000 millones de euros. Teniendo en cuenta que el déficit del conjunto de las Administraciones Públicas de España ascendió en 2024 a 44.500 millones de euros, lo que estas cifras ponen de relieve es que, a día de hoy, todo el nuevo endeudamiento público del Estado español resulta explicable por el déficit contributivo del sistema de pensiones (de hecho, quitando ese déficit contributivo, incluso tendríamos un superávit en todos los restantes servicios que provee el Estado).</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Las cuatro provincias españolas que registran tantos pensionistas como asalariados (El Economista - </w:t>
      </w:r>
      <w:r w:rsidRPr="00BD6B3D">
        <w:rPr>
          <w:rFonts w:ascii="Times New Roman" w:hAnsi="Times New Roman" w:cs="Times New Roman"/>
          <w:b/>
          <w:sz w:val="24"/>
          <w:szCs w:val="24"/>
        </w:rPr>
        <w:t>17/8/25</w:t>
      </w:r>
      <w:r w:rsidRPr="00BD6B3D">
        <w:rPr>
          <w:rFonts w:ascii="Times New Roman" w:hAnsi="Times New Roman" w:cs="Times New Roman"/>
          <w:sz w:val="24"/>
          <w:szCs w:val="24"/>
        </w:rPr>
        <w:t>). Provincias del noroeste peninsular como León, Zamora, Lugo u Orense, cuya media de edad supera los 50 años, tienen igual número de pensionistas y cotizantes a la Seguridad Social en su territorio, un registro que convive con factores que no atraen nueva población, como el pago de salarios inferiores a la media del país.</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Uno de cada tres jubilados cobra ya más de 2.000 euros al mes (Libertad Digital - </w:t>
      </w:r>
      <w:r w:rsidRPr="00BD6B3D">
        <w:rPr>
          <w:rFonts w:ascii="Times New Roman" w:hAnsi="Times New Roman" w:cs="Times New Roman"/>
          <w:b/>
          <w:sz w:val="24"/>
          <w:szCs w:val="24"/>
        </w:rPr>
        <w:t>18/8/25</w:t>
      </w:r>
      <w:r w:rsidRPr="00BD6B3D">
        <w:rPr>
          <w:rFonts w:ascii="Times New Roman" w:hAnsi="Times New Roman" w:cs="Times New Roman"/>
          <w:sz w:val="24"/>
          <w:szCs w:val="24"/>
        </w:rPr>
        <w:t>). Cada vez menos jubilados cobran una pensión inferior a 1.000 euros y casi se ha triplicado el número de jubilados que cobran más de 3.000 euros.</w:t>
      </w:r>
    </w:p>
    <w:p w:rsidR="004E3111" w:rsidRPr="00BD6B3D" w:rsidRDefault="004E3111" w:rsidP="004E3111">
      <w:pPr>
        <w:pStyle w:val="ecl-social-media-sharedescription"/>
        <w:jc w:val="both"/>
      </w:pPr>
      <w:r w:rsidRPr="00BD6B3D">
        <w:t xml:space="preserve">- Tres jubilaciones por cada nuevo joven trabajador: la brecha imparable del sistema de pensiones (Vozpópuli - </w:t>
      </w:r>
      <w:r w:rsidRPr="00BD6B3D">
        <w:rPr>
          <w:b/>
        </w:rPr>
        <w:t>22/8/25</w:t>
      </w:r>
      <w:r w:rsidRPr="00BD6B3D">
        <w:t>). En la próxima década se jubilarán 5,3 millones de personas en España, pero solo 1,8 millones de jóvenes entrarán al mercado laboral, según Adecco. Las pensiones se afianzan como el gran reto económico de España. El gasto no deja de crecer porque cada vez hay más jubilaciones, con nóminas más altas y que perduran más tiempo, como consecuencia de la esperanza de vida. Mientras tanto, la natalidad continúa en caída libre, con cada vez menos futuros trabajadores que aporten al sistema con sus cotizaciones. Según los cálculos de la Fundación Adecco, en la próxima década se jubilarán 5,3 millones de personas en España, pero solo 1,8 millones de jóvenes entrarán al mercado laboral.</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lastRenderedPageBreak/>
        <w:t xml:space="preserve">- Zamora, Lugo y Vizcaya sumarán más de cinco pensionistas por cada nuevo activo hasta 2035 (The Objective - </w:t>
      </w:r>
      <w:r w:rsidRPr="00BD6B3D">
        <w:rPr>
          <w:rFonts w:ascii="Times New Roman" w:hAnsi="Times New Roman" w:cs="Times New Roman"/>
          <w:b/>
          <w:sz w:val="24"/>
          <w:szCs w:val="24"/>
        </w:rPr>
        <w:t>24/8/25</w:t>
      </w:r>
      <w:r w:rsidRPr="00BD6B3D">
        <w:rPr>
          <w:rFonts w:ascii="Times New Roman" w:hAnsi="Times New Roman" w:cs="Times New Roman"/>
          <w:sz w:val="24"/>
          <w:szCs w:val="24"/>
        </w:rPr>
        <w:t>) Hasta 2035 se jubilarán 5,3 millones de personas, pero solo 1,8 millones de jóvenes e</w:t>
      </w:r>
      <w:r>
        <w:rPr>
          <w:rFonts w:ascii="Times New Roman" w:hAnsi="Times New Roman" w:cs="Times New Roman"/>
          <w:sz w:val="24"/>
          <w:szCs w:val="24"/>
        </w:rPr>
        <w:t>ntrarán al mercado laboral. El “invierno demográfico”</w:t>
      </w:r>
      <w:r w:rsidRPr="00BD6B3D">
        <w:rPr>
          <w:rFonts w:ascii="Times New Roman" w:hAnsi="Times New Roman" w:cs="Times New Roman"/>
          <w:sz w:val="24"/>
          <w:szCs w:val="24"/>
        </w:rPr>
        <w:t xml:space="preserve"> en el que está inmersa España, con una situación de envejecimiento poblacional por la baja natalidad y el aumento de la esperanza de vida, aprieta cada vez más las costuras del sistema de pensiones. Una cuestión que es mucho más grave en las comunidades del norte del país. En la próxima década se jubilarán 5,3 millones de personas en España, pero solo 1,8 millones de jóvenes entrarán al mercado laboral, según el análisis desarrollado por el Observatorio de la Vulnerabilidad y el Empleo de la Fundación Adecco con datos de la EPA.</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La pensión media de los jubilados durante 2025 ya es superior al sueldo de la mitad de los asalariados españoles (El Español - </w:t>
      </w:r>
      <w:r w:rsidRPr="00BD6B3D">
        <w:rPr>
          <w:rFonts w:ascii="Times New Roman" w:hAnsi="Times New Roman" w:cs="Times New Roman"/>
          <w:b/>
          <w:sz w:val="24"/>
          <w:szCs w:val="24"/>
        </w:rPr>
        <w:t>28/8/25</w:t>
      </w:r>
      <w:r w:rsidRPr="00BD6B3D">
        <w:rPr>
          <w:rFonts w:ascii="Times New Roman" w:hAnsi="Times New Roman" w:cs="Times New Roman"/>
          <w:sz w:val="24"/>
          <w:szCs w:val="24"/>
        </w:rPr>
        <w:t>). Los datos de la Seguridad Social apuntan a que la pensión anual media de los baby boomers recién jubilados está en los 24.108 euros, un 3,2% más que la mediana salarial española.</w:t>
      </w:r>
    </w:p>
    <w:p w:rsidR="004E3111"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- 10.000 millones de euros al mes: las pensiones de jubilación romperán el récord antes de fin de año (Vozpópuli - </w:t>
      </w:r>
      <w:r w:rsidRPr="00BD6B3D">
        <w:rPr>
          <w:rFonts w:ascii="Times New Roman" w:hAnsi="Times New Roman" w:cs="Times New Roman"/>
          <w:b/>
          <w:sz w:val="24"/>
          <w:szCs w:val="24"/>
        </w:rPr>
        <w:t>28/8/25</w:t>
      </w:r>
      <w:r w:rsidRPr="00BD6B3D">
        <w:rPr>
          <w:rFonts w:ascii="Times New Roman" w:hAnsi="Times New Roman" w:cs="Times New Roman"/>
          <w:sz w:val="24"/>
          <w:szCs w:val="24"/>
        </w:rPr>
        <w:t>). La factura de las pensiones de jubilación contributivas -aquellas de quienes han cotizado lo suficiente, la gran mayoría- está cerca de romper la barrera de los 10.000 millones de euros. Lo hará, previsiblemente, antes de que finalice el año. A esta conclusión se llega aplicando la variación anual que han registrado estas pensiones en lo que va de año. Si se mantiene la tendencia, como es habitual, la nómina mensual de las pensiones de jubilación contributivas superaría los 10.000 millones en el mes de noviembre, según los cálculos realizados por este periódico. Las jubilaciones conforman la partida más cuantiosa de todo el gasto en pensiones contributivas, que asciende ya a 13.600 millones de euros. A esta cantidad hay que sumar las pensiones no contributivas (271 millones de euros adicionales entre las pensiones de jubilación y de incapacidad) y las de clases pasivas (1.660 millones más), lo que eleva la nómina que afronta la Seguridad Social cada mes hasta los 15.500 millones de euros.</w:t>
      </w:r>
    </w:p>
    <w:p w:rsidR="004E3111" w:rsidRDefault="004E3111" w:rsidP="004E3111">
      <w:pPr>
        <w:spacing w:line="240" w:lineRule="auto"/>
        <w:jc w:val="both"/>
        <w:rPr>
          <w:rFonts w:ascii="Times New Roman" w:hAnsi="Times New Roman" w:cs="Times New Roman"/>
          <w:sz w:val="24"/>
          <w:szCs w:val="24"/>
        </w:rPr>
      </w:pPr>
      <w:r w:rsidRPr="00286F81">
        <w:rPr>
          <w:rFonts w:ascii="Times New Roman" w:hAnsi="Times New Roman" w:cs="Times New Roman"/>
          <w:sz w:val="24"/>
          <w:szCs w:val="24"/>
        </w:rPr>
        <w:t xml:space="preserve">- El gasto público asociado al envejecimiento supondrá el 25,5% del PIB en 2050 (El Economista - </w:t>
      </w:r>
      <w:r w:rsidRPr="00286F81">
        <w:rPr>
          <w:rFonts w:ascii="Times New Roman" w:hAnsi="Times New Roman" w:cs="Times New Roman"/>
          <w:b/>
          <w:sz w:val="24"/>
          <w:szCs w:val="24"/>
        </w:rPr>
        <w:t>8/9/25</w:t>
      </w:r>
      <w:r w:rsidRPr="00286F81">
        <w:rPr>
          <w:rFonts w:ascii="Times New Roman" w:hAnsi="Times New Roman" w:cs="Times New Roman"/>
          <w:sz w:val="24"/>
          <w:szCs w:val="24"/>
        </w:rPr>
        <w:t>). El gasto en pensiones, sanidad y cuidados, las partidas relacionadas con el envejecimiento poblacional, crecerá más en España que en el resto de la Unión Europea. En el año 2050, el desembolso que tendrá que llevar a cabo el Estado para asumir el aumento de la edad media de los ciudadanos españoles crecerá hasta el 25,5% del PIB según las previsiones del documento Desafíos y políticas en la era de la longevidad de CaixaBank Research publicadas esta mañana. Se trat</w:t>
      </w:r>
      <w:r>
        <w:rPr>
          <w:rFonts w:ascii="Times New Roman" w:hAnsi="Times New Roman" w:cs="Times New Roman"/>
          <w:sz w:val="24"/>
          <w:szCs w:val="24"/>
        </w:rPr>
        <w:t>a de un aumento de 5,2 puntos, “claramente mayor”</w:t>
      </w:r>
      <w:r w:rsidRPr="00286F81">
        <w:rPr>
          <w:rFonts w:ascii="Times New Roman" w:hAnsi="Times New Roman" w:cs="Times New Roman"/>
          <w:sz w:val="24"/>
          <w:szCs w:val="24"/>
        </w:rPr>
        <w:t xml:space="preserve"> que en la UE (+1,5 puntos).</w:t>
      </w:r>
    </w:p>
    <w:p w:rsidR="004E3111" w:rsidRPr="005A39C9" w:rsidRDefault="004E3111" w:rsidP="004E3111">
      <w:pPr>
        <w:spacing w:line="240" w:lineRule="auto"/>
        <w:jc w:val="both"/>
        <w:rPr>
          <w:rFonts w:ascii="Times New Roman" w:hAnsi="Times New Roman" w:cs="Times New Roman"/>
          <w:sz w:val="24"/>
          <w:szCs w:val="24"/>
        </w:rPr>
      </w:pPr>
      <w:r w:rsidRPr="005A39C9">
        <w:rPr>
          <w:rFonts w:ascii="Times New Roman" w:hAnsi="Times New Roman" w:cs="Times New Roman"/>
          <w:sz w:val="24"/>
          <w:szCs w:val="24"/>
        </w:rPr>
        <w:t xml:space="preserve">- La otra factura de las pensiones: 25.000 millones para funcionarios, militares y ex políticos (Vozpópuli - </w:t>
      </w:r>
      <w:r w:rsidRPr="005A39C9">
        <w:rPr>
          <w:rFonts w:ascii="Times New Roman" w:hAnsi="Times New Roman" w:cs="Times New Roman"/>
          <w:b/>
          <w:sz w:val="24"/>
          <w:szCs w:val="24"/>
        </w:rPr>
        <w:t>8/9/25</w:t>
      </w:r>
      <w:r w:rsidRPr="005A39C9">
        <w:rPr>
          <w:rFonts w:ascii="Times New Roman" w:hAnsi="Times New Roman" w:cs="Times New Roman"/>
          <w:sz w:val="24"/>
          <w:szCs w:val="24"/>
        </w:rPr>
        <w:t>). Las pensiones de las clases pasivas afectan a más de 725.000 personas. Su coste mensual ascendió a 1.671 millones en julio, un 6,2% más que en 2024</w:t>
      </w:r>
      <w:r>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El gobierno español destina cantidades variables y a menudo específicas en subvenciones a ONG, no una cifra única total que se publique regularmente. Por ejemplo, en 2025, se aprobaron 94 millones de euros para subvenciones estatales del 0,7% a diversas ONGs, y en 2024, se repartieron 5.000 millones en subvenciones generales (incluyendo a ONG). Las subvenciones pueden variar desde cifras concretas para programas específicos, como 392 millones para acogida de refugiados en 2022, hasta 66 millones para ayuda humanitaria en 2025. (</w:t>
      </w:r>
      <w:r>
        <w:rPr>
          <w:rFonts w:ascii="Times New Roman" w:hAnsi="Times New Roman" w:cs="Times New Roman"/>
          <w:sz w:val="24"/>
          <w:szCs w:val="24"/>
          <w:shd w:val="clear" w:color="auto" w:fill="FFFFFF"/>
        </w:rPr>
        <w:t xml:space="preserve">Fuente: </w:t>
      </w:r>
      <w:r w:rsidRPr="00BD6B3D">
        <w:rPr>
          <w:rFonts w:ascii="Times New Roman" w:hAnsi="Times New Roman" w:cs="Times New Roman"/>
          <w:sz w:val="24"/>
          <w:szCs w:val="24"/>
          <w:shd w:val="clear" w:color="auto" w:fill="FFFFFF"/>
        </w:rPr>
        <w:t>Google - Vista creada con IA)</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Las subvenciones a ONG que acogen a inmigrantes sin papele</w:t>
      </w:r>
      <w:r>
        <w:rPr>
          <w:rFonts w:ascii="Times New Roman" w:hAnsi="Times New Roman" w:cs="Times New Roman"/>
          <w:sz w:val="24"/>
          <w:szCs w:val="24"/>
          <w:shd w:val="clear" w:color="auto" w:fill="FFFFFF"/>
        </w:rPr>
        <w:t>s suman 1.458 millones (</w:t>
      </w:r>
      <w:r w:rsidRPr="00BD6B3D">
        <w:rPr>
          <w:rFonts w:ascii="Times New Roman" w:hAnsi="Times New Roman" w:cs="Times New Roman"/>
          <w:sz w:val="24"/>
          <w:szCs w:val="24"/>
          <w:shd w:val="clear" w:color="auto" w:fill="FFFFFF"/>
        </w:rPr>
        <w:t xml:space="preserve">Libre Mercado - Libertad Digital - </w:t>
      </w:r>
      <w:r w:rsidRPr="00BD6B3D">
        <w:rPr>
          <w:rFonts w:ascii="Times New Roman" w:hAnsi="Times New Roman" w:cs="Times New Roman"/>
          <w:b/>
          <w:sz w:val="24"/>
          <w:szCs w:val="24"/>
          <w:shd w:val="clear" w:color="auto" w:fill="FFFFFF"/>
        </w:rPr>
        <w:t>4/7/25</w:t>
      </w:r>
      <w:r w:rsidRPr="00BD6B3D">
        <w:rPr>
          <w:rFonts w:ascii="Times New Roman" w:hAnsi="Times New Roman" w:cs="Times New Roman"/>
          <w:sz w:val="24"/>
          <w:szCs w:val="24"/>
          <w:shd w:val="clear" w:color="auto" w:fill="FFFFFF"/>
        </w:rPr>
        <w:t xml:space="preserve">). La mayoría se adjudican sin licitación. No hay </w:t>
      </w:r>
      <w:r w:rsidRPr="00BD6B3D">
        <w:rPr>
          <w:rFonts w:ascii="Times New Roman" w:hAnsi="Times New Roman" w:cs="Times New Roman"/>
          <w:sz w:val="24"/>
          <w:szCs w:val="24"/>
          <w:shd w:val="clear" w:color="auto" w:fill="FFFFFF"/>
        </w:rPr>
        <w:lastRenderedPageBreak/>
        <w:t>transparencia sobre el grado de integraci</w:t>
      </w:r>
      <w:r>
        <w:rPr>
          <w:rFonts w:ascii="Times New Roman" w:hAnsi="Times New Roman" w:cs="Times New Roman"/>
          <w:sz w:val="24"/>
          <w:szCs w:val="24"/>
          <w:shd w:val="clear" w:color="auto" w:fill="FFFFFF"/>
        </w:rPr>
        <w:t>ón conseguida con estos fondos.</w:t>
      </w:r>
      <w:r w:rsidRPr="00BD6B3D">
        <w:rPr>
          <w:rFonts w:ascii="Times New Roman" w:hAnsi="Times New Roman" w:cs="Times New Roman"/>
          <w:sz w:val="24"/>
          <w:szCs w:val="24"/>
          <w:shd w:val="clear" w:color="auto" w:fill="FFFFFF"/>
        </w:rPr>
        <w:t xml:space="preserve"> Las llegadas de inmigrantes sin papeles se han disparado en los últimos años. Según datos oficiales del Ministerio del Interior, en 2024 se registraron un total de 63.970 llegadas irregulares, lo que supone un incremento del 12,5% respecto a las cifras de 2023 (56.852). De hecho, el pasado ejercicio estuvo cerca de rozar el récord de 64 .298 alcanzado en 2018. Los desembarcos irregulares alcanzaron un total de 32.449 en 2019, 41.861 en 2020, 41.945 en 2021 y 31.219 en 2022, de modo que el total acumulado desde que Pedro Sánchez llegó al gobierno en 2018 asciende a 275.742, siempre de acuerdo con las publicaciones oficiales que edita el Ministerio del Interior, cuya estadística ofrece datos quincenales, amén de un resumen anual.</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xml:space="preserve">- Sánchez reparte 5.000 millones en subvenciones en 2024 a más de 6.000 organismos (Libre Mercado - Libertad Digital - </w:t>
      </w:r>
      <w:r w:rsidRPr="00BD6B3D">
        <w:rPr>
          <w:rFonts w:ascii="Times New Roman" w:hAnsi="Times New Roman" w:cs="Times New Roman"/>
          <w:b/>
          <w:sz w:val="24"/>
          <w:szCs w:val="24"/>
          <w:shd w:val="clear" w:color="auto" w:fill="FFFFFF"/>
        </w:rPr>
        <w:t>5/7/25</w:t>
      </w:r>
      <w:r w:rsidRPr="00BD6B3D">
        <w:rPr>
          <w:rFonts w:ascii="Times New Roman" w:hAnsi="Times New Roman" w:cs="Times New Roman"/>
          <w:sz w:val="24"/>
          <w:szCs w:val="24"/>
          <w:shd w:val="clear" w:color="auto" w:fill="FFFFFF"/>
        </w:rPr>
        <w:t>) Entre los grandes beneficiarios de estos 5.000 millones hay numerosas ONG, también sindicatos, como UGT y CCOO, y partidos como ERC y el PSC. Si hace unas semanas contábamos en Libre Mercado como el Gobierno de Pedro Sánchez había regalado más de 455 millones de euros a distintos organismos extranjeros a lo largo del 2024, entre los que se encontraban el Ministerio de Finanzas de Palestina o el Ministerio de Igualdad de Colombia, la noticia que traemos hoy hace que estas cantidades parezcan ridículas en comparación con lo que recibieron más de 6.000 organismos en España.</w:t>
      </w:r>
    </w:p>
    <w:p w:rsidR="004E3111" w:rsidRPr="00BD6B3D" w:rsidRDefault="004E3111" w:rsidP="004E3111">
      <w:pPr>
        <w:spacing w:line="240" w:lineRule="auto"/>
        <w:jc w:val="both"/>
        <w:rPr>
          <w:rFonts w:ascii="Times New Roman" w:hAnsi="Times New Roman" w:cs="Times New Roman"/>
          <w:sz w:val="24"/>
          <w:szCs w:val="24"/>
          <w:shd w:val="clear" w:color="auto" w:fill="FFFFFF"/>
        </w:rPr>
      </w:pPr>
      <w:r w:rsidRPr="00BD6B3D">
        <w:rPr>
          <w:rFonts w:ascii="Times New Roman" w:hAnsi="Times New Roman" w:cs="Times New Roman"/>
          <w:sz w:val="24"/>
          <w:szCs w:val="24"/>
          <w:shd w:val="clear" w:color="auto" w:fill="FFFFFF"/>
        </w:rPr>
        <w:t>- Las subvenciones a organismos públicos y ONG alcanzaron los 19.000 mi</w:t>
      </w:r>
      <w:r>
        <w:rPr>
          <w:rFonts w:ascii="Times New Roman" w:hAnsi="Times New Roman" w:cs="Times New Roman"/>
          <w:sz w:val="24"/>
          <w:szCs w:val="24"/>
          <w:shd w:val="clear" w:color="auto" w:fill="FFFFFF"/>
        </w:rPr>
        <w:t>llones en 2024 (</w:t>
      </w:r>
      <w:r w:rsidRPr="00BD6B3D">
        <w:rPr>
          <w:rFonts w:ascii="Times New Roman" w:hAnsi="Times New Roman" w:cs="Times New Roman"/>
          <w:sz w:val="24"/>
          <w:szCs w:val="24"/>
          <w:shd w:val="clear" w:color="auto" w:fill="FFFFFF"/>
        </w:rPr>
        <w:t xml:space="preserve">The Objective - </w:t>
      </w:r>
      <w:r w:rsidRPr="00BD6B3D">
        <w:rPr>
          <w:rFonts w:ascii="Times New Roman" w:hAnsi="Times New Roman" w:cs="Times New Roman"/>
          <w:b/>
          <w:sz w:val="24"/>
          <w:szCs w:val="24"/>
          <w:shd w:val="clear" w:color="auto" w:fill="FFFFFF"/>
        </w:rPr>
        <w:t>18/6/25</w:t>
      </w:r>
      <w:r w:rsidRPr="00BD6B3D">
        <w:rPr>
          <w:rFonts w:ascii="Times New Roman" w:hAnsi="Times New Roman" w:cs="Times New Roman"/>
          <w:sz w:val="24"/>
          <w:szCs w:val="24"/>
          <w:shd w:val="clear" w:color="auto" w:fill="FFFFFF"/>
        </w:rPr>
        <w:t>). Más de 12.000 entidades públicas y asociaciones han captado fondos de las administraciones. Las subvenciones a organismos públicos y ONG alcanzaron los 19.000 millones en 2024</w:t>
      </w:r>
      <w:r>
        <w:rPr>
          <w:rFonts w:ascii="Times New Roman" w:hAnsi="Times New Roman" w:cs="Times New Roman"/>
          <w:sz w:val="24"/>
          <w:szCs w:val="24"/>
          <w:shd w:val="clear" w:color="auto" w:fill="FFFFFF"/>
        </w:rPr>
        <w:t>.</w:t>
      </w:r>
    </w:p>
    <w:p w:rsidR="004E3111" w:rsidRPr="00BD6B3D" w:rsidRDefault="004E3111" w:rsidP="004E3111">
      <w:pPr>
        <w:spacing w:line="240" w:lineRule="auto"/>
        <w:jc w:val="both"/>
        <w:rPr>
          <w:rFonts w:ascii="Times New Roman" w:hAnsi="Times New Roman" w:cs="Times New Roman"/>
          <w:color w:val="000000"/>
          <w:sz w:val="24"/>
          <w:szCs w:val="24"/>
          <w:shd w:val="clear" w:color="auto" w:fill="FFFFFF"/>
        </w:rPr>
      </w:pPr>
      <w:r w:rsidRPr="00BD6B3D">
        <w:rPr>
          <w:rFonts w:ascii="Times New Roman" w:hAnsi="Times New Roman" w:cs="Times New Roman"/>
          <w:color w:val="000000"/>
          <w:sz w:val="24"/>
          <w:szCs w:val="24"/>
          <w:shd w:val="clear" w:color="auto" w:fill="FFFFFF"/>
        </w:rPr>
        <w:t xml:space="preserve">- Sánchez riega con más de 455 millones a </w:t>
      </w:r>
      <w:r>
        <w:rPr>
          <w:rFonts w:ascii="Times New Roman" w:hAnsi="Times New Roman" w:cs="Times New Roman"/>
          <w:color w:val="000000"/>
          <w:sz w:val="24"/>
          <w:szCs w:val="24"/>
          <w:shd w:val="clear" w:color="auto" w:fill="FFFFFF"/>
        </w:rPr>
        <w:t>organismos extranjeros (</w:t>
      </w:r>
      <w:r w:rsidRPr="00BD6B3D">
        <w:rPr>
          <w:rFonts w:ascii="Times New Roman" w:hAnsi="Times New Roman" w:cs="Times New Roman"/>
          <w:color w:val="000000"/>
          <w:sz w:val="24"/>
          <w:szCs w:val="24"/>
          <w:shd w:val="clear" w:color="auto" w:fill="FFFFFF"/>
        </w:rPr>
        <w:t xml:space="preserve">Libre Mercado - Libertad Digital - </w:t>
      </w:r>
      <w:r w:rsidRPr="00BD6B3D">
        <w:rPr>
          <w:rFonts w:ascii="Times New Roman" w:hAnsi="Times New Roman" w:cs="Times New Roman"/>
          <w:b/>
          <w:color w:val="000000"/>
          <w:sz w:val="24"/>
          <w:szCs w:val="24"/>
          <w:shd w:val="clear" w:color="auto" w:fill="FFFFFF"/>
        </w:rPr>
        <w:t>22/6/25</w:t>
      </w:r>
      <w:r w:rsidRPr="00BD6B3D">
        <w:rPr>
          <w:rFonts w:ascii="Times New Roman" w:hAnsi="Times New Roman" w:cs="Times New Roman"/>
          <w:color w:val="000000"/>
          <w:sz w:val="24"/>
          <w:szCs w:val="24"/>
          <w:shd w:val="clear" w:color="auto" w:fill="FFFFFF"/>
        </w:rPr>
        <w:t>). Entre los grandes beneficiarios de estas ayudas nos encontramos con el Ministerio de Finanzas de Palestina o con el Ministerio de Igualdad colombiano.</w:t>
      </w:r>
    </w:p>
    <w:p w:rsidR="004E3111" w:rsidRPr="00BD6B3D" w:rsidRDefault="004E3111" w:rsidP="004E3111">
      <w:pPr>
        <w:spacing w:line="240" w:lineRule="auto"/>
        <w:jc w:val="both"/>
        <w:rPr>
          <w:rFonts w:ascii="Times New Roman" w:hAnsi="Times New Roman" w:cs="Times New Roman"/>
          <w:spacing w:val="-1"/>
          <w:sz w:val="24"/>
          <w:szCs w:val="24"/>
          <w:shd w:val="clear" w:color="auto" w:fill="FFFFFF"/>
        </w:rPr>
      </w:pPr>
      <w:r w:rsidRPr="00BD6B3D">
        <w:rPr>
          <w:rFonts w:ascii="Times New Roman" w:hAnsi="Times New Roman" w:cs="Times New Roman"/>
          <w:spacing w:val="-1"/>
          <w:sz w:val="24"/>
          <w:szCs w:val="24"/>
          <w:shd w:val="clear" w:color="auto" w:fill="FFFFFF"/>
        </w:rPr>
        <w:t xml:space="preserve">- Las subvenciones a ONG que acogen a inmigrantes sin papeles suman 1.458 millones (Libertad Digital - </w:t>
      </w:r>
      <w:r w:rsidRPr="00BD6B3D">
        <w:rPr>
          <w:rFonts w:ascii="Times New Roman" w:hAnsi="Times New Roman" w:cs="Times New Roman"/>
          <w:b/>
          <w:spacing w:val="-1"/>
          <w:sz w:val="24"/>
          <w:szCs w:val="24"/>
          <w:shd w:val="clear" w:color="auto" w:fill="FFFFFF"/>
        </w:rPr>
        <w:t>4/7/25</w:t>
      </w:r>
      <w:r w:rsidRPr="00BD6B3D">
        <w:rPr>
          <w:rFonts w:ascii="Times New Roman" w:hAnsi="Times New Roman" w:cs="Times New Roman"/>
          <w:spacing w:val="-1"/>
          <w:sz w:val="24"/>
          <w:szCs w:val="24"/>
          <w:shd w:val="clear" w:color="auto" w:fill="FFFFFF"/>
        </w:rPr>
        <w:t>). La mayoría se adjudican sin licitación. No hay transparencia sobre el grado de integración conseguida con estos fondos.</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Un 73%, cinco puntos más que en enero, cree que la cantidad de inmigrantes es </w:t>
      </w:r>
      <w:r>
        <w:rPr>
          <w:rFonts w:ascii="Times New Roman" w:hAnsi="Times New Roman" w:cs="Times New Roman"/>
          <w:sz w:val="24"/>
          <w:szCs w:val="24"/>
        </w:rPr>
        <w:t>“excesiva”: sólo un 3,5% la ve “insuficiente”</w:t>
      </w:r>
      <w:r w:rsidRPr="00BD6B3D">
        <w:rPr>
          <w:rFonts w:ascii="Times New Roman" w:hAnsi="Times New Roman" w:cs="Times New Roman"/>
          <w:sz w:val="24"/>
          <w:szCs w:val="24"/>
        </w:rPr>
        <w:t xml:space="preserve"> (El Español - </w:t>
      </w:r>
      <w:r w:rsidRPr="00BD6B3D">
        <w:rPr>
          <w:rFonts w:ascii="Times New Roman" w:hAnsi="Times New Roman" w:cs="Times New Roman"/>
          <w:b/>
          <w:sz w:val="24"/>
          <w:szCs w:val="24"/>
        </w:rPr>
        <w:t>25/7/25</w:t>
      </w:r>
      <w:r w:rsidRPr="00BD6B3D">
        <w:rPr>
          <w:rFonts w:ascii="Times New Roman" w:hAnsi="Times New Roman" w:cs="Times New Roman"/>
          <w:sz w:val="24"/>
          <w:szCs w:val="24"/>
        </w:rPr>
        <w:t>). Entre los votantes del PSOE, casi el 60% dice que hay que endurecer la política contra la inmigración ilegal y el 85,6% apoya expulsar a los extranjeros que cometan delitos.</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Canarias acoge más menas que Grecia y Reino Unido juntos (Vozpópuli - </w:t>
      </w:r>
      <w:r w:rsidRPr="00BD6B3D">
        <w:rPr>
          <w:rFonts w:ascii="Times New Roman" w:hAnsi="Times New Roman" w:cs="Times New Roman"/>
          <w:b/>
          <w:sz w:val="24"/>
          <w:szCs w:val="24"/>
        </w:rPr>
        <w:t>11/8/25</w:t>
      </w:r>
      <w:r w:rsidRPr="00BD6B3D">
        <w:rPr>
          <w:rFonts w:ascii="Times New Roman" w:hAnsi="Times New Roman" w:cs="Times New Roman"/>
          <w:sz w:val="24"/>
          <w:szCs w:val="24"/>
        </w:rPr>
        <w:t>). Con 8.500 menores bajo su tutela, las islas asumen la carga migratoria europea sin recibir financiación proporcional</w:t>
      </w:r>
      <w:r>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Radiografía de los menas en España: el 94% son varones y el 60% provienen de Marruecos (The Objective - </w:t>
      </w:r>
      <w:r w:rsidRPr="00BD6B3D">
        <w:rPr>
          <w:rFonts w:ascii="Times New Roman" w:hAnsi="Times New Roman" w:cs="Times New Roman"/>
          <w:b/>
          <w:sz w:val="24"/>
          <w:szCs w:val="24"/>
        </w:rPr>
        <w:t>13/8/25</w:t>
      </w:r>
      <w:r w:rsidRPr="00BD6B3D">
        <w:rPr>
          <w:rFonts w:ascii="Times New Roman" w:hAnsi="Times New Roman" w:cs="Times New Roman"/>
          <w:sz w:val="24"/>
          <w:szCs w:val="24"/>
        </w:rPr>
        <w:t>). Los menores y extutelados extranjeros se han disparado un 140% en cuatro años: de 7.878 en 2021 a 18.967 en 2025</w:t>
      </w:r>
      <w:r>
        <w:rPr>
          <w:rFonts w:ascii="Times New Roman" w:hAnsi="Times New Roman" w:cs="Times New Roman"/>
          <w:sz w:val="24"/>
          <w:szCs w:val="24"/>
        </w:rPr>
        <w:t>.</w:t>
      </w:r>
    </w:p>
    <w:p w:rsidR="004E3111"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Los extranjeros suman el 40% del empleo desde la reforma laboral: la mitad son camareros, comerciales o barrenderos (El Economista - </w:t>
      </w:r>
      <w:r w:rsidRPr="00BD6B3D">
        <w:rPr>
          <w:rFonts w:ascii="Times New Roman" w:hAnsi="Times New Roman" w:cs="Times New Roman"/>
          <w:b/>
          <w:sz w:val="24"/>
          <w:szCs w:val="24"/>
        </w:rPr>
        <w:t>14/8/25</w:t>
      </w:r>
      <w:r w:rsidRPr="00BD6B3D">
        <w:rPr>
          <w:rFonts w:ascii="Times New Roman" w:hAnsi="Times New Roman" w:cs="Times New Roman"/>
          <w:sz w:val="24"/>
          <w:szCs w:val="24"/>
        </w:rPr>
        <w:t>). Se mantienen por encima de los 3 millones tras crecer un 7% en un año, Ganan peso en los sectores de alto va</w:t>
      </w:r>
      <w:r>
        <w:rPr>
          <w:rFonts w:ascii="Times New Roman" w:hAnsi="Times New Roman" w:cs="Times New Roman"/>
          <w:sz w:val="24"/>
          <w:szCs w:val="24"/>
        </w:rPr>
        <w:t>lor añadido pero el grueso son “precarios”.</w:t>
      </w:r>
    </w:p>
    <w:p w:rsidR="004E3111" w:rsidRPr="00944083" w:rsidRDefault="004E3111" w:rsidP="004E3111">
      <w:pPr>
        <w:spacing w:line="240" w:lineRule="auto"/>
        <w:jc w:val="both"/>
        <w:rPr>
          <w:rFonts w:ascii="Times New Roman" w:hAnsi="Times New Roman" w:cs="Times New Roman"/>
          <w:sz w:val="24"/>
          <w:szCs w:val="24"/>
        </w:rPr>
      </w:pPr>
      <w:r w:rsidRPr="00944083">
        <w:rPr>
          <w:rFonts w:ascii="Times New Roman" w:hAnsi="Times New Roman" w:cs="Times New Roman"/>
          <w:sz w:val="24"/>
          <w:szCs w:val="24"/>
        </w:rPr>
        <w:t xml:space="preserve">- La mitad de los inmigrantes de segunda generación no se sienten españoles (The Objective - </w:t>
      </w:r>
      <w:r w:rsidRPr="00944083">
        <w:rPr>
          <w:rFonts w:ascii="Times New Roman" w:hAnsi="Times New Roman" w:cs="Times New Roman"/>
          <w:b/>
          <w:sz w:val="24"/>
          <w:szCs w:val="24"/>
        </w:rPr>
        <w:t>11/9/25</w:t>
      </w:r>
      <w:r>
        <w:rPr>
          <w:rFonts w:ascii="Times New Roman" w:hAnsi="Times New Roman" w:cs="Times New Roman"/>
          <w:sz w:val="24"/>
          <w:szCs w:val="24"/>
        </w:rPr>
        <w:t>). El “think tank”</w:t>
      </w:r>
      <w:r w:rsidRPr="00944083">
        <w:rPr>
          <w:rFonts w:ascii="Times New Roman" w:hAnsi="Times New Roman" w:cs="Times New Roman"/>
          <w:sz w:val="24"/>
          <w:szCs w:val="24"/>
        </w:rPr>
        <w:t xml:space="preserve"> Funcas refleja el crecimiento de los descendientes de extranjeros, de los que solo el 50% siente arraigo. Cada vez hay más inmigrantes de segunda generación en </w:t>
      </w:r>
      <w:r w:rsidRPr="00944083">
        <w:rPr>
          <w:rFonts w:ascii="Times New Roman" w:hAnsi="Times New Roman" w:cs="Times New Roman"/>
          <w:sz w:val="24"/>
          <w:szCs w:val="24"/>
        </w:rPr>
        <w:lastRenderedPageBreak/>
        <w:t>España. Esto es, hijos de progenitores extranjeros. De hecho, estos son ya el 36% de los menores de 20 años y el 39% de los menores de cinco años. Pero su integración social no está siendo completa: los hijos de inmigrantes en España se dividen a partes iguales entre los que se autoidentifican como españoles (50%) y los que no (50%). Así lo refleja el último número de Panorama Social, publicación editada por Funcas, titulado De hijos de inmigrantes a protagonistas sociales: la segunda generación en España.</w:t>
      </w:r>
    </w:p>
    <w:p w:rsidR="004E3111" w:rsidRPr="005A39C9" w:rsidRDefault="004E3111" w:rsidP="004E3111">
      <w:pPr>
        <w:pStyle w:val="NormalWeb"/>
        <w:shd w:val="clear" w:color="auto" w:fill="FFFFFF"/>
        <w:jc w:val="both"/>
        <w:rPr>
          <w:color w:val="000000"/>
        </w:rPr>
      </w:pPr>
      <w:r w:rsidRPr="00BD6B3D">
        <w:rPr>
          <w:color w:val="000000"/>
        </w:rPr>
        <w:t xml:space="preserve">- La tasa de criminalidad se ha incrementado en 5 puntos. </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Los presos extranjeros superan a los españoles entre los menores de 22 años (The Objective - </w:t>
      </w:r>
      <w:r w:rsidRPr="00BD6B3D">
        <w:rPr>
          <w:rFonts w:ascii="Times New Roman" w:hAnsi="Times New Roman" w:cs="Times New Roman"/>
          <w:b/>
          <w:sz w:val="24"/>
          <w:szCs w:val="24"/>
        </w:rPr>
        <w:t>17/8/25</w:t>
      </w:r>
      <w:r w:rsidRPr="00BD6B3D">
        <w:rPr>
          <w:rFonts w:ascii="Times New Roman" w:hAnsi="Times New Roman" w:cs="Times New Roman"/>
          <w:sz w:val="24"/>
          <w:szCs w:val="24"/>
        </w:rPr>
        <w:t xml:space="preserve">). 672 de los 1.207 delincuentes jóvenes encarcelados en España, sin contar País Vasco y Cataluña, han nacido en otro país. En España ya hay más presos extranjeros que nacionales entre los menores de 22 años. En la actualidad, hay 1.207 delincuentes jóvenes en las cárceles españolas, de los cuales 535 nacieron en nuestro país y 672 (el 55,68%) provienen de otro. </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El Gobierno ofrece a las regiones más de 36.000 euros al</w:t>
      </w:r>
      <w:r>
        <w:rPr>
          <w:rFonts w:ascii="Times New Roman" w:hAnsi="Times New Roman" w:cs="Times New Roman"/>
          <w:sz w:val="24"/>
          <w:szCs w:val="24"/>
        </w:rPr>
        <w:t xml:space="preserve"> año (y un plus) por cada mena “acogido”.</w:t>
      </w:r>
      <w:r w:rsidRPr="00BD6B3D">
        <w:rPr>
          <w:rFonts w:ascii="Times New Roman" w:hAnsi="Times New Roman" w:cs="Times New Roman"/>
          <w:sz w:val="24"/>
          <w:szCs w:val="24"/>
        </w:rPr>
        <w:t xml:space="preserve"> (gaceta.es - </w:t>
      </w:r>
      <w:r w:rsidRPr="00BD6B3D">
        <w:rPr>
          <w:rFonts w:ascii="Times New Roman" w:hAnsi="Times New Roman" w:cs="Times New Roman"/>
          <w:b/>
          <w:sz w:val="24"/>
          <w:szCs w:val="24"/>
        </w:rPr>
        <w:t>10/7/24</w:t>
      </w:r>
      <w:r w:rsidRPr="00BD6B3D">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El coste de la atención integral a los menores migrantes se cifra en 4.400 euros al mes</w:t>
      </w:r>
      <w:r>
        <w:rPr>
          <w:rFonts w:ascii="Times New Roman" w:hAnsi="Times New Roman" w:cs="Times New Roman"/>
          <w:sz w:val="24"/>
          <w:szCs w:val="24"/>
        </w:rPr>
        <w:t>.</w:t>
      </w:r>
      <w:r w:rsidRPr="00BD6B3D">
        <w:rPr>
          <w:rFonts w:ascii="Times New Roman" w:hAnsi="Times New Roman" w:cs="Times New Roman"/>
          <w:sz w:val="24"/>
          <w:szCs w:val="24"/>
        </w:rPr>
        <w:t xml:space="preserve"> (La Razón - </w:t>
      </w:r>
      <w:r w:rsidRPr="00BD6B3D">
        <w:rPr>
          <w:rFonts w:ascii="Times New Roman" w:hAnsi="Times New Roman" w:cs="Times New Roman"/>
          <w:b/>
          <w:sz w:val="24"/>
          <w:szCs w:val="24"/>
        </w:rPr>
        <w:t>10/7/24</w:t>
      </w:r>
      <w:r w:rsidRPr="00BD6B3D">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Pr>
          <w:rFonts w:ascii="Times New Roman" w:hAnsi="Times New Roman" w:cs="Times New Roman"/>
          <w:sz w:val="24"/>
          <w:szCs w:val="24"/>
        </w:rPr>
        <w:t>- Admiten que la acogida de “menas”</w:t>
      </w:r>
      <w:r w:rsidRPr="00BD6B3D">
        <w:rPr>
          <w:rFonts w:ascii="Times New Roman" w:hAnsi="Times New Roman" w:cs="Times New Roman"/>
          <w:sz w:val="24"/>
          <w:szCs w:val="24"/>
        </w:rPr>
        <w:t xml:space="preserve"> cuesta más de 4.000€ al mes por cada menor (</w:t>
      </w:r>
      <w:r>
        <w:rPr>
          <w:rFonts w:ascii="Times New Roman" w:hAnsi="Times New Roman" w:cs="Times New Roman"/>
          <w:sz w:val="24"/>
          <w:szCs w:val="24"/>
        </w:rPr>
        <w:t xml:space="preserve">Fuente: </w:t>
      </w:r>
      <w:r w:rsidRPr="00BD6B3D">
        <w:rPr>
          <w:rFonts w:ascii="Times New Roman" w:hAnsi="Times New Roman" w:cs="Times New Roman"/>
          <w:sz w:val="24"/>
          <w:szCs w:val="24"/>
        </w:rPr>
        <w:t xml:space="preserve">e-noticies.cat/es - </w:t>
      </w:r>
      <w:r w:rsidRPr="00BD6B3D">
        <w:rPr>
          <w:rFonts w:ascii="Times New Roman" w:hAnsi="Times New Roman" w:cs="Times New Roman"/>
          <w:b/>
          <w:sz w:val="24"/>
          <w:szCs w:val="24"/>
        </w:rPr>
        <w:t>21/7/25</w:t>
      </w:r>
      <w:r>
        <w:rPr>
          <w:rFonts w:ascii="Times New Roman" w:hAnsi="Times New Roman" w:cs="Times New Roman"/>
          <w:sz w:val="24"/>
          <w:szCs w:val="24"/>
        </w:rPr>
        <w:t>). La partida para los “menas”</w:t>
      </w:r>
      <w:r w:rsidRPr="00BD6B3D">
        <w:rPr>
          <w:rFonts w:ascii="Times New Roman" w:hAnsi="Times New Roman" w:cs="Times New Roman"/>
          <w:sz w:val="24"/>
          <w:szCs w:val="24"/>
        </w:rPr>
        <w:t xml:space="preserve"> supera ampliamente a otras como discapacidad o atención a personas mayores</w:t>
      </w:r>
      <w:r>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Radiografía de los menas en España: el 94% son varones y el 60% provienen de Marruecos</w:t>
      </w:r>
      <w:r>
        <w:rPr>
          <w:rFonts w:ascii="Times New Roman" w:hAnsi="Times New Roman" w:cs="Times New Roman"/>
          <w:sz w:val="24"/>
          <w:szCs w:val="24"/>
        </w:rPr>
        <w:t>.</w:t>
      </w:r>
      <w:r w:rsidRPr="00BD6B3D">
        <w:rPr>
          <w:rFonts w:ascii="Times New Roman" w:hAnsi="Times New Roman" w:cs="Times New Roman"/>
          <w:sz w:val="24"/>
          <w:szCs w:val="24"/>
        </w:rPr>
        <w:t xml:space="preserve"> (The Objective - </w:t>
      </w:r>
      <w:r w:rsidRPr="00BD6B3D">
        <w:rPr>
          <w:rFonts w:ascii="Times New Roman" w:hAnsi="Times New Roman" w:cs="Times New Roman"/>
          <w:b/>
          <w:sz w:val="24"/>
          <w:szCs w:val="24"/>
        </w:rPr>
        <w:t>13/8/25</w:t>
      </w:r>
      <w:r>
        <w:rPr>
          <w:rFonts w:ascii="Times New Roman" w:hAnsi="Times New Roman" w:cs="Times New Roman"/>
          <w:sz w:val="24"/>
          <w:szCs w:val="24"/>
        </w:rPr>
        <w:t>)</w:t>
      </w:r>
      <w:r w:rsidRPr="00BD6B3D">
        <w:rPr>
          <w:rFonts w:ascii="Times New Roman" w:hAnsi="Times New Roman" w:cs="Times New Roman"/>
          <w:sz w:val="24"/>
          <w:szCs w:val="24"/>
        </w:rPr>
        <w:t xml:space="preserve"> </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En julio de 2024, la población carcelaria en España es de 58.937 reclusos, de los cuales 40.402 (68,5%) son españoles y 18.535 (31,5%) son extranjeros. La población reclusa extranjera ha crecido un 16% desde 2020, mientras que la de españoles solo ha crecido un 2,9% en el mismo periodo. (</w:t>
      </w:r>
      <w:r>
        <w:rPr>
          <w:rFonts w:ascii="Times New Roman" w:hAnsi="Times New Roman" w:cs="Times New Roman"/>
          <w:sz w:val="24"/>
          <w:szCs w:val="24"/>
        </w:rPr>
        <w:t xml:space="preserve">Fuente: </w:t>
      </w:r>
      <w:r w:rsidRPr="00BD6B3D">
        <w:rPr>
          <w:rFonts w:ascii="Times New Roman" w:hAnsi="Times New Roman" w:cs="Times New Roman"/>
          <w:sz w:val="24"/>
          <w:szCs w:val="24"/>
        </w:rPr>
        <w:t>Google - Vista creada con IA)</w:t>
      </w:r>
    </w:p>
    <w:p w:rsidR="004E3111" w:rsidRPr="00BD6B3D" w:rsidRDefault="004E3111" w:rsidP="004E3111">
      <w:pPr>
        <w:pStyle w:val="ecl-social-media-sharedescription"/>
        <w:jc w:val="both"/>
      </w:pPr>
      <w:r w:rsidRPr="00BD6B3D">
        <w:t xml:space="preserve">- La nacionalidad extranjera con más reclusos en España: supone casi el 30% del total de presos foráneos encarcelados (ABC - </w:t>
      </w:r>
      <w:r w:rsidRPr="00BD6B3D">
        <w:rPr>
          <w:b/>
        </w:rPr>
        <w:t>19/11/24</w:t>
      </w:r>
      <w:r w:rsidRPr="00BD6B3D">
        <w:t>). Uno de cada tres condenados extranjeros que están entre rejas en España tiene procedencia marroquí</w:t>
      </w:r>
      <w:r>
        <w:t>.</w:t>
      </w:r>
    </w:p>
    <w:p w:rsidR="004E3111" w:rsidRPr="00BD6B3D" w:rsidRDefault="004E3111" w:rsidP="004E3111">
      <w:pPr>
        <w:pStyle w:val="ecl-social-media-sharedescription"/>
        <w:jc w:val="both"/>
      </w:pPr>
      <w:r w:rsidRPr="00BD6B3D">
        <w:t>- No existe una cifra exacta y actualizada sobre el total de inmigrantes irregulares en España, ya que son difíciles de contabilizar, pero se estima que entre 390.000 y 470.000 personas residen en situación irregular. Esta cifra es una estimación de finales de 2019 o principios de 2020, y se estima que rondaba los 700.000 en 2023.  (</w:t>
      </w:r>
      <w:r>
        <w:t xml:space="preserve">Fuente: </w:t>
      </w:r>
      <w:r w:rsidRPr="00BD6B3D">
        <w:t>Google - Vista creada con IA)</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España elevará hasta los 180 millones la financiación a la cooperación con Senegal</w:t>
      </w:r>
      <w:r>
        <w:rPr>
          <w:rFonts w:ascii="Times New Roman" w:hAnsi="Times New Roman" w:cs="Times New Roman"/>
          <w:sz w:val="24"/>
          <w:szCs w:val="24"/>
        </w:rPr>
        <w:t>.</w:t>
      </w:r>
      <w:r w:rsidRPr="00BD6B3D">
        <w:rPr>
          <w:rFonts w:ascii="Times New Roman" w:hAnsi="Times New Roman" w:cs="Times New Roman"/>
          <w:sz w:val="24"/>
          <w:szCs w:val="24"/>
        </w:rPr>
        <w:t xml:space="preserve"> (</w:t>
      </w:r>
      <w:r>
        <w:rPr>
          <w:rFonts w:ascii="Times New Roman" w:hAnsi="Times New Roman" w:cs="Times New Roman"/>
          <w:sz w:val="24"/>
          <w:szCs w:val="24"/>
        </w:rPr>
        <w:t xml:space="preserve">Fuente: </w:t>
      </w:r>
      <w:r w:rsidRPr="00BD6B3D">
        <w:rPr>
          <w:rFonts w:ascii="Times New Roman" w:hAnsi="Times New Roman" w:cs="Times New Roman"/>
          <w:sz w:val="24"/>
          <w:szCs w:val="24"/>
        </w:rPr>
        <w:t xml:space="preserve">swissinfo.ch/spa - </w:t>
      </w:r>
      <w:r w:rsidRPr="00BD6B3D">
        <w:rPr>
          <w:rFonts w:ascii="Times New Roman" w:hAnsi="Times New Roman" w:cs="Times New Roman"/>
          <w:b/>
          <w:sz w:val="24"/>
          <w:szCs w:val="24"/>
        </w:rPr>
        <w:t>27/6/24</w:t>
      </w:r>
      <w:r w:rsidRPr="00BD6B3D">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El Gobierno de Sánchez alcanza ya los mil millones de euros en ayudas y préstamos a Marruecos</w:t>
      </w:r>
      <w:r>
        <w:rPr>
          <w:rFonts w:ascii="Times New Roman" w:hAnsi="Times New Roman" w:cs="Times New Roman"/>
          <w:sz w:val="24"/>
          <w:szCs w:val="24"/>
        </w:rPr>
        <w:t>.</w:t>
      </w:r>
      <w:r w:rsidRPr="00BD6B3D">
        <w:rPr>
          <w:rFonts w:ascii="Times New Roman" w:hAnsi="Times New Roman" w:cs="Times New Roman"/>
          <w:sz w:val="24"/>
          <w:szCs w:val="24"/>
        </w:rPr>
        <w:t xml:space="preserve"> (</w:t>
      </w:r>
      <w:r>
        <w:rPr>
          <w:rFonts w:ascii="Times New Roman" w:hAnsi="Times New Roman" w:cs="Times New Roman"/>
          <w:sz w:val="24"/>
          <w:szCs w:val="24"/>
        </w:rPr>
        <w:t xml:space="preserve">Fuente: </w:t>
      </w:r>
      <w:r w:rsidRPr="00BD6B3D">
        <w:rPr>
          <w:rFonts w:ascii="Times New Roman" w:hAnsi="Times New Roman" w:cs="Times New Roman"/>
          <w:sz w:val="24"/>
          <w:szCs w:val="24"/>
        </w:rPr>
        <w:t xml:space="preserve">telemadrid.es - </w:t>
      </w:r>
      <w:r w:rsidRPr="00BD6B3D">
        <w:rPr>
          <w:rFonts w:ascii="Times New Roman" w:hAnsi="Times New Roman" w:cs="Times New Roman"/>
          <w:b/>
          <w:sz w:val="24"/>
          <w:szCs w:val="24"/>
        </w:rPr>
        <w:t>30/3/25</w:t>
      </w:r>
      <w:r w:rsidRPr="00BD6B3D">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Sánchez entrega más de 600 millones a Mauritania en apenas año y medio para poner freno a la inmigración</w:t>
      </w:r>
      <w:r>
        <w:rPr>
          <w:rFonts w:ascii="Times New Roman" w:hAnsi="Times New Roman" w:cs="Times New Roman"/>
          <w:sz w:val="24"/>
          <w:szCs w:val="24"/>
        </w:rPr>
        <w:t>.</w:t>
      </w:r>
      <w:r w:rsidRPr="00BD6B3D">
        <w:rPr>
          <w:rFonts w:ascii="Times New Roman" w:hAnsi="Times New Roman" w:cs="Times New Roman"/>
          <w:sz w:val="24"/>
          <w:szCs w:val="24"/>
        </w:rPr>
        <w:t xml:space="preserve"> (Vozpópuli - </w:t>
      </w:r>
      <w:r w:rsidRPr="00BD6B3D">
        <w:rPr>
          <w:rFonts w:ascii="Times New Roman" w:hAnsi="Times New Roman" w:cs="Times New Roman"/>
          <w:b/>
          <w:sz w:val="24"/>
          <w:szCs w:val="24"/>
        </w:rPr>
        <w:t>19/7/25</w:t>
      </w:r>
      <w:r w:rsidRPr="00BD6B3D">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lastRenderedPageBreak/>
        <w:t>- Mauritania tapona un millón de migrantes que quieren llegar a Canarias (</w:t>
      </w:r>
      <w:r>
        <w:rPr>
          <w:rFonts w:ascii="Times New Roman" w:hAnsi="Times New Roman" w:cs="Times New Roman"/>
          <w:sz w:val="24"/>
          <w:szCs w:val="24"/>
        </w:rPr>
        <w:t xml:space="preserve">Fuente: </w:t>
      </w:r>
      <w:r w:rsidRPr="00BD6B3D">
        <w:rPr>
          <w:rFonts w:ascii="Times New Roman" w:hAnsi="Times New Roman" w:cs="Times New Roman"/>
          <w:sz w:val="24"/>
          <w:szCs w:val="24"/>
        </w:rPr>
        <w:t xml:space="preserve">Atalayar - </w:t>
      </w:r>
      <w:r w:rsidRPr="00BD6B3D">
        <w:rPr>
          <w:rFonts w:ascii="Times New Roman" w:hAnsi="Times New Roman" w:cs="Times New Roman"/>
          <w:b/>
          <w:sz w:val="24"/>
          <w:szCs w:val="24"/>
        </w:rPr>
        <w:t>15/10/24</w:t>
      </w:r>
      <w:r w:rsidRPr="00BD6B3D">
        <w:rPr>
          <w:rFonts w:ascii="Times New Roman" w:hAnsi="Times New Roman" w:cs="Times New Roman"/>
          <w:sz w:val="24"/>
          <w:szCs w:val="24"/>
        </w:rPr>
        <w:t>). El Observatorio Atlas-Sahel de Mauritania alerta que los enjambres de “embarcaciones” no van a cesar y pide a la UE medidas drásticas de apoyo para evitar conflictos sociales en este país</w:t>
      </w:r>
      <w:r>
        <w:rPr>
          <w:rFonts w:ascii="Times New Roman" w:hAnsi="Times New Roman" w:cs="Times New Roman"/>
          <w:sz w:val="24"/>
          <w:szCs w:val="24"/>
        </w:rPr>
        <w:t>.</w:t>
      </w:r>
      <w:r w:rsidRPr="00BD6B3D">
        <w:rPr>
          <w:rFonts w:ascii="Times New Roman" w:hAnsi="Times New Roman" w:cs="Times New Roman"/>
          <w:sz w:val="24"/>
          <w:szCs w:val="24"/>
        </w:rPr>
        <w:t xml:space="preserve"> </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Senegal desvela las cifras alarmantes sobre Canarias: salieron 502 cayucos pero solo 6</w:t>
      </w:r>
      <w:r>
        <w:rPr>
          <w:rFonts w:ascii="Times New Roman" w:hAnsi="Times New Roman" w:cs="Times New Roman"/>
          <w:sz w:val="24"/>
          <w:szCs w:val="24"/>
        </w:rPr>
        <w:t>4 llegaron a las islas (</w:t>
      </w:r>
      <w:r w:rsidRPr="00BD6B3D">
        <w:rPr>
          <w:rFonts w:ascii="Times New Roman" w:hAnsi="Times New Roman" w:cs="Times New Roman"/>
          <w:sz w:val="24"/>
          <w:szCs w:val="24"/>
        </w:rPr>
        <w:t xml:space="preserve">Vozpópuli - </w:t>
      </w:r>
      <w:r w:rsidRPr="00BD6B3D">
        <w:rPr>
          <w:rFonts w:ascii="Times New Roman" w:hAnsi="Times New Roman" w:cs="Times New Roman"/>
          <w:b/>
          <w:sz w:val="24"/>
          <w:szCs w:val="24"/>
        </w:rPr>
        <w:t>10/1/25</w:t>
      </w:r>
      <w:r w:rsidRPr="00BD6B3D">
        <w:rPr>
          <w:rFonts w:ascii="Times New Roman" w:hAnsi="Times New Roman" w:cs="Times New Roman"/>
          <w:sz w:val="24"/>
          <w:szCs w:val="24"/>
        </w:rPr>
        <w:t>). El 11,89% de los cayucos salidos de Senegal llegan a las islas, el resto no se sabe dónde están</w:t>
      </w:r>
      <w:r>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El rey de Marruecos indul</w:t>
      </w:r>
      <w:r>
        <w:rPr>
          <w:rFonts w:ascii="Times New Roman" w:hAnsi="Times New Roman" w:cs="Times New Roman"/>
          <w:sz w:val="24"/>
          <w:szCs w:val="24"/>
        </w:rPr>
        <w:t>ta a casi 20.000 delincuentes: “¿Sabéis dónde acabarán?”</w:t>
      </w:r>
      <w:r w:rsidRPr="00BD6B3D">
        <w:rPr>
          <w:rFonts w:ascii="Times New Roman" w:hAnsi="Times New Roman" w:cs="Times New Roman"/>
          <w:sz w:val="24"/>
          <w:szCs w:val="24"/>
        </w:rPr>
        <w:t xml:space="preserve"> (Fuente: e-noticies.cat/es - </w:t>
      </w:r>
      <w:r w:rsidRPr="00BD6B3D">
        <w:rPr>
          <w:rFonts w:ascii="Times New Roman" w:hAnsi="Times New Roman" w:cs="Times New Roman"/>
          <w:b/>
          <w:sz w:val="24"/>
          <w:szCs w:val="24"/>
        </w:rPr>
        <w:t>30/7/25</w:t>
      </w:r>
      <w:r w:rsidRPr="00BD6B3D">
        <w:rPr>
          <w:rFonts w:ascii="Times New Roman" w:hAnsi="Times New Roman" w:cs="Times New Roman"/>
          <w:sz w:val="24"/>
          <w:szCs w:val="24"/>
        </w:rPr>
        <w:t>). Como ya han explicado varios analistas, la inmigración es para Marruecos una herramienta geopolítica. Marruecos ha vuelto a abrir la puerta de sus cárceles. Con motivo de la Fiesta del Trono, celebrada este 30 de julio, el rey Mohamed VI ha concedido un indulto a 19.673 personas. Esta cifra incluye a 2.415 presos mediante el procedimiento ordinario y a 17.258 excarcelados de forma excepcional.</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El negocio de la inmigración ilegal: hasta 14.000 euros por llegar a España (Fuente: e-noticies.cat/es - </w:t>
      </w:r>
      <w:r w:rsidRPr="00BD6B3D">
        <w:rPr>
          <w:rFonts w:ascii="Times New Roman" w:hAnsi="Times New Roman" w:cs="Times New Roman"/>
          <w:b/>
          <w:sz w:val="24"/>
          <w:szCs w:val="24"/>
        </w:rPr>
        <w:t>20/8/25</w:t>
      </w:r>
      <w:r w:rsidRPr="00BD6B3D">
        <w:rPr>
          <w:rFonts w:ascii="Times New Roman" w:hAnsi="Times New Roman" w:cs="Times New Roman"/>
          <w:sz w:val="24"/>
          <w:szCs w:val="24"/>
        </w:rPr>
        <w:t>). Los más beneficiados del drama humanitario de la inmigración son los traficantes de seres humanos</w:t>
      </w:r>
      <w:r>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Un informe de la UE alerta de la infiltración de criminales en los cayucos de Argelia (The Objective - </w:t>
      </w:r>
      <w:r w:rsidRPr="00BD6B3D">
        <w:rPr>
          <w:rFonts w:ascii="Times New Roman" w:hAnsi="Times New Roman" w:cs="Times New Roman"/>
          <w:b/>
          <w:sz w:val="24"/>
          <w:szCs w:val="24"/>
        </w:rPr>
        <w:t>28/8/25</w:t>
      </w:r>
      <w:r w:rsidRPr="00BD6B3D">
        <w:rPr>
          <w:rFonts w:ascii="Times New Roman" w:hAnsi="Times New Roman" w:cs="Times New Roman"/>
          <w:sz w:val="24"/>
          <w:szCs w:val="24"/>
        </w:rPr>
        <w:t>). Fron</w:t>
      </w:r>
      <w:r>
        <w:rPr>
          <w:rFonts w:ascii="Times New Roman" w:hAnsi="Times New Roman" w:cs="Times New Roman"/>
          <w:sz w:val="24"/>
          <w:szCs w:val="24"/>
        </w:rPr>
        <w:t>tex advierte del riesgo de que “</w:t>
      </w:r>
      <w:r w:rsidRPr="00BD6B3D">
        <w:rPr>
          <w:rFonts w:ascii="Times New Roman" w:hAnsi="Times New Roman" w:cs="Times New Roman"/>
          <w:sz w:val="24"/>
          <w:szCs w:val="24"/>
        </w:rPr>
        <w:t>personas con intenciones potencialmente malici</w:t>
      </w:r>
      <w:r>
        <w:rPr>
          <w:rFonts w:ascii="Times New Roman" w:hAnsi="Times New Roman" w:cs="Times New Roman"/>
          <w:sz w:val="24"/>
          <w:szCs w:val="24"/>
        </w:rPr>
        <w:t>osas se mezclen con inmigrantes”.</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La Guardia Civ</w:t>
      </w:r>
      <w:r>
        <w:rPr>
          <w:rFonts w:ascii="Times New Roman" w:hAnsi="Times New Roman" w:cs="Times New Roman"/>
          <w:sz w:val="24"/>
          <w:szCs w:val="24"/>
        </w:rPr>
        <w:t>il, desbordada por el goteo de “nadadores” en Ceuta: “Hay 100 intentos al día”</w:t>
      </w:r>
      <w:r w:rsidRPr="00BD6B3D">
        <w:rPr>
          <w:rFonts w:ascii="Times New Roman" w:hAnsi="Times New Roman" w:cs="Times New Roman"/>
          <w:sz w:val="24"/>
          <w:szCs w:val="24"/>
        </w:rPr>
        <w:t xml:space="preserve"> (The Objective - </w:t>
      </w:r>
      <w:r w:rsidRPr="00BD6B3D">
        <w:rPr>
          <w:rFonts w:ascii="Times New Roman" w:hAnsi="Times New Roman" w:cs="Times New Roman"/>
          <w:b/>
          <w:sz w:val="24"/>
          <w:szCs w:val="24"/>
        </w:rPr>
        <w:t>29/8/25</w:t>
      </w:r>
      <w:r w:rsidRPr="00BD6B3D">
        <w:rPr>
          <w:rFonts w:ascii="Times New Roman" w:hAnsi="Times New Roman" w:cs="Times New Roman"/>
          <w:sz w:val="24"/>
          <w:szCs w:val="24"/>
        </w:rPr>
        <w:t>). Los agentes denuncian la falta de embarcaciones adecuadas y el desgaste ante el rescate sistemático de inmigrantes</w:t>
      </w:r>
      <w:r>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Un documento de Interior admite el “asalto continuado” desde Marruecos a las vallas de Ceuta y Melilla (Vozpópuli - </w:t>
      </w:r>
      <w:r w:rsidRPr="00BD6B3D">
        <w:rPr>
          <w:rFonts w:ascii="Times New Roman" w:hAnsi="Times New Roman" w:cs="Times New Roman"/>
          <w:b/>
          <w:sz w:val="24"/>
          <w:szCs w:val="24"/>
        </w:rPr>
        <w:t>2/9/25</w:t>
      </w:r>
      <w:r w:rsidRPr="00BD6B3D">
        <w:rPr>
          <w:rFonts w:ascii="Times New Roman" w:hAnsi="Times New Roman" w:cs="Times New Roman"/>
          <w:sz w:val="24"/>
          <w:szCs w:val="24"/>
        </w:rPr>
        <w:t>). El Ministerio del Interior admite que se está produciendo un “asalto continuado” a las vallas de Ceuta y Melilla, lo que ha llevado al organismos encabezado por Fernando Grande-Marlaska ha encargar informes técnicos de seguimiento para la vigilancia del perímetro fronterizo y, también, de los puestos aduaneros de El Tarajal y Beni-Enzar.</w:t>
      </w:r>
    </w:p>
    <w:p w:rsidR="004E3111" w:rsidRPr="00BD6B3D" w:rsidRDefault="004E3111" w:rsidP="004E3111">
      <w:pPr>
        <w:spacing w:line="240" w:lineRule="auto"/>
        <w:jc w:val="both"/>
        <w:rPr>
          <w:rFonts w:ascii="Times New Roman" w:hAnsi="Times New Roman" w:cs="Times New Roman"/>
          <w:sz w:val="24"/>
          <w:szCs w:val="24"/>
        </w:rPr>
      </w:pPr>
      <w:r>
        <w:rPr>
          <w:rFonts w:ascii="Times New Roman" w:hAnsi="Times New Roman" w:cs="Times New Roman"/>
          <w:sz w:val="24"/>
          <w:szCs w:val="24"/>
        </w:rPr>
        <w:t>- El goteo de “nadadores”</w:t>
      </w:r>
      <w:r w:rsidRPr="00BD6B3D">
        <w:rPr>
          <w:rFonts w:ascii="Times New Roman" w:hAnsi="Times New Roman" w:cs="Times New Roman"/>
          <w:sz w:val="24"/>
          <w:szCs w:val="24"/>
        </w:rPr>
        <w:t xml:space="preserve"> colapsa el centro de inmigrantes de Ceuta y cien duermen en la calle (The Objective - </w:t>
      </w:r>
      <w:r w:rsidRPr="00BD6B3D">
        <w:rPr>
          <w:rFonts w:ascii="Times New Roman" w:hAnsi="Times New Roman" w:cs="Times New Roman"/>
          <w:b/>
          <w:sz w:val="24"/>
          <w:szCs w:val="24"/>
        </w:rPr>
        <w:t>3/9/25</w:t>
      </w:r>
      <w:r w:rsidRPr="00BD6B3D">
        <w:rPr>
          <w:rFonts w:ascii="Times New Roman" w:hAnsi="Times New Roman" w:cs="Times New Roman"/>
          <w:sz w:val="24"/>
          <w:szCs w:val="24"/>
        </w:rPr>
        <w:t>). El CETI acoge a mil personas, cuando tiene capacidad para 500. La ciudad autónoma ha pedido ayuda al Gobierno</w:t>
      </w:r>
      <w:r>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Por qué España rescata pateras a cientos de kilómetros de Canarias (Libertad Digital - </w:t>
      </w:r>
      <w:r w:rsidRPr="00BD6B3D">
        <w:rPr>
          <w:rFonts w:ascii="Times New Roman" w:hAnsi="Times New Roman" w:cs="Times New Roman"/>
          <w:b/>
          <w:sz w:val="24"/>
          <w:szCs w:val="24"/>
        </w:rPr>
        <w:t>5/8/25</w:t>
      </w:r>
      <w:r w:rsidRPr="00BD6B3D">
        <w:rPr>
          <w:rFonts w:ascii="Times New Roman" w:hAnsi="Times New Roman" w:cs="Times New Roman"/>
          <w:sz w:val="24"/>
          <w:szCs w:val="24"/>
        </w:rPr>
        <w:t>). El rescate de pateras lejos de Canarias no responde a una decisión política puntual, sino a compromisos internacionales de salvamento marítimo. La normativa vigente obliga al país a actuar en su zona SAR (Search and Rescue), que abarca 1,5 millones de km² y se extiende hasta aguas c</w:t>
      </w:r>
      <w:r>
        <w:rPr>
          <w:rFonts w:ascii="Times New Roman" w:hAnsi="Times New Roman" w:cs="Times New Roman"/>
          <w:sz w:val="24"/>
          <w:szCs w:val="24"/>
        </w:rPr>
        <w:t>ercanas a Mauritania y Senegal.</w:t>
      </w:r>
      <w:r w:rsidRPr="00BD6B3D">
        <w:rPr>
          <w:rFonts w:ascii="Times New Roman" w:hAnsi="Times New Roman" w:cs="Times New Roman"/>
          <w:sz w:val="24"/>
          <w:szCs w:val="24"/>
        </w:rPr>
        <w:t xml:space="preserve"> Cuando una patera o cayuco es detectado en alta mar, aunque se encuentre fuera de las aguas territoriales españolas, España tiene la obligación legal de coordinar el rescate. Así ha ocurrido con el cayuco que transportaba 176 personas, una de ellas fallecida, que ha sido rescatado por la guardamar Polimnia a 476 kilómetros de Gran Canaria; un punto al que los equipos de rescate han tardado en llegar 11 horas de navegación.</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¿Cuánto cuesta rescatar una patera? El Estado invierte millones cada año en Salvamento Marítimo (Libertad Digital - </w:t>
      </w:r>
      <w:r w:rsidRPr="00BD6B3D">
        <w:rPr>
          <w:rFonts w:ascii="Times New Roman" w:hAnsi="Times New Roman" w:cs="Times New Roman"/>
          <w:b/>
          <w:sz w:val="24"/>
          <w:szCs w:val="24"/>
        </w:rPr>
        <w:t>5/8/25</w:t>
      </w:r>
      <w:r w:rsidRPr="00BD6B3D">
        <w:rPr>
          <w:rFonts w:ascii="Times New Roman" w:hAnsi="Times New Roman" w:cs="Times New Roman"/>
          <w:sz w:val="24"/>
          <w:szCs w:val="24"/>
        </w:rPr>
        <w:t xml:space="preserve">). El mantenimiento de buques y helicópteros y el aumento de operaciones elevan el gasto, con rescates que superan los 100.000 euros. Las </w:t>
      </w:r>
      <w:r w:rsidRPr="00BD6B3D">
        <w:rPr>
          <w:rFonts w:ascii="Times New Roman" w:hAnsi="Times New Roman" w:cs="Times New Roman"/>
          <w:sz w:val="24"/>
          <w:szCs w:val="24"/>
        </w:rPr>
        <w:lastRenderedPageBreak/>
        <w:t>cuentas anuales de Sasemar (Sociedad de Salvamento y Seguridad Marítima),  entre 2020 y 2023 permiten entender la magnitud de este esfuerzo económico. En esos ejercicios, el patrimonio neto de la entidad rondó los 200 millones de euros y el activo total se mantuvo en torno a los 310 millones, según la documentación oficial remitida por el Ministerio de Transportes y Movilidad Sostenible, del que depende Sasemar. La financiación procede en su mayoría de subvenciones del Estado, que sostienen los costes de personal, combustible, mantenimiento y flota aérea. En 2020, la sociedad recibió 190 millones de euros en aportaciones públicas; en 2021, 193,5 millones; en 2022, 192,8 millones; y en 2023, 191 millones.</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Un estudio augura que en 2045 en España habrá más extranjeros que autóctonos (The Objective - </w:t>
      </w:r>
      <w:r w:rsidRPr="00BD6B3D">
        <w:rPr>
          <w:rFonts w:ascii="Times New Roman" w:hAnsi="Times New Roman" w:cs="Times New Roman"/>
          <w:b/>
          <w:sz w:val="24"/>
          <w:szCs w:val="24"/>
        </w:rPr>
        <w:t>16/5/25</w:t>
      </w:r>
      <w:r w:rsidRPr="00BD6B3D">
        <w:rPr>
          <w:rFonts w:ascii="Times New Roman" w:hAnsi="Times New Roman" w:cs="Times New Roman"/>
          <w:sz w:val="24"/>
          <w:szCs w:val="24"/>
        </w:rPr>
        <w:t>). Alejandro Macarrón sostiene que Alicante será la primera provi</w:t>
      </w:r>
      <w:r>
        <w:rPr>
          <w:rFonts w:ascii="Times New Roman" w:hAnsi="Times New Roman" w:cs="Times New Roman"/>
          <w:sz w:val="24"/>
          <w:szCs w:val="24"/>
        </w:rPr>
        <w:t>ncia víctima de la “sustitución”</w:t>
      </w:r>
      <w:r w:rsidRPr="00BD6B3D">
        <w:rPr>
          <w:rFonts w:ascii="Times New Roman" w:hAnsi="Times New Roman" w:cs="Times New Roman"/>
          <w:sz w:val="24"/>
          <w:szCs w:val="24"/>
        </w:rPr>
        <w:t xml:space="preserve"> y Córdoba la última</w:t>
      </w:r>
      <w:r>
        <w:rPr>
          <w:rFonts w:ascii="Times New Roman" w:hAnsi="Times New Roman" w:cs="Times New Roman"/>
          <w:sz w:val="24"/>
          <w:szCs w:val="24"/>
        </w:rPr>
        <w:t>.</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Islamización de España: la población musulmana supera los 2,5 millones y ya hay más de 1.700 mezquitas (Libertad Digital - </w:t>
      </w:r>
      <w:r w:rsidRPr="00BD6B3D">
        <w:rPr>
          <w:rFonts w:ascii="Times New Roman" w:hAnsi="Times New Roman" w:cs="Times New Roman"/>
          <w:b/>
          <w:sz w:val="24"/>
          <w:szCs w:val="24"/>
        </w:rPr>
        <w:t>16/7/25</w:t>
      </w:r>
      <w:r w:rsidRPr="00BD6B3D">
        <w:rPr>
          <w:rFonts w:ascii="Times New Roman" w:hAnsi="Times New Roman" w:cs="Times New Roman"/>
          <w:sz w:val="24"/>
          <w:szCs w:val="24"/>
        </w:rPr>
        <w:t>). Los españoles también conviven con el islamismo más radical. En 2024, hasta 81 personas fueron detenidas por yihadismo, máximo histórico desde 2004.</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Los españoles conviven con el islamismo más radical: récord de detenciones yihadistas desde hace 20 años (Libertad Digital - </w:t>
      </w:r>
      <w:r w:rsidRPr="00BD6B3D">
        <w:rPr>
          <w:rFonts w:ascii="Times New Roman" w:hAnsi="Times New Roman" w:cs="Times New Roman"/>
          <w:b/>
          <w:sz w:val="24"/>
          <w:szCs w:val="24"/>
        </w:rPr>
        <w:t>25/8/25</w:t>
      </w:r>
      <w:r w:rsidRPr="00BD6B3D">
        <w:rPr>
          <w:rFonts w:ascii="Times New Roman" w:hAnsi="Times New Roman" w:cs="Times New Roman"/>
          <w:sz w:val="24"/>
          <w:szCs w:val="24"/>
        </w:rPr>
        <w:t>). Quedando cuatro meses por delante, 2025 va camino de convertirse en el año con más yihadistas detenidos (95) en la historia de España.</w:t>
      </w:r>
    </w:p>
    <w:p w:rsidR="004E3111" w:rsidRPr="00BD6B3D" w:rsidRDefault="004E3111" w:rsidP="004E3111">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El Gobierno dice que España necesita 3,5 millones más de inmigrantes (Fuente: e-noticies.cat/es - </w:t>
      </w:r>
      <w:r w:rsidRPr="00BD6B3D">
        <w:rPr>
          <w:rFonts w:ascii="Times New Roman" w:hAnsi="Times New Roman" w:cs="Times New Roman"/>
          <w:b/>
          <w:sz w:val="24"/>
          <w:szCs w:val="24"/>
        </w:rPr>
        <w:t>25/8/25</w:t>
      </w:r>
      <w:r w:rsidRPr="00BD6B3D">
        <w:rPr>
          <w:rFonts w:ascii="Times New Roman" w:hAnsi="Times New Roman" w:cs="Times New Roman"/>
          <w:sz w:val="24"/>
          <w:szCs w:val="24"/>
        </w:rPr>
        <w:t xml:space="preserve">). España se encuentra inmersa en una crisis migratoria sin precedentes, con la acumulación de varios años de llegadas incesantes de inmigrantes irregulares. Sin ir más lejos, el año pasado se batió otro récord con la llegada de casi 64.000 ilegales a las costas españolas. El caos se ha trasladado de Canarias a Baleares, donde ha habido un aumento del 77% de llegadas (cien </w:t>
      </w:r>
      <w:r>
        <w:rPr>
          <w:rFonts w:ascii="Times New Roman" w:hAnsi="Times New Roman" w:cs="Times New Roman"/>
          <w:sz w:val="24"/>
          <w:szCs w:val="24"/>
        </w:rPr>
        <w:t>pateras más que el año pasado).</w:t>
      </w:r>
      <w:r w:rsidRPr="00BD6B3D">
        <w:rPr>
          <w:rFonts w:ascii="Times New Roman" w:hAnsi="Times New Roman" w:cs="Times New Roman"/>
          <w:sz w:val="24"/>
          <w:szCs w:val="24"/>
        </w:rPr>
        <w:t xml:space="preserve"> Pese a la gravedad de la situación, la Secretaría de Estado de Migraciones ha lanzado un claro mensaje proinmigracionista. “España necesitará 3,5 millones de inmigrantes para compensar las jubilaciones que se van a producir en la próxima década”, han tuiteado.</w:t>
      </w:r>
    </w:p>
    <w:p w:rsidR="004E3111" w:rsidRPr="00BD6B3D" w:rsidRDefault="004E3111" w:rsidP="004E3111">
      <w:pPr>
        <w:pStyle w:val="NormalWeb"/>
        <w:shd w:val="clear" w:color="auto" w:fill="FFFFFF"/>
        <w:jc w:val="both"/>
      </w:pPr>
      <w:r w:rsidRPr="00BD6B3D">
        <w:t xml:space="preserve">- Dos de cada tres nuevos repartidores a domicilio son extranjeros (The Objective - </w:t>
      </w:r>
      <w:r w:rsidRPr="00BD6B3D">
        <w:rPr>
          <w:b/>
        </w:rPr>
        <w:t>30/8/25</w:t>
      </w:r>
      <w:r w:rsidRPr="00BD6B3D">
        <w:t>). El empleo no resulta atractivo para los españoles: solo 5.000 autónomos se dieron de alta en la Seguridad Social en 2024</w:t>
      </w:r>
    </w:p>
    <w:p w:rsidR="004E3111" w:rsidRPr="00BD6B3D" w:rsidRDefault="004E3111" w:rsidP="004E3111">
      <w:pPr>
        <w:pStyle w:val="NormalWeb"/>
        <w:shd w:val="clear" w:color="auto" w:fill="FFFFFF"/>
        <w:jc w:val="both"/>
      </w:pPr>
      <w:r w:rsidRPr="00BD6B3D">
        <w:t xml:space="preserve">- El coste de la inmigración supone más de 30.000 millones de euros para el Estado (La Razón - </w:t>
      </w:r>
      <w:r w:rsidRPr="00BD6B3D">
        <w:rPr>
          <w:b/>
        </w:rPr>
        <w:t>10/1/25</w:t>
      </w:r>
      <w:r w:rsidRPr="00BD6B3D">
        <w:t>). La fundación NEOS elabora un informe donde insta a los políticos a un Pacto de Estado por la inmigración y advierte de que el reparto de menas no es la solución sino la repatriación</w:t>
      </w:r>
    </w:p>
    <w:p w:rsidR="004E3111" w:rsidRDefault="004E3111" w:rsidP="004E3111">
      <w:pPr>
        <w:pStyle w:val="NormalWeb"/>
        <w:shd w:val="clear" w:color="auto" w:fill="FFFFFF"/>
        <w:jc w:val="both"/>
        <w:rPr>
          <w:b/>
          <w:color w:val="FF0000"/>
        </w:rPr>
      </w:pPr>
      <w:r w:rsidRPr="00BD6B3D">
        <w:t xml:space="preserve">- Cada inmigrante no cualificado que llega a España le cuesta al Estado 200.000 euros (The Objective - </w:t>
      </w:r>
      <w:r w:rsidRPr="00BD6B3D">
        <w:rPr>
          <w:b/>
        </w:rPr>
        <w:t>30/8/28</w:t>
      </w:r>
      <w:r w:rsidRPr="00BD6B3D">
        <w:t>). El prestigioso economista Jesús Fernández-Villaverde, doctor por la Universidad de Minnesota y catedrático en la de Pennsylvania, acaba de revelar un dato muy significativo: cada inmigrante no cualificado que llega a España supone una pérdida para las arcas del Estado de 200.000 euros a lo largo de toda su vida. Ese es el cálculo que él mismo hizo en 2007, cuando trabajaba como consultor externo para la oficina económica del presidente del Gobierno, en la época en la que José Luis Rodríguez Zapatero dirigía España. Sin embargo, jamás vio la luz porque, según explica, era un tema políticamente muy sensible y había otras cuestiones más urgentes.</w:t>
      </w:r>
    </w:p>
    <w:p w:rsidR="004E3111" w:rsidRDefault="004E3111" w:rsidP="004E311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“In fraganti”: ú</w:t>
      </w:r>
      <w:r w:rsidRPr="001E036D">
        <w:rPr>
          <w:rFonts w:ascii="Times New Roman" w:hAnsi="Times New Roman" w:cs="Times New Roman"/>
          <w:b/>
          <w:sz w:val="24"/>
          <w:szCs w:val="24"/>
        </w:rPr>
        <w:t>ltimas “radi</w:t>
      </w:r>
      <w:r>
        <w:rPr>
          <w:rFonts w:ascii="Times New Roman" w:hAnsi="Times New Roman" w:cs="Times New Roman"/>
          <w:b/>
          <w:sz w:val="24"/>
          <w:szCs w:val="24"/>
        </w:rPr>
        <w:t>ografías” de España, en su camino hacia la quiebra</w:t>
      </w:r>
      <w:r w:rsidRPr="001E036D">
        <w:rPr>
          <w:rFonts w:ascii="Times New Roman" w:hAnsi="Times New Roman" w:cs="Times New Roman"/>
          <w:b/>
          <w:sz w:val="24"/>
          <w:szCs w:val="24"/>
        </w:rPr>
        <w:t xml:space="preserve"> </w:t>
      </w:r>
    </w:p>
    <w:p w:rsidR="004E3111" w:rsidRDefault="004E3111" w:rsidP="004E3111">
      <w:pPr>
        <w:spacing w:line="240" w:lineRule="auto"/>
        <w:jc w:val="both"/>
        <w:rPr>
          <w:rFonts w:ascii="Times New Roman" w:hAnsi="Times New Roman" w:cs="Times New Roman"/>
          <w:b/>
          <w:sz w:val="24"/>
          <w:szCs w:val="24"/>
        </w:rPr>
      </w:pPr>
      <w:r>
        <w:rPr>
          <w:rFonts w:ascii="Times New Roman" w:hAnsi="Times New Roman" w:cs="Times New Roman"/>
          <w:b/>
          <w:sz w:val="24"/>
          <w:szCs w:val="24"/>
        </w:rPr>
        <w:t>(“L</w:t>
      </w:r>
      <w:r w:rsidRPr="001E036D">
        <w:rPr>
          <w:rFonts w:ascii="Times New Roman" w:hAnsi="Times New Roman" w:cs="Times New Roman"/>
          <w:b/>
          <w:sz w:val="24"/>
          <w:szCs w:val="24"/>
        </w:rPr>
        <w:t>ast minute</w:t>
      </w:r>
      <w:r>
        <w:rPr>
          <w:rFonts w:ascii="Times New Roman" w:hAnsi="Times New Roman" w:cs="Times New Roman"/>
          <w:b/>
          <w:sz w:val="24"/>
          <w:szCs w:val="24"/>
        </w:rPr>
        <w:t>”,</w:t>
      </w:r>
      <w:r w:rsidRPr="001E036D">
        <w:rPr>
          <w:rFonts w:ascii="Times New Roman" w:hAnsi="Times New Roman" w:cs="Times New Roman"/>
          <w:b/>
          <w:sz w:val="24"/>
          <w:szCs w:val="24"/>
        </w:rPr>
        <w:t xml:space="preserve"> antes de entrar en imprenta)</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La inflación y el IRPF más elevado de la historia</w:t>
      </w:r>
      <w:r w:rsidRPr="005D3EC3">
        <w:rPr>
          <w:rFonts w:ascii="Times New Roman" w:hAnsi="Times New Roman" w:cs="Times New Roman"/>
          <w:sz w:val="24"/>
          <w:szCs w:val="24"/>
        </w:rPr>
        <w:t xml:space="preserve"> (The Objective - </w:t>
      </w:r>
      <w:r w:rsidRPr="005D3EC3">
        <w:rPr>
          <w:rFonts w:ascii="Times New Roman" w:hAnsi="Times New Roman" w:cs="Times New Roman"/>
          <w:b/>
          <w:sz w:val="24"/>
          <w:szCs w:val="24"/>
        </w:rPr>
        <w:t>10/9/25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“Se debería debatir adaptar el IRPF a la inflación porque es la subida más importante de impuestos de los últimos años”.</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Cuatro de cada diez trabajadores más jóvenes abandona en menos de un año por los bajos salarios y falta de flexibilidad</w:t>
      </w:r>
      <w:r w:rsidRPr="005D3EC3">
        <w:rPr>
          <w:rFonts w:ascii="Times New Roman" w:hAnsi="Times New Roman" w:cs="Times New Roman"/>
          <w:sz w:val="24"/>
          <w:szCs w:val="24"/>
        </w:rPr>
        <w:t xml:space="preserve"> (El País - </w:t>
      </w:r>
      <w:r w:rsidRPr="005D3EC3">
        <w:rPr>
          <w:rFonts w:ascii="Times New Roman" w:hAnsi="Times New Roman" w:cs="Times New Roman"/>
          <w:b/>
          <w:sz w:val="24"/>
          <w:szCs w:val="24"/>
        </w:rPr>
        <w:t>10/9/25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Un 38% de estos empleados, pertenecientes a la generación Z, son despedidos por sus empresas en menos de 12 meses, 10 puntos más que la media.</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La obsolescencia llega a la infraestructura de alta velocidad</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10/9/25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El deterioro de las vías o la antigüedad del LZB afectan a la resiliencia del sistema ferroviario</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La mitad de los inmigrantes de segunda generación no se sienten españoles</w:t>
      </w:r>
      <w:r w:rsidRPr="005D3EC3">
        <w:rPr>
          <w:rFonts w:ascii="Times New Roman" w:hAnsi="Times New Roman" w:cs="Times New Roman"/>
          <w:sz w:val="24"/>
          <w:szCs w:val="24"/>
        </w:rPr>
        <w:t xml:space="preserve"> (The Objective - </w:t>
      </w:r>
      <w:r w:rsidRPr="005D3EC3">
        <w:rPr>
          <w:rFonts w:ascii="Times New Roman" w:hAnsi="Times New Roman" w:cs="Times New Roman"/>
          <w:b/>
          <w:sz w:val="24"/>
          <w:szCs w:val="24"/>
        </w:rPr>
        <w:t>11/9/25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El “think tank” Funcas refleja el crecimiento de los descendientes de extranjeros, de los que solo el 50% siente arraigo.</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El 60% de las empresas de la SEPI están en números rojos y duplican sus pérdidas</w:t>
      </w:r>
      <w:r w:rsidRPr="005D3EC3">
        <w:rPr>
          <w:rFonts w:ascii="Times New Roman" w:hAnsi="Times New Roman" w:cs="Times New Roman"/>
          <w:sz w:val="24"/>
          <w:szCs w:val="24"/>
        </w:rPr>
        <w:t xml:space="preserve"> (The Objective - 1</w:t>
      </w:r>
      <w:r w:rsidRPr="005D3EC3">
        <w:rPr>
          <w:rFonts w:ascii="Times New Roman" w:hAnsi="Times New Roman" w:cs="Times New Roman"/>
          <w:b/>
          <w:sz w:val="24"/>
          <w:szCs w:val="24"/>
        </w:rPr>
        <w:t>2/9/25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Las 16 sociedades del “holding” público se dejaron más de 700 millones de euros durante 2024.</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Cuatro rescatadas por la SEPI están en riesgo de quiebra y complican el pago de 187 millones</w:t>
      </w:r>
      <w:r w:rsidRPr="005D3EC3">
        <w:rPr>
          <w:rFonts w:ascii="Times New Roman" w:hAnsi="Times New Roman" w:cs="Times New Roman"/>
          <w:sz w:val="24"/>
          <w:szCs w:val="24"/>
        </w:rPr>
        <w:t xml:space="preserve"> (The Objective - </w:t>
      </w:r>
      <w:r w:rsidRPr="005D3EC3">
        <w:rPr>
          <w:rFonts w:ascii="Times New Roman" w:hAnsi="Times New Roman" w:cs="Times New Roman"/>
          <w:b/>
          <w:sz w:val="24"/>
          <w:szCs w:val="24"/>
        </w:rPr>
        <w:t>12/9/25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Duro Felguera, Industrias Losán, Imasa y Meeting Point abordan procesos de reestructuración y de venta de activos.</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Los españoles son los europeos que más abandonan los estudios de bachillerato</w:t>
      </w:r>
      <w:r w:rsidRPr="005D3EC3">
        <w:rPr>
          <w:rFonts w:ascii="Times New Roman" w:hAnsi="Times New Roman" w:cs="Times New Roman"/>
          <w:sz w:val="24"/>
          <w:szCs w:val="24"/>
        </w:rPr>
        <w:t xml:space="preserve"> (The Obj</w:t>
      </w:r>
      <w:r>
        <w:rPr>
          <w:rFonts w:ascii="Times New Roman" w:hAnsi="Times New Roman" w:cs="Times New Roman"/>
          <w:sz w:val="24"/>
          <w:szCs w:val="24"/>
        </w:rPr>
        <w:t>ective</w:t>
      </w:r>
      <w:r w:rsidRPr="005D3EC3">
        <w:rPr>
          <w:rFonts w:ascii="Times New Roman" w:hAnsi="Times New Roman" w:cs="Times New Roman"/>
          <w:sz w:val="24"/>
          <w:szCs w:val="24"/>
        </w:rPr>
        <w:t xml:space="preserve"> - </w:t>
      </w:r>
      <w:r w:rsidRPr="005D3EC3">
        <w:rPr>
          <w:rFonts w:ascii="Times New Roman" w:hAnsi="Times New Roman" w:cs="Times New Roman"/>
          <w:b/>
          <w:sz w:val="24"/>
          <w:szCs w:val="24"/>
        </w:rPr>
        <w:t>12/9/25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La cifra -.el 26%- duplica la del Reino Unido (12 %) y supera ampliamente la que se da en Alemania (16 %)</w:t>
      </w:r>
      <w:r>
        <w:rPr>
          <w:rFonts w:ascii="Times New Roman" w:hAnsi="Times New Roman" w:cs="Times New Roman"/>
          <w:sz w:val="24"/>
          <w:szCs w:val="24"/>
        </w:rPr>
        <w:t>.</w:t>
      </w: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Hacienda recauda hasta julio cerca de 100.000 millones en el IRPF por negarse a deflactar</w:t>
      </w:r>
      <w:r w:rsidRPr="005D3EC3">
        <w:rPr>
          <w:rFonts w:ascii="Times New Roman" w:hAnsi="Times New Roman" w:cs="Times New Roman"/>
          <w:sz w:val="24"/>
          <w:szCs w:val="24"/>
        </w:rPr>
        <w:t xml:space="preserve"> (Vozpópuli - </w:t>
      </w:r>
      <w:r w:rsidRPr="005D3EC3">
        <w:rPr>
          <w:rFonts w:ascii="Times New Roman" w:hAnsi="Times New Roman" w:cs="Times New Roman"/>
          <w:b/>
          <w:sz w:val="24"/>
          <w:szCs w:val="24"/>
        </w:rPr>
        <w:t>12/9/25</w:t>
      </w:r>
      <w:r w:rsidRPr="005D3EC3">
        <w:rPr>
          <w:rFonts w:ascii="Times New Roman" w:hAnsi="Times New Roman" w:cs="Times New Roman"/>
          <w:sz w:val="24"/>
          <w:szCs w:val="24"/>
        </w:rPr>
        <w:t>)</w:t>
      </w: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r w:rsidRPr="005D3EC3">
        <w:rPr>
          <w:rFonts w:ascii="Times New Roman" w:hAnsi="Times New Roman" w:cs="Times New Roman"/>
          <w:sz w:val="24"/>
          <w:szCs w:val="24"/>
        </w:rPr>
        <w:t>Pulveriza todos los récords por no adecuar el impuesto a la inflación y el buen comportamiento de la Campaña de la Renta.</w:t>
      </w: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Marruecos refuerza la vigilancia el puerto de Agadir tras el robo de un pesquero para trasladar inmigrantes a Canarias</w:t>
      </w:r>
      <w:r w:rsidRPr="005D3EC3">
        <w:rPr>
          <w:rFonts w:ascii="Times New Roman" w:hAnsi="Times New Roman" w:cs="Times New Roman"/>
          <w:sz w:val="24"/>
          <w:szCs w:val="24"/>
        </w:rPr>
        <w:t xml:space="preserve"> (Vozpópuli - </w:t>
      </w:r>
      <w:r w:rsidRPr="005D3EC3">
        <w:rPr>
          <w:rFonts w:ascii="Times New Roman" w:hAnsi="Times New Roman" w:cs="Times New Roman"/>
          <w:b/>
          <w:sz w:val="24"/>
          <w:szCs w:val="24"/>
        </w:rPr>
        <w:t>12/9/25</w:t>
      </w:r>
      <w:r w:rsidRPr="005D3EC3">
        <w:rPr>
          <w:rFonts w:ascii="Times New Roman" w:hAnsi="Times New Roman" w:cs="Times New Roman"/>
          <w:sz w:val="24"/>
          <w:szCs w:val="24"/>
        </w:rPr>
        <w:t>)</w:t>
      </w: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p>
    <w:p w:rsidR="004E3111" w:rsidRDefault="004E3111" w:rsidP="004E3111">
      <w:pPr>
        <w:shd w:val="clear" w:color="auto" w:fill="FFFFFF"/>
        <w:spacing w:after="0" w:line="240" w:lineRule="auto"/>
        <w:jc w:val="both"/>
        <w:textAlignment w:val="baseline"/>
        <w:rPr>
          <w:rFonts w:ascii="Times New Roman" w:hAnsi="Times New Roman" w:cs="Times New Roman"/>
          <w:sz w:val="24"/>
          <w:szCs w:val="24"/>
        </w:rPr>
      </w:pPr>
      <w:r w:rsidRPr="005D3EC3">
        <w:rPr>
          <w:rFonts w:ascii="Times New Roman" w:hAnsi="Times New Roman" w:cs="Times New Roman"/>
          <w:sz w:val="24"/>
          <w:szCs w:val="24"/>
        </w:rPr>
        <w:lastRenderedPageBreak/>
        <w:t>Tras el secuestro y naufragio del pesquero Al-Hussein, que terminó incendiado frente a la costa de Lanzarote, las autoridades marroquíes han tomado medidas drásticas para reforzar la vigilancia en el puerto de Agadir y garantizar que episodios similares no se repitan.</w:t>
      </w: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Del AVE a la red eléctrica: ¿la inevitable decadencia de nuestras infraestructuras</w:t>
      </w:r>
      <w:r w:rsidRPr="005D3EC3">
        <w:rPr>
          <w:rFonts w:ascii="Times New Roman" w:hAnsi="Times New Roman" w:cs="Times New Roman"/>
          <w:sz w:val="24"/>
          <w:szCs w:val="24"/>
        </w:rPr>
        <w:t xml:space="preserve">? (Libertad Digital - </w:t>
      </w:r>
      <w:r w:rsidRPr="005D3EC3">
        <w:rPr>
          <w:rFonts w:ascii="Times New Roman" w:hAnsi="Times New Roman" w:cs="Times New Roman"/>
          <w:b/>
          <w:sz w:val="24"/>
          <w:szCs w:val="24"/>
        </w:rPr>
        <w:t>13/9/25</w:t>
      </w:r>
      <w:r w:rsidRPr="005D3EC3">
        <w:rPr>
          <w:rFonts w:ascii="Times New Roman" w:hAnsi="Times New Roman" w:cs="Times New Roman"/>
          <w:sz w:val="24"/>
          <w:szCs w:val="24"/>
        </w:rPr>
        <w:t>)</w:t>
      </w: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r w:rsidRPr="005D3EC3">
        <w:rPr>
          <w:rFonts w:ascii="Times New Roman" w:hAnsi="Times New Roman" w:cs="Times New Roman"/>
          <w:sz w:val="24"/>
          <w:szCs w:val="24"/>
        </w:rPr>
        <w:t>En política, lo que se premia es el cortoplacismo y la espectacularidad. ¿Un nuevo colegio? O 50, los que hagan falta.</w:t>
      </w: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El Gobierno tiene 1.259 asesores, de los que 606 son solo para Sánchez</w:t>
      </w:r>
      <w:r w:rsidRPr="005D3EC3">
        <w:rPr>
          <w:rFonts w:ascii="Times New Roman" w:hAnsi="Times New Roman" w:cs="Times New Roman"/>
          <w:sz w:val="24"/>
          <w:szCs w:val="24"/>
        </w:rPr>
        <w:t xml:space="preserve"> (The Objective - </w:t>
      </w:r>
      <w:r w:rsidRPr="005D3EC3">
        <w:rPr>
          <w:rFonts w:ascii="Times New Roman" w:hAnsi="Times New Roman" w:cs="Times New Roman"/>
          <w:b/>
          <w:sz w:val="24"/>
          <w:szCs w:val="24"/>
        </w:rPr>
        <w:t>13/9/25</w:t>
      </w:r>
      <w:r w:rsidRPr="005D3EC3">
        <w:rPr>
          <w:rFonts w:ascii="Times New Roman" w:hAnsi="Times New Roman" w:cs="Times New Roman"/>
          <w:sz w:val="24"/>
          <w:szCs w:val="24"/>
        </w:rPr>
        <w:t>)</w:t>
      </w: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r w:rsidRPr="005D3EC3">
        <w:rPr>
          <w:rFonts w:ascii="Times New Roman" w:hAnsi="Times New Roman" w:cs="Times New Roman"/>
          <w:sz w:val="24"/>
          <w:szCs w:val="24"/>
        </w:rPr>
        <w:t>El frenazo de la actividad legislativa y política no ha impedido la contratación de una legión de cargos de confianza.</w:t>
      </w:r>
    </w:p>
    <w:p w:rsidR="004E3111" w:rsidRPr="005D3EC3" w:rsidRDefault="004E3111" w:rsidP="004E3111">
      <w:pPr>
        <w:shd w:val="clear" w:color="auto" w:fill="FFFFFF"/>
        <w:spacing w:after="0" w:line="240" w:lineRule="auto"/>
        <w:jc w:val="both"/>
        <w:textAlignment w:val="baseline"/>
        <w:rPr>
          <w:rFonts w:ascii="Times New Roman" w:hAnsi="Times New Roman" w:cs="Times New Roman"/>
          <w:sz w:val="24"/>
          <w:szCs w:val="24"/>
        </w:rPr>
      </w:pPr>
    </w:p>
    <w:p w:rsidR="004E3111" w:rsidRPr="005D3EC3" w:rsidRDefault="004E3111" w:rsidP="004E3111">
      <w:pPr>
        <w:pStyle w:val="NormalWeb"/>
        <w:shd w:val="clear" w:color="auto" w:fill="FFFFFF"/>
        <w:spacing w:before="0" w:beforeAutospacing="0" w:after="0" w:afterAutospacing="0"/>
        <w:jc w:val="both"/>
        <w:textAlignment w:val="baseline"/>
      </w:pPr>
      <w:r w:rsidRPr="005D3EC3">
        <w:t xml:space="preserve">- </w:t>
      </w:r>
      <w:r w:rsidRPr="005D3EC3">
        <w:rPr>
          <w:u w:val="single"/>
        </w:rPr>
        <w:t>El 48% de los propietarios de vivienda desconfían de los inquilinos: se dispara el miedo a los impagos y la okupación</w:t>
      </w:r>
      <w:r w:rsidRPr="005D3EC3">
        <w:t xml:space="preserve"> (Libertad Digital - </w:t>
      </w:r>
      <w:r w:rsidRPr="005D3EC3">
        <w:rPr>
          <w:b/>
        </w:rPr>
        <w:t>14/9/25</w:t>
      </w:r>
      <w:r w:rsidRPr="005D3EC3">
        <w:t>)</w:t>
      </w:r>
    </w:p>
    <w:p w:rsidR="004E3111" w:rsidRPr="005D3EC3" w:rsidRDefault="004E3111" w:rsidP="004E3111">
      <w:pPr>
        <w:pStyle w:val="NormalWeb"/>
        <w:shd w:val="clear" w:color="auto" w:fill="FFFFFF"/>
        <w:spacing w:before="0" w:beforeAutospacing="0" w:after="0" w:afterAutospacing="0"/>
        <w:jc w:val="both"/>
        <w:textAlignment w:val="baseline"/>
      </w:pPr>
    </w:p>
    <w:p w:rsidR="004E3111" w:rsidRDefault="004E3111" w:rsidP="004E3111">
      <w:pPr>
        <w:pStyle w:val="NormalWeb"/>
        <w:shd w:val="clear" w:color="auto" w:fill="FFFFFF"/>
        <w:spacing w:before="0" w:beforeAutospacing="0" w:after="0" w:afterAutospacing="0"/>
        <w:jc w:val="both"/>
        <w:textAlignment w:val="baseline"/>
      </w:pPr>
      <w:r w:rsidRPr="005D3EC3">
        <w:t>Esta percepción se relaciona directamente con la falta de seguridad jurídica y con la sensación de desprotección que padecen los arrendadores.</w:t>
      </w:r>
    </w:p>
    <w:p w:rsidR="004E3111" w:rsidRDefault="004E3111" w:rsidP="004E3111">
      <w:pPr>
        <w:pStyle w:val="NormalWeb"/>
        <w:shd w:val="clear" w:color="auto" w:fill="FFFFFF"/>
        <w:spacing w:after="0"/>
        <w:jc w:val="both"/>
        <w:textAlignment w:val="baseline"/>
      </w:pPr>
      <w:r>
        <w:t xml:space="preserve">- </w:t>
      </w:r>
      <w:r w:rsidRPr="005D3EC3">
        <w:rPr>
          <w:u w:val="single"/>
        </w:rPr>
        <w:t>La última “ocurrencia” de la agenda woke del Gobierno: clases de “ocio saludable” a pobres de solemnidad</w:t>
      </w:r>
      <w:r>
        <w:t xml:space="preserve"> (Vozpópuli - </w:t>
      </w:r>
      <w:r w:rsidRPr="00725051">
        <w:rPr>
          <w:b/>
        </w:rPr>
        <w:t>14/9/25</w:t>
      </w:r>
      <w:r>
        <w:t>)</w:t>
      </w:r>
    </w:p>
    <w:p w:rsidR="004E3111" w:rsidRDefault="004E3111" w:rsidP="004E3111">
      <w:pPr>
        <w:pStyle w:val="NormalWeb"/>
        <w:shd w:val="clear" w:color="auto" w:fill="FFFFFF"/>
        <w:spacing w:after="0"/>
        <w:jc w:val="both"/>
        <w:textAlignment w:val="baseline"/>
      </w:pPr>
      <w:r>
        <w:t>Sanidad destina 112 millones a enseñar “ocio saludable” y “enfoque de equidad” a personas en riesgo de pobreza o exclusión social.</w:t>
      </w:r>
    </w:p>
    <w:p w:rsidR="004E3111" w:rsidRDefault="004E3111" w:rsidP="004E3111">
      <w:pPr>
        <w:pStyle w:val="NormalWeb"/>
        <w:shd w:val="clear" w:color="auto" w:fill="FFFFFF"/>
        <w:spacing w:after="0"/>
        <w:jc w:val="both"/>
        <w:textAlignment w:val="baseline"/>
      </w:pPr>
      <w:r>
        <w:t xml:space="preserve">- </w:t>
      </w:r>
      <w:r w:rsidRPr="005D3EC3">
        <w:rPr>
          <w:u w:val="single"/>
        </w:rPr>
        <w:t>La España que no va bien: se disparan un 19% los beneficiarios del ingreso mínimo vital</w:t>
      </w:r>
      <w:r>
        <w:t xml:space="preserve"> (Vozpópuli - </w:t>
      </w:r>
      <w:r w:rsidRPr="005D3EC3">
        <w:rPr>
          <w:b/>
        </w:rPr>
        <w:t>15/9/25</w:t>
      </w:r>
      <w:r>
        <w:t>)</w:t>
      </w:r>
    </w:p>
    <w:p w:rsidR="004E3111" w:rsidRDefault="004E3111" w:rsidP="004E3111">
      <w:pPr>
        <w:pStyle w:val="NormalWeb"/>
        <w:shd w:val="clear" w:color="auto" w:fill="FFFFFF"/>
        <w:spacing w:after="0"/>
        <w:jc w:val="both"/>
        <w:textAlignment w:val="baseline"/>
      </w:pPr>
      <w:r>
        <w:t>En los últimos doce meses, ha aumentado un 19%, superando ya los 2,33 millones de adultos y menores de edad.</w:t>
      </w:r>
    </w:p>
    <w:p w:rsidR="004E3111" w:rsidRDefault="004E3111" w:rsidP="004E3111">
      <w:pPr>
        <w:pStyle w:val="NormalWeb"/>
        <w:shd w:val="clear" w:color="auto" w:fill="FFFFFF"/>
        <w:spacing w:after="0"/>
        <w:jc w:val="both"/>
        <w:textAlignment w:val="baseline"/>
      </w:pPr>
      <w:r>
        <w:t>- ¿</w:t>
      </w:r>
      <w:r w:rsidRPr="00D768AC">
        <w:rPr>
          <w:u w:val="single"/>
        </w:rPr>
        <w:t>Existe una fórmula mágica para incrementar el nivel educativo en España</w:t>
      </w:r>
      <w:r>
        <w:t xml:space="preserve">? (Vozpópuli - </w:t>
      </w:r>
      <w:r w:rsidRPr="005D3EC3">
        <w:rPr>
          <w:b/>
        </w:rPr>
        <w:t>15/9/25</w:t>
      </w:r>
      <w:r>
        <w:t>)</w:t>
      </w:r>
    </w:p>
    <w:p w:rsidR="004E3111" w:rsidRDefault="004E3111" w:rsidP="004E3111">
      <w:pPr>
        <w:pStyle w:val="NormalWeb"/>
        <w:shd w:val="clear" w:color="auto" w:fill="FFFFFF"/>
        <w:spacing w:after="0"/>
        <w:jc w:val="both"/>
        <w:textAlignment w:val="baseline"/>
      </w:pPr>
      <w:r>
        <w:t>Según el estudio Education Monitor 2025 tan solo el 29% de los españoles encuestados consideran que el sistema educativo actual es de buena calidad.</w:t>
      </w:r>
    </w:p>
    <w:p w:rsidR="004E3111" w:rsidRDefault="004E3111" w:rsidP="004E3111">
      <w:pPr>
        <w:pStyle w:val="NormalWeb"/>
        <w:shd w:val="clear" w:color="auto" w:fill="FFFFFF"/>
        <w:spacing w:after="0"/>
        <w:jc w:val="both"/>
        <w:textAlignment w:val="baseline"/>
      </w:pPr>
      <w:r>
        <w:t xml:space="preserve">- </w:t>
      </w:r>
      <w:r w:rsidRPr="005D3EC3">
        <w:rPr>
          <w:u w:val="single"/>
        </w:rPr>
        <w:t>El misterio de los “ultraprecarios”: las 280 personas que firman más de 15 contratos al mes</w:t>
      </w:r>
      <w:r>
        <w:t xml:space="preserve"> (El Economista - </w:t>
      </w:r>
      <w:r w:rsidRPr="005D3EC3">
        <w:rPr>
          <w:b/>
        </w:rPr>
        <w:t>15/9/25</w:t>
      </w:r>
      <w:r>
        <w:t>)</w:t>
      </w:r>
    </w:p>
    <w:p w:rsidR="004E3111" w:rsidRPr="005D3EC3" w:rsidRDefault="004E3111" w:rsidP="004E3111">
      <w:pPr>
        <w:pStyle w:val="NormalWeb"/>
        <w:shd w:val="clear" w:color="auto" w:fill="FFFFFF"/>
        <w:spacing w:before="0" w:beforeAutospacing="0" w:after="0" w:afterAutospacing="0"/>
        <w:jc w:val="both"/>
        <w:textAlignment w:val="baseline"/>
      </w:pPr>
      <w:r>
        <w:t>Si algo caracteriza al mercado de trabajo español es una volatilidad inédita como motor de la creación de empleo, a pesar del impacto de la reforma laboral. Según los últimos datos del Servicio Público de Empleo Estatal (SEPE), en el pasado mes de julio un 13% de los asalariados que firmaron un contrato lo hizo más de una vez, un total de 179.508. Aunque esta cifra encierra casos que solo pueden calificarse como extremos. El más llamativo, el de las 283 personas que firmaron más de 15. La historia de este grupo de trabajadores es una de las claves que analizan la transformación de la precariedad en los últimos años.</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lastRenderedPageBreak/>
        <w:t xml:space="preserve">- </w:t>
      </w:r>
      <w:r w:rsidRPr="005D3EC3">
        <w:rPr>
          <w:rFonts w:ascii="Times New Roman" w:hAnsi="Times New Roman" w:cs="Times New Roman"/>
          <w:sz w:val="24"/>
          <w:szCs w:val="24"/>
          <w:u w:val="single"/>
        </w:rPr>
        <w:t>El Gobierno sube un 51% la cuantía de sus adjudicaciones pese a no tener Presupuestos</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15/9/25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En época de prórrogas presupuestarias, las licitaciones y adjudicaciones de contratos para obras y compras de bienes y servicios continúan como es normal. Lo que llama la atención es que, con los Presupuestos Generales del Estado prorrogados dos años, el importe de las adjudicaciones de un solo trimestre, el segundo de 2025, bata récords y aumente un 51% respecto al mismo periodo del año anterior. En total, se han asignado 9.308 millones de euros frente a los 6.162 millones de los mismos meses de 2024.</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Radiografía del ahorro: solo el 20% de la población española logra guardar el nivel recomendado</w:t>
      </w:r>
      <w:r w:rsidRPr="005D3EC3">
        <w:rPr>
          <w:rFonts w:ascii="Times New Roman" w:hAnsi="Times New Roman" w:cs="Times New Roman"/>
          <w:sz w:val="24"/>
          <w:szCs w:val="24"/>
        </w:rPr>
        <w:t xml:space="preserve"> (Cinco Días - </w:t>
      </w:r>
      <w:r w:rsidRPr="005D3EC3">
        <w:rPr>
          <w:rFonts w:ascii="Times New Roman" w:hAnsi="Times New Roman" w:cs="Times New Roman"/>
          <w:b/>
          <w:sz w:val="24"/>
          <w:szCs w:val="24"/>
        </w:rPr>
        <w:t>16/9/25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Inflación, pagos fijos, inestabilidad laboral y económica… Ahorrar se ha convertido en una misión casi imposible para gran parte de la población española. Un 80% consigue guardar parte de sus ingresos, pero solo un 20% alcanza los niveles financieros recomendados para destinar a un fondo de emergencia, la compra de vivienda o inversiones para obtener rentabilidades. Según las conclusiones de la segunda edición del estudio sobre Conductas sostenibles de la población española realizado por Triodos Bank, los principales motivos para no ahorrar son los gastos fijos (41,2%), la falta de ingresos (33,8%), las deudas (10,7%) y, en menor medida, la preferencia por gastar (6,4%).</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La plantilla de Sareb denuncia que la nueva empresa estatal de vivienda es “innecesaria” y generará “retrasos”</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16/9/25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El comité de empresa de Sareb se muestra contrario a la creación de la Empresa Estatal de la Vivienda, impulsada por el Gobierno y alerta que se va a producir un “retraso en la reactivación del parque público”. Así, advierte que esta iniciativa supone una “innecesaria duplicidad de estructuras” y reclama que se reconozca el trabajo, la experiencia y los resultados que Sareb ha alcanzado en materia de vivienda social durante más de una década.</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El Gobierno calcula un gasto récord en sueldos públicos de 180.000 millones este año</w:t>
      </w:r>
      <w:r w:rsidRPr="005D3EC3">
        <w:rPr>
          <w:rFonts w:ascii="Times New Roman" w:hAnsi="Times New Roman" w:cs="Times New Roman"/>
          <w:sz w:val="24"/>
          <w:szCs w:val="24"/>
        </w:rPr>
        <w:t xml:space="preserve"> (Vozpópuli -</w:t>
      </w:r>
      <w:r w:rsidRPr="005D3EC3">
        <w:rPr>
          <w:rFonts w:ascii="Times New Roman" w:hAnsi="Times New Roman" w:cs="Times New Roman"/>
          <w:b/>
          <w:sz w:val="24"/>
          <w:szCs w:val="24"/>
        </w:rPr>
        <w:t>16/9/25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Según las últimas proyecciones del Gobierno, los salarios públicos representarán este año un 10,7% del Producto Interior Bruto (PIB) del país, unos 180.000 millones de euros, alrededor de 7.500 millones más que el año pasado. Es una décima menos en relación al PIB que el año pasado porque el crecimiento es inferior al de la economía española, que según el Gobierno avanzará un 2,6% en términos reales y un 5,3% en términos nominales este año. </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España es la mayor centrifugadora de empleos de Europa y mantiene un pie al borde del abismo laboral</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17/9/25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¿Puede un mismo país ser campeón europeo en creación de empleo y en tasa de paro? España sí. Según los datos de Eurostat, cuatro de cada diez de los 1,5 millones de empleos sumados por la UE en el último año fueron españoles, así como un tercio de los 1,7 millones de la zona euro. Según los últimos datos de Eurostat, nuestro país registró un incremento de 549.000 ocupados, frente a los 439.000 de Francia, los 224.000 de Italia y los 88.000 de Alemania. Lo cual es aún más significativo si tenemos en cuenta que nuestra población es menor. Pero la tasa de paro española es del 10,5%, frente a la media europea del 6%, el 7,5% de Francia, el 4,5% de Italia y el 3,7% de Alemania.</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lastRenderedPageBreak/>
        <w:t xml:space="preserve">- </w:t>
      </w:r>
      <w:r w:rsidRPr="005D3EC3">
        <w:rPr>
          <w:rFonts w:ascii="Times New Roman" w:hAnsi="Times New Roman" w:cs="Times New Roman"/>
          <w:sz w:val="24"/>
          <w:szCs w:val="24"/>
          <w:u w:val="single"/>
        </w:rPr>
        <w:t>Las mutuas estiman que el coste de las bajas laborales crecerá un 12% en 2025, hasta los 32.800 millones</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17/9/25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Las mutuas prevén que este año el coste total (que suma las prestaciones a cargo de la Seguridad Social y de las mutuas y el coste sufragado por los empleadores) crezca un 12,65% en comparación con 2024 (3.684,00 millones de euros más). En caso de confirmarse las proyecciones de la asociación de mutuas, el desembolso sería un 223,26% más elevado (22.652,55 millones de euros más) que en 2015.</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Los pensionistas ya ganan más que los trabajadores jóvenes: el demoledor informe que muestra la brecha generacional</w:t>
      </w:r>
      <w:r w:rsidRPr="005D3EC3">
        <w:rPr>
          <w:rFonts w:ascii="Times New Roman" w:hAnsi="Times New Roman" w:cs="Times New Roman"/>
          <w:sz w:val="24"/>
          <w:szCs w:val="24"/>
        </w:rPr>
        <w:t xml:space="preserve"> (Libertad Digital - </w:t>
      </w:r>
      <w:r w:rsidRPr="005D3EC3">
        <w:rPr>
          <w:rFonts w:ascii="Times New Roman" w:hAnsi="Times New Roman" w:cs="Times New Roman"/>
          <w:b/>
          <w:sz w:val="24"/>
          <w:szCs w:val="24"/>
        </w:rPr>
        <w:t>18/9/25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El Instituto Juan de Mariana ha publicado un informe demoledor sobre la creciente brecha económica entre jóvenes y mayores en España. Los datos revelan un panorama preocupante: en apenas dos décadas, los menores de 35 años han pasado de concentrar el 7,5 % de la riqueza nacional a apenas un 2 %, mientras que los mayores de 75 han incrementado su cuota del 8 % al 20 %. La riqueza mediana de quienes nacieron en los años 80 es casi un 50 % inferior a la de los nacidos en los años 60, lo que confirma que el ascensor social se ha frenado para las nuevas generaciones.</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Un tercio de extranjeros ya logra su residencia en España a partir de una situación irregular</w:t>
      </w:r>
      <w:r w:rsidRPr="005D3EC3">
        <w:rPr>
          <w:rFonts w:ascii="Times New Roman" w:hAnsi="Times New Roman" w:cs="Times New Roman"/>
          <w:sz w:val="24"/>
          <w:szCs w:val="24"/>
        </w:rPr>
        <w:t xml:space="preserve"> (The Objective - </w:t>
      </w:r>
      <w:r w:rsidRPr="005D3EC3">
        <w:rPr>
          <w:rFonts w:ascii="Times New Roman" w:hAnsi="Times New Roman" w:cs="Times New Roman"/>
          <w:b/>
          <w:sz w:val="24"/>
          <w:szCs w:val="24"/>
        </w:rPr>
        <w:t>18/9/25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El pasado mes de mayo lograron una autorización de residencia en España un total de 17.486 extranjeros no comunitarios. Un tercio de estos ciudadanos consiguieron su permiso a partir de una situación de irregularidad. Los últimos datos del Ministerio de Trabajo y Economía Social analizados por The Objective muestran que hasta 5.779 personas obtuvieron una autorización de residencia temporal por arraigo o por circunstancias excepcionales.</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Esta fórmula beneficia a los ciudadanos extranjeros que han permanecido en España durante un periodo mínimo de dos años, con vínculos familiares en España o que pueden justificar que están integrados en la sociedad. El informe que avala esta situación lo emite la comunidad autónoma o, en su caso, el ayuntamiento, en cuyo territorio tenga su domicilio habitual la persona extranjera.</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El Gobierno solo ha logrado gastar el 10% de los fondos europeos previstos para todo 2025</w:t>
      </w:r>
      <w:r w:rsidRPr="005D3EC3">
        <w:rPr>
          <w:rFonts w:ascii="Times New Roman" w:hAnsi="Times New Roman" w:cs="Times New Roman"/>
          <w:sz w:val="24"/>
          <w:szCs w:val="24"/>
        </w:rPr>
        <w:t xml:space="preserve"> (The Objective - </w:t>
      </w:r>
      <w:r w:rsidRPr="005D3EC3">
        <w:rPr>
          <w:rFonts w:ascii="Times New Roman" w:hAnsi="Times New Roman" w:cs="Times New Roman"/>
          <w:b/>
          <w:sz w:val="24"/>
          <w:szCs w:val="24"/>
        </w:rPr>
        <w:t>19/9/25</w:t>
      </w:r>
      <w:r w:rsidRPr="005D3EC3">
        <w:rPr>
          <w:rFonts w:ascii="Times New Roman" w:hAnsi="Times New Roman" w:cs="Times New Roman"/>
          <w:sz w:val="24"/>
          <w:szCs w:val="24"/>
        </w:rPr>
        <w:t>)</w:t>
      </w:r>
    </w:p>
    <w:p w:rsidR="004E3111"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Los fondos europeos Next Generation se le siguen atragantando al Gobierno. Los pagos realizados por los ministerios en el marco del Mecanismo de Recuperación, Transformación y Resiliencia apenas llegaron a los 2.002 millones de euros al cerrar el mes de junio, lo que supone el 10,7% de lo asignado para este año, según el análisis hecho por The Objective sobre la base de los últimos datos de ejecución presupuestaria de la Intervención General de la Administración del Estado (IGAE). Quedan 16.773 millones por gastar y solo cinco meses para cumplir con los montantes asignados. En 2024 se gastó el  26,6% del total asignado, en 2023 el 27,3%, en 2022 el 39,6% y en 2021 el 45,5%.</w:t>
      </w:r>
    </w:p>
    <w:p w:rsidR="004E3111" w:rsidRPr="005D3EC3" w:rsidRDefault="004E3111" w:rsidP="004E3111">
      <w:pPr>
        <w:pStyle w:val="NormalWeb"/>
        <w:shd w:val="clear" w:color="auto" w:fill="FFFFFF"/>
        <w:jc w:val="both"/>
      </w:pPr>
      <w:r>
        <w:t>(</w:t>
      </w:r>
      <w:r w:rsidRPr="009D150C">
        <w:rPr>
          <w:b/>
        </w:rPr>
        <w:t>Ausencia de noticias</w:t>
      </w:r>
      <w:r>
        <w:t xml:space="preserve">: para el intervalo entre el 20/9 y 27/9 no tengo “titulares” que ofrecerles, porque estuve realizando el “Camino de Santiago”; durante el peregrinar por el “camino portugués”, pedí perdón por mis pecados (que falta hacía) y rece por España (que falta hace) y, por razones “terapéuticas”, no visité los periódicos habituales (12). Sepan </w:t>
      </w:r>
      <w:r>
        <w:lastRenderedPageBreak/>
        <w:t xml:space="preserve">disculpar, la licencia espiritual. Cerca del final de la vida (80 años), hay que arrepentirse, buscar el perdón, y enmendar. Lo de España, ha sido “gratis et amore”, y espero que sea útil.)   </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Bruselas confirma que España ya es el último país de la Unión Europea en inversión pública</w:t>
      </w:r>
      <w:r w:rsidRPr="005D3EC3">
        <w:rPr>
          <w:rFonts w:ascii="Times New Roman" w:hAnsi="Times New Roman" w:cs="Times New Roman"/>
          <w:sz w:val="24"/>
          <w:szCs w:val="24"/>
        </w:rPr>
        <w:t xml:space="preserve"> (The Objective - </w:t>
      </w:r>
      <w:r w:rsidRPr="005D3EC3">
        <w:rPr>
          <w:rFonts w:ascii="Times New Roman" w:hAnsi="Times New Roman" w:cs="Times New Roman"/>
          <w:b/>
          <w:sz w:val="24"/>
          <w:szCs w:val="24"/>
        </w:rPr>
        <w:t>28/9/25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La Comisión Europea acaba de confirmar el grave deterioro que España está experimentando en inversión pública. Según el último paper de la Dirección General de Asuntos Económicos y Financieros, analizado por The Objective, nuestro país se encuentra en el mes de septiembre en el furgón de cola de todos los socios de la Unión de la Europea. Ya en junio, la UE señalaba que el gasto en inversiones públicas de España apenas alcanzaba el 2% del PIB. Ahora, y a mucha distancia de Letonia, Grecia, Suecia y Eslovenia, España ocupa el último lugar de la estadística con la que ya trabaja Bruselas en sus estudios de aplicación de vigilancia fiscal. No salen tampoco bien parados en inversión pública países como Irlanda, Holanda, Alemania y Chipre.</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Nunca habíamos trabajado menos: la jornada laboral baja a mínimos en 2025</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29/9/25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El debate sobre la reducción por ley de la jornada laboral sigue abierto -pese al fracaso parlamentario de la norma que permitía bajarla a 37,5 horas- en un momento en que la estadística más fiable sobre esta variable muestra cómo toca su suelo en los seis primeros meses de este año, tras mostrar un comportamiento notablemente anómalo. La más reciente Encuesta de Población Activa refleja que el tiempo efectivo de trabajo se situó en España en un promedio de solo 35,8 horas, un nivel nunca alcanzado hasta el cierre del mes de junio en toda la serie estadística ahora vigente (iniciada en 2002).</w:t>
      </w:r>
    </w:p>
    <w:p w:rsidR="004E3111" w:rsidRPr="005D3EC3" w:rsidRDefault="004E3111" w:rsidP="004E3111">
      <w:pPr>
        <w:pStyle w:val="Ttulo1"/>
        <w:shd w:val="clear" w:color="auto" w:fill="FFFFFF"/>
        <w:spacing w:before="0" w:after="170" w:line="240" w:lineRule="auto"/>
        <w:jc w:val="both"/>
        <w:textAlignment w:val="baseline"/>
        <w:rPr>
          <w:rFonts w:ascii="Times New Roman" w:hAnsi="Times New Roman" w:cs="Times New Roman"/>
          <w:b w:val="0"/>
          <w:color w:val="auto"/>
          <w:sz w:val="24"/>
          <w:szCs w:val="24"/>
        </w:rPr>
      </w:pPr>
      <w:r w:rsidRPr="005D3EC3">
        <w:rPr>
          <w:rFonts w:ascii="Times New Roman" w:hAnsi="Times New Roman" w:cs="Times New Roman"/>
          <w:b w:val="0"/>
          <w:color w:val="auto"/>
          <w:sz w:val="24"/>
          <w:szCs w:val="24"/>
        </w:rPr>
        <w:t xml:space="preserve">- </w:t>
      </w:r>
      <w:r w:rsidRPr="005D3EC3">
        <w:rPr>
          <w:rFonts w:ascii="Times New Roman" w:hAnsi="Times New Roman" w:cs="Times New Roman"/>
          <w:b w:val="0"/>
          <w:color w:val="auto"/>
          <w:sz w:val="24"/>
          <w:szCs w:val="24"/>
          <w:u w:val="single"/>
        </w:rPr>
        <w:t>El número de pensiones por incapacidad sube 4 veces más que el de jubilados: ¿qué está pasando en la Seguridad Social</w:t>
      </w:r>
      <w:r w:rsidRPr="005D3EC3">
        <w:rPr>
          <w:rFonts w:ascii="Times New Roman" w:hAnsi="Times New Roman" w:cs="Times New Roman"/>
          <w:b w:val="0"/>
          <w:color w:val="auto"/>
          <w:sz w:val="24"/>
          <w:szCs w:val="24"/>
        </w:rPr>
        <w:t xml:space="preserve">? (Libertad Digital - </w:t>
      </w:r>
      <w:r w:rsidRPr="005D3EC3">
        <w:rPr>
          <w:rFonts w:ascii="Times New Roman" w:hAnsi="Times New Roman" w:cs="Times New Roman"/>
          <w:color w:val="auto"/>
          <w:sz w:val="24"/>
          <w:szCs w:val="24"/>
        </w:rPr>
        <w:t>29/9/25</w:t>
      </w:r>
      <w:r w:rsidRPr="005D3EC3">
        <w:rPr>
          <w:rFonts w:ascii="Times New Roman" w:hAnsi="Times New Roman" w:cs="Times New Roman"/>
          <w:b w:val="0"/>
          <w:color w:val="auto"/>
          <w:sz w:val="24"/>
          <w:szCs w:val="24"/>
        </w:rPr>
        <w:t>)</w:t>
      </w:r>
    </w:p>
    <w:p w:rsidR="004E3111" w:rsidRPr="005D3EC3" w:rsidRDefault="004E3111" w:rsidP="004E3111">
      <w:pPr>
        <w:pStyle w:val="Ttulo1"/>
        <w:shd w:val="clear" w:color="auto" w:fill="FFFFFF"/>
        <w:spacing w:before="0" w:after="170" w:line="240" w:lineRule="auto"/>
        <w:jc w:val="both"/>
        <w:textAlignment w:val="baseline"/>
        <w:rPr>
          <w:rFonts w:ascii="Times New Roman" w:hAnsi="Times New Roman" w:cs="Times New Roman"/>
          <w:b w:val="0"/>
          <w:color w:val="auto"/>
          <w:sz w:val="24"/>
          <w:szCs w:val="24"/>
        </w:rPr>
      </w:pPr>
      <w:r w:rsidRPr="005D3EC3">
        <w:rPr>
          <w:rFonts w:ascii="Times New Roman" w:hAnsi="Times New Roman" w:cs="Times New Roman"/>
          <w:b w:val="0"/>
          <w:color w:val="auto"/>
          <w:sz w:val="24"/>
          <w:szCs w:val="24"/>
        </w:rPr>
        <w:t>El pasado 1 de septiembre había 1.038.484 pensiones por incapacidad en vigor en España, 60.319 más que un año antes.</w:t>
      </w:r>
    </w:p>
    <w:p w:rsidR="004E3111" w:rsidRPr="005D3EC3" w:rsidRDefault="004E3111" w:rsidP="004E3111">
      <w:pPr>
        <w:pStyle w:val="Ttulo1"/>
        <w:shd w:val="clear" w:color="auto" w:fill="FFFFFF"/>
        <w:spacing w:before="0" w:after="170" w:line="240" w:lineRule="auto"/>
        <w:jc w:val="both"/>
        <w:textAlignment w:val="baseline"/>
        <w:rPr>
          <w:rFonts w:ascii="Times New Roman" w:hAnsi="Times New Roman" w:cs="Times New Roman"/>
          <w:b w:val="0"/>
          <w:color w:val="auto"/>
          <w:sz w:val="24"/>
          <w:szCs w:val="24"/>
        </w:rPr>
      </w:pPr>
      <w:r w:rsidRPr="005D3EC3">
        <w:rPr>
          <w:rFonts w:ascii="Times New Roman" w:hAnsi="Times New Roman" w:cs="Times New Roman"/>
          <w:b w:val="0"/>
          <w:color w:val="auto"/>
          <w:sz w:val="24"/>
          <w:szCs w:val="24"/>
        </w:rPr>
        <w:t xml:space="preserve">- </w:t>
      </w:r>
      <w:r w:rsidRPr="005D3EC3">
        <w:rPr>
          <w:rFonts w:ascii="Times New Roman" w:hAnsi="Times New Roman" w:cs="Times New Roman"/>
          <w:b w:val="0"/>
          <w:color w:val="auto"/>
          <w:sz w:val="24"/>
          <w:szCs w:val="24"/>
          <w:u w:val="single"/>
        </w:rPr>
        <w:t>El IEE sitúa a España como uno de los países desarrollados con menor libertad económica</w:t>
      </w:r>
      <w:r w:rsidRPr="005D3EC3">
        <w:rPr>
          <w:rFonts w:ascii="Times New Roman" w:hAnsi="Times New Roman" w:cs="Times New Roman"/>
          <w:b w:val="0"/>
          <w:color w:val="auto"/>
          <w:sz w:val="24"/>
          <w:szCs w:val="24"/>
        </w:rPr>
        <w:t xml:space="preserve"> (Cinco Días - </w:t>
      </w:r>
      <w:r w:rsidRPr="005D3EC3">
        <w:rPr>
          <w:rFonts w:ascii="Times New Roman" w:hAnsi="Times New Roman" w:cs="Times New Roman"/>
          <w:color w:val="auto"/>
          <w:sz w:val="24"/>
          <w:szCs w:val="24"/>
        </w:rPr>
        <w:t>29/9/25</w:t>
      </w:r>
      <w:r w:rsidRPr="005D3EC3">
        <w:rPr>
          <w:rFonts w:ascii="Times New Roman" w:hAnsi="Times New Roman" w:cs="Times New Roman"/>
          <w:b w:val="0"/>
          <w:color w:val="auto"/>
          <w:sz w:val="24"/>
          <w:szCs w:val="24"/>
        </w:rPr>
        <w:t>)</w:t>
      </w:r>
    </w:p>
    <w:p w:rsidR="004E3111" w:rsidRDefault="004E3111" w:rsidP="004E3111">
      <w:pPr>
        <w:pStyle w:val="Ttulo1"/>
        <w:shd w:val="clear" w:color="auto" w:fill="FFFFFF"/>
        <w:spacing w:before="0" w:after="170" w:line="240" w:lineRule="auto"/>
        <w:jc w:val="both"/>
        <w:textAlignment w:val="baseline"/>
        <w:rPr>
          <w:rFonts w:ascii="Times New Roman" w:hAnsi="Times New Roman" w:cs="Times New Roman"/>
          <w:b w:val="0"/>
          <w:color w:val="auto"/>
          <w:sz w:val="24"/>
          <w:szCs w:val="24"/>
        </w:rPr>
      </w:pPr>
      <w:r w:rsidRPr="005D3EC3">
        <w:rPr>
          <w:rFonts w:ascii="Times New Roman" w:hAnsi="Times New Roman" w:cs="Times New Roman"/>
          <w:b w:val="0"/>
          <w:color w:val="auto"/>
          <w:sz w:val="24"/>
          <w:szCs w:val="24"/>
        </w:rPr>
        <w:t>España es uno de los países desarrollados con menor libertad económica, según el informe La libertad de empresa en España. Índice de libertad económica en 2025, elaborado por el Instituto de Estudios Económicos (IEE) -el “think tank” de la CEOE- y presentado este lunes. Así, ocupa la posición 31 de 38 de los países de la Organización para la Cooperación y Desarrollo Económicos (OCDE), por detrás de Rumania, Malta o Costa Rica. Este mal desempeño se debe, según indica el estudio, a la deuda pública acumulada, el “persistente” desequilibrio fiscal o a la “excesiva” presión fiscal.</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España, el único país de Europa que no presenta los Presupuestos</w:t>
      </w:r>
      <w:r w:rsidRPr="005D3EC3">
        <w:rPr>
          <w:rFonts w:ascii="Times New Roman" w:hAnsi="Times New Roman" w:cs="Times New Roman"/>
          <w:sz w:val="24"/>
          <w:szCs w:val="24"/>
        </w:rPr>
        <w:t xml:space="preserve"> (Libertad Digital - </w:t>
      </w:r>
      <w:r w:rsidRPr="009D150C">
        <w:rPr>
          <w:rFonts w:ascii="Times New Roman" w:hAnsi="Times New Roman" w:cs="Times New Roman"/>
          <w:b/>
          <w:sz w:val="24"/>
          <w:szCs w:val="24"/>
        </w:rPr>
        <w:t>30/9/25</w:t>
      </w:r>
      <w:r w:rsidRPr="005D3EC3">
        <w:rPr>
          <w:rFonts w:ascii="Times New Roman" w:hAnsi="Times New Roman" w:cs="Times New Roman"/>
          <w:sz w:val="24"/>
          <w:szCs w:val="24"/>
        </w:rPr>
        <w:t>)</w:t>
      </w:r>
    </w:p>
    <w:p w:rsidR="004E3111" w:rsidRPr="009D150C"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España es “el único país de Europa” que no ha presentado el proyecto de ley de Presupuestos, tal y como ya denunció la presidenta de la Autoridad Independiente de Responsabilidad Fiscal (AIREF), Cristina Herrero. El presupuesto ha sido prorrogado desde el año 2022. Desde que Pedro Sánchez está al frente del gobierno de España (8 años), tan solo se han aprobado tres presupuestos. Es decir, durante cuatro (que pronto, serán cinco) años ha estado con presupuestos prorrogados. Solo tres presupuestos en ocho años. Este incumplimiento </w:t>
      </w:r>
      <w:r w:rsidRPr="005D3EC3">
        <w:rPr>
          <w:rFonts w:ascii="Times New Roman" w:hAnsi="Times New Roman" w:cs="Times New Roman"/>
          <w:sz w:val="24"/>
          <w:szCs w:val="24"/>
        </w:rPr>
        <w:lastRenderedPageBreak/>
        <w:t>pone al sistema democrático y parlamentario en una situación insostenible, porque ataca directamente el corazón del parlamentarismo. Si el Ejecutivo no cumple con este deber, las Cortes no pueden controlar el gasto del Estado, que ascien</w:t>
      </w:r>
      <w:r>
        <w:rPr>
          <w:rFonts w:ascii="Times New Roman" w:hAnsi="Times New Roman" w:cs="Times New Roman"/>
          <w:sz w:val="24"/>
          <w:szCs w:val="24"/>
        </w:rPr>
        <w:t>de a 600.000 millones de euros.</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Así funciona la “trampa del paro” en España: en un año las posibilidades de encontrar empleo se hunden un 74%</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30/9/25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Un análisis de Eurostat pone cifras a este retroceso de la empleabilidad: el primer año en paro implica un desplome del 74,3% en la tasa de transición del desempleo a la ocupación. Una caída que, además, se eleva con la edad. Pero muchos expertos precisan que la verdadera causa no está en la cuantía de las ayudas (las que reciben los parados de larga duración no superan, de media, los 500 euros en España, ni siquiera tras la última reforma), sino en el “efecto desánimo” que hace que los parados confíen cada vez menos en la búsqueda de empleo. Con lo que la pelota pasa al tejado de las políticas activas de empleo que ponen en marcha los Gobiernos de cada país para ayudar a estas personas a salir del paro.</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La burocracia dilata hasta dos décadas la comercialización de las viviendas protegidas</w:t>
      </w:r>
      <w:r w:rsidRPr="005D3EC3">
        <w:rPr>
          <w:rFonts w:ascii="Times New Roman" w:hAnsi="Times New Roman" w:cs="Times New Roman"/>
          <w:sz w:val="24"/>
          <w:szCs w:val="24"/>
        </w:rPr>
        <w:t xml:space="preserve"> (The Objective - </w:t>
      </w:r>
      <w:r w:rsidRPr="005D3EC3">
        <w:rPr>
          <w:rFonts w:ascii="Times New Roman" w:hAnsi="Times New Roman" w:cs="Times New Roman"/>
          <w:b/>
          <w:sz w:val="24"/>
          <w:szCs w:val="24"/>
        </w:rPr>
        <w:t>30/9/25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El desarrollo de proyectos y la comercialización de viviendas protegidas siguen en niveles mínimos. Detrás de esta situación que deja sin oportunidades de vivienda a muchas familias que no pueden acceder a los inmuebles del mercado libre están la burocracia y el reparto competencial. En algunos casos, la comercialización de las promociones se dilata hasta dos décadas. Estas demoras hacen, además, que se disparen los costes debido al mantenimiento extra y el aumento de precio de los materiales.</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Los jueces aclaran que es obligat</w:t>
      </w:r>
      <w:r>
        <w:rPr>
          <w:rFonts w:ascii="Times New Roman" w:hAnsi="Times New Roman" w:cs="Times New Roman"/>
          <w:sz w:val="24"/>
          <w:szCs w:val="24"/>
          <w:u w:val="single"/>
        </w:rPr>
        <w:t>orio intentar negociar con los “okupas”</w:t>
      </w:r>
      <w:r w:rsidRPr="005D3EC3">
        <w:rPr>
          <w:rFonts w:ascii="Times New Roman" w:hAnsi="Times New Roman" w:cs="Times New Roman"/>
          <w:sz w:val="24"/>
          <w:szCs w:val="24"/>
          <w:u w:val="single"/>
        </w:rPr>
        <w:t xml:space="preserve"> antes de interponer una demanda</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1/10/25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Los propietarios de una vivienda ocupada, bien porque se haya entrado en ella sin permiso o porque el inquilino dejó de pagar la renta, tendrán obligatoriamente que intentar una negociación con ellos antes de interponer una demanda. Los magistrados de Primera Instancia y de los Juzgados hipotecarios de Madrid, reunidos en junta este 26 de septiembre, han unificado criterio sobre la obligación de acudir a medios adecuados de solución de controversias (MASC) antes de interponer una demanda civil o mercantil. Este deber nace de la Ley de Eficiencia de la Justicia, en vigor desde el 3 de abril, y busca promover pactos extrajudiciales para desatascar los tribunales.</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España aún tiene que recortar un 61% su nivel de subempleo para poder mirar a Europa</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1/10/25</w:t>
      </w:r>
      <w:r w:rsidRPr="005D3EC3">
        <w:rPr>
          <w:rFonts w:ascii="Times New Roman" w:hAnsi="Times New Roman" w:cs="Times New Roman"/>
          <w:sz w:val="24"/>
          <w:szCs w:val="24"/>
        </w:rPr>
        <w:t>)</w:t>
      </w:r>
    </w:p>
    <w:p w:rsidR="004E3111"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España registró en el segundo trimestre del año un récord histórico de 3,1 millones de trabajadores a tiempo parcial, un hito que incluye un reverso negativo: según los datos de la agencia europea Eurostat, un 36,8% de estos trabajadores, 1,18 millones de personas, entrarían en la categoría de “subempleados”. Es el mínimo de la serie histórica, aunque sigue siendo el más elevado de la zona euro, que registra una tasa media del 14% y el segundo de la UE, tras Rumanía. Alcanzar ese nivel, hoy por hoy, parece misión imposible para la economía española, que tendría que reducir en 693.000 personas, un 61%, su nivel de subempleo para llegar a la media de los Veintisiete.</w:t>
      </w:r>
    </w:p>
    <w:p w:rsidR="004E3111" w:rsidRPr="005D3EC3" w:rsidRDefault="004E3111" w:rsidP="004E3111">
      <w:pPr>
        <w:spacing w:line="240" w:lineRule="auto"/>
        <w:jc w:val="both"/>
        <w:rPr>
          <w:rFonts w:ascii="Times New Roman" w:hAnsi="Times New Roman" w:cs="Times New Roman"/>
          <w:sz w:val="24"/>
          <w:szCs w:val="24"/>
        </w:rPr>
      </w:pP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lastRenderedPageBreak/>
        <w:t xml:space="preserve">- </w:t>
      </w:r>
      <w:r w:rsidRPr="005D3EC3">
        <w:rPr>
          <w:rFonts w:ascii="Times New Roman" w:hAnsi="Times New Roman" w:cs="Times New Roman"/>
          <w:sz w:val="24"/>
          <w:szCs w:val="24"/>
          <w:u w:val="single"/>
        </w:rPr>
        <w:t>A cara o cruz: un español tiene las mismas probabilidades de cambiar de empleo que de irse al paro</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2/10/25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España sigue siendo un mercado laboral con una elevada tasa de paro y porcentaje bajo de vacantes, que además presentan desequilibrios respecto a las cualificaciones de los desempleados. Dicho de otra forma: las oportunidades de cambiar de trabajo son limitadas y los profesionales prefieren permanecer en sus puestos (aunque hay sectores en los que la alta demanda facilita esta rotación voluntaria). Sin embargo, los datos de nuestro mercado laboral no son demasiado diferentes de los del resto de Europa. De hecho, las probabilidades de cambiar de trabajo se sitúan en la media de la UE. En cambio, nuestro riesgo de acabar en paro sí es el más elevado de los Veintisiete, donde la media se queda en el 1%.</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La Seguridad Social agota hoy sus ingresos: hasta fin de año, las pensiones se pagan con deuda</w:t>
      </w:r>
      <w:r w:rsidRPr="005D3EC3">
        <w:rPr>
          <w:rFonts w:ascii="Times New Roman" w:hAnsi="Times New Roman" w:cs="Times New Roman"/>
          <w:sz w:val="24"/>
          <w:szCs w:val="24"/>
        </w:rPr>
        <w:t xml:space="preserve"> (Libertad Digital - </w:t>
      </w:r>
      <w:r w:rsidRPr="005D3EC3">
        <w:rPr>
          <w:rFonts w:ascii="Times New Roman" w:hAnsi="Times New Roman" w:cs="Times New Roman"/>
          <w:b/>
          <w:sz w:val="24"/>
          <w:szCs w:val="24"/>
        </w:rPr>
        <w:t>3/10/25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El Instituto Juan de Mariana ha publicado un informe demoledor: este año, los ingresos propios de la Seguridad Social solo alcanzan para cubrir las pensiones hasta el 3 de octubre. A partir de esa fecha, todo lo que se paga a los jubilados depende de transferencias del Estado, es decir, de más déficit y más deuda. El déficit oficial de la Seguridad Social en 2024 se presentó como moderado, apenas un 0,54% del PIB. Pero esta fotografía es engañosa. Sin las transferencias del Estado, el agujero real supera los 51.000 millones anuales. En la práctica, uno de cada cuatro euros abonados por el sistema procede de impuestos generales y de deuda pública. O dicho de otra manera: las pensiones actuales deberían reducirse en un 25% para ser sostenibles con los ingresos propios del modelo.</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Subir un año la edad de jubilación haría reducir la deuda pública en España más de un 25% del PIB en 2060, según Oxford Economics</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3/10/25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El debate sobre la sostenibilidad de las pensiones no es nuevo. Ni en España ni en tantas otras economías avanzadas. Tampoco es novedosa la larga lista de causas y consecuencias del reto que viene por delante, así como de las posibles recetas a aplicar. Donde sí radica cierta novedad, es en las previsiones y cálculos que se hacen. En este apartado, la casa de análisis británica Oxford Economics ha elaborado un modelo en el que todas las economías de la eurozona aumentan en un año la edad de jubilación. Tomando esa medida, la deuda pública de la eurozona podría menguar 14 puntos porcentuales del producto interior bruto (PIB), estiman. En el caso particular de España, esa misma medida podría implicar una reducción del 25% del PIB dentro de tres décadas. </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España sigue sin gastar 100.000 millones de fondos europeos a un año de que expire el plazo</w:t>
      </w:r>
      <w:r w:rsidRPr="005D3EC3">
        <w:rPr>
          <w:rFonts w:ascii="Times New Roman" w:hAnsi="Times New Roman" w:cs="Times New Roman"/>
          <w:sz w:val="24"/>
          <w:szCs w:val="24"/>
        </w:rPr>
        <w:t xml:space="preserve"> (The Objective - </w:t>
      </w:r>
      <w:r w:rsidRPr="005D3EC3">
        <w:rPr>
          <w:rFonts w:ascii="Times New Roman" w:hAnsi="Times New Roman" w:cs="Times New Roman"/>
          <w:b/>
          <w:sz w:val="24"/>
          <w:szCs w:val="24"/>
        </w:rPr>
        <w:t>3/10/25</w:t>
      </w:r>
      <w:r w:rsidRPr="005D3EC3">
        <w:rPr>
          <w:rFonts w:ascii="Times New Roman" w:hAnsi="Times New Roman" w:cs="Times New Roman"/>
          <w:sz w:val="24"/>
          <w:szCs w:val="24"/>
        </w:rPr>
        <w:t>)</w:t>
      </w:r>
    </w:p>
    <w:p w:rsidR="004E3111"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Con solo un año para gastarlos, España sigue sin grandes avances en la ejecución de los fondos europeos Next Generation, según las condiciones impuestas por la propia Comisión Europea. Según el análisis hecho por The Objective, con 12 meses para completar la ejecución queda por gastar el 62% de todo el montante asignado por Bruselas, equivalente a unos 100.000 millones de euros. Esto supone tener que resolver 8.350 millones de media cada mes si se quiere cumplir con los plazos y no tener que devolver dinero. Una situación que se antoja compleja s</w:t>
      </w:r>
      <w:r>
        <w:rPr>
          <w:rFonts w:ascii="Times New Roman" w:hAnsi="Times New Roman" w:cs="Times New Roman"/>
          <w:sz w:val="24"/>
          <w:szCs w:val="24"/>
        </w:rPr>
        <w:t>i consideramos que desde enero -</w:t>
      </w:r>
      <w:r w:rsidRPr="005D3EC3">
        <w:rPr>
          <w:rFonts w:ascii="Times New Roman" w:hAnsi="Times New Roman" w:cs="Times New Roman"/>
          <w:sz w:val="24"/>
          <w:szCs w:val="24"/>
        </w:rPr>
        <w:t>cuando se ha acelerado el repart</w:t>
      </w:r>
      <w:r>
        <w:rPr>
          <w:rFonts w:ascii="Times New Roman" w:hAnsi="Times New Roman" w:cs="Times New Roman"/>
          <w:sz w:val="24"/>
          <w:szCs w:val="24"/>
        </w:rPr>
        <w:t>o-</w:t>
      </w:r>
      <w:r w:rsidRPr="005D3EC3">
        <w:rPr>
          <w:rFonts w:ascii="Times New Roman" w:hAnsi="Times New Roman" w:cs="Times New Roman"/>
          <w:sz w:val="24"/>
          <w:szCs w:val="24"/>
        </w:rPr>
        <w:t xml:space="preserve"> se han gastado unos 2.000 millones mensualmente, aunque en julio y agosto se resolvieron apenas 3.000.</w:t>
      </w:r>
    </w:p>
    <w:p w:rsidR="004E3111" w:rsidRPr="005D3EC3" w:rsidRDefault="004E3111" w:rsidP="004E3111">
      <w:pPr>
        <w:spacing w:line="240" w:lineRule="auto"/>
        <w:jc w:val="both"/>
        <w:rPr>
          <w:rFonts w:ascii="Times New Roman" w:hAnsi="Times New Roman" w:cs="Times New Roman"/>
          <w:sz w:val="24"/>
          <w:szCs w:val="24"/>
        </w:rPr>
      </w:pP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lastRenderedPageBreak/>
        <w:t xml:space="preserve">- </w:t>
      </w:r>
      <w:r w:rsidRPr="005D3EC3">
        <w:rPr>
          <w:rFonts w:ascii="Times New Roman" w:hAnsi="Times New Roman" w:cs="Times New Roman"/>
          <w:sz w:val="24"/>
          <w:szCs w:val="24"/>
          <w:u w:val="single"/>
        </w:rPr>
        <w:t>Las casas se encarecen en España más del doble que en Europa</w:t>
      </w:r>
      <w:r w:rsidRPr="005D3EC3">
        <w:rPr>
          <w:rFonts w:ascii="Times New Roman" w:hAnsi="Times New Roman" w:cs="Times New Roman"/>
          <w:sz w:val="24"/>
          <w:szCs w:val="24"/>
        </w:rPr>
        <w:t xml:space="preserve"> (El País - </w:t>
      </w:r>
      <w:r w:rsidRPr="005D3EC3">
        <w:rPr>
          <w:rFonts w:ascii="Times New Roman" w:hAnsi="Times New Roman" w:cs="Times New Roman"/>
          <w:b/>
          <w:sz w:val="24"/>
          <w:szCs w:val="24"/>
        </w:rPr>
        <w:t>3/10/25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El precio de la vivienda en España sigue sin echar el freno. Y lo hace, además, transitando a un ritmo tan vertiginoso que son pocos los países del entorno europeo que se le acercan. De acuerdo con los datos publicados este viernes por Eurostat para el segundo trimestre del año, el valor de los inmuebles se incrementó un 12,8% en comparación con el mismo periodo de 2024. Se trata de la tercera crecida más elevada de la eurozona, solo por detrás de la que se produjo en Portugal (17,2%) y Croacia (13,2%); y de la cuarta si se extiende la clasificación a los 27 países de la Unión Europea (también le adelantan Bulgaria y Hungría).</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Europa responsabiliza a la gestión de Red Eléctrica y la elevada producción de renovables del apagón del 28 de abril</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3/10/25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Europa acaba de dar a conocer el primer informe sobre las causas del apagón en España y Portugal que dejó sin suministro a cerca de 60 millones de personas, el más grave en los últimos 20 años. El organismo encargado de elaborar este análisis, considera un caso inédito los problemas que asolaron ambos países y añade que todavía hay causas desconocidas. Según el informe publicado hoy por el Panel de Expertos, el colapso se atribuye a una sucesión de desconexiones de instalaciones renovables en España, unidas a oscilaciones de tensión y frecuencia que desencadenaron una pérdida total de control del sistema.</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Los inmigrantes acaparan hasta el 50% de las rentas mínimas autonómicas</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4/10/25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La relevancia de este colectivo es especialmente voluminosa en las llamadas Rentas de Inserción que todas las comunidades autónomas prevén. Hasta el punto de que los beneficiarios extranjeros de estos pagos suponen en promedio el 30% del total (frente al 20% propio del IMV), pero con picos cercanos al 50% en el caso de Navarra y La Rioja. Además, un territorio como Baleares registra una cota superior al 40%. Igualmente significativo resulta el hecho de que el citado promedio de 30 puntos porcentuales, relativo a la población foránea, ha experimentado un incremento de más de seis puntos con respecto a su nivel preCovid, registrado en 2019. De acuerdo con los datos más recientes del Ministerio de Derechos Sociales, cerrados a inicios de 2024, casi 572.000 personas se beneficiaban de ellas, ya que no se debe contabilizar solo a los titulares de la ayuda, sino también a los llamados “miembros dependientes” de su núcleo familiar. Esa cifra supone un incremento del 35,4% con respecto a las personas que recibían esta prestación en un año de franca recesión económica como 2009. Así ocurre con independencia de la completa desaparición de la emergencia sanitaria, y a los registros históricos de crecimiento del PIB y de creación de empleo que España muestra desde 2022.</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España necesita un millón de inmigrantes al año para sostener empleo y pensiones</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4/10/25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La Autoridad Independiente de</w:t>
      </w:r>
      <w:r>
        <w:rPr>
          <w:rFonts w:ascii="Times New Roman" w:hAnsi="Times New Roman" w:cs="Times New Roman"/>
          <w:sz w:val="24"/>
          <w:szCs w:val="24"/>
        </w:rPr>
        <w:t xml:space="preserve"> Responsabilidad Fiscal (AIReF),</w:t>
      </w:r>
      <w:r w:rsidRPr="005D3EC3">
        <w:rPr>
          <w:rFonts w:ascii="Times New Roman" w:hAnsi="Times New Roman" w:cs="Times New Roman"/>
          <w:sz w:val="24"/>
          <w:szCs w:val="24"/>
        </w:rPr>
        <w:t xml:space="preserve"> estima que el número de llegadas tendría que incrementarse en un millón de personas hasta 2050 para mantener la tasa de dependencia (la relación entre las personas en edad de trabajar y dependientes) en 48,2%. Sin embargo, los flujos de llegadas para las próximas décadas tanto de estos dos organismos como de Eurostat no son tan optimistas, lo que supone un reto para el sistema público de pensiones, ya que la población en edad de trabajar se reducirá en un 7% de aquí a 2050 hasta las 30.647 personas.</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lastRenderedPageBreak/>
        <w:t xml:space="preserve">- </w:t>
      </w:r>
      <w:r w:rsidRPr="005D3EC3">
        <w:rPr>
          <w:rFonts w:ascii="Times New Roman" w:hAnsi="Times New Roman" w:cs="Times New Roman"/>
          <w:sz w:val="24"/>
          <w:szCs w:val="24"/>
          <w:u w:val="single"/>
        </w:rPr>
        <w:t>Sanidad relaja los trámites de acceso a las p</w:t>
      </w:r>
      <w:r>
        <w:rPr>
          <w:rFonts w:ascii="Times New Roman" w:hAnsi="Times New Roman" w:cs="Times New Roman"/>
          <w:sz w:val="24"/>
          <w:szCs w:val="24"/>
          <w:u w:val="single"/>
        </w:rPr>
        <w:t>restaciones de los extranjeros “irregulares”</w:t>
      </w:r>
      <w:r w:rsidRPr="005D3EC3">
        <w:rPr>
          <w:rFonts w:ascii="Times New Roman" w:hAnsi="Times New Roman" w:cs="Times New Roman"/>
          <w:sz w:val="24"/>
          <w:szCs w:val="24"/>
        </w:rPr>
        <w:t xml:space="preserve"> (El Economista - </w:t>
      </w:r>
      <w:r w:rsidRPr="005D3EC3">
        <w:rPr>
          <w:rFonts w:ascii="Times New Roman" w:hAnsi="Times New Roman" w:cs="Times New Roman"/>
          <w:b/>
          <w:sz w:val="24"/>
          <w:szCs w:val="24"/>
        </w:rPr>
        <w:t>4/10/25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La ministra de Sanidad, Mónica García, quiere relajar al máximo los trámites administrativos para que las personas extranjeras en situación irregular puedan acceder a las prestaciones sanitarias públicas del Sistema Nacional de Salud (SNS). Su departamento ha lanzado a trámite de audiencia el enésimo proyecto de Real Decreto que abre de par en par las puertas del sistema sanitario. En la actualidad, más de 1,2 millones de personas sin residencia legal en España figuran como población protegida del SNS, según el registro de la Base de Datos, a 31 de diciembre de 2024. Según datos facilitados por el Ministerio, se trata de personas extranjeras con derecho a recibir la prestación asistencial, pese a no estar registradas ni autorizadas como residentes.</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España es el gran país europeo donde los funcionarios más cobran frente al sector privado</w:t>
      </w:r>
      <w:r w:rsidRPr="005D3EC3">
        <w:rPr>
          <w:rFonts w:ascii="Times New Roman" w:hAnsi="Times New Roman" w:cs="Times New Roman"/>
          <w:sz w:val="24"/>
          <w:szCs w:val="24"/>
        </w:rPr>
        <w:t xml:space="preserve"> (El Confidencial - </w:t>
      </w:r>
      <w:r w:rsidRPr="005D3EC3">
        <w:rPr>
          <w:rFonts w:ascii="Times New Roman" w:hAnsi="Times New Roman" w:cs="Times New Roman"/>
          <w:b/>
          <w:sz w:val="24"/>
          <w:szCs w:val="24"/>
        </w:rPr>
        <w:t>4/10/25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La brecha salarial alcanza el 9%, sólo superada por Chipre y Luxemburgo. En España, los gobiernos emplean las retribuciones públicas como herramienta electoral. Cuando los encuestadores preguntan a la población en qué empresa quiere trabajar, la respuesta es casi unánime: “En ninguna, yo quiero ser funcionario”. La preferencia por trabajar en la administración pública es casi total. Un sondeo reciente puso de manifiesto que tres de cada cuatro trabajadores dejarían su puesto de trabajo en la empresa privada para pasarse al sector público. Da lo mismo perder la antigüedad o el estatus conseguido, un empleo público lo compensa todo.</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La Seguridad Social dejó de existir ayer... afortunadamente para los pensionistas</w:t>
      </w:r>
      <w:r w:rsidRPr="005D3EC3">
        <w:rPr>
          <w:rFonts w:ascii="Times New Roman" w:hAnsi="Times New Roman" w:cs="Times New Roman"/>
          <w:sz w:val="24"/>
          <w:szCs w:val="24"/>
        </w:rPr>
        <w:t xml:space="preserve"> (Libertad Digital - </w:t>
      </w:r>
      <w:r w:rsidRPr="005D3EC3">
        <w:rPr>
          <w:rFonts w:ascii="Times New Roman" w:hAnsi="Times New Roman" w:cs="Times New Roman"/>
          <w:b/>
          <w:sz w:val="24"/>
          <w:szCs w:val="24"/>
        </w:rPr>
        <w:t>4/10/25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Nos dice el Instituto Juan de Mariana que este viernes 3 de octubre se cumplió el día de la deuda de la Seguridad Social. Es decir, es el día en el que los ingresos del organismo se agotan y comienza a depender de las transferencias del Estado o de la deuda. Si la Seguridad Social fuera un ente separado del Estado, tendría que financiarse para cubrir el 25% de sus gastos. Con sus cuentas y sus perspectivas, las subastas de deuda no iban a tener mucha demanda. En resumen, que estaría en quiebra. Desaparecería. Y sus supuestos asegurados se quedarían compuestos y sin prestación. Las opciones, son pocas y dolorosas. Si cada año se va a tener que cubrir al menos el 25% del presupuesto del organismo que más pesa en el Estado (la Comisión cree que más del 45% del gasto público lo manejará la Seguridad Social a mitad de siglo), es evidente que se tendrán que subir mucho los impuestos (ya lo están haciendo) o meter la tijera con decisión en el resto de las partidas de los presupuestos (esto también está pasando).</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El PIB per cápita en España es un 25% inferior a la media del euro: 10.000 euros menos por habitante</w:t>
      </w:r>
      <w:r w:rsidRPr="005D3EC3">
        <w:rPr>
          <w:rFonts w:ascii="Times New Roman" w:hAnsi="Times New Roman" w:cs="Times New Roman"/>
          <w:sz w:val="24"/>
          <w:szCs w:val="24"/>
        </w:rPr>
        <w:t xml:space="preserve"> (Vozpópuli - </w:t>
      </w:r>
      <w:r w:rsidRPr="005D3EC3">
        <w:rPr>
          <w:rFonts w:ascii="Times New Roman" w:hAnsi="Times New Roman" w:cs="Times New Roman"/>
          <w:b/>
          <w:sz w:val="24"/>
          <w:szCs w:val="24"/>
        </w:rPr>
        <w:t>4/10/25</w:t>
      </w:r>
      <w:r w:rsidRPr="005D3EC3">
        <w:rPr>
          <w:rFonts w:ascii="Times New Roman" w:hAnsi="Times New Roman" w:cs="Times New Roman"/>
          <w:sz w:val="24"/>
          <w:szCs w:val="24"/>
        </w:rPr>
        <w:t>)</w:t>
      </w:r>
    </w:p>
    <w:p w:rsidR="004E3111"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Los datos de 2024 publicados por la oficina estadística de la Comisión Europea, Eurostat, sitúan el PIB per cápita de España un 25% por debajo del de la eurozona: 32.630 euros por habitante frente a un promedio de 43.310 euros. Son 10.680 euros de diferencia. Esto significa que el país aún tiene un problema de productividad evidente que empobrece a su población. Tras la creación del euro en 1999 y la entrada en circulación de la moneda en 2002, España inició un proceso de convergencia con el resto de países hasta lograr una brecha en PIB per cápita de sólo el 15,7% en 2007. Sin embargo, a partir de 2008, con la crisis financiera, se volvió a distanciar y en 2014 se situaba de nuevo un 26% por debajo.</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lastRenderedPageBreak/>
        <w:t xml:space="preserve">- </w:t>
      </w:r>
      <w:r w:rsidRPr="005D3EC3">
        <w:rPr>
          <w:rFonts w:ascii="Times New Roman" w:hAnsi="Times New Roman" w:cs="Times New Roman"/>
          <w:sz w:val="24"/>
          <w:szCs w:val="24"/>
          <w:u w:val="single"/>
        </w:rPr>
        <w:t>España necesitó un millón y medio de contratos en septiembre para crear solo 31.462 empleos</w:t>
      </w:r>
      <w:r w:rsidRPr="005D3EC3">
        <w:rPr>
          <w:rFonts w:ascii="Times New Roman" w:hAnsi="Times New Roman" w:cs="Times New Roman"/>
          <w:sz w:val="24"/>
          <w:szCs w:val="24"/>
        </w:rPr>
        <w:t xml:space="preserve"> (The Objective - </w:t>
      </w:r>
      <w:r w:rsidRPr="005D3EC3">
        <w:rPr>
          <w:rFonts w:ascii="Times New Roman" w:hAnsi="Times New Roman" w:cs="Times New Roman"/>
          <w:b/>
          <w:sz w:val="24"/>
          <w:szCs w:val="24"/>
        </w:rPr>
        <w:t>5/10/25</w:t>
      </w:r>
      <w:r w:rsidRPr="005D3EC3">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España ha necesitado hasta 1.533.773 contratos en el mes de septiembre para generar tan solo 31.462 empleos. Eso equivale a 48,7 contratos por trabajador. El responsable del Gabinete de Estudios de la Unión Sindical Obrera (USO) advierte de un fenómeno creciente: los contratos cerilla. Una tipología de contrato que “se ha apoderado del mercado laboral español, porque lo que tenemos hoy son unos empleos que duran muy poco”. Por eso vemos “cómo todos los meses entran y salen del paro medio millón de personas. Y unos meses salen algo más que entran, y en consecuencia baja el paro. Pero en otros es al revés. Es decir, entran más que salen, y por eso sube el paro”.</w:t>
      </w:r>
    </w:p>
    <w:p w:rsidR="004E3111" w:rsidRPr="005D3EC3"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 </w:t>
      </w:r>
      <w:r w:rsidRPr="005D3EC3">
        <w:rPr>
          <w:rFonts w:ascii="Times New Roman" w:hAnsi="Times New Roman" w:cs="Times New Roman"/>
          <w:sz w:val="24"/>
          <w:szCs w:val="24"/>
          <w:u w:val="single"/>
        </w:rPr>
        <w:t>El Gobierno desconoce el tiempo que residen en España los extranjeros con ingreso mínimo</w:t>
      </w:r>
      <w:r w:rsidRPr="005D3EC3">
        <w:rPr>
          <w:rFonts w:ascii="Times New Roman" w:hAnsi="Times New Roman" w:cs="Times New Roman"/>
          <w:sz w:val="24"/>
          <w:szCs w:val="24"/>
        </w:rPr>
        <w:t xml:space="preserve"> (The Objective - </w:t>
      </w:r>
      <w:r w:rsidRPr="005D3EC3">
        <w:rPr>
          <w:rFonts w:ascii="Times New Roman" w:hAnsi="Times New Roman" w:cs="Times New Roman"/>
          <w:b/>
          <w:sz w:val="24"/>
          <w:szCs w:val="24"/>
        </w:rPr>
        <w:t>5/10/25</w:t>
      </w:r>
      <w:r w:rsidRPr="005D3EC3">
        <w:rPr>
          <w:rFonts w:ascii="Times New Roman" w:hAnsi="Times New Roman" w:cs="Times New Roman"/>
          <w:sz w:val="24"/>
          <w:szCs w:val="24"/>
        </w:rPr>
        <w:t>)</w:t>
      </w:r>
    </w:p>
    <w:p w:rsidR="004E3111" w:rsidRDefault="004E3111" w:rsidP="004E3111">
      <w:pPr>
        <w:spacing w:line="240" w:lineRule="auto"/>
        <w:jc w:val="both"/>
        <w:rPr>
          <w:rFonts w:ascii="Times New Roman" w:hAnsi="Times New Roman" w:cs="Times New Roman"/>
          <w:sz w:val="24"/>
          <w:szCs w:val="24"/>
        </w:rPr>
      </w:pPr>
      <w:r w:rsidRPr="005D3EC3">
        <w:rPr>
          <w:rFonts w:ascii="Times New Roman" w:hAnsi="Times New Roman" w:cs="Times New Roman"/>
          <w:sz w:val="24"/>
          <w:szCs w:val="24"/>
        </w:rPr>
        <w:t xml:space="preserve">El Gobierno admite no disponer de datos sobre el tiempo de residencia en España de todos los perceptores del ingreso mínimo vital (IMV). El departamento que dirige la ministra Elma Saiz informa de que la normativa del ingreso mínimo exige como requisito al menos un año de residencia legal y continuada en España en el momento de solicitar la ayuda. El ministerio justifica la falta de información y señala que también carece de datos sobre los permisos y periodos de residencia de los extranjeros que reciben el IMV, ya que esos datos corresponden a otras entidades y no figuran en sus registros. No se trata de una ayuda menor. Solo en julio, el ingreso mínimo vital alcanzó a 2,3 millones de beneficiarios, lo que supone casi un 20% más que un año antes. Según la última estadística del Instituto Nacional de la Seguridad Social (INSS), la cuantía media por hogar se situó en 519,16 euros mensuales, con un gasto total de 426,3 millones de euros al mes para atender a más de 750.000 hogares en todo el país. </w:t>
      </w:r>
    </w:p>
    <w:p w:rsidR="004E3111" w:rsidRPr="00D744DA" w:rsidRDefault="004E3111" w:rsidP="004E3111">
      <w:pPr>
        <w:spacing w:line="240" w:lineRule="auto"/>
        <w:jc w:val="both"/>
        <w:rPr>
          <w:rFonts w:ascii="Times New Roman" w:hAnsi="Times New Roman" w:cs="Times New Roman"/>
          <w:sz w:val="24"/>
          <w:szCs w:val="24"/>
        </w:rPr>
      </w:pPr>
      <w:r w:rsidRPr="00D744DA">
        <w:rPr>
          <w:rFonts w:ascii="Times New Roman" w:hAnsi="Times New Roman" w:cs="Times New Roman"/>
          <w:sz w:val="24"/>
          <w:szCs w:val="24"/>
        </w:rPr>
        <w:t xml:space="preserve">- </w:t>
      </w:r>
      <w:r w:rsidRPr="00D744DA">
        <w:rPr>
          <w:rFonts w:ascii="Times New Roman" w:hAnsi="Times New Roman" w:cs="Times New Roman"/>
          <w:sz w:val="24"/>
          <w:szCs w:val="24"/>
          <w:u w:val="single"/>
        </w:rPr>
        <w:t>La cuantía de la pensión media rebasa en un 25% la aportación por cotizaciones</w:t>
      </w:r>
      <w:r w:rsidRPr="00D744DA">
        <w:rPr>
          <w:rFonts w:ascii="Times New Roman" w:hAnsi="Times New Roman" w:cs="Times New Roman"/>
          <w:sz w:val="24"/>
          <w:szCs w:val="24"/>
        </w:rPr>
        <w:t xml:space="preserve"> (El Economista - </w:t>
      </w:r>
      <w:r w:rsidRPr="00D744DA">
        <w:rPr>
          <w:rFonts w:ascii="Times New Roman" w:hAnsi="Times New Roman" w:cs="Times New Roman"/>
          <w:b/>
          <w:sz w:val="24"/>
          <w:szCs w:val="24"/>
        </w:rPr>
        <w:t>6/10/25</w:t>
      </w:r>
      <w:r w:rsidRPr="00D744DA">
        <w:rPr>
          <w:rFonts w:ascii="Times New Roman" w:hAnsi="Times New Roman" w:cs="Times New Roman"/>
          <w:sz w:val="24"/>
          <w:szCs w:val="24"/>
        </w:rPr>
        <w:t>)</w:t>
      </w:r>
    </w:p>
    <w:p w:rsidR="004E3111" w:rsidRDefault="004E3111" w:rsidP="004E3111">
      <w:pPr>
        <w:spacing w:line="240" w:lineRule="auto"/>
        <w:jc w:val="both"/>
        <w:rPr>
          <w:rFonts w:ascii="Times New Roman" w:hAnsi="Times New Roman" w:cs="Times New Roman"/>
          <w:sz w:val="24"/>
          <w:szCs w:val="24"/>
        </w:rPr>
      </w:pPr>
      <w:r w:rsidRPr="00D744DA">
        <w:rPr>
          <w:rFonts w:ascii="Times New Roman" w:hAnsi="Times New Roman" w:cs="Times New Roman"/>
          <w:sz w:val="24"/>
          <w:szCs w:val="24"/>
        </w:rPr>
        <w:t>La mayor esperanza de vida y el menor crecimiento previsto a futuro impulsan la generosidad del sistema público de pensiones. Según el último estudio publicado por Fedea, Una visión actuarial del sistema de pensiones de español jubilación, un pensionista que se jubile ahora recibirá un 25% más de lo aportado al sistema de pensiones durante toda su carrera de cotización.</w:t>
      </w:r>
    </w:p>
    <w:p w:rsidR="004E3111" w:rsidRPr="00D744DA" w:rsidRDefault="004E3111" w:rsidP="004E3111">
      <w:pPr>
        <w:spacing w:line="240" w:lineRule="auto"/>
        <w:jc w:val="both"/>
        <w:rPr>
          <w:rFonts w:ascii="Times New Roman" w:hAnsi="Times New Roman" w:cs="Times New Roman"/>
          <w:sz w:val="24"/>
          <w:szCs w:val="24"/>
        </w:rPr>
      </w:pPr>
      <w:r w:rsidRPr="00D744DA">
        <w:rPr>
          <w:rFonts w:ascii="Times New Roman" w:hAnsi="Times New Roman" w:cs="Times New Roman"/>
          <w:sz w:val="24"/>
          <w:szCs w:val="24"/>
        </w:rPr>
        <w:t xml:space="preserve">- </w:t>
      </w:r>
      <w:r w:rsidRPr="00D744DA">
        <w:rPr>
          <w:rFonts w:ascii="Times New Roman" w:hAnsi="Times New Roman" w:cs="Times New Roman"/>
          <w:sz w:val="24"/>
          <w:szCs w:val="24"/>
          <w:u w:val="single"/>
        </w:rPr>
        <w:t>La brecha entre la pensión de un funcionario jubilado y uno del sector privado es de mil euros</w:t>
      </w:r>
      <w:r w:rsidRPr="00D744DA">
        <w:rPr>
          <w:rFonts w:ascii="Times New Roman" w:hAnsi="Times New Roman" w:cs="Times New Roman"/>
          <w:sz w:val="24"/>
          <w:szCs w:val="24"/>
        </w:rPr>
        <w:t xml:space="preserve"> (The Objective - </w:t>
      </w:r>
      <w:r w:rsidRPr="00D744DA">
        <w:rPr>
          <w:rFonts w:ascii="Times New Roman" w:hAnsi="Times New Roman" w:cs="Times New Roman"/>
          <w:b/>
          <w:sz w:val="24"/>
          <w:szCs w:val="24"/>
        </w:rPr>
        <w:t>6/10/25</w:t>
      </w:r>
      <w:r w:rsidRPr="00D744DA">
        <w:rPr>
          <w:rFonts w:ascii="Times New Roman" w:hAnsi="Times New Roman" w:cs="Times New Roman"/>
          <w:sz w:val="24"/>
          <w:szCs w:val="24"/>
        </w:rPr>
        <w:t>)</w:t>
      </w:r>
    </w:p>
    <w:p w:rsidR="004E3111" w:rsidRDefault="004E3111" w:rsidP="004E3111">
      <w:pPr>
        <w:spacing w:line="240" w:lineRule="auto"/>
        <w:jc w:val="both"/>
        <w:rPr>
          <w:rFonts w:ascii="Times New Roman" w:hAnsi="Times New Roman" w:cs="Times New Roman"/>
          <w:sz w:val="24"/>
          <w:szCs w:val="24"/>
        </w:rPr>
      </w:pPr>
      <w:r w:rsidRPr="00D744DA">
        <w:rPr>
          <w:rFonts w:ascii="Times New Roman" w:hAnsi="Times New Roman" w:cs="Times New Roman"/>
          <w:sz w:val="24"/>
          <w:szCs w:val="24"/>
        </w:rPr>
        <w:t>La diferencia entre la pensión media de un funcionario jubilado y la de un asalariado del Régimen General de la Seguridad Social alcanzó el pasado mes de agosto los 1.026 euros, 33 euros más que hace solo un año. Esta brecha es una de las más profundas en el sistema de pensiones, en el que las desigualdades entre hombres y mujeres persisten. Además, las diferencias entre autónomos y asalariados siguen muy presentes, lo mismo que entre las prestaciones q</w:t>
      </w:r>
      <w:r>
        <w:rPr>
          <w:rFonts w:ascii="Times New Roman" w:hAnsi="Times New Roman" w:cs="Times New Roman"/>
          <w:sz w:val="24"/>
          <w:szCs w:val="24"/>
        </w:rPr>
        <w:t xml:space="preserve">ue se perciben en las regiones. </w:t>
      </w:r>
      <w:r w:rsidRPr="00D744DA">
        <w:rPr>
          <w:rFonts w:ascii="Times New Roman" w:hAnsi="Times New Roman" w:cs="Times New Roman"/>
          <w:sz w:val="24"/>
          <w:szCs w:val="24"/>
        </w:rPr>
        <w:t>Las últimas estadísticas de pensiones contributivas y de Clases Pasiv</w:t>
      </w:r>
      <w:r>
        <w:rPr>
          <w:rFonts w:ascii="Times New Roman" w:hAnsi="Times New Roman" w:cs="Times New Roman"/>
          <w:sz w:val="24"/>
          <w:szCs w:val="24"/>
        </w:rPr>
        <w:t>as, analizadas por The Objective</w:t>
      </w:r>
      <w:r w:rsidRPr="00D744DA">
        <w:rPr>
          <w:rFonts w:ascii="Times New Roman" w:hAnsi="Times New Roman" w:cs="Times New Roman"/>
          <w:sz w:val="24"/>
          <w:szCs w:val="24"/>
        </w:rPr>
        <w:t>, muestran que la brecha entre las prestaciones de funcionarios y trabajadores en la empresa privada aumenta mes a mes. La pensión media de un jubilado en Clases Pasivas se situó en el octavo mes del año 2.691 euros brutos en 14 pagas. Mientras, la de los retirados del Régimen General de la Seguridad Social alcanzó los 1.665.</w:t>
      </w:r>
    </w:p>
    <w:p w:rsidR="004E3111" w:rsidRPr="00E42969" w:rsidRDefault="004E3111" w:rsidP="004E3111">
      <w:pPr>
        <w:spacing w:line="240" w:lineRule="auto"/>
        <w:jc w:val="both"/>
        <w:rPr>
          <w:rFonts w:ascii="Times New Roman" w:hAnsi="Times New Roman" w:cs="Times New Roman"/>
          <w:sz w:val="24"/>
          <w:szCs w:val="24"/>
        </w:rPr>
      </w:pPr>
      <w:r w:rsidRPr="00E42969">
        <w:rPr>
          <w:rFonts w:ascii="Times New Roman" w:hAnsi="Times New Roman" w:cs="Times New Roman"/>
          <w:sz w:val="24"/>
          <w:szCs w:val="24"/>
        </w:rPr>
        <w:lastRenderedPageBreak/>
        <w:t xml:space="preserve">- </w:t>
      </w:r>
      <w:r w:rsidRPr="00E42969">
        <w:rPr>
          <w:rFonts w:ascii="Times New Roman" w:hAnsi="Times New Roman" w:cs="Times New Roman"/>
          <w:sz w:val="24"/>
          <w:szCs w:val="24"/>
          <w:u w:val="single"/>
        </w:rPr>
        <w:t>España ya cuenta con 2.000 mezquitas, el doble que en 2011</w:t>
      </w:r>
      <w:r w:rsidRPr="00E42969">
        <w:rPr>
          <w:rFonts w:ascii="Times New Roman" w:hAnsi="Times New Roman" w:cs="Times New Roman"/>
          <w:sz w:val="24"/>
          <w:szCs w:val="24"/>
        </w:rPr>
        <w:t xml:space="preserve"> (The Objective - </w:t>
      </w:r>
      <w:r w:rsidRPr="00E42969">
        <w:rPr>
          <w:rFonts w:ascii="Times New Roman" w:hAnsi="Times New Roman" w:cs="Times New Roman"/>
          <w:b/>
          <w:sz w:val="24"/>
          <w:szCs w:val="24"/>
        </w:rPr>
        <w:t>6/10/25</w:t>
      </w:r>
      <w:r w:rsidRPr="00E42969">
        <w:rPr>
          <w:rFonts w:ascii="Times New Roman" w:hAnsi="Times New Roman" w:cs="Times New Roman"/>
          <w:sz w:val="24"/>
          <w:szCs w:val="24"/>
        </w:rPr>
        <w:t>)</w:t>
      </w:r>
    </w:p>
    <w:p w:rsidR="004E3111" w:rsidRPr="005D3EC3" w:rsidRDefault="004E3111" w:rsidP="004E3111">
      <w:pPr>
        <w:spacing w:line="240" w:lineRule="auto"/>
        <w:jc w:val="both"/>
        <w:rPr>
          <w:rFonts w:ascii="Times New Roman" w:hAnsi="Times New Roman" w:cs="Times New Roman"/>
          <w:sz w:val="24"/>
          <w:szCs w:val="24"/>
        </w:rPr>
      </w:pPr>
      <w:r w:rsidRPr="00E42969">
        <w:rPr>
          <w:rFonts w:ascii="Times New Roman" w:hAnsi="Times New Roman" w:cs="Times New Roman"/>
          <w:sz w:val="24"/>
          <w:szCs w:val="24"/>
        </w:rPr>
        <w:t>La inmigración siempre ha sido un asunto que ha generado debate político. Muchas de las personas que han llegado a España en los últimos años son de la religión islámica, lo que -sumado a los musulmanes que ya tienen la nacionalidad española- se ha traducido en un importante aumento de mezquitas en el territorio nacional. Concretamente, el número de templos musulmanes ha aumentado en un 95% desde el 2011 en España. Las Iglesias evangélicas se siguen consolidando como la confesión con mayor presencia en el país entre las religiones minoritarias, y ya cuenta con 2.994 lugares de culto.</w:t>
      </w:r>
    </w:p>
    <w:p w:rsidR="004E3111" w:rsidRPr="00E42969" w:rsidRDefault="004E3111" w:rsidP="004E3111">
      <w:pPr>
        <w:spacing w:line="240" w:lineRule="auto"/>
        <w:jc w:val="both"/>
        <w:rPr>
          <w:rFonts w:ascii="Times New Roman" w:hAnsi="Times New Roman" w:cs="Times New Roman"/>
          <w:sz w:val="24"/>
          <w:szCs w:val="24"/>
        </w:rPr>
      </w:pPr>
      <w:r w:rsidRPr="00E42969">
        <w:rPr>
          <w:rFonts w:ascii="Times New Roman" w:hAnsi="Times New Roman" w:cs="Times New Roman"/>
          <w:b/>
          <w:sz w:val="24"/>
          <w:szCs w:val="24"/>
        </w:rPr>
        <w:t>Nota: según dicen “los que saben”</w:t>
      </w:r>
      <w:r w:rsidRPr="00E42969">
        <w:rPr>
          <w:rFonts w:ascii="Times New Roman" w:hAnsi="Times New Roman" w:cs="Times New Roman"/>
          <w:sz w:val="24"/>
          <w:szCs w:val="24"/>
        </w:rPr>
        <w:t>, lo único que moviliza al electorado español es una crisis económica (que le toquen el bolsillo, vamos). Mientras eso no ocurra, la “sociedad de los conformes” se traga lo que le echen, mira hacia otro lado, se sienta en las terrazas a ver el fútbol, pide una caña, un pincho de tortilla, sociabiliza con los colegas, se echa unas risas… y a vivir que son dos</w:t>
      </w:r>
      <w:r w:rsidR="00F614A3">
        <w:rPr>
          <w:rFonts w:ascii="Times New Roman" w:hAnsi="Times New Roman" w:cs="Times New Roman"/>
          <w:sz w:val="24"/>
          <w:szCs w:val="24"/>
        </w:rPr>
        <w:t xml:space="preserve"> días. Así, flotan a la deriva </w:t>
      </w:r>
      <w:r w:rsidRPr="00E42969">
        <w:rPr>
          <w:rFonts w:ascii="Times New Roman" w:hAnsi="Times New Roman" w:cs="Times New Roman"/>
          <w:sz w:val="24"/>
          <w:szCs w:val="24"/>
        </w:rPr>
        <w:t>(en mi opinión)</w:t>
      </w:r>
      <w:r w:rsidR="00F614A3">
        <w:rPr>
          <w:rFonts w:ascii="Times New Roman" w:hAnsi="Times New Roman" w:cs="Times New Roman"/>
          <w:sz w:val="24"/>
          <w:szCs w:val="24"/>
        </w:rPr>
        <w:t>,</w:t>
      </w:r>
      <w:r w:rsidRPr="00E42969">
        <w:rPr>
          <w:rFonts w:ascii="Times New Roman" w:hAnsi="Times New Roman" w:cs="Times New Roman"/>
          <w:sz w:val="24"/>
          <w:szCs w:val="24"/>
        </w:rPr>
        <w:t xml:space="preserve"> entre la banalidad del mal, y la conjura de los necios. ¿Ceguera voluntaria? ¿Miopía selectiva? ¿Sectarismo radical? ¿Silencio de los corderos? ¿Benditas las cadenas? ¿Roban, pero son de los nuestros?</w:t>
      </w:r>
    </w:p>
    <w:p w:rsidR="004E3111" w:rsidRPr="00E42969" w:rsidRDefault="004E3111" w:rsidP="004E3111">
      <w:pPr>
        <w:spacing w:line="240" w:lineRule="auto"/>
        <w:jc w:val="both"/>
        <w:rPr>
          <w:rFonts w:ascii="Times New Roman" w:hAnsi="Times New Roman" w:cs="Times New Roman"/>
          <w:sz w:val="24"/>
          <w:szCs w:val="24"/>
        </w:rPr>
      </w:pPr>
      <w:r w:rsidRPr="00E42969">
        <w:rPr>
          <w:rFonts w:ascii="Times New Roman" w:hAnsi="Times New Roman" w:cs="Times New Roman"/>
          <w:sz w:val="24"/>
          <w:szCs w:val="24"/>
        </w:rPr>
        <w:t>Puede que esa sea la fórmula de vida más adecuada según la memoria histórica de los españoles, cosa que no comparto (como vecino voluntario), pero que acepto (como corresponsal accidental), aunque solo quiero que tengan presente que están trabajando 228 días</w:t>
      </w:r>
      <w:r>
        <w:rPr>
          <w:rFonts w:ascii="Times New Roman" w:hAnsi="Times New Roman" w:cs="Times New Roman"/>
          <w:sz w:val="24"/>
          <w:szCs w:val="24"/>
        </w:rPr>
        <w:t>,</w:t>
      </w:r>
      <w:r w:rsidRPr="00E42969">
        <w:rPr>
          <w:rFonts w:ascii="Times New Roman" w:hAnsi="Times New Roman" w:cs="Times New Roman"/>
          <w:sz w:val="24"/>
          <w:szCs w:val="24"/>
        </w:rPr>
        <w:t xml:space="preserve"> solo para pagar impuestos. </w:t>
      </w:r>
      <w:r>
        <w:rPr>
          <w:rFonts w:ascii="Times New Roman" w:hAnsi="Times New Roman" w:cs="Times New Roman"/>
          <w:sz w:val="24"/>
          <w:szCs w:val="24"/>
        </w:rPr>
        <w:t xml:space="preserve">Repito, 228 días al año, “trabajando” para el Estado. </w:t>
      </w:r>
    </w:p>
    <w:p w:rsidR="004E3111" w:rsidRPr="00E42969" w:rsidRDefault="004E3111" w:rsidP="004E3111">
      <w:pPr>
        <w:spacing w:line="240" w:lineRule="auto"/>
        <w:jc w:val="both"/>
        <w:rPr>
          <w:rFonts w:ascii="Times New Roman" w:hAnsi="Times New Roman" w:cs="Times New Roman"/>
          <w:sz w:val="24"/>
          <w:szCs w:val="24"/>
        </w:rPr>
      </w:pPr>
      <w:r w:rsidRPr="00E42969">
        <w:rPr>
          <w:rFonts w:ascii="Times New Roman" w:hAnsi="Times New Roman" w:cs="Times New Roman"/>
          <w:sz w:val="24"/>
          <w:szCs w:val="24"/>
        </w:rPr>
        <w:t>El resto del tiempo disponible (después del día de la liberación fiscal), ¿resulta suficiente para sobrevivir? Haciendo malabarismos, tal vez, pero no para vivir.</w:t>
      </w:r>
    </w:p>
    <w:p w:rsidR="004E3111" w:rsidRPr="00E42969" w:rsidRDefault="004E3111" w:rsidP="004E3111">
      <w:pPr>
        <w:spacing w:line="240" w:lineRule="auto"/>
        <w:jc w:val="both"/>
        <w:rPr>
          <w:rFonts w:ascii="Times New Roman" w:hAnsi="Times New Roman" w:cs="Times New Roman"/>
          <w:sz w:val="24"/>
          <w:szCs w:val="24"/>
          <w:shd w:val="clear" w:color="auto" w:fill="FFFFFF"/>
        </w:rPr>
      </w:pPr>
      <w:r w:rsidRPr="00E42969">
        <w:rPr>
          <w:rFonts w:ascii="Times New Roman" w:hAnsi="Times New Roman" w:cs="Times New Roman"/>
          <w:sz w:val="24"/>
          <w:szCs w:val="24"/>
        </w:rPr>
        <w:t>España es un quilombo desquiciado y declinante: c</w:t>
      </w:r>
      <w:r w:rsidRPr="00E42969">
        <w:rPr>
          <w:rFonts w:ascii="Times New Roman" w:hAnsi="Times New Roman" w:cs="Times New Roman"/>
          <w:sz w:val="24"/>
          <w:szCs w:val="24"/>
          <w:shd w:val="clear" w:color="auto" w:fill="FFFFFF"/>
        </w:rPr>
        <w:t>ampeona europea en temporalidad. Los contratos “fijos discontinuos” que apenas duran semanas. El mileurismo, antes el horror, hoy es aspiración: la mayoría de jóvenes que gozan del privilegio de trabajar cobra entre 1.100 y 1.200 euros netos. </w:t>
      </w:r>
    </w:p>
    <w:p w:rsidR="004E3111" w:rsidRPr="00E42969" w:rsidRDefault="004E3111" w:rsidP="004E3111">
      <w:pPr>
        <w:spacing w:line="240" w:lineRule="auto"/>
        <w:jc w:val="both"/>
        <w:rPr>
          <w:rFonts w:ascii="Times New Roman" w:hAnsi="Times New Roman" w:cs="Times New Roman"/>
          <w:sz w:val="24"/>
          <w:szCs w:val="24"/>
          <w:shd w:val="clear" w:color="auto" w:fill="FFFFFF"/>
        </w:rPr>
      </w:pPr>
      <w:r w:rsidRPr="00E42969">
        <w:rPr>
          <w:rFonts w:ascii="Times New Roman" w:hAnsi="Times New Roman" w:cs="Times New Roman"/>
          <w:sz w:val="24"/>
          <w:szCs w:val="24"/>
          <w:shd w:val="clear" w:color="auto" w:fill="FFFFFF"/>
        </w:rPr>
        <w:t xml:space="preserve">Las prácticas interminables sustituyen empleos reales. Los autónomos cargan con cuotas fijas incluso sin ingresos. El emprendimiento se convierte en masoquismo: políticos que celebran la “cultura emprendedora” mientras la asfixian con trabas e impuestos. </w:t>
      </w:r>
    </w:p>
    <w:p w:rsidR="004E3111" w:rsidRPr="00E42969" w:rsidRDefault="004E3111" w:rsidP="004E3111">
      <w:pPr>
        <w:pStyle w:val="NormalWeb"/>
        <w:shd w:val="clear" w:color="auto" w:fill="FFFFFF"/>
        <w:jc w:val="both"/>
      </w:pPr>
      <w:r w:rsidRPr="00E42969">
        <w:t>Cada decisión vital en España es un campo minado: independizarse, tener hijos, comprarse coche, encontrar médico</w:t>
      </w:r>
      <w:r>
        <w:t>,</w:t>
      </w:r>
      <w:r w:rsidRPr="00E42969">
        <w:t xml:space="preserve"> o contrato estable. ¿Casualidad? Difícil creerlo. Las minas no caen del cielo: alguien las ha ido colocando ahí.</w:t>
      </w:r>
    </w:p>
    <w:p w:rsidR="004E3111" w:rsidRPr="00E42969" w:rsidRDefault="004E3111" w:rsidP="004E3111">
      <w:pPr>
        <w:pStyle w:val="NormalWeb"/>
        <w:shd w:val="clear" w:color="auto" w:fill="FFFFFF"/>
        <w:jc w:val="both"/>
      </w:pPr>
      <w:r w:rsidRPr="00E42969">
        <w:rPr>
          <w:rStyle w:val="Textoennegrita"/>
          <w:rFonts w:eastAsiaTheme="majorEastAsia"/>
        </w:rPr>
        <w:t>“Si fuera una crisis “de ahora”, bastaría con paciencia y buena voluntad</w:t>
      </w:r>
      <w:r w:rsidRPr="00E42969">
        <w:rPr>
          <w:b/>
        </w:rPr>
        <w:t xml:space="preserve">. </w:t>
      </w:r>
      <w:r w:rsidRPr="00E42969">
        <w:t>Pero esto va mucho más lejos: un Estado que gasta mal, un sistema político que premia clientelas, un modelo productivo orientado al ladrillo, el turismo, la subvención y los monopolios regulados. Y una cultura política que confunde progreso con control. No hay guerra generacional: hay solidaridad forzada hacia arriba (impuestos) y solidaridad real hacia abajo (familia). Los </w:t>
      </w:r>
      <w:r w:rsidRPr="00E42969">
        <w:rPr>
          <w:rStyle w:val="nfasis"/>
          <w:i w:val="0"/>
        </w:rPr>
        <w:t>boomers</w:t>
      </w:r>
      <w:r w:rsidRPr="00E42969">
        <w:rPr>
          <w:i/>
        </w:rPr>
        <w:t> </w:t>
      </w:r>
      <w:r w:rsidRPr="00E42969">
        <w:t>no son villanos; los </w:t>
      </w:r>
      <w:r w:rsidRPr="00E42969">
        <w:rPr>
          <w:rStyle w:val="nfasis"/>
          <w:i w:val="0"/>
        </w:rPr>
        <w:t>millennials</w:t>
      </w:r>
      <w:r w:rsidRPr="00E42969">
        <w:t xml:space="preserve"> no son víctimas eternas; la Gen Z no es apática: todos son supervivientes buscando una salida dentro del mismo laberinto”, sostiene Javier Benegas (The Objective </w:t>
      </w:r>
      <w:r w:rsidRPr="00E42969">
        <w:rPr>
          <w:b/>
        </w:rPr>
        <w:t>13/9/25</w:t>
      </w:r>
      <w:r w:rsidRPr="00E42969">
        <w:t>).</w:t>
      </w:r>
    </w:p>
    <w:p w:rsidR="004E3111" w:rsidRPr="00E42969" w:rsidRDefault="004E3111" w:rsidP="004E3111">
      <w:pPr>
        <w:spacing w:line="240" w:lineRule="auto"/>
        <w:jc w:val="both"/>
        <w:rPr>
          <w:rFonts w:ascii="Times New Roman" w:hAnsi="Times New Roman" w:cs="Times New Roman"/>
          <w:sz w:val="24"/>
          <w:szCs w:val="24"/>
        </w:rPr>
      </w:pPr>
      <w:r w:rsidRPr="00E42969">
        <w:rPr>
          <w:rFonts w:ascii="Times New Roman" w:hAnsi="Times New Roman" w:cs="Times New Roman"/>
          <w:sz w:val="24"/>
          <w:szCs w:val="24"/>
        </w:rPr>
        <w:t xml:space="preserve"> “</w:t>
      </w:r>
      <w:r w:rsidRPr="00E42969">
        <w:rPr>
          <w:rFonts w:ascii="Times New Roman" w:hAnsi="Times New Roman" w:cs="Times New Roman"/>
          <w:b/>
          <w:sz w:val="24"/>
          <w:szCs w:val="24"/>
        </w:rPr>
        <w:t>Basta moverse hacia esa España del subsidio, la España que madruga y no llega a fin de mes, para notar que algo se ha roto</w:t>
      </w:r>
      <w:r w:rsidRPr="00E42969">
        <w:rPr>
          <w:rFonts w:ascii="Times New Roman" w:hAnsi="Times New Roman" w:cs="Times New Roman"/>
          <w:sz w:val="24"/>
          <w:szCs w:val="24"/>
        </w:rPr>
        <w:t xml:space="preserve">. La pobreza ya no es solo material, es estética, moral, espiritual. Hay una España autóctona que vive en la miseria, una España que va al </w:t>
      </w:r>
      <w:r w:rsidRPr="00E42969">
        <w:rPr>
          <w:rFonts w:ascii="Times New Roman" w:hAnsi="Times New Roman" w:cs="Times New Roman"/>
          <w:sz w:val="24"/>
          <w:szCs w:val="24"/>
        </w:rPr>
        <w:lastRenderedPageBreak/>
        <w:t>súper y no compra -porque no puede- la cesta básica. Hay inseguridad laboral, ansiedad fija. La clase media fue un mito del tardofranquismo y hoy solo quedan supervivientes.</w:t>
      </w:r>
    </w:p>
    <w:p w:rsidR="004E3111" w:rsidRPr="00E42969" w:rsidRDefault="004E3111" w:rsidP="004E3111">
      <w:pPr>
        <w:spacing w:line="240" w:lineRule="auto"/>
        <w:jc w:val="both"/>
        <w:rPr>
          <w:rFonts w:ascii="Times New Roman" w:hAnsi="Times New Roman" w:cs="Times New Roman"/>
          <w:sz w:val="24"/>
          <w:szCs w:val="24"/>
        </w:rPr>
      </w:pPr>
      <w:r w:rsidRPr="00E42969">
        <w:rPr>
          <w:rFonts w:ascii="Times New Roman" w:hAnsi="Times New Roman" w:cs="Times New Roman"/>
          <w:sz w:val="24"/>
          <w:szCs w:val="24"/>
        </w:rPr>
        <w:t>España se ha quedado atrapada en un socialismo asistencial que envejece sin esperanza. Entre la subvención y la queja, entre el hastío y la hipoteca. La educación se ha vuelto trámite, la cultura entretenimiento y el gusto aspiracional, ese que nos empujaba a ser mejores, no más iguales, se perdió por culpa de la televisión de ahora.</w:t>
      </w:r>
    </w:p>
    <w:p w:rsidR="004E3111" w:rsidRPr="00E42969" w:rsidRDefault="004E3111" w:rsidP="004E3111">
      <w:pPr>
        <w:spacing w:line="240" w:lineRule="auto"/>
        <w:jc w:val="both"/>
        <w:rPr>
          <w:rFonts w:ascii="Times New Roman" w:hAnsi="Times New Roman" w:cs="Times New Roman"/>
          <w:sz w:val="24"/>
          <w:szCs w:val="24"/>
        </w:rPr>
      </w:pPr>
      <w:r w:rsidRPr="00E42969">
        <w:rPr>
          <w:rFonts w:ascii="Times New Roman" w:hAnsi="Times New Roman" w:cs="Times New Roman"/>
          <w:sz w:val="24"/>
          <w:szCs w:val="24"/>
        </w:rPr>
        <w:t>Lo más alarmante no es la pobreza económica, sino la de pensamiento. Una nación puede ser pobre y seguir soñando. Esta España, en cambio, parece resignada, porque ha confundido la igualdad con la mediocridad. Llama “progreso” a la subvención y “solidaridad” al tercermundismo y robo de los impuestos.</w:t>
      </w:r>
    </w:p>
    <w:p w:rsidR="004E3111" w:rsidRPr="00E42969" w:rsidRDefault="004E3111" w:rsidP="004E3111">
      <w:pPr>
        <w:spacing w:line="240" w:lineRule="auto"/>
        <w:jc w:val="both"/>
        <w:rPr>
          <w:rFonts w:ascii="Times New Roman" w:hAnsi="Times New Roman" w:cs="Times New Roman"/>
          <w:sz w:val="24"/>
          <w:szCs w:val="24"/>
        </w:rPr>
      </w:pPr>
      <w:r w:rsidRPr="00E42969">
        <w:rPr>
          <w:rFonts w:ascii="Times New Roman" w:hAnsi="Times New Roman" w:cs="Times New Roman"/>
          <w:sz w:val="24"/>
          <w:szCs w:val="24"/>
        </w:rPr>
        <w:t xml:space="preserve">Porque el problema real es palpable, pero pocos se acercan a mencionarlo. El problema es el </w:t>
      </w:r>
      <w:r w:rsidR="00FE562B">
        <w:rPr>
          <w:rFonts w:ascii="Times New Roman" w:hAnsi="Times New Roman" w:cs="Times New Roman"/>
          <w:sz w:val="24"/>
          <w:szCs w:val="24"/>
        </w:rPr>
        <w:t>poder adquisitivo de las otrora</w:t>
      </w:r>
      <w:r w:rsidRPr="00E42969">
        <w:rPr>
          <w:rFonts w:ascii="Times New Roman" w:hAnsi="Times New Roman" w:cs="Times New Roman"/>
          <w:sz w:val="24"/>
          <w:szCs w:val="24"/>
        </w:rPr>
        <w:t xml:space="preserve"> clases medias. Y que de tanto ir para atrás, España corre el riesgo de ser pobre”, señala Cristina Casabón (The Objective - </w:t>
      </w:r>
      <w:r w:rsidRPr="00E42969">
        <w:rPr>
          <w:rFonts w:ascii="Times New Roman" w:hAnsi="Times New Roman" w:cs="Times New Roman"/>
          <w:b/>
          <w:sz w:val="24"/>
          <w:szCs w:val="24"/>
        </w:rPr>
        <w:t>6/10/25</w:t>
      </w:r>
      <w:r w:rsidRPr="00E42969">
        <w:rPr>
          <w:rFonts w:ascii="Times New Roman" w:hAnsi="Times New Roman" w:cs="Times New Roman"/>
          <w:sz w:val="24"/>
          <w:szCs w:val="24"/>
        </w:rPr>
        <w:t>)</w:t>
      </w:r>
    </w:p>
    <w:p w:rsidR="004E3111" w:rsidRPr="00B951BD" w:rsidRDefault="004E3111" w:rsidP="004E3111">
      <w:pPr>
        <w:spacing w:line="240" w:lineRule="auto"/>
        <w:jc w:val="both"/>
        <w:rPr>
          <w:rFonts w:ascii="Times New Roman" w:hAnsi="Times New Roman" w:cs="Times New Roman"/>
          <w:b/>
          <w:sz w:val="24"/>
          <w:szCs w:val="24"/>
        </w:rPr>
      </w:pPr>
      <w:r w:rsidRPr="00B951BD">
        <w:rPr>
          <w:rFonts w:ascii="Times New Roman" w:hAnsi="Times New Roman" w:cs="Times New Roman"/>
          <w:b/>
          <w:sz w:val="24"/>
          <w:szCs w:val="24"/>
        </w:rPr>
        <w:t>Aunque ese sea el lado lamentable de la historia (en mi opinión), sigo insistiendo en mostrar a los lectores, una serie de datos (más larga de lo deseado, pero menos exhaustiva de lo debido), sin alarmismo, con la lógica inescapable de los acontecimientos, para ver si “despiertan”, “toman conciencia”, “reflexionan”, “reaccionan”, “se echan a la calle”, inician una “rebelión fiscal”, exigen “votar” (por necesidad y urgencia), y deciden “botar” (por higiene democrática), a tanto traidor, inmoral, corrupto, mafioso, ladrón, incompetente, ignorante, mediocre, vulgar, putero, o drogadicto, que “pasta del presupuesto” (donde se “evaporan” los 228 días de trabajo de los con</w:t>
      </w:r>
      <w:r w:rsidR="00896F46">
        <w:rPr>
          <w:rFonts w:ascii="Times New Roman" w:hAnsi="Times New Roman" w:cs="Times New Roman"/>
          <w:b/>
          <w:sz w:val="24"/>
          <w:szCs w:val="24"/>
        </w:rPr>
        <w:t>tribuyentes, saqueados por unos</w:t>
      </w:r>
      <w:r w:rsidRPr="00B951BD">
        <w:rPr>
          <w:rFonts w:ascii="Times New Roman" w:hAnsi="Times New Roman" w:cs="Times New Roman"/>
          <w:b/>
          <w:sz w:val="24"/>
          <w:szCs w:val="24"/>
        </w:rPr>
        <w:t xml:space="preserve"> mangantes</w:t>
      </w:r>
      <w:r w:rsidR="00896F46">
        <w:rPr>
          <w:rFonts w:ascii="Times New Roman" w:hAnsi="Times New Roman" w:cs="Times New Roman"/>
          <w:b/>
          <w:sz w:val="24"/>
          <w:szCs w:val="24"/>
        </w:rPr>
        <w:t xml:space="preserve"> indocumentados</w:t>
      </w:r>
      <w:r w:rsidRPr="00B951BD">
        <w:rPr>
          <w:rFonts w:ascii="Times New Roman" w:hAnsi="Times New Roman" w:cs="Times New Roman"/>
          <w:b/>
          <w:sz w:val="24"/>
          <w:szCs w:val="24"/>
        </w:rPr>
        <w:t xml:space="preserve">). </w:t>
      </w:r>
    </w:p>
    <w:p w:rsidR="004E3111" w:rsidRDefault="004E3111" w:rsidP="004E3111">
      <w:pPr>
        <w:spacing w:line="240" w:lineRule="auto"/>
        <w:jc w:val="both"/>
        <w:rPr>
          <w:rFonts w:ascii="Times New Roman" w:hAnsi="Times New Roman" w:cs="Times New Roman"/>
          <w:b/>
          <w:sz w:val="24"/>
          <w:szCs w:val="24"/>
        </w:rPr>
      </w:pPr>
      <w:r w:rsidRPr="00B951BD">
        <w:rPr>
          <w:rFonts w:ascii="Times New Roman" w:hAnsi="Times New Roman" w:cs="Times New Roman"/>
          <w:b/>
          <w:sz w:val="24"/>
          <w:szCs w:val="24"/>
        </w:rPr>
        <w:t>Antes de pasar a las “propuestas” para que España no sea un capitalismo, sin mercado, o un socialismo, sin planificación (aunque encierren ciertas verdades dolorosas e incómodas), en un intento desesperado de solucionar su fallo multiorgánico, permitan que manifieste mi sorpresa, alarma, consternación, decepción, y tristeza, por la falta de reacción del pueblo español, ante tanta indecencia, soberbia, degeneración del sistema, desviación del poder, carencia de escrúpulos,  crimen organizado, apropiación indebida, atropello, sectarismo, fractura, postureo, honestidad falsa, mentira sistemática, excusas delirantes, fanatismo militante, manipulación, e intoxicación, y me atribuya el derecho de actuar como un “tábano social” (socrático), para decirles que: he leído sobre esclavos más rebeldes, eunucos más decididos, momias egipcias más proactivas, corderos más valerosos, koalas más agresivos, o focas menos aplaudidoras.</w:t>
      </w:r>
    </w:p>
    <w:p w:rsidR="00724984" w:rsidRPr="00724984" w:rsidRDefault="00724984" w:rsidP="004E3111">
      <w:pPr>
        <w:spacing w:line="240" w:lineRule="auto"/>
        <w:jc w:val="both"/>
        <w:rPr>
          <w:rFonts w:ascii="Times New Roman" w:hAnsi="Times New Roman" w:cs="Times New Roman"/>
          <w:sz w:val="24"/>
          <w:szCs w:val="24"/>
        </w:rPr>
      </w:pPr>
      <w:r w:rsidRPr="00724984">
        <w:rPr>
          <w:rFonts w:ascii="Times New Roman" w:hAnsi="Times New Roman" w:cs="Times New Roman"/>
          <w:sz w:val="24"/>
          <w:szCs w:val="24"/>
        </w:rPr>
        <w:t>A pesar de todo</w:t>
      </w:r>
      <w:r w:rsidR="009452C6">
        <w:rPr>
          <w:rFonts w:ascii="Times New Roman" w:hAnsi="Times New Roman" w:cs="Times New Roman"/>
          <w:sz w:val="24"/>
          <w:szCs w:val="24"/>
        </w:rPr>
        <w:t>:</w:t>
      </w:r>
      <w:r>
        <w:rPr>
          <w:rFonts w:ascii="Times New Roman" w:hAnsi="Times New Roman" w:cs="Times New Roman"/>
          <w:sz w:val="24"/>
          <w:szCs w:val="24"/>
        </w:rPr>
        <w:t xml:space="preserve"> ¿por qué he decidido seguir adelante? Porque era lo correcto, y porque estoy seguro que el día que el pueblo español salga a la calle, haga lo que haga, será lo correcto.</w:t>
      </w:r>
    </w:p>
    <w:p w:rsidR="004E3111" w:rsidRPr="00E42969" w:rsidRDefault="004E3111" w:rsidP="004E3111">
      <w:pPr>
        <w:spacing w:line="240" w:lineRule="auto"/>
        <w:jc w:val="both"/>
        <w:rPr>
          <w:rFonts w:ascii="Times New Roman" w:hAnsi="Times New Roman" w:cs="Times New Roman"/>
          <w:sz w:val="24"/>
          <w:szCs w:val="24"/>
        </w:rPr>
      </w:pPr>
      <w:r w:rsidRPr="00E42969">
        <w:rPr>
          <w:rFonts w:ascii="Times New Roman" w:hAnsi="Times New Roman" w:cs="Times New Roman"/>
          <w:sz w:val="24"/>
          <w:szCs w:val="24"/>
        </w:rPr>
        <w:t>Frente a tal escenario (de expolio y destrucción, por un lado, y de indolencia tuitera, por el otro)… antes de retirarme al “piadoso silencio”, solo me permito sugerirles (a los jóvenes, y no tan jóvenes, espa</w:t>
      </w:r>
      <w:r>
        <w:rPr>
          <w:rFonts w:ascii="Times New Roman" w:hAnsi="Times New Roman" w:cs="Times New Roman"/>
          <w:sz w:val="24"/>
          <w:szCs w:val="24"/>
        </w:rPr>
        <w:t>ñoles) que sigan, lo “aconsejado”</w:t>
      </w:r>
      <w:r w:rsidRPr="00E42969">
        <w:rPr>
          <w:rFonts w:ascii="Times New Roman" w:hAnsi="Times New Roman" w:cs="Times New Roman"/>
          <w:sz w:val="24"/>
          <w:szCs w:val="24"/>
        </w:rPr>
        <w:t xml:space="preserve"> por el sabio griego: </w:t>
      </w:r>
    </w:p>
    <w:p w:rsidR="004E3111" w:rsidRPr="001A78FC" w:rsidRDefault="004E3111" w:rsidP="004E3111">
      <w:pPr>
        <w:spacing w:line="240" w:lineRule="auto"/>
        <w:jc w:val="both"/>
        <w:rPr>
          <w:rFonts w:ascii="Times New Roman" w:hAnsi="Times New Roman" w:cs="Times New Roman"/>
          <w:b/>
          <w:sz w:val="24"/>
          <w:szCs w:val="24"/>
        </w:rPr>
      </w:pPr>
      <w:r w:rsidRPr="001A78FC">
        <w:rPr>
          <w:rFonts w:ascii="Times New Roman" w:hAnsi="Times New Roman" w:cs="Times New Roman"/>
          <w:b/>
          <w:sz w:val="24"/>
          <w:szCs w:val="24"/>
        </w:rPr>
        <w:t xml:space="preserve">“En casos similares, hay que arrojarlos al río sin contemplaciones” (Eurípides). </w:t>
      </w:r>
    </w:p>
    <w:p w:rsidR="004E3111" w:rsidRPr="00B951BD" w:rsidRDefault="004E3111" w:rsidP="004E3111">
      <w:pPr>
        <w:pStyle w:val="NormalWeb"/>
        <w:shd w:val="clear" w:color="auto" w:fill="FFFFFF"/>
        <w:jc w:val="both"/>
      </w:pPr>
      <w:r w:rsidRPr="00B951BD">
        <w:t>Ahora, los dejo con mis “propuestas”, realizadas a “tumba abierta”, pasen, y lean… después, reflexionen.</w:t>
      </w:r>
    </w:p>
    <w:p w:rsidR="004E3111" w:rsidRPr="004B7C7E" w:rsidRDefault="004E3111" w:rsidP="004E3111">
      <w:pPr>
        <w:pStyle w:val="NormalWeb"/>
        <w:shd w:val="clear" w:color="auto" w:fill="FFFFFF"/>
        <w:jc w:val="both"/>
      </w:pPr>
      <w:r>
        <w:rPr>
          <w:b/>
        </w:rPr>
        <w:lastRenderedPageBreak/>
        <w:t xml:space="preserve">- </w:t>
      </w:r>
      <w:r w:rsidRPr="002E46E6">
        <w:rPr>
          <w:b/>
        </w:rPr>
        <w:t>Propuestas de cabotaje (ante un fallo multiorgánico): verdades dolorosas e incómodas (para que España no sea un capitalismo, sin mercado, o un socialismo, sin planificación)</w:t>
      </w:r>
    </w:p>
    <w:p w:rsidR="004E3111" w:rsidRPr="00FF62B8" w:rsidRDefault="004E3111" w:rsidP="004E3111">
      <w:pPr>
        <w:spacing w:line="240" w:lineRule="auto"/>
        <w:jc w:val="both"/>
        <w:rPr>
          <w:rFonts w:ascii="Times New Roman" w:hAnsi="Times New Roman" w:cs="Times New Roman"/>
          <w:b/>
          <w:sz w:val="24"/>
          <w:szCs w:val="24"/>
        </w:rPr>
      </w:pPr>
      <w:r>
        <w:rPr>
          <w:noProof/>
          <w:lang w:eastAsia="es-ES"/>
        </w:rPr>
        <w:drawing>
          <wp:inline distT="0" distB="0" distL="0" distR="0" wp14:anchorId="5C9CB649" wp14:editId="0309E631">
            <wp:extent cx="5728121" cy="3054350"/>
            <wp:effectExtent l="0" t="0" r="6350" b="0"/>
            <wp:docPr id="254" name="Imagen 254" descr="equipo médico realizar la operación quirúrgica en quirófano moderno - cirugía fotografías e imágenes d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quipo médico realizar la operación quirúrgica en quirófano moderno - cirugía fotografías e imágenes de stock"/>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3056157"/>
                    </a:xfrm>
                    <a:prstGeom prst="rect">
                      <a:avLst/>
                    </a:prstGeom>
                    <a:noFill/>
                    <a:ln>
                      <a:noFill/>
                    </a:ln>
                  </pic:spPr>
                </pic:pic>
              </a:graphicData>
            </a:graphic>
          </wp:inline>
        </w:drawing>
      </w:r>
    </w:p>
    <w:p w:rsidR="004E3111" w:rsidRPr="00944083" w:rsidRDefault="004E3111" w:rsidP="004E3111">
      <w:pPr>
        <w:spacing w:line="240" w:lineRule="auto"/>
        <w:jc w:val="both"/>
        <w:rPr>
          <w:rFonts w:ascii="Times New Roman" w:hAnsi="Times New Roman" w:cs="Times New Roman"/>
          <w:sz w:val="24"/>
          <w:szCs w:val="24"/>
        </w:rPr>
      </w:pPr>
      <w:r w:rsidRPr="00C51284">
        <w:rPr>
          <w:rFonts w:ascii="Times New Roman" w:hAnsi="Times New Roman" w:cs="Times New Roman"/>
          <w:b/>
          <w:sz w:val="24"/>
          <w:szCs w:val="24"/>
        </w:rPr>
        <w:t xml:space="preserve">Un listado tentativo de tareas: “Nec spe, nec metu” (sin esperanza, ni miedo) </w:t>
      </w:r>
    </w:p>
    <w:p w:rsidR="004E3111" w:rsidRDefault="004E3111" w:rsidP="004E3111">
      <w:pPr>
        <w:spacing w:line="240" w:lineRule="auto"/>
        <w:jc w:val="both"/>
        <w:rPr>
          <w:rFonts w:ascii="Times New Roman" w:hAnsi="Times New Roman" w:cs="Times New Roman"/>
          <w:sz w:val="24"/>
          <w:szCs w:val="24"/>
        </w:rPr>
      </w:pPr>
      <w:r w:rsidRPr="00C51284">
        <w:rPr>
          <w:rFonts w:ascii="Times New Roman" w:hAnsi="Times New Roman" w:cs="Times New Roman"/>
          <w:sz w:val="24"/>
          <w:szCs w:val="24"/>
        </w:rPr>
        <w:t>Pr</w:t>
      </w:r>
      <w:r>
        <w:rPr>
          <w:rFonts w:ascii="Times New Roman" w:hAnsi="Times New Roman" w:cs="Times New Roman"/>
          <w:sz w:val="24"/>
          <w:szCs w:val="24"/>
        </w:rPr>
        <w:t>opuestas de cabotaje (para que España no sea un capitalismo, sin mercado, o un socialismo, sin planificación</w:t>
      </w:r>
      <w:r w:rsidRPr="00C51284">
        <w:rPr>
          <w:rFonts w:ascii="Times New Roman" w:hAnsi="Times New Roman" w:cs="Times New Roman"/>
          <w:sz w:val="24"/>
          <w:szCs w:val="24"/>
        </w:rPr>
        <w:t>)</w:t>
      </w:r>
      <w:r>
        <w:rPr>
          <w:rFonts w:ascii="Times New Roman" w:hAnsi="Times New Roman" w:cs="Times New Roman"/>
          <w:sz w:val="24"/>
          <w:szCs w:val="24"/>
        </w:rPr>
        <w:t>: verdades dolorosas e incómodas</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Eliminar el Régimen de las Autonomías (en especial,</w:t>
      </w:r>
      <w:r>
        <w:rPr>
          <w:rFonts w:ascii="Times New Roman" w:hAnsi="Times New Roman" w:cs="Times New Roman"/>
          <w:color w:val="000000"/>
          <w:sz w:val="24"/>
          <w:szCs w:val="24"/>
          <w:shd w:val="clear" w:color="auto" w:fill="FFFFFF"/>
        </w:rPr>
        <w:t xml:space="preserve"> del</w:t>
      </w:r>
      <w:r w:rsidRPr="00C51284">
        <w:rPr>
          <w:rFonts w:ascii="Times New Roman" w:hAnsi="Times New Roman" w:cs="Times New Roman"/>
          <w:color w:val="000000"/>
          <w:sz w:val="24"/>
          <w:szCs w:val="24"/>
          <w:shd w:val="clear" w:color="auto" w:fill="FFFFFF"/>
        </w:rPr>
        <w:t xml:space="preserve"> País Vasco y Cataluña)</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Eliminar los cupos fiscales (vasco y catalán)</w:t>
      </w:r>
    </w:p>
    <w:p w:rsidR="004E3111" w:rsidRPr="00DE45F8"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Eliminar las Diputaciones Provinciales, Cabildos</w:t>
      </w:r>
      <w:r>
        <w:rPr>
          <w:rFonts w:ascii="Times New Roman" w:hAnsi="Times New Roman" w:cs="Times New Roman"/>
          <w:color w:val="000000"/>
          <w:sz w:val="24"/>
          <w:szCs w:val="24"/>
          <w:shd w:val="clear" w:color="auto" w:fill="FFFFFF"/>
        </w:rPr>
        <w:t>,</w:t>
      </w:r>
      <w:r w:rsidRPr="00C51284">
        <w:rPr>
          <w:rFonts w:ascii="Times New Roman" w:hAnsi="Times New Roman" w:cs="Times New Roman"/>
          <w:color w:val="000000"/>
          <w:sz w:val="24"/>
          <w:szCs w:val="24"/>
          <w:shd w:val="clear" w:color="auto" w:fill="FFFFFF"/>
        </w:rPr>
        <w:t xml:space="preserve"> y</w:t>
      </w:r>
      <w:r>
        <w:rPr>
          <w:rFonts w:ascii="Times New Roman" w:hAnsi="Times New Roman" w:cs="Times New Roman"/>
          <w:color w:val="000000"/>
          <w:sz w:val="24"/>
          <w:szCs w:val="24"/>
          <w:shd w:val="clear" w:color="auto" w:fill="FFFFFF"/>
        </w:rPr>
        <w:t xml:space="preserve"> los</w:t>
      </w:r>
      <w:r w:rsidRPr="00C51284">
        <w:rPr>
          <w:rFonts w:ascii="Times New Roman" w:hAnsi="Times New Roman" w:cs="Times New Roman"/>
          <w:color w:val="000000"/>
          <w:sz w:val="24"/>
          <w:szCs w:val="24"/>
          <w:shd w:val="clear" w:color="auto" w:fill="FFFFFF"/>
        </w:rPr>
        <w:t xml:space="preserve"> Ayuntamientos de menos de 100.000 hab.</w:t>
      </w:r>
      <w:r>
        <w:rPr>
          <w:rFonts w:ascii="Times New Roman" w:hAnsi="Times New Roman" w:cs="Times New Roman"/>
          <w:color w:val="000000"/>
          <w:sz w:val="24"/>
          <w:szCs w:val="24"/>
          <w:shd w:val="clear" w:color="auto" w:fill="FFFFFF"/>
        </w:rPr>
        <w:t xml:space="preserve"> (agrupar los ayuntamientos menores hasta alcanzar los 100.000 hab.)</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Eliminar el Tribunal Constitucional</w:t>
      </w:r>
      <w:r>
        <w:rPr>
          <w:rFonts w:ascii="Times New Roman" w:hAnsi="Times New Roman" w:cs="Times New Roman"/>
          <w:color w:val="000000"/>
          <w:sz w:val="24"/>
          <w:szCs w:val="24"/>
          <w:shd w:val="clear" w:color="auto" w:fill="FFFFFF"/>
        </w:rPr>
        <w:t xml:space="preserve"> (transformarlo en una Sala del Tribunal Supremo)</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Eliminar el Consejo de Estado</w:t>
      </w:r>
      <w:r>
        <w:rPr>
          <w:rFonts w:ascii="Times New Roman" w:hAnsi="Times New Roman" w:cs="Times New Roman"/>
          <w:color w:val="000000"/>
          <w:sz w:val="24"/>
          <w:szCs w:val="24"/>
          <w:shd w:val="clear" w:color="auto" w:fill="FFFFFF"/>
        </w:rPr>
        <w:t xml:space="preserve"> (tanto a nivel nacional, como autonómico)</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Cerrar RTVE</w:t>
      </w:r>
      <w:r>
        <w:rPr>
          <w:rFonts w:ascii="Times New Roman" w:hAnsi="Times New Roman" w:cs="Times New Roman"/>
          <w:color w:val="000000"/>
          <w:sz w:val="24"/>
          <w:szCs w:val="24"/>
          <w:shd w:val="clear" w:color="auto" w:fill="FFFFFF"/>
        </w:rPr>
        <w:t xml:space="preserve"> (fraccionar, vender, o liquidar)</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Cerrar todos los canales de televisión y radios autonómicas (vender, o liquidar)</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Cerrar la Agencia EFE</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Cerrar la SEPI (vender todas las acciones de empresas privadas en poder del Estado)</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Cerrar el ICO</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Cerrar el ICEX</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Cerrar la SAREB</w:t>
      </w:r>
      <w:r>
        <w:rPr>
          <w:rFonts w:ascii="Times New Roman" w:hAnsi="Times New Roman" w:cs="Times New Roman"/>
          <w:color w:val="000000"/>
          <w:sz w:val="24"/>
          <w:szCs w:val="24"/>
          <w:shd w:val="clear" w:color="auto" w:fill="FFFFFF"/>
        </w:rPr>
        <w:t xml:space="preserve"> (vender todos los inmuebles que posee)</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Cerrar el CIS</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Cerrar un mínimo del 8</w:t>
      </w:r>
      <w:r w:rsidRPr="00C51284">
        <w:rPr>
          <w:rFonts w:ascii="Times New Roman" w:hAnsi="Times New Roman" w:cs="Times New Roman"/>
          <w:color w:val="000000"/>
          <w:sz w:val="24"/>
          <w:szCs w:val="24"/>
          <w:shd w:val="clear" w:color="auto" w:fill="FFFFFF"/>
        </w:rPr>
        <w:t>0% de</w:t>
      </w:r>
      <w:r>
        <w:rPr>
          <w:rFonts w:ascii="Times New Roman" w:hAnsi="Times New Roman" w:cs="Times New Roman"/>
          <w:color w:val="000000"/>
          <w:sz w:val="24"/>
          <w:szCs w:val="24"/>
          <w:shd w:val="clear" w:color="auto" w:fill="FFFFFF"/>
        </w:rPr>
        <w:t xml:space="preserve"> empresas, organismos, entes reguladores, observatorios, redes, áreas, oficinas, etc. (nacionales, autonómicas</w:t>
      </w:r>
      <w:r w:rsidRPr="00C51284">
        <w:rPr>
          <w:rFonts w:ascii="Times New Roman" w:hAnsi="Times New Roman" w:cs="Times New Roman"/>
          <w:color w:val="000000"/>
          <w:sz w:val="24"/>
          <w:szCs w:val="24"/>
          <w:shd w:val="clear" w:color="auto" w:fill="FFFFFF"/>
        </w:rPr>
        <w:t>, y municipales)</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Privatizar los servicios públicos nacionales, autonómicos y municipales </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Reducir el gabinete de ministros del Gobierno a un máximo de 8/10 miembros</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Los altos funcionarios (Ministros, Secretarios, Subsecretarios, Directores, y Asesores de libre designación), una vez que cesen en su función, no podrán realizar actividades afines a su cargo, en la actividad privada,</w:t>
      </w:r>
      <w:r w:rsidR="00896F46">
        <w:rPr>
          <w:rFonts w:ascii="Times New Roman" w:hAnsi="Times New Roman" w:cs="Times New Roman"/>
          <w:color w:val="000000"/>
          <w:sz w:val="24"/>
          <w:szCs w:val="24"/>
          <w:shd w:val="clear" w:color="auto" w:fill="FFFFFF"/>
        </w:rPr>
        <w:t xml:space="preserve"> por un plazo mínimo de 10 años</w:t>
      </w:r>
      <w:r>
        <w:rPr>
          <w:rFonts w:ascii="Times New Roman" w:hAnsi="Times New Roman" w:cs="Times New Roman"/>
          <w:color w:val="000000"/>
          <w:sz w:val="24"/>
          <w:szCs w:val="24"/>
          <w:shd w:val="clear" w:color="auto" w:fill="FFFFFF"/>
        </w:rPr>
        <w:t xml:space="preserve"> </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Volver a centralizar</w:t>
      </w:r>
      <w:r>
        <w:rPr>
          <w:rFonts w:ascii="Times New Roman" w:hAnsi="Times New Roman" w:cs="Times New Roman"/>
          <w:color w:val="000000"/>
          <w:sz w:val="24"/>
          <w:szCs w:val="24"/>
          <w:shd w:val="clear" w:color="auto" w:fill="FFFFFF"/>
        </w:rPr>
        <w:t xml:space="preserve"> la</w:t>
      </w:r>
      <w:r w:rsidRPr="00C51284">
        <w:rPr>
          <w:rFonts w:ascii="Times New Roman" w:hAnsi="Times New Roman" w:cs="Times New Roman"/>
          <w:color w:val="000000"/>
          <w:sz w:val="24"/>
          <w:szCs w:val="24"/>
          <w:shd w:val="clear" w:color="auto" w:fill="FFFFFF"/>
        </w:rPr>
        <w:t xml:space="preserve"> Sanidad, </w:t>
      </w:r>
      <w:r>
        <w:rPr>
          <w:rFonts w:ascii="Times New Roman" w:hAnsi="Times New Roman" w:cs="Times New Roman"/>
          <w:color w:val="000000"/>
          <w:sz w:val="24"/>
          <w:szCs w:val="24"/>
          <w:shd w:val="clear" w:color="auto" w:fill="FFFFFF"/>
        </w:rPr>
        <w:t xml:space="preserve">la </w:t>
      </w:r>
      <w:r w:rsidRPr="00C51284">
        <w:rPr>
          <w:rFonts w:ascii="Times New Roman" w:hAnsi="Times New Roman" w:cs="Times New Roman"/>
          <w:color w:val="000000"/>
          <w:sz w:val="24"/>
          <w:szCs w:val="24"/>
          <w:shd w:val="clear" w:color="auto" w:fill="FFFFFF"/>
        </w:rPr>
        <w:t>Educación</w:t>
      </w:r>
      <w:r w:rsidR="00896F46">
        <w:rPr>
          <w:rFonts w:ascii="Times New Roman" w:hAnsi="Times New Roman" w:cs="Times New Roman"/>
          <w:color w:val="000000"/>
          <w:sz w:val="24"/>
          <w:szCs w:val="24"/>
          <w:shd w:val="clear" w:color="auto" w:fill="FFFFFF"/>
        </w:rPr>
        <w:t>,</w:t>
      </w:r>
      <w:r w:rsidRPr="00C51284">
        <w:rPr>
          <w:rFonts w:ascii="Times New Roman" w:hAnsi="Times New Roman" w:cs="Times New Roman"/>
          <w:color w:val="000000"/>
          <w:sz w:val="24"/>
          <w:szCs w:val="24"/>
          <w:shd w:val="clear" w:color="auto" w:fill="FFFFFF"/>
        </w:rPr>
        <w:t xml:space="preserve"> y ot</w:t>
      </w:r>
      <w:r>
        <w:rPr>
          <w:rFonts w:ascii="Times New Roman" w:hAnsi="Times New Roman" w:cs="Times New Roman"/>
          <w:color w:val="000000"/>
          <w:sz w:val="24"/>
          <w:szCs w:val="24"/>
          <w:shd w:val="clear" w:color="auto" w:fill="FFFFFF"/>
        </w:rPr>
        <w:t>ras responsabilidades delegadas</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Impartir la educación pública exclusivamente</w:t>
      </w:r>
      <w:r w:rsidRPr="00C51284">
        <w:rPr>
          <w:rFonts w:ascii="Times New Roman" w:hAnsi="Times New Roman" w:cs="Times New Roman"/>
          <w:color w:val="000000"/>
          <w:sz w:val="24"/>
          <w:szCs w:val="24"/>
          <w:shd w:val="clear" w:color="auto" w:fill="FFFFFF"/>
        </w:rPr>
        <w:t xml:space="preserve"> en español en todo el territorio nacional</w:t>
      </w:r>
      <w:r>
        <w:rPr>
          <w:rFonts w:ascii="Times New Roman" w:hAnsi="Times New Roman" w:cs="Times New Roman"/>
          <w:color w:val="000000"/>
          <w:sz w:val="24"/>
          <w:szCs w:val="24"/>
          <w:shd w:val="clear" w:color="auto" w:fill="FFFFFF"/>
        </w:rPr>
        <w:t xml:space="preserve"> (fin de la histeria lingüística)</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Crear el Cheque sanitario (permitir al usuario optar por el servicio público o privado)</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Crear el Cheque educativo (permitir al usuario optar por el servicio público o privado)</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No permitir el uso de la Sanidad Pública a los inmigrantes sin contrato laboral</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No permitir el uso de la Educación Pública a los inmigrantes sin contrato laboral</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Eliminar cualquier régimen de aforamiento</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Eliminar la perpetuidad del empl</w:t>
      </w:r>
      <w:r>
        <w:rPr>
          <w:rFonts w:ascii="Times New Roman" w:hAnsi="Times New Roman" w:cs="Times New Roman"/>
          <w:color w:val="000000"/>
          <w:sz w:val="24"/>
          <w:szCs w:val="24"/>
          <w:shd w:val="clear" w:color="auto" w:fill="FFFFFF"/>
        </w:rPr>
        <w:t>e</w:t>
      </w:r>
      <w:r w:rsidRPr="00C51284">
        <w:rPr>
          <w:rFonts w:ascii="Times New Roman" w:hAnsi="Times New Roman" w:cs="Times New Roman"/>
          <w:color w:val="000000"/>
          <w:sz w:val="24"/>
          <w:szCs w:val="24"/>
          <w:shd w:val="clear" w:color="auto" w:fill="FFFFFF"/>
        </w:rPr>
        <w:t>o público</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Eliminar el régimen de excedencias en el sector público</w:t>
      </w:r>
    </w:p>
    <w:p w:rsidR="004E3111" w:rsidRPr="00582B65"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Cesar todos los puestos de libre designación a nivel del Gobierno Nacional, autonómico y municipal</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6F35A2">
        <w:rPr>
          <w:rFonts w:ascii="Times New Roman" w:hAnsi="Times New Roman" w:cs="Times New Roman"/>
          <w:color w:val="000000"/>
          <w:sz w:val="24"/>
          <w:szCs w:val="24"/>
          <w:shd w:val="clear" w:color="auto" w:fill="FFFFFF"/>
        </w:rPr>
        <w:t>Eliminar todo régimen de subvenciones al sector público y al sector privado</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Eliminar</w:t>
      </w:r>
      <w:r>
        <w:rPr>
          <w:rFonts w:ascii="Times New Roman" w:hAnsi="Times New Roman" w:cs="Times New Roman"/>
          <w:color w:val="000000"/>
          <w:sz w:val="24"/>
          <w:szCs w:val="24"/>
          <w:shd w:val="clear" w:color="auto" w:fill="FFFFFF"/>
        </w:rPr>
        <w:t xml:space="preserve"> todo tipo de </w:t>
      </w:r>
      <w:r w:rsidRPr="00C51284">
        <w:rPr>
          <w:rFonts w:ascii="Times New Roman" w:hAnsi="Times New Roman" w:cs="Times New Roman"/>
          <w:color w:val="000000"/>
          <w:sz w:val="24"/>
          <w:szCs w:val="24"/>
          <w:shd w:val="clear" w:color="auto" w:fill="FFFFFF"/>
        </w:rPr>
        <w:t>subvenciones a sindicatos (de trabajadores y empresariales)</w:t>
      </w:r>
    </w:p>
    <w:p w:rsidR="004E3111" w:rsidRPr="008475C5"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Eliminar</w:t>
      </w:r>
      <w:r>
        <w:rPr>
          <w:rFonts w:ascii="Times New Roman" w:hAnsi="Times New Roman" w:cs="Times New Roman"/>
          <w:color w:val="000000"/>
          <w:sz w:val="24"/>
          <w:szCs w:val="24"/>
          <w:shd w:val="clear" w:color="auto" w:fill="FFFFFF"/>
        </w:rPr>
        <w:t xml:space="preserve"> todo tipo de </w:t>
      </w:r>
      <w:r w:rsidRPr="00C51284">
        <w:rPr>
          <w:rFonts w:ascii="Times New Roman" w:hAnsi="Times New Roman" w:cs="Times New Roman"/>
          <w:color w:val="000000"/>
          <w:sz w:val="24"/>
          <w:szCs w:val="24"/>
          <w:shd w:val="clear" w:color="auto" w:fill="FFFFFF"/>
        </w:rPr>
        <w:t>subvenciones</w:t>
      </w:r>
      <w:r>
        <w:rPr>
          <w:rFonts w:ascii="Times New Roman" w:hAnsi="Times New Roman" w:cs="Times New Roman"/>
          <w:color w:val="000000"/>
          <w:sz w:val="24"/>
          <w:szCs w:val="24"/>
          <w:shd w:val="clear" w:color="auto" w:fill="FFFFFF"/>
        </w:rPr>
        <w:t xml:space="preserve"> a los partidos políticos</w:t>
      </w:r>
      <w:r w:rsidRPr="008475C5">
        <w:rPr>
          <w:rFonts w:ascii="Times New Roman" w:hAnsi="Times New Roman" w:cs="Times New Roman"/>
          <w:color w:val="000000"/>
          <w:sz w:val="24"/>
          <w:szCs w:val="24"/>
          <w:shd w:val="clear" w:color="auto" w:fill="FFFFFF"/>
        </w:rPr>
        <w:t xml:space="preserve"> </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 xml:space="preserve">Eliminar todo control sobre los alquileres </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Crear un sistema de desalojo rápido (2 meses sin pago, y desalojo automático)</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Reprimir todo método de</w:t>
      </w:r>
      <w:r>
        <w:rPr>
          <w:rFonts w:ascii="Times New Roman" w:hAnsi="Times New Roman" w:cs="Times New Roman"/>
          <w:color w:val="000000"/>
          <w:sz w:val="24"/>
          <w:szCs w:val="24"/>
          <w:shd w:val="clear" w:color="auto" w:fill="FFFFFF"/>
        </w:rPr>
        <w:t xml:space="preserve"> ocupación ilegal de inmuebles (desalojo policial en 48 horas, sin necesidad de orden judicial)</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Quitar a los Ayuntamientos la capacidad de regular la utilización el suelo (calificación)</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Asignar el reparto de la publicidad oficial igual y proporcional a la tirada</w:t>
      </w:r>
      <w:r>
        <w:rPr>
          <w:rFonts w:ascii="Times New Roman" w:hAnsi="Times New Roman" w:cs="Times New Roman"/>
          <w:color w:val="000000"/>
          <w:sz w:val="24"/>
          <w:szCs w:val="24"/>
          <w:shd w:val="clear" w:color="auto" w:fill="FFFFFF"/>
        </w:rPr>
        <w:t xml:space="preserve"> (lectores, espectadores, oyentes, visitantes…)</w:t>
      </w:r>
      <w:r w:rsidRPr="00C51284">
        <w:rPr>
          <w:rFonts w:ascii="Times New Roman" w:hAnsi="Times New Roman" w:cs="Times New Roman"/>
          <w:color w:val="000000"/>
          <w:sz w:val="24"/>
          <w:szCs w:val="24"/>
          <w:shd w:val="clear" w:color="auto" w:fill="FFFFFF"/>
        </w:rPr>
        <w:t xml:space="preserve"> de cada medio</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Implantar el Presupuesto Base Cero en t</w:t>
      </w:r>
      <w:r>
        <w:rPr>
          <w:rFonts w:ascii="Times New Roman" w:hAnsi="Times New Roman" w:cs="Times New Roman"/>
          <w:color w:val="000000"/>
          <w:sz w:val="24"/>
          <w:szCs w:val="24"/>
          <w:shd w:val="clear" w:color="auto" w:fill="FFFFFF"/>
        </w:rPr>
        <w:t>oda la Administración Pública</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 xml:space="preserve">Regresar a las </w:t>
      </w:r>
      <w:r>
        <w:rPr>
          <w:rFonts w:ascii="Times New Roman" w:hAnsi="Times New Roman" w:cs="Times New Roman"/>
          <w:color w:val="000000"/>
          <w:sz w:val="24"/>
          <w:szCs w:val="24"/>
          <w:shd w:val="clear" w:color="auto" w:fill="FFFFFF"/>
        </w:rPr>
        <w:t>exig</w:t>
      </w:r>
      <w:r w:rsidRPr="00C51284">
        <w:rPr>
          <w:rFonts w:ascii="Times New Roman" w:hAnsi="Times New Roman" w:cs="Times New Roman"/>
          <w:color w:val="000000"/>
          <w:sz w:val="24"/>
          <w:szCs w:val="24"/>
          <w:shd w:val="clear" w:color="auto" w:fill="FFFFFF"/>
        </w:rPr>
        <w:t>encias del Compromiso de Maastricht</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Reducir el empleo público en un 50%</w:t>
      </w:r>
      <w:r>
        <w:rPr>
          <w:rFonts w:ascii="Times New Roman" w:hAnsi="Times New Roman" w:cs="Times New Roman"/>
          <w:color w:val="000000"/>
          <w:sz w:val="24"/>
          <w:szCs w:val="24"/>
          <w:shd w:val="clear" w:color="auto" w:fill="FFFFFF"/>
        </w:rPr>
        <w:t xml:space="preserve"> </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Cerrar las Oficinas Públicas de Empleo</w:t>
      </w:r>
    </w:p>
    <w:p w:rsidR="004E3111" w:rsidRPr="00C51284"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C51284">
        <w:rPr>
          <w:rFonts w:ascii="Times New Roman" w:hAnsi="Times New Roman" w:cs="Times New Roman"/>
          <w:color w:val="000000"/>
          <w:sz w:val="24"/>
          <w:szCs w:val="24"/>
          <w:shd w:val="clear" w:color="auto" w:fill="FFFFFF"/>
        </w:rPr>
        <w:t>Eliminar las políticas activas de empleo</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Control privado de las bajas laborales (mutuas y empresas)</w:t>
      </w:r>
    </w:p>
    <w:p w:rsidR="004E3111" w:rsidRPr="00CC56A8" w:rsidRDefault="00B277E2"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Control efectivo del ab</w:t>
      </w:r>
      <w:r w:rsidR="004E3111" w:rsidRPr="00CC56A8">
        <w:rPr>
          <w:rFonts w:ascii="Times New Roman" w:hAnsi="Times New Roman" w:cs="Times New Roman"/>
          <w:sz w:val="24"/>
          <w:szCs w:val="24"/>
          <w:shd w:val="clear" w:color="auto" w:fill="FFFFFF"/>
        </w:rPr>
        <w:t>sentismo laboral (mutuas y empresas)</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Reducir las prestaciones por desempleo a un máximo de 6 meses</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Limitar el subsidio de desempleo por agotamiento de la prestación contributiva a un máximo de 6 meses desde la finalización de la prestación por desempleo</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Las personas que cobren la prestación por desempleo, deberán realizar tareas de asistencia social (controladas) durante los 6 meses (o perderán la prestación)</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 Las personas que cobren el subsidio de desempleo por agotamiento de la prestación contributiva, deberán realizar tareas de asistencia social (controladas) durante los 6 meses (o perderán la prestación)</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Las personas que cobren la prestación por desempleo estarán obligadas a  aceptar una oferta de empleo entre las tres primeras que reciban (o perderán la prestación)</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Las personas que cobren el ingreso mínimo vital estarán obligadas a  aceptar una oferta de empleo entre las tres primeras que reciban (o perderán la prestación)</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Renunciar a la Agenda 2030 en todos sus limitantes a las actividades productivas</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Regreso a la energía nuclear y aceleración de nuevas inversiones</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Puesta en explotación de todos los recursos económicos disponibles sin restricciones</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Aprovechamiento total sin restricciones regionales de los recursos hídricos (trasvases)</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Construir nuevos embalses donde sean necesarios para riego, o control de correnteras</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lastRenderedPageBreak/>
        <w:t>Reducir los impuestos directos hasta alcanzar la media de la UE, o de la OCDE</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Reducir los impuestos indirectos hasta alcanzar la media de la UE, o de la OCDE</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Eliminar el IRPF a los ingresos inferiores a 60.000 euros al año</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Eliminar todo régimen de deducciones, reducciones, o desgravaciones que permitan pagar menos impuestos</w:t>
      </w:r>
      <w:r w:rsidRPr="00CC56A8">
        <w:rPr>
          <w:rFonts w:ascii="Times New Roman" w:hAnsi="Times New Roman" w:cs="Times New Roman"/>
          <w:sz w:val="24"/>
          <w:szCs w:val="24"/>
          <w:shd w:val="clear" w:color="auto" w:fill="FFFFFF"/>
        </w:rPr>
        <w:tab/>
      </w:r>
      <w:r w:rsidRPr="00CC56A8">
        <w:rPr>
          <w:rFonts w:ascii="Times New Roman" w:hAnsi="Times New Roman" w:cs="Times New Roman"/>
          <w:sz w:val="24"/>
          <w:szCs w:val="24"/>
          <w:shd w:val="clear" w:color="auto" w:fill="FFFFFF"/>
        </w:rPr>
        <w:tab/>
      </w:r>
      <w:r w:rsidRPr="00CC56A8">
        <w:rPr>
          <w:rFonts w:ascii="Times New Roman" w:hAnsi="Times New Roman" w:cs="Times New Roman"/>
          <w:sz w:val="24"/>
          <w:szCs w:val="24"/>
          <w:shd w:val="clear" w:color="auto" w:fill="FFFFFF"/>
        </w:rPr>
        <w:tab/>
      </w:r>
      <w:r w:rsidRPr="00CC56A8">
        <w:rPr>
          <w:rFonts w:ascii="Times New Roman" w:hAnsi="Times New Roman" w:cs="Times New Roman"/>
          <w:sz w:val="24"/>
          <w:szCs w:val="24"/>
          <w:shd w:val="clear" w:color="auto" w:fill="FFFFFF"/>
        </w:rPr>
        <w:tab/>
      </w:r>
      <w:r w:rsidRPr="00CC56A8">
        <w:rPr>
          <w:rFonts w:ascii="Times New Roman" w:hAnsi="Times New Roman" w:cs="Times New Roman"/>
          <w:sz w:val="24"/>
          <w:szCs w:val="24"/>
          <w:shd w:val="clear" w:color="auto" w:fill="FFFFFF"/>
        </w:rPr>
        <w:tab/>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Eliminar todo régimen de jubilaciones de privilegio</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Congelar las pensiones hasta que la inflación absorba los</w:t>
      </w:r>
      <w:r w:rsidR="00827355">
        <w:rPr>
          <w:rFonts w:ascii="Times New Roman" w:hAnsi="Times New Roman" w:cs="Times New Roman"/>
          <w:sz w:val="24"/>
          <w:szCs w:val="24"/>
          <w:shd w:val="clear" w:color="auto" w:fill="FFFFFF"/>
        </w:rPr>
        <w:t xml:space="preserve"> ajustes preferenciales pasados</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Sacar del cálculo del sistema público de pensiones todas</w:t>
      </w:r>
      <w:r w:rsidR="00827355">
        <w:rPr>
          <w:rFonts w:ascii="Times New Roman" w:hAnsi="Times New Roman" w:cs="Times New Roman"/>
          <w:sz w:val="24"/>
          <w:szCs w:val="24"/>
          <w:shd w:val="clear" w:color="auto" w:fill="FFFFFF"/>
        </w:rPr>
        <w:t xml:space="preserve"> las pensiones no contributivas</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Las pensiones no contributivas se abonarán co</w:t>
      </w:r>
      <w:r w:rsidR="00827355">
        <w:rPr>
          <w:rFonts w:ascii="Times New Roman" w:hAnsi="Times New Roman" w:cs="Times New Roman"/>
          <w:sz w:val="24"/>
          <w:szCs w:val="24"/>
          <w:shd w:val="clear" w:color="auto" w:fill="FFFFFF"/>
        </w:rPr>
        <w:t>n cargo al presupuesto nacional</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Realizar una auditoría personalizada de todas</w:t>
      </w:r>
      <w:r w:rsidR="00827355">
        <w:rPr>
          <w:rFonts w:ascii="Times New Roman" w:hAnsi="Times New Roman" w:cs="Times New Roman"/>
          <w:sz w:val="24"/>
          <w:szCs w:val="24"/>
          <w:shd w:val="clear" w:color="auto" w:fill="FFFFFF"/>
        </w:rPr>
        <w:t xml:space="preserve"> las pensiones no contributivas</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Llevar la edad de jubilación a los 70 años. Ampliar el período de cálculo de las p</w:t>
      </w:r>
      <w:r w:rsidR="00827355">
        <w:rPr>
          <w:rFonts w:ascii="Times New Roman" w:hAnsi="Times New Roman" w:cs="Times New Roman"/>
          <w:sz w:val="24"/>
          <w:szCs w:val="24"/>
          <w:shd w:val="clear" w:color="auto" w:fill="FFFFFF"/>
        </w:rPr>
        <w:t>ensiones a toda la vida laboral</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Recortar todas las prestaciones sociales hasta alcanzar la media de la OCDE</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Desgravar los aportes al sistema de jubilación privada</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Desgravar las inversiones en propiedades para alquilar y la renta del alquiler</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Suprimir los festivos hasta alcanzar la media de la OCDE</w:t>
      </w:r>
    </w:p>
    <w:p w:rsidR="004E3111" w:rsidRPr="00CC56A8" w:rsidRDefault="004E3111" w:rsidP="004E3111">
      <w:pPr>
        <w:pStyle w:val="Prrafodelista"/>
        <w:numPr>
          <w:ilvl w:val="0"/>
          <w:numId w:val="2"/>
        </w:numPr>
        <w:spacing w:line="240" w:lineRule="auto"/>
        <w:jc w:val="both"/>
        <w:rPr>
          <w:rFonts w:ascii="Times New Roman" w:hAnsi="Times New Roman" w:cs="Times New Roman"/>
          <w:sz w:val="24"/>
          <w:szCs w:val="24"/>
          <w:shd w:val="clear" w:color="auto" w:fill="FFFFFF"/>
        </w:rPr>
      </w:pPr>
      <w:r w:rsidRPr="00CC56A8">
        <w:rPr>
          <w:rFonts w:ascii="Times New Roman" w:hAnsi="Times New Roman" w:cs="Times New Roman"/>
          <w:sz w:val="24"/>
          <w:szCs w:val="24"/>
          <w:shd w:val="clear" w:color="auto" w:fill="FFFFFF"/>
        </w:rPr>
        <w:t>Desregular la actividad empresarial</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Terminar con los corporativismos lesivos (farmacias, notarias, gasolineras, controladores aéreos, estibadores portuarios, carnet de conducir, y otros “cotos” privados) </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Liberación del horario comercial</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Permitir la apertura de locales y nuevas actividades empresariales por silencio administrativo (en un plazo máximo de 30 días)</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Establecer la unidad de mercado en todo el territorio nacional</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Recortar todas las prestaciones sociales hasta alcanzar la media de la OCDE</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No admitir sobrecostes (imprevistos, modificados) en los contratos de Obras Públicas</w:t>
      </w:r>
    </w:p>
    <w:p w:rsidR="004E3111" w:rsidRPr="00273220"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No admitir ampliaciones de contratos en las Obras Públicas</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Eliminar de la lista de proveedores del estado aquellas empresas o empresarios que tengan alguna pena por corrupción</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Dejar de subvencionar a todo tipo de ONG</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Abandonar todo sistema de Ayuda al desarrollo a terceros países (FAD)</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Estricto control de la inmigración ilegal (devolución en caliente, al lugar de salida)</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Los menores no acompañados serán considerados como inmigración ilegal</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Las solicitudes de asilo no se tramitarán en el territorio nacional</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No se tramitarán las solicitudes de reagrupamiento familiar</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Todos los inmigrantes se deberán comprometer a adoptar los usos y costumbres nacionales (no pudiendo solicitar ningún tipo trato especial, o preferente)</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Deportación inmediata de los inmigrantes condenados por delitos graves</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Las autoridades marítimas no permitirán el atraque de los buques de las ONG que rescaten inmigrantes ilegales en alta mar</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Las autoridades marítimas no saldrán al recate de navíos no registrados en alta mar</w:t>
      </w:r>
    </w:p>
    <w:p w:rsidR="004E3111"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Se enviará a prisión al capitán y tripulación (sin opción de libertad bajo fianza, o deportación) del navío que llegue a la costa con inmigrantes ilegales</w:t>
      </w:r>
    </w:p>
    <w:p w:rsidR="004E3111" w:rsidRPr="00CC56A8" w:rsidRDefault="004E3111" w:rsidP="004E3111">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Se destruirá todo tipo de embarcación que llegue a la costa con inmigrantes ilegales</w:t>
      </w:r>
    </w:p>
    <w:p w:rsidR="004E3111" w:rsidRPr="006D499C" w:rsidRDefault="004E3111" w:rsidP="004E3111">
      <w:pPr>
        <w:spacing w:line="240" w:lineRule="auto"/>
        <w:jc w:val="both"/>
        <w:rPr>
          <w:rFonts w:ascii="Times New Roman" w:hAnsi="Times New Roman" w:cs="Times New Roman"/>
          <w:sz w:val="24"/>
          <w:szCs w:val="24"/>
          <w:shd w:val="clear" w:color="auto" w:fill="FFFFFF"/>
        </w:rPr>
      </w:pPr>
      <w:r w:rsidRPr="006D499C">
        <w:rPr>
          <w:rFonts w:ascii="Times New Roman" w:hAnsi="Times New Roman" w:cs="Times New Roman"/>
          <w:sz w:val="24"/>
          <w:szCs w:val="24"/>
          <w:shd w:val="clear" w:color="auto" w:fill="FFFFFF"/>
        </w:rPr>
        <w:lastRenderedPageBreak/>
        <w:t>El lector puede agregar a la lista otras “asignaturas pendientes”. Haberlas, haylas…</w:t>
      </w:r>
    </w:p>
    <w:p w:rsidR="004E3111" w:rsidRPr="006D499C" w:rsidRDefault="004E3111" w:rsidP="004E3111">
      <w:pPr>
        <w:spacing w:line="240" w:lineRule="auto"/>
        <w:jc w:val="both"/>
        <w:rPr>
          <w:rFonts w:ascii="Times New Roman" w:hAnsi="Times New Roman" w:cs="Times New Roman"/>
          <w:sz w:val="24"/>
          <w:szCs w:val="24"/>
          <w:shd w:val="clear" w:color="auto" w:fill="FFFFFF"/>
        </w:rPr>
      </w:pPr>
      <w:r w:rsidRPr="006D499C">
        <w:rPr>
          <w:rFonts w:ascii="Times New Roman" w:hAnsi="Times New Roman" w:cs="Times New Roman"/>
          <w:sz w:val="24"/>
          <w:szCs w:val="24"/>
          <w:shd w:val="clear" w:color="auto" w:fill="FFFFFF"/>
        </w:rPr>
        <w:t>Al principio pensaba que no lograría llegar a diseñar los “Setenta balcones” (propuestas, alternativas, desafíos), y al final, creo que he terminado excediendo el Permiso de Edificación (70 balcones). Dónde tengo mis dudas es en la (ninguna) flor. ¿Ustedes dónde la pondrían?</w:t>
      </w:r>
    </w:p>
    <w:p w:rsidR="004E3111" w:rsidRPr="00B951BD" w:rsidRDefault="004E3111" w:rsidP="004E3111">
      <w:pPr>
        <w:spacing w:line="240" w:lineRule="auto"/>
        <w:jc w:val="both"/>
        <w:rPr>
          <w:rFonts w:ascii="Times New Roman" w:hAnsi="Times New Roman" w:cs="Times New Roman"/>
          <w:b/>
          <w:sz w:val="24"/>
          <w:szCs w:val="24"/>
          <w:shd w:val="clear" w:color="auto" w:fill="FFFFFF"/>
        </w:rPr>
      </w:pPr>
      <w:r w:rsidRPr="00B951BD">
        <w:rPr>
          <w:rFonts w:ascii="Times New Roman" w:hAnsi="Times New Roman" w:cs="Times New Roman"/>
          <w:b/>
          <w:sz w:val="24"/>
          <w:szCs w:val="24"/>
          <w:shd w:val="clear" w:color="auto" w:fill="FFFFFF"/>
        </w:rPr>
        <w:t xml:space="preserve">¿Habrá algún sector (social, político, empresarial) dispuesto a poner fin a esta pesadilla burocrática, y nido de la corrupción institucional? ¿Quedará alguien con valentía para clausurar esta especie de club de los negocios raros? ¿Se animarán los políticos (de izquierda </w:t>
      </w:r>
      <w:r w:rsidR="00B951BD">
        <w:rPr>
          <w:rFonts w:ascii="Times New Roman" w:hAnsi="Times New Roman" w:cs="Times New Roman"/>
          <w:b/>
          <w:sz w:val="24"/>
          <w:szCs w:val="24"/>
          <w:shd w:val="clear" w:color="auto" w:fill="FFFFFF"/>
        </w:rPr>
        <w:t>y/o de derecha, a ponerle, con seriedad y responsabilidad</w:t>
      </w:r>
      <w:r w:rsidRPr="00B951BD">
        <w:rPr>
          <w:rFonts w:ascii="Times New Roman" w:hAnsi="Times New Roman" w:cs="Times New Roman"/>
          <w:b/>
          <w:sz w:val="24"/>
          <w:szCs w:val="24"/>
          <w:shd w:val="clear" w:color="auto" w:fill="FFFFFF"/>
        </w:rPr>
        <w:t>, el cascabel al ga</w:t>
      </w:r>
      <w:r w:rsidR="00B951BD">
        <w:rPr>
          <w:rFonts w:ascii="Times New Roman" w:hAnsi="Times New Roman" w:cs="Times New Roman"/>
          <w:b/>
          <w:sz w:val="24"/>
          <w:szCs w:val="24"/>
          <w:shd w:val="clear" w:color="auto" w:fill="FFFFFF"/>
        </w:rPr>
        <w:t>to? ¿Podrá haber algún tipo de “</w:t>
      </w:r>
      <w:r w:rsidRPr="00B951BD">
        <w:rPr>
          <w:rFonts w:ascii="Times New Roman" w:hAnsi="Times New Roman" w:cs="Times New Roman"/>
          <w:b/>
          <w:sz w:val="24"/>
          <w:szCs w:val="24"/>
          <w:shd w:val="clear" w:color="auto" w:fill="FFFFFF"/>
        </w:rPr>
        <w:t>acuerdo de est</w:t>
      </w:r>
      <w:r w:rsidR="00B951BD">
        <w:rPr>
          <w:rFonts w:ascii="Times New Roman" w:hAnsi="Times New Roman" w:cs="Times New Roman"/>
          <w:b/>
          <w:sz w:val="24"/>
          <w:szCs w:val="24"/>
          <w:shd w:val="clear" w:color="auto" w:fill="FFFFFF"/>
        </w:rPr>
        <w:t>ado”</w:t>
      </w:r>
      <w:r w:rsidRPr="00B951BD">
        <w:rPr>
          <w:rFonts w:ascii="Times New Roman" w:hAnsi="Times New Roman" w:cs="Times New Roman"/>
          <w:b/>
          <w:sz w:val="24"/>
          <w:szCs w:val="24"/>
          <w:shd w:val="clear" w:color="auto" w:fill="FFFFFF"/>
        </w:rPr>
        <w:t xml:space="preserve"> para generar el cambio estructural, que permita hacer permanente el crecimiento económico y el desarrollo social?</w:t>
      </w:r>
    </w:p>
    <w:p w:rsidR="00802C7D" w:rsidRPr="00B951BD" w:rsidRDefault="004E3111" w:rsidP="00802C7D">
      <w:pPr>
        <w:spacing w:line="240" w:lineRule="auto"/>
        <w:jc w:val="both"/>
        <w:rPr>
          <w:rFonts w:ascii="Times New Roman" w:hAnsi="Times New Roman" w:cs="Times New Roman"/>
          <w:sz w:val="24"/>
          <w:szCs w:val="24"/>
          <w:shd w:val="clear" w:color="auto" w:fill="FFFFFF"/>
        </w:rPr>
      </w:pPr>
      <w:r w:rsidRPr="00B951BD">
        <w:rPr>
          <w:rFonts w:ascii="Times New Roman" w:hAnsi="Times New Roman" w:cs="Times New Roman"/>
          <w:sz w:val="24"/>
          <w:szCs w:val="24"/>
          <w:shd w:val="clear" w:color="auto" w:fill="FFFFFF"/>
        </w:rPr>
        <w:t>Porque esto, señores… “va de dinero”… de “lucro mayúsculo”… de “pasión por el dinero”…</w:t>
      </w:r>
    </w:p>
    <w:p w:rsidR="00802C7D" w:rsidRPr="00B951BD" w:rsidRDefault="00802C7D" w:rsidP="00802C7D">
      <w:pPr>
        <w:spacing w:line="240" w:lineRule="auto"/>
        <w:jc w:val="both"/>
        <w:rPr>
          <w:rFonts w:ascii="Times New Roman" w:hAnsi="Times New Roman" w:cs="Times New Roman"/>
          <w:b/>
          <w:sz w:val="24"/>
          <w:szCs w:val="24"/>
          <w:shd w:val="clear" w:color="auto" w:fill="FFFFFF"/>
        </w:rPr>
      </w:pPr>
      <w:r w:rsidRPr="00B951BD">
        <w:rPr>
          <w:rFonts w:ascii="Times New Roman" w:hAnsi="Times New Roman" w:cs="Times New Roman"/>
          <w:b/>
          <w:sz w:val="24"/>
          <w:szCs w:val="24"/>
          <w:shd w:val="clear" w:color="auto" w:fill="FFFFFF"/>
        </w:rPr>
        <w:t>Después del retrato presentado (</w:t>
      </w:r>
      <w:r w:rsidR="00156710" w:rsidRPr="00B951BD">
        <w:rPr>
          <w:rFonts w:ascii="Times New Roman" w:hAnsi="Times New Roman" w:cs="Times New Roman"/>
          <w:b/>
          <w:sz w:val="24"/>
          <w:szCs w:val="24"/>
          <w:shd w:val="clear" w:color="auto" w:fill="FFFFFF"/>
        </w:rPr>
        <w:t>“</w:t>
      </w:r>
      <w:r w:rsidRPr="00B951BD">
        <w:rPr>
          <w:rFonts w:ascii="Times New Roman" w:hAnsi="Times New Roman" w:cs="Times New Roman"/>
          <w:b/>
          <w:sz w:val="24"/>
          <w:szCs w:val="24"/>
          <w:shd w:val="clear" w:color="auto" w:fill="FFFFFF"/>
        </w:rPr>
        <w:t>Un TAC a la España del Tercer Mundo</w:t>
      </w:r>
      <w:r w:rsidR="00156710" w:rsidRPr="00B951BD">
        <w:rPr>
          <w:rFonts w:ascii="Times New Roman" w:hAnsi="Times New Roman" w:cs="Times New Roman"/>
          <w:b/>
          <w:sz w:val="24"/>
          <w:szCs w:val="24"/>
          <w:shd w:val="clear" w:color="auto" w:fill="FFFFFF"/>
        </w:rPr>
        <w:t>”</w:t>
      </w:r>
      <w:r w:rsidRPr="00B951BD">
        <w:rPr>
          <w:rFonts w:ascii="Times New Roman" w:hAnsi="Times New Roman" w:cs="Times New Roman"/>
          <w:b/>
          <w:sz w:val="24"/>
          <w:szCs w:val="24"/>
          <w:shd w:val="clear" w:color="auto" w:fill="FFFFFF"/>
        </w:rPr>
        <w:t>) sobre la degeneración de la Naci</w:t>
      </w:r>
      <w:r w:rsidR="00FB1411">
        <w:rPr>
          <w:rFonts w:ascii="Times New Roman" w:hAnsi="Times New Roman" w:cs="Times New Roman"/>
          <w:b/>
          <w:sz w:val="24"/>
          <w:szCs w:val="24"/>
          <w:shd w:val="clear" w:color="auto" w:fill="FFFFFF"/>
        </w:rPr>
        <w:t>ón en los últimos 48 años,</w:t>
      </w:r>
      <w:r w:rsidRPr="00B951BD">
        <w:rPr>
          <w:rFonts w:ascii="Times New Roman" w:hAnsi="Times New Roman" w:cs="Times New Roman"/>
          <w:b/>
          <w:sz w:val="24"/>
          <w:szCs w:val="24"/>
          <w:shd w:val="clear" w:color="auto" w:fill="FFFFFF"/>
        </w:rPr>
        <w:t xml:space="preserve"> por tantos esfuerzos y recursos dilapidados, </w:t>
      </w:r>
      <w:r w:rsidR="00156710" w:rsidRPr="00B951BD">
        <w:rPr>
          <w:rFonts w:ascii="Times New Roman" w:hAnsi="Times New Roman" w:cs="Times New Roman"/>
          <w:b/>
          <w:sz w:val="24"/>
          <w:szCs w:val="24"/>
          <w:shd w:val="clear" w:color="auto" w:fill="FFFFFF"/>
        </w:rPr>
        <w:t xml:space="preserve">es prioritario (fundamental) conocer quiénes </w:t>
      </w:r>
      <w:r w:rsidRPr="00B951BD">
        <w:rPr>
          <w:rFonts w:ascii="Times New Roman" w:hAnsi="Times New Roman" w:cs="Times New Roman"/>
          <w:b/>
          <w:sz w:val="24"/>
          <w:szCs w:val="24"/>
          <w:shd w:val="clear" w:color="auto" w:fill="FFFFFF"/>
        </w:rPr>
        <w:t>quieren hacerse cargo del pudrim</w:t>
      </w:r>
      <w:r w:rsidR="00156710" w:rsidRPr="00B951BD">
        <w:rPr>
          <w:rFonts w:ascii="Times New Roman" w:hAnsi="Times New Roman" w:cs="Times New Roman"/>
          <w:b/>
          <w:sz w:val="24"/>
          <w:szCs w:val="24"/>
          <w:shd w:val="clear" w:color="auto" w:fill="FFFFFF"/>
        </w:rPr>
        <w:t>iento de su estado de bienestar.</w:t>
      </w:r>
    </w:p>
    <w:p w:rsidR="00802C7D" w:rsidRPr="00B951BD" w:rsidRDefault="00156710" w:rsidP="00802C7D">
      <w:pPr>
        <w:spacing w:line="240" w:lineRule="auto"/>
        <w:jc w:val="both"/>
        <w:rPr>
          <w:rFonts w:ascii="Times New Roman" w:hAnsi="Times New Roman" w:cs="Times New Roman"/>
          <w:b/>
          <w:sz w:val="24"/>
          <w:szCs w:val="24"/>
          <w:shd w:val="clear" w:color="auto" w:fill="FFFFFF"/>
        </w:rPr>
      </w:pPr>
      <w:r w:rsidRPr="00B951BD">
        <w:rPr>
          <w:rFonts w:ascii="Times New Roman" w:hAnsi="Times New Roman" w:cs="Times New Roman"/>
          <w:b/>
          <w:sz w:val="24"/>
          <w:szCs w:val="24"/>
          <w:shd w:val="clear" w:color="auto" w:fill="FFFFFF"/>
        </w:rPr>
        <w:t>Millones de españoles tienen</w:t>
      </w:r>
      <w:r w:rsidR="00802C7D" w:rsidRPr="00B951BD">
        <w:rPr>
          <w:rFonts w:ascii="Times New Roman" w:hAnsi="Times New Roman" w:cs="Times New Roman"/>
          <w:b/>
          <w:sz w:val="24"/>
          <w:szCs w:val="24"/>
          <w:shd w:val="clear" w:color="auto" w:fill="FFFFFF"/>
        </w:rPr>
        <w:t xml:space="preserve"> que reflexionar sobre esta cu</w:t>
      </w:r>
      <w:r w:rsidRPr="00B951BD">
        <w:rPr>
          <w:rFonts w:ascii="Times New Roman" w:hAnsi="Times New Roman" w:cs="Times New Roman"/>
          <w:b/>
          <w:sz w:val="24"/>
          <w:szCs w:val="24"/>
          <w:shd w:val="clear" w:color="auto" w:fill="FFFFFF"/>
        </w:rPr>
        <w:t>estión fundamental para su futuro y el de sus</w:t>
      </w:r>
      <w:r w:rsidR="00802C7D" w:rsidRPr="00B951BD">
        <w:rPr>
          <w:rFonts w:ascii="Times New Roman" w:hAnsi="Times New Roman" w:cs="Times New Roman"/>
          <w:b/>
          <w:sz w:val="24"/>
          <w:szCs w:val="24"/>
          <w:shd w:val="clear" w:color="auto" w:fill="FFFFFF"/>
        </w:rPr>
        <w:t xml:space="preserve"> hijos</w:t>
      </w:r>
      <w:r w:rsidRPr="00B951BD">
        <w:rPr>
          <w:rFonts w:ascii="Times New Roman" w:hAnsi="Times New Roman" w:cs="Times New Roman"/>
          <w:b/>
          <w:sz w:val="24"/>
          <w:szCs w:val="24"/>
          <w:shd w:val="clear" w:color="auto" w:fill="FFFFFF"/>
        </w:rPr>
        <w:t>; y es de esperar que lo hagan pronto (¿</w:t>
      </w:r>
      <w:r w:rsidR="00802C7D" w:rsidRPr="00B951BD">
        <w:rPr>
          <w:rFonts w:ascii="Times New Roman" w:hAnsi="Times New Roman" w:cs="Times New Roman"/>
          <w:b/>
          <w:sz w:val="24"/>
          <w:szCs w:val="24"/>
          <w:shd w:val="clear" w:color="auto" w:fill="FFFFFF"/>
        </w:rPr>
        <w:t>próximas elecciones</w:t>
      </w:r>
      <w:r w:rsidRPr="00B951BD">
        <w:rPr>
          <w:rFonts w:ascii="Times New Roman" w:hAnsi="Times New Roman" w:cs="Times New Roman"/>
          <w:b/>
          <w:sz w:val="24"/>
          <w:szCs w:val="24"/>
          <w:shd w:val="clear" w:color="auto" w:fill="FFFFFF"/>
        </w:rPr>
        <w:t>?)</w:t>
      </w:r>
      <w:r w:rsidR="00802C7D" w:rsidRPr="00B951BD">
        <w:rPr>
          <w:rFonts w:ascii="Times New Roman" w:hAnsi="Times New Roman" w:cs="Times New Roman"/>
          <w:b/>
          <w:sz w:val="24"/>
          <w:szCs w:val="24"/>
          <w:shd w:val="clear" w:color="auto" w:fill="FFFFFF"/>
        </w:rPr>
        <w:t>, para evitar que aquellos que se niegan a aceptar la realidad resulten ser suficientes para evi</w:t>
      </w:r>
      <w:r w:rsidRPr="00B951BD">
        <w:rPr>
          <w:rFonts w:ascii="Times New Roman" w:hAnsi="Times New Roman" w:cs="Times New Roman"/>
          <w:b/>
          <w:sz w:val="24"/>
          <w:szCs w:val="24"/>
          <w:shd w:val="clear" w:color="auto" w:fill="FFFFFF"/>
        </w:rPr>
        <w:t>tar poner</w:t>
      </w:r>
      <w:r w:rsidR="00BC420A" w:rsidRPr="00B951BD">
        <w:rPr>
          <w:rFonts w:ascii="Times New Roman" w:hAnsi="Times New Roman" w:cs="Times New Roman"/>
          <w:b/>
          <w:sz w:val="24"/>
          <w:szCs w:val="24"/>
          <w:shd w:val="clear" w:color="auto" w:fill="FFFFFF"/>
        </w:rPr>
        <w:t xml:space="preserve"> freno al cambio de estructuras necesario.</w:t>
      </w:r>
    </w:p>
    <w:p w:rsidR="004E3111" w:rsidRPr="00B951BD" w:rsidRDefault="004E3111" w:rsidP="004E3111">
      <w:pPr>
        <w:spacing w:line="240" w:lineRule="auto"/>
        <w:jc w:val="both"/>
        <w:rPr>
          <w:rFonts w:ascii="Times New Roman" w:hAnsi="Times New Roman" w:cs="Times New Roman"/>
          <w:color w:val="000000"/>
          <w:sz w:val="24"/>
          <w:szCs w:val="24"/>
          <w:shd w:val="clear" w:color="auto" w:fill="FFFFFF"/>
        </w:rPr>
      </w:pPr>
      <w:r w:rsidRPr="00B951BD">
        <w:rPr>
          <w:rFonts w:ascii="Times New Roman" w:hAnsi="Times New Roman" w:cs="Times New Roman"/>
          <w:color w:val="000000"/>
          <w:sz w:val="24"/>
          <w:szCs w:val="24"/>
          <w:shd w:val="clear" w:color="auto" w:fill="FFFFFF"/>
        </w:rPr>
        <w:t>Las tareas a realizar para dejar de ser un país “predemocrático” las dejo para mi “reencarnación”…</w:t>
      </w:r>
    </w:p>
    <w:p w:rsidR="00CD32B3" w:rsidRDefault="00CD32B3" w:rsidP="004E3111">
      <w:pPr>
        <w:spacing w:line="240" w:lineRule="auto"/>
        <w:jc w:val="both"/>
        <w:rPr>
          <w:rFonts w:ascii="Times New Roman" w:hAnsi="Times New Roman" w:cs="Times New Roman"/>
          <w:b/>
          <w:color w:val="000000"/>
          <w:sz w:val="24"/>
          <w:szCs w:val="24"/>
          <w:shd w:val="clear" w:color="auto" w:fill="FFFFFF"/>
        </w:rPr>
      </w:pPr>
      <w:r w:rsidRPr="00CD32B3">
        <w:rPr>
          <w:rFonts w:ascii="Times New Roman" w:hAnsi="Times New Roman" w:cs="Times New Roman"/>
          <w:b/>
          <w:color w:val="000000"/>
          <w:sz w:val="24"/>
          <w:szCs w:val="24"/>
          <w:shd w:val="clear" w:color="auto" w:fill="FFFFFF"/>
        </w:rPr>
        <w:t>El pliegue del tiempo</w:t>
      </w:r>
    </w:p>
    <w:p w:rsidR="006C416E" w:rsidRPr="006C416E" w:rsidRDefault="006C416E" w:rsidP="004E311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“Puedo prometer y prometo” es una famosa frase</w:t>
      </w:r>
      <w:r w:rsidRPr="006C416E">
        <w:rPr>
          <w:rFonts w:ascii="Times New Roman" w:hAnsi="Times New Roman" w:cs="Times New Roman"/>
          <w:color w:val="000000"/>
          <w:sz w:val="24"/>
          <w:szCs w:val="24"/>
          <w:shd w:val="clear" w:color="auto" w:fill="FFFFFF"/>
        </w:rPr>
        <w:t xml:space="preserve"> usada por el entonces candidato a la presidencia del Gobierno de España, Adolfo Suárez, durante su discurso electoral del 13 de junio de 1977 en Televisión Española, en la antevíspera de las elecciones ge</w:t>
      </w:r>
      <w:r>
        <w:rPr>
          <w:rFonts w:ascii="Times New Roman" w:hAnsi="Times New Roman" w:cs="Times New Roman"/>
          <w:color w:val="000000"/>
          <w:sz w:val="24"/>
          <w:szCs w:val="24"/>
          <w:shd w:val="clear" w:color="auto" w:fill="FFFFFF"/>
        </w:rPr>
        <w:t>nerales de 1977.</w:t>
      </w:r>
      <w:r w:rsidRPr="006C416E">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w:t>
      </w:r>
    </w:p>
    <w:p w:rsidR="00CD32B3" w:rsidRDefault="00CD32B3" w:rsidP="004E3111">
      <w:pPr>
        <w:spacing w:line="240" w:lineRule="auto"/>
        <w:jc w:val="both"/>
        <w:rPr>
          <w:rFonts w:ascii="Times New Roman" w:hAnsi="Times New Roman" w:cs="Times New Roman"/>
          <w:color w:val="000000"/>
          <w:sz w:val="24"/>
          <w:szCs w:val="24"/>
          <w:shd w:val="clear" w:color="auto" w:fill="FFFFFF"/>
        </w:rPr>
      </w:pPr>
      <w:r w:rsidRPr="00CD32B3">
        <w:rPr>
          <w:rFonts w:ascii="Times New Roman" w:hAnsi="Times New Roman" w:cs="Times New Roman"/>
          <w:color w:val="000000"/>
          <w:sz w:val="24"/>
          <w:szCs w:val="24"/>
          <w:shd w:val="clear" w:color="auto" w:fill="FFFFFF"/>
        </w:rPr>
        <w:t xml:space="preserve">Algunos </w:t>
      </w:r>
      <w:r>
        <w:rPr>
          <w:rFonts w:ascii="Times New Roman" w:hAnsi="Times New Roman" w:cs="Times New Roman"/>
          <w:color w:val="000000"/>
          <w:sz w:val="24"/>
          <w:szCs w:val="24"/>
          <w:shd w:val="clear" w:color="auto" w:fill="FFFFFF"/>
        </w:rPr>
        <w:t>memoriosos y otros</w:t>
      </w:r>
      <w:r w:rsidR="00C03816">
        <w:rPr>
          <w:rFonts w:ascii="Times New Roman" w:hAnsi="Times New Roman" w:cs="Times New Roman"/>
          <w:color w:val="000000"/>
          <w:sz w:val="24"/>
          <w:szCs w:val="24"/>
          <w:shd w:val="clear" w:color="auto" w:fill="FFFFFF"/>
        </w:rPr>
        <w:t xml:space="preserve"> insomnes, sostienen que alguna</w:t>
      </w:r>
      <w:r>
        <w:rPr>
          <w:rFonts w:ascii="Times New Roman" w:hAnsi="Times New Roman" w:cs="Times New Roman"/>
          <w:color w:val="000000"/>
          <w:sz w:val="24"/>
          <w:szCs w:val="24"/>
          <w:shd w:val="clear" w:color="auto" w:fill="FFFFFF"/>
        </w:rPr>
        <w:t xml:space="preserve"> vez (hace tiempo, y aquí cerca) Jesús de Polanco (“</w:t>
      </w:r>
      <w:r w:rsidR="00FE562B">
        <w:rPr>
          <w:rFonts w:ascii="Times New Roman" w:hAnsi="Times New Roman" w:cs="Times New Roman"/>
          <w:color w:val="000000"/>
          <w:sz w:val="24"/>
          <w:szCs w:val="24"/>
          <w:shd w:val="clear" w:color="auto" w:fill="FFFFFF"/>
        </w:rPr>
        <w:t>factótum</w:t>
      </w:r>
      <w:r>
        <w:rPr>
          <w:rFonts w:ascii="Times New Roman" w:hAnsi="Times New Roman" w:cs="Times New Roman"/>
          <w:color w:val="000000"/>
          <w:sz w:val="24"/>
          <w:szCs w:val="24"/>
          <w:shd w:val="clear" w:color="auto" w:fill="FFFFFF"/>
        </w:rPr>
        <w:t>” del</w:t>
      </w:r>
      <w:r w:rsidR="00C03816">
        <w:rPr>
          <w:rFonts w:ascii="Times New Roman" w:hAnsi="Times New Roman" w:cs="Times New Roman"/>
          <w:color w:val="000000"/>
          <w:sz w:val="24"/>
          <w:szCs w:val="24"/>
          <w:shd w:val="clear" w:color="auto" w:fill="FFFFFF"/>
        </w:rPr>
        <w:t xml:space="preserve"> diario El País, la Ca</w:t>
      </w:r>
      <w:r>
        <w:rPr>
          <w:rFonts w:ascii="Times New Roman" w:hAnsi="Times New Roman" w:cs="Times New Roman"/>
          <w:color w:val="000000"/>
          <w:sz w:val="24"/>
          <w:szCs w:val="24"/>
          <w:shd w:val="clear" w:color="auto" w:fill="FFFFFF"/>
        </w:rPr>
        <w:t xml:space="preserve">dena Ser, </w:t>
      </w:r>
      <w:r w:rsidR="00C03816">
        <w:rPr>
          <w:rFonts w:ascii="Times New Roman" w:hAnsi="Times New Roman" w:cs="Times New Roman"/>
          <w:color w:val="000000"/>
          <w:sz w:val="24"/>
          <w:szCs w:val="24"/>
          <w:shd w:val="clear" w:color="auto" w:fill="FFFFFF"/>
        </w:rPr>
        <w:t xml:space="preserve">el </w:t>
      </w:r>
      <w:r>
        <w:rPr>
          <w:rFonts w:ascii="Times New Roman" w:hAnsi="Times New Roman" w:cs="Times New Roman"/>
          <w:color w:val="000000"/>
          <w:sz w:val="24"/>
          <w:szCs w:val="24"/>
          <w:shd w:val="clear" w:color="auto" w:fill="FFFFFF"/>
        </w:rPr>
        <w:t>Canal Plus,</w:t>
      </w:r>
      <w:r w:rsidR="00C03816">
        <w:rPr>
          <w:rFonts w:ascii="Times New Roman" w:hAnsi="Times New Roman" w:cs="Times New Roman"/>
          <w:color w:val="000000"/>
          <w:sz w:val="24"/>
          <w:szCs w:val="24"/>
          <w:shd w:val="clear" w:color="auto" w:fill="FFFFFF"/>
        </w:rPr>
        <w:t xml:space="preserve"> la editorial</w:t>
      </w:r>
      <w:r>
        <w:rPr>
          <w:rFonts w:ascii="Times New Roman" w:hAnsi="Times New Roman" w:cs="Times New Roman"/>
          <w:color w:val="000000"/>
          <w:sz w:val="24"/>
          <w:szCs w:val="24"/>
          <w:shd w:val="clear" w:color="auto" w:fill="FFFFFF"/>
        </w:rPr>
        <w:t xml:space="preserve"> Santillana, </w:t>
      </w:r>
      <w:r w:rsidR="00C03816">
        <w:rPr>
          <w:rFonts w:ascii="Times New Roman" w:hAnsi="Times New Roman" w:cs="Times New Roman"/>
          <w:color w:val="000000"/>
          <w:sz w:val="24"/>
          <w:szCs w:val="24"/>
          <w:shd w:val="clear" w:color="auto" w:fill="FFFFFF"/>
        </w:rPr>
        <w:t xml:space="preserve">las empresas de comercio exterior, Sanitrade y </w:t>
      </w:r>
      <w:r>
        <w:rPr>
          <w:rFonts w:ascii="Times New Roman" w:hAnsi="Times New Roman" w:cs="Times New Roman"/>
          <w:color w:val="000000"/>
          <w:sz w:val="24"/>
          <w:szCs w:val="24"/>
          <w:shd w:val="clear" w:color="auto" w:fill="FFFFFF"/>
        </w:rPr>
        <w:t>Eductrade, e innumerables engendros espantosos</w:t>
      </w:r>
      <w:r w:rsidR="00C03816">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con los que </w:t>
      </w:r>
      <w:r w:rsidR="00C03816">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mamar</w:t>
      </w:r>
      <w:r w:rsidR="00C03816">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del presupuesto, y gran sostén del socia</w:t>
      </w:r>
      <w:r w:rsidR="00C03816">
        <w:rPr>
          <w:rFonts w:ascii="Times New Roman" w:hAnsi="Times New Roman" w:cs="Times New Roman"/>
          <w:color w:val="000000"/>
          <w:sz w:val="24"/>
          <w:szCs w:val="24"/>
          <w:shd w:val="clear" w:color="auto" w:fill="FFFFFF"/>
        </w:rPr>
        <w:t>lismo patrio) dijo: “</w:t>
      </w:r>
      <w:r w:rsidRPr="00CD32B3">
        <w:rPr>
          <w:rFonts w:ascii="Times New Roman" w:hAnsi="Times New Roman" w:cs="Times New Roman"/>
          <w:color w:val="000000"/>
          <w:sz w:val="24"/>
          <w:szCs w:val="24"/>
          <w:shd w:val="clear" w:color="auto" w:fill="FFFFFF"/>
        </w:rPr>
        <w:t>No hay cojones en Esp</w:t>
      </w:r>
      <w:r w:rsidR="00C03816">
        <w:rPr>
          <w:rFonts w:ascii="Times New Roman" w:hAnsi="Times New Roman" w:cs="Times New Roman"/>
          <w:color w:val="000000"/>
          <w:sz w:val="24"/>
          <w:szCs w:val="24"/>
          <w:shd w:val="clear" w:color="auto" w:fill="FFFFFF"/>
        </w:rPr>
        <w:t>aña para negarme una televisión”</w:t>
      </w:r>
      <w:r w:rsidR="006C416E">
        <w:rPr>
          <w:rFonts w:ascii="Times New Roman" w:hAnsi="Times New Roman" w:cs="Times New Roman"/>
          <w:color w:val="000000"/>
          <w:sz w:val="24"/>
          <w:szCs w:val="24"/>
          <w:shd w:val="clear" w:color="auto" w:fill="FFFFFF"/>
        </w:rPr>
        <w:t>. (</w:t>
      </w:r>
      <w:r w:rsidR="006C416E" w:rsidRPr="006C416E">
        <w:rPr>
          <w:rFonts w:ascii="Times New Roman" w:hAnsi="Times New Roman" w:cs="Times New Roman"/>
          <w:color w:val="000000"/>
          <w:sz w:val="24"/>
          <w:szCs w:val="24"/>
          <w:shd w:val="clear" w:color="auto" w:fill="FFFFFF"/>
        </w:rPr>
        <w:t>En 1989 el Gobierno</w:t>
      </w:r>
      <w:r w:rsidR="006C416E">
        <w:rPr>
          <w:rFonts w:ascii="Times New Roman" w:hAnsi="Times New Roman" w:cs="Times New Roman"/>
          <w:color w:val="000000"/>
          <w:sz w:val="24"/>
          <w:szCs w:val="24"/>
          <w:shd w:val="clear" w:color="auto" w:fill="FFFFFF"/>
        </w:rPr>
        <w:t xml:space="preserve"> del PSOE</w:t>
      </w:r>
      <w:r w:rsidR="006C416E" w:rsidRPr="006C416E">
        <w:rPr>
          <w:rFonts w:ascii="Times New Roman" w:hAnsi="Times New Roman" w:cs="Times New Roman"/>
          <w:color w:val="000000"/>
          <w:sz w:val="24"/>
          <w:szCs w:val="24"/>
          <w:shd w:val="clear" w:color="auto" w:fill="FFFFFF"/>
        </w:rPr>
        <w:t xml:space="preserve"> hizo público la adjudicación de los tres primeros canales analógicos privados</w:t>
      </w:r>
      <w:r w:rsidR="006C416E">
        <w:rPr>
          <w:rFonts w:ascii="Times New Roman" w:hAnsi="Times New Roman" w:cs="Times New Roman"/>
          <w:color w:val="000000"/>
          <w:sz w:val="24"/>
          <w:szCs w:val="24"/>
          <w:shd w:val="clear" w:color="auto" w:fill="FFFFFF"/>
        </w:rPr>
        <w:t>).</w:t>
      </w:r>
    </w:p>
    <w:p w:rsidR="00C03816" w:rsidRDefault="00A25FA5" w:rsidP="004E311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Voy a “plagiar” ambas frases, </w:t>
      </w:r>
      <w:r w:rsidR="00C03816">
        <w:rPr>
          <w:rFonts w:ascii="Times New Roman" w:hAnsi="Times New Roman" w:cs="Times New Roman"/>
          <w:color w:val="000000"/>
          <w:sz w:val="24"/>
          <w:szCs w:val="24"/>
          <w:shd w:val="clear" w:color="auto" w:fill="FFFFFF"/>
        </w:rPr>
        <w:t>para decir: (a modo d</w:t>
      </w:r>
      <w:r w:rsidR="006C416E">
        <w:rPr>
          <w:rFonts w:ascii="Times New Roman" w:hAnsi="Times New Roman" w:cs="Times New Roman"/>
          <w:color w:val="000000"/>
          <w:sz w:val="24"/>
          <w:szCs w:val="24"/>
          <w:shd w:val="clear" w:color="auto" w:fill="FFFFFF"/>
        </w:rPr>
        <w:t>e conclusión, después de 36</w:t>
      </w:r>
      <w:r w:rsidR="00C03816">
        <w:rPr>
          <w:rFonts w:ascii="Times New Roman" w:hAnsi="Times New Roman" w:cs="Times New Roman"/>
          <w:color w:val="000000"/>
          <w:sz w:val="24"/>
          <w:szCs w:val="24"/>
          <w:shd w:val="clear" w:color="auto" w:fill="FFFFFF"/>
        </w:rPr>
        <w:t xml:space="preserve"> años de convivencia voluntaria</w:t>
      </w:r>
      <w:r>
        <w:rPr>
          <w:rFonts w:ascii="Times New Roman" w:hAnsi="Times New Roman" w:cs="Times New Roman"/>
          <w:color w:val="000000"/>
          <w:sz w:val="24"/>
          <w:szCs w:val="24"/>
          <w:shd w:val="clear" w:color="auto" w:fill="FFFFFF"/>
        </w:rPr>
        <w:t>,</w:t>
      </w:r>
      <w:r w:rsidR="00C03816">
        <w:rPr>
          <w:rFonts w:ascii="Times New Roman" w:hAnsi="Times New Roman" w:cs="Times New Roman"/>
          <w:color w:val="000000"/>
          <w:sz w:val="24"/>
          <w:szCs w:val="24"/>
          <w:shd w:val="clear" w:color="auto" w:fill="FFFFFF"/>
        </w:rPr>
        <w:t xml:space="preserve"> y de 27</w:t>
      </w:r>
      <w:r w:rsidR="006C416E">
        <w:rPr>
          <w:rFonts w:ascii="Times New Roman" w:hAnsi="Times New Roman" w:cs="Times New Roman"/>
          <w:color w:val="000000"/>
          <w:sz w:val="24"/>
          <w:szCs w:val="24"/>
          <w:shd w:val="clear" w:color="auto" w:fill="FFFFFF"/>
        </w:rPr>
        <w:t xml:space="preserve"> años</w:t>
      </w:r>
      <w:r w:rsidR="00C03816">
        <w:rPr>
          <w:rFonts w:ascii="Times New Roman" w:hAnsi="Times New Roman" w:cs="Times New Roman"/>
          <w:color w:val="000000"/>
          <w:sz w:val="24"/>
          <w:szCs w:val="24"/>
          <w:shd w:val="clear" w:color="auto" w:fill="FFFFFF"/>
        </w:rPr>
        <w:t xml:space="preserve"> de actuar como cor</w:t>
      </w:r>
      <w:r w:rsidR="006C416E">
        <w:rPr>
          <w:rFonts w:ascii="Times New Roman" w:hAnsi="Times New Roman" w:cs="Times New Roman"/>
          <w:color w:val="000000"/>
          <w:sz w:val="24"/>
          <w:szCs w:val="24"/>
          <w:shd w:val="clear" w:color="auto" w:fill="FFFFFF"/>
        </w:rPr>
        <w:t>responsal económico aficionado</w:t>
      </w:r>
      <w:r w:rsidR="00C03816">
        <w:rPr>
          <w:rFonts w:ascii="Times New Roman" w:hAnsi="Times New Roman" w:cs="Times New Roman"/>
          <w:color w:val="000000"/>
          <w:sz w:val="24"/>
          <w:szCs w:val="24"/>
          <w:shd w:val="clear" w:color="auto" w:fill="FFFFFF"/>
        </w:rPr>
        <w:t>, que: Puedo prometer y prometo, que en España no hay coj</w:t>
      </w:r>
      <w:r w:rsidR="006C416E">
        <w:rPr>
          <w:rFonts w:ascii="Times New Roman" w:hAnsi="Times New Roman" w:cs="Times New Roman"/>
          <w:color w:val="000000"/>
          <w:sz w:val="24"/>
          <w:szCs w:val="24"/>
          <w:shd w:val="clear" w:color="auto" w:fill="FFFFFF"/>
        </w:rPr>
        <w:t>ones par</w:t>
      </w:r>
      <w:r>
        <w:rPr>
          <w:rFonts w:ascii="Times New Roman" w:hAnsi="Times New Roman" w:cs="Times New Roman"/>
          <w:color w:val="000000"/>
          <w:sz w:val="24"/>
          <w:szCs w:val="24"/>
          <w:shd w:val="clear" w:color="auto" w:fill="FFFFFF"/>
        </w:rPr>
        <w:t xml:space="preserve">a tomar alguna </w:t>
      </w:r>
      <w:r w:rsidR="006C416E">
        <w:rPr>
          <w:rFonts w:ascii="Times New Roman" w:hAnsi="Times New Roman" w:cs="Times New Roman"/>
          <w:color w:val="000000"/>
          <w:sz w:val="24"/>
          <w:szCs w:val="24"/>
          <w:shd w:val="clear" w:color="auto" w:fill="FFFFFF"/>
        </w:rPr>
        <w:t xml:space="preserve">de </w:t>
      </w:r>
      <w:r w:rsidR="00C03816">
        <w:rPr>
          <w:rFonts w:ascii="Times New Roman" w:hAnsi="Times New Roman" w:cs="Times New Roman"/>
          <w:color w:val="000000"/>
          <w:sz w:val="24"/>
          <w:szCs w:val="24"/>
          <w:shd w:val="clear" w:color="auto" w:fill="FFFFFF"/>
        </w:rPr>
        <w:t>las medidas económica propuestas</w:t>
      </w:r>
      <w:r w:rsidR="00F614A3">
        <w:rPr>
          <w:rFonts w:ascii="Times New Roman" w:hAnsi="Times New Roman" w:cs="Times New Roman"/>
          <w:color w:val="000000"/>
          <w:sz w:val="24"/>
          <w:szCs w:val="24"/>
          <w:shd w:val="clear" w:color="auto" w:fill="FFFFFF"/>
        </w:rPr>
        <w:t xml:space="preserve"> (y ya no digamos, varias),</w:t>
      </w:r>
      <w:r w:rsidR="00C03816">
        <w:rPr>
          <w:rFonts w:ascii="Times New Roman" w:hAnsi="Times New Roman" w:cs="Times New Roman"/>
          <w:color w:val="000000"/>
          <w:sz w:val="24"/>
          <w:szCs w:val="24"/>
          <w:shd w:val="clear" w:color="auto" w:fill="FFFFFF"/>
        </w:rPr>
        <w:t xml:space="preserve"> para sacar a España del abismo.</w:t>
      </w:r>
      <w:r w:rsidR="006C416E">
        <w:rPr>
          <w:rFonts w:ascii="Times New Roman" w:hAnsi="Times New Roman" w:cs="Times New Roman"/>
          <w:color w:val="000000"/>
          <w:sz w:val="24"/>
          <w:szCs w:val="24"/>
          <w:shd w:val="clear" w:color="auto" w:fill="FFFFFF"/>
        </w:rPr>
        <w:t xml:space="preserve"> </w:t>
      </w:r>
      <w:r w:rsidR="00C03816">
        <w:rPr>
          <w:rFonts w:ascii="Times New Roman" w:hAnsi="Times New Roman" w:cs="Times New Roman"/>
          <w:color w:val="000000"/>
          <w:sz w:val="24"/>
          <w:szCs w:val="24"/>
          <w:shd w:val="clear" w:color="auto" w:fill="FFFFFF"/>
        </w:rPr>
        <w:t xml:space="preserve"> </w:t>
      </w:r>
    </w:p>
    <w:p w:rsidR="00E50DE5" w:rsidRDefault="00A25FA5" w:rsidP="004E311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Las “partes interesadas”</w:t>
      </w:r>
      <w:r w:rsidR="00F62F4B">
        <w:rPr>
          <w:rFonts w:ascii="Times New Roman" w:hAnsi="Times New Roman" w:cs="Times New Roman"/>
          <w:color w:val="000000"/>
          <w:sz w:val="24"/>
          <w:szCs w:val="24"/>
          <w:shd w:val="clear" w:color="auto" w:fill="FFFFFF"/>
        </w:rPr>
        <w:t xml:space="preserve"> (apropiadores de rentas</w:t>
      </w:r>
      <w:r w:rsidR="00E44974">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seguirán procurando “empujar la soga”, mientras la mayoría social admita, soporte, trague, </w:t>
      </w:r>
      <w:r w:rsidR="00156710">
        <w:rPr>
          <w:rFonts w:ascii="Times New Roman" w:hAnsi="Times New Roman" w:cs="Times New Roman"/>
          <w:color w:val="000000"/>
          <w:sz w:val="24"/>
          <w:szCs w:val="24"/>
          <w:shd w:val="clear" w:color="auto" w:fill="FFFFFF"/>
        </w:rPr>
        <w:t xml:space="preserve">aguante, tolere, sobrelleve, </w:t>
      </w:r>
      <w:r>
        <w:rPr>
          <w:rFonts w:ascii="Times New Roman" w:hAnsi="Times New Roman" w:cs="Times New Roman"/>
          <w:color w:val="000000"/>
          <w:sz w:val="24"/>
          <w:szCs w:val="24"/>
          <w:shd w:val="clear" w:color="auto" w:fill="FFFFFF"/>
        </w:rPr>
        <w:t>o</w:t>
      </w:r>
      <w:r w:rsidR="00156710">
        <w:rPr>
          <w:rFonts w:ascii="Times New Roman" w:hAnsi="Times New Roman" w:cs="Times New Roman"/>
          <w:color w:val="000000"/>
          <w:sz w:val="24"/>
          <w:szCs w:val="24"/>
          <w:shd w:val="clear" w:color="auto" w:fill="FFFFFF"/>
        </w:rPr>
        <w:t xml:space="preserve"> se resigne.  </w:t>
      </w:r>
      <w:r>
        <w:rPr>
          <w:rFonts w:ascii="Times New Roman" w:hAnsi="Times New Roman" w:cs="Times New Roman"/>
          <w:color w:val="000000"/>
          <w:sz w:val="24"/>
          <w:szCs w:val="24"/>
          <w:shd w:val="clear" w:color="auto" w:fill="FFFFFF"/>
        </w:rPr>
        <w:t>Las “partes afectadas”</w:t>
      </w:r>
      <w:r w:rsidR="00E44974">
        <w:rPr>
          <w:rFonts w:ascii="Times New Roman" w:hAnsi="Times New Roman" w:cs="Times New Roman"/>
          <w:color w:val="000000"/>
          <w:sz w:val="24"/>
          <w:szCs w:val="24"/>
          <w:shd w:val="clear" w:color="auto" w:fill="FFFFFF"/>
        </w:rPr>
        <w:t xml:space="preserve"> (contribuyentes)</w:t>
      </w:r>
      <w:r>
        <w:rPr>
          <w:rFonts w:ascii="Times New Roman" w:hAnsi="Times New Roman" w:cs="Times New Roman"/>
          <w:color w:val="000000"/>
          <w:sz w:val="24"/>
          <w:szCs w:val="24"/>
          <w:shd w:val="clear" w:color="auto" w:fill="FFFFFF"/>
        </w:rPr>
        <w:t>, seguirán actuando como ciegos voluntarios,</w:t>
      </w:r>
      <w:r w:rsidR="007D171D">
        <w:rPr>
          <w:rFonts w:ascii="Times New Roman" w:hAnsi="Times New Roman" w:cs="Times New Roman"/>
          <w:color w:val="000000"/>
          <w:sz w:val="24"/>
          <w:szCs w:val="24"/>
          <w:shd w:val="clear" w:color="auto" w:fill="FFFFFF"/>
        </w:rPr>
        <w:t xml:space="preserve"> o miopes magnos</w:t>
      </w:r>
      <w:r w:rsidR="00BC420A">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negando la evidencia,</w:t>
      </w:r>
      <w:r w:rsidR="00E44974">
        <w:rPr>
          <w:rFonts w:ascii="Times New Roman" w:hAnsi="Times New Roman" w:cs="Times New Roman"/>
          <w:color w:val="000000"/>
          <w:sz w:val="24"/>
          <w:szCs w:val="24"/>
          <w:shd w:val="clear" w:color="auto" w:fill="FFFFFF"/>
        </w:rPr>
        <w:t xml:space="preserve"> esperando la paguita, mendigando la </w:t>
      </w:r>
      <w:r w:rsidR="00BC420A">
        <w:rPr>
          <w:rFonts w:ascii="Times New Roman" w:hAnsi="Times New Roman" w:cs="Times New Roman"/>
          <w:color w:val="000000"/>
          <w:sz w:val="24"/>
          <w:szCs w:val="24"/>
          <w:shd w:val="clear" w:color="auto" w:fill="FFFFFF"/>
        </w:rPr>
        <w:t xml:space="preserve">sopa boba, </w:t>
      </w:r>
      <w:r w:rsidR="00E50DE5">
        <w:rPr>
          <w:rFonts w:ascii="Times New Roman" w:hAnsi="Times New Roman" w:cs="Times New Roman"/>
          <w:color w:val="000000"/>
          <w:sz w:val="24"/>
          <w:szCs w:val="24"/>
          <w:shd w:val="clear" w:color="auto" w:fill="FFFFFF"/>
        </w:rPr>
        <w:t>po</w:t>
      </w:r>
      <w:r w:rsidR="00BC420A">
        <w:rPr>
          <w:rFonts w:ascii="Times New Roman" w:hAnsi="Times New Roman" w:cs="Times New Roman"/>
          <w:color w:val="000000"/>
          <w:sz w:val="24"/>
          <w:szCs w:val="24"/>
          <w:shd w:val="clear" w:color="auto" w:fill="FFFFFF"/>
        </w:rPr>
        <w:t xml:space="preserve">strándose, sometiéndose, </w:t>
      </w:r>
      <w:r w:rsidR="00E50DE5">
        <w:rPr>
          <w:rFonts w:ascii="Times New Roman" w:hAnsi="Times New Roman" w:cs="Times New Roman"/>
          <w:color w:val="000000"/>
          <w:sz w:val="24"/>
          <w:szCs w:val="24"/>
          <w:shd w:val="clear" w:color="auto" w:fill="FFFFFF"/>
        </w:rPr>
        <w:t>humillándose</w:t>
      </w:r>
      <w:r w:rsidR="00BC420A">
        <w:rPr>
          <w:rFonts w:ascii="Times New Roman" w:hAnsi="Times New Roman" w:cs="Times New Roman"/>
          <w:color w:val="000000"/>
          <w:sz w:val="24"/>
          <w:szCs w:val="24"/>
          <w:shd w:val="clear" w:color="auto" w:fill="FFFFFF"/>
        </w:rPr>
        <w:t>, evaporándose</w:t>
      </w:r>
      <w:r w:rsidR="00E50DE5">
        <w:rPr>
          <w:rFonts w:ascii="Times New Roman" w:hAnsi="Times New Roman" w:cs="Times New Roman"/>
          <w:color w:val="000000"/>
          <w:sz w:val="24"/>
          <w:szCs w:val="24"/>
          <w:shd w:val="clear" w:color="auto" w:fill="FFFFFF"/>
        </w:rPr>
        <w:t xml:space="preserve"> y, en definitiva</w:t>
      </w:r>
      <w:r w:rsidR="0080195C">
        <w:rPr>
          <w:rFonts w:ascii="Times New Roman" w:hAnsi="Times New Roman" w:cs="Times New Roman"/>
          <w:color w:val="000000"/>
          <w:sz w:val="24"/>
          <w:szCs w:val="24"/>
          <w:shd w:val="clear" w:color="auto" w:fill="FFFFFF"/>
        </w:rPr>
        <w:t>,</w:t>
      </w:r>
      <w:r w:rsidR="00E50DE5">
        <w:rPr>
          <w:rFonts w:ascii="Times New Roman" w:hAnsi="Times New Roman" w:cs="Times New Roman"/>
          <w:color w:val="000000"/>
          <w:sz w:val="24"/>
          <w:szCs w:val="24"/>
          <w:shd w:val="clear" w:color="auto" w:fill="FFFFFF"/>
        </w:rPr>
        <w:t xml:space="preserve"> pagando la fiesta.</w:t>
      </w:r>
      <w:r w:rsidR="00E44974">
        <w:rPr>
          <w:rFonts w:ascii="Times New Roman" w:hAnsi="Times New Roman" w:cs="Times New Roman"/>
          <w:color w:val="000000"/>
          <w:sz w:val="24"/>
          <w:szCs w:val="24"/>
          <w:shd w:val="clear" w:color="auto" w:fill="FFFFFF"/>
        </w:rPr>
        <w:t xml:space="preserve"> </w:t>
      </w:r>
    </w:p>
    <w:p w:rsidR="00156710" w:rsidRPr="00BC420A" w:rsidRDefault="00156710" w:rsidP="00156710">
      <w:pPr>
        <w:spacing w:line="240" w:lineRule="auto"/>
        <w:jc w:val="both"/>
        <w:rPr>
          <w:rFonts w:ascii="Times New Roman" w:hAnsi="Times New Roman" w:cs="Times New Roman"/>
          <w:b/>
          <w:color w:val="000000"/>
          <w:sz w:val="24"/>
          <w:szCs w:val="24"/>
          <w:shd w:val="clear" w:color="auto" w:fill="FFFFFF"/>
        </w:rPr>
      </w:pPr>
      <w:r w:rsidRPr="00BC420A">
        <w:rPr>
          <w:rFonts w:ascii="Times New Roman" w:hAnsi="Times New Roman" w:cs="Times New Roman"/>
          <w:b/>
          <w:color w:val="000000"/>
          <w:sz w:val="24"/>
          <w:szCs w:val="24"/>
          <w:shd w:val="clear" w:color="auto" w:fill="FFFFFF"/>
        </w:rPr>
        <w:t>Dicho todo esto, estimados anfitriones, puedo estar equivocado. Seguramente lo estaré.</w:t>
      </w:r>
    </w:p>
    <w:p w:rsidR="00D10F75" w:rsidRPr="0080195C" w:rsidRDefault="00D10F75" w:rsidP="0080195C">
      <w:pPr>
        <w:jc w:val="both"/>
        <w:rPr>
          <w:rFonts w:ascii="Times New Roman" w:hAnsi="Times New Roman" w:cs="Times New Roman"/>
          <w:b/>
          <w:color w:val="FF0000"/>
          <w:sz w:val="24"/>
          <w:szCs w:val="24"/>
        </w:rPr>
      </w:pPr>
      <w:r>
        <w:rPr>
          <w:rFonts w:ascii="Times New Roman" w:hAnsi="Times New Roman" w:cs="Times New Roman"/>
          <w:b/>
          <w:sz w:val="24"/>
          <w:szCs w:val="24"/>
        </w:rPr>
        <w:lastRenderedPageBreak/>
        <w:t xml:space="preserve">- </w:t>
      </w:r>
      <w:r w:rsidRPr="00BB6501">
        <w:rPr>
          <w:rFonts w:ascii="Times New Roman" w:hAnsi="Times New Roman" w:cs="Times New Roman"/>
          <w:b/>
          <w:sz w:val="24"/>
          <w:szCs w:val="24"/>
        </w:rPr>
        <w:t>Memoria Económica y Base de Datos (hasta donde la vista alcanza)</w:t>
      </w:r>
    </w:p>
    <w:p w:rsidR="00D10F75" w:rsidRDefault="00D10F75" w:rsidP="00D10F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aquellas medidas donde puede calcularse el costo o impacto económico de las mismas) </w:t>
      </w:r>
    </w:p>
    <w:p w:rsidR="00D10F75" w:rsidRPr="00066C2B" w:rsidRDefault="00D10F75" w:rsidP="00D10F75">
      <w:pPr>
        <w:spacing w:line="240" w:lineRule="auto"/>
        <w:jc w:val="both"/>
        <w:rPr>
          <w:rFonts w:ascii="Times New Roman" w:hAnsi="Times New Roman" w:cs="Times New Roman"/>
          <w:color w:val="FF0000"/>
          <w:sz w:val="24"/>
          <w:szCs w:val="24"/>
          <w:shd w:val="clear" w:color="auto" w:fill="FFFFFF"/>
        </w:rPr>
      </w:pPr>
      <w:r w:rsidRPr="00066C2B">
        <w:rPr>
          <w:rFonts w:ascii="Times New Roman" w:hAnsi="Times New Roman" w:cs="Times New Roman"/>
          <w:color w:val="FF0000"/>
          <w:sz w:val="24"/>
          <w:szCs w:val="24"/>
          <w:shd w:val="clear" w:color="auto" w:fill="FFFFFF"/>
        </w:rPr>
        <w:t>- Eliminar el Régimen de las Autonomías (en especial, del País Vasco y Cataluña)</w:t>
      </w:r>
    </w:p>
    <w:p w:rsidR="00D10F75" w:rsidRDefault="00D10F75" w:rsidP="00D10F75">
      <w:pPr>
        <w:spacing w:line="240" w:lineRule="auto"/>
        <w:jc w:val="both"/>
        <w:rPr>
          <w:rFonts w:ascii="Times New Roman" w:hAnsi="Times New Roman" w:cs="Times New Roman"/>
          <w:color w:val="000000"/>
          <w:sz w:val="24"/>
          <w:szCs w:val="24"/>
          <w:shd w:val="clear" w:color="auto" w:fill="FFFFFF"/>
        </w:rPr>
      </w:pPr>
      <w:r w:rsidRPr="009B0D33">
        <w:rPr>
          <w:noProof/>
          <w:shd w:val="clear" w:color="auto" w:fill="FFFFFF"/>
          <w:lang w:eastAsia="es-ES"/>
        </w:rPr>
        <w:drawing>
          <wp:inline distT="0" distB="0" distL="0" distR="0" wp14:anchorId="6B62FDA1" wp14:editId="4FA906C5">
            <wp:extent cx="5727469" cy="3917950"/>
            <wp:effectExtent l="0" t="0" r="6985"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3920714"/>
                    </a:xfrm>
                    <a:prstGeom prst="rect">
                      <a:avLst/>
                    </a:prstGeom>
                  </pic:spPr>
                </pic:pic>
              </a:graphicData>
            </a:graphic>
          </wp:inline>
        </w:drawing>
      </w:r>
    </w:p>
    <w:p w:rsidR="00D10F75" w:rsidRPr="003610AD" w:rsidRDefault="00D10F75" w:rsidP="00D10F75">
      <w:pPr>
        <w:spacing w:line="240" w:lineRule="auto"/>
        <w:jc w:val="both"/>
        <w:rPr>
          <w:rFonts w:ascii="Times New Roman" w:hAnsi="Times New Roman" w:cs="Times New Roman"/>
          <w:color w:val="000000"/>
          <w:sz w:val="24"/>
          <w:szCs w:val="24"/>
          <w:shd w:val="clear" w:color="auto" w:fill="FFFFFF"/>
        </w:rPr>
      </w:pPr>
    </w:p>
    <w:p w:rsidR="00D10F75" w:rsidRPr="003610AD" w:rsidRDefault="00D10F75" w:rsidP="00D10F75">
      <w:pPr>
        <w:spacing w:line="240" w:lineRule="auto"/>
        <w:jc w:val="both"/>
        <w:rPr>
          <w:rFonts w:ascii="Times New Roman" w:hAnsi="Times New Roman" w:cs="Times New Roman"/>
          <w:color w:val="000000"/>
          <w:sz w:val="24"/>
          <w:szCs w:val="24"/>
          <w:shd w:val="clear" w:color="auto" w:fill="FFFFFF"/>
        </w:rPr>
      </w:pPr>
      <w:r w:rsidRPr="009B0D33">
        <w:rPr>
          <w:noProof/>
          <w:shd w:val="clear" w:color="auto" w:fill="FFFFFF"/>
          <w:lang w:eastAsia="es-ES"/>
        </w:rPr>
        <w:drawing>
          <wp:inline distT="0" distB="0" distL="0" distR="0" wp14:anchorId="22758205" wp14:editId="1109B41D">
            <wp:extent cx="5727699" cy="3054350"/>
            <wp:effectExtent l="0" t="0" r="698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3056382"/>
                    </a:xfrm>
                    <a:prstGeom prst="rect">
                      <a:avLst/>
                    </a:prstGeom>
                  </pic:spPr>
                </pic:pic>
              </a:graphicData>
            </a:graphic>
          </wp:inline>
        </w:drawing>
      </w:r>
    </w:p>
    <w:p w:rsidR="00D10F75" w:rsidRDefault="00D10F75" w:rsidP="00D10F75">
      <w:pPr>
        <w:spacing w:line="240" w:lineRule="auto"/>
        <w:jc w:val="both"/>
        <w:rPr>
          <w:rFonts w:ascii="Times New Roman" w:hAnsi="Times New Roman" w:cs="Times New Roman"/>
          <w:sz w:val="24"/>
          <w:szCs w:val="24"/>
          <w:shd w:val="clear" w:color="auto" w:fill="FFFFFF"/>
        </w:rPr>
      </w:pPr>
    </w:p>
    <w:p w:rsidR="00D10F75" w:rsidRPr="009057E3" w:rsidRDefault="00D10F75" w:rsidP="00D10F75">
      <w:pPr>
        <w:spacing w:line="240" w:lineRule="auto"/>
        <w:jc w:val="both"/>
        <w:rPr>
          <w:rFonts w:ascii="Times New Roman" w:hAnsi="Times New Roman" w:cs="Times New Roman"/>
          <w:sz w:val="24"/>
          <w:szCs w:val="24"/>
          <w:shd w:val="clear" w:color="auto" w:fill="FFFFFF"/>
        </w:rPr>
      </w:pPr>
      <w:r w:rsidRPr="009057E3">
        <w:rPr>
          <w:rFonts w:ascii="Times New Roman" w:hAnsi="Times New Roman" w:cs="Times New Roman"/>
          <w:sz w:val="24"/>
          <w:szCs w:val="24"/>
          <w:shd w:val="clear" w:color="auto" w:fill="FFFFFF"/>
        </w:rPr>
        <w:lastRenderedPageBreak/>
        <w:t xml:space="preserve">- </w:t>
      </w:r>
      <w:r w:rsidRPr="009057E3">
        <w:rPr>
          <w:rFonts w:ascii="Times New Roman" w:hAnsi="Times New Roman" w:cs="Times New Roman"/>
          <w:sz w:val="24"/>
          <w:szCs w:val="24"/>
          <w:u w:val="single"/>
          <w:shd w:val="clear" w:color="auto" w:fill="FFFFFF"/>
        </w:rPr>
        <w:t>El Estado hipotecado: el Gobierno central se queda sin margen presupuestario</w:t>
      </w:r>
      <w:r w:rsidRPr="009057E3">
        <w:rPr>
          <w:rFonts w:ascii="Times New Roman" w:hAnsi="Times New Roman" w:cs="Times New Roman"/>
          <w:sz w:val="24"/>
          <w:szCs w:val="24"/>
          <w:shd w:val="clear" w:color="auto" w:fill="FFFFFF"/>
        </w:rPr>
        <w:t xml:space="preserve"> (El Confidencial - </w:t>
      </w:r>
      <w:r w:rsidRPr="009057E3">
        <w:rPr>
          <w:rFonts w:ascii="Times New Roman" w:hAnsi="Times New Roman" w:cs="Times New Roman"/>
          <w:b/>
          <w:sz w:val="24"/>
          <w:szCs w:val="24"/>
          <w:shd w:val="clear" w:color="auto" w:fill="FFFFFF"/>
        </w:rPr>
        <w:t>19/7/25</w:t>
      </w:r>
      <w:r w:rsidRPr="009057E3">
        <w:rPr>
          <w:rFonts w:ascii="Times New Roman" w:hAnsi="Times New Roman" w:cs="Times New Roman"/>
          <w:sz w:val="24"/>
          <w:szCs w:val="24"/>
          <w:shd w:val="clear" w:color="auto" w:fill="FFFFFF"/>
        </w:rPr>
        <w:t>)</w:t>
      </w:r>
    </w:p>
    <w:p w:rsidR="00D10F75" w:rsidRPr="009057E3" w:rsidRDefault="00D10F75" w:rsidP="00D10F75">
      <w:pPr>
        <w:spacing w:line="240" w:lineRule="auto"/>
        <w:jc w:val="both"/>
        <w:rPr>
          <w:rFonts w:ascii="Times New Roman" w:hAnsi="Times New Roman" w:cs="Times New Roman"/>
          <w:sz w:val="24"/>
          <w:szCs w:val="24"/>
          <w:shd w:val="clear" w:color="auto" w:fill="FFFFFF"/>
        </w:rPr>
      </w:pPr>
      <w:r w:rsidRPr="009057E3">
        <w:rPr>
          <w:rFonts w:ascii="Times New Roman" w:hAnsi="Times New Roman" w:cs="Times New Roman"/>
          <w:sz w:val="24"/>
          <w:szCs w:val="24"/>
          <w:shd w:val="clear" w:color="auto" w:fill="FFFFFF"/>
        </w:rPr>
        <w:t>A medida que la Administración Central cede competencias y financiación, sus recursos van menguando. Los ayuntamientos ya gastan más en salarios que el Estado central</w:t>
      </w:r>
    </w:p>
    <w:p w:rsidR="00D10F75" w:rsidRPr="002E747F" w:rsidRDefault="00D10F75" w:rsidP="00D10F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2E747F">
        <w:rPr>
          <w:rFonts w:ascii="Times New Roman" w:hAnsi="Times New Roman" w:cs="Times New Roman"/>
          <w:sz w:val="24"/>
          <w:szCs w:val="24"/>
          <w:shd w:val="clear" w:color="auto" w:fill="FFFFFF"/>
        </w:rPr>
        <w:t>Por Javier Jorrín</w:t>
      </w:r>
      <w:r>
        <w:rPr>
          <w:rFonts w:ascii="Times New Roman" w:hAnsi="Times New Roman" w:cs="Times New Roman"/>
          <w:sz w:val="24"/>
          <w:szCs w:val="24"/>
          <w:shd w:val="clear" w:color="auto" w:fill="FFFFFF"/>
        </w:rPr>
        <w:t>)</w:t>
      </w:r>
    </w:p>
    <w:p w:rsidR="00D10F75" w:rsidRDefault="00D10F75" w:rsidP="00D10F75">
      <w:pPr>
        <w:spacing w:line="240" w:lineRule="auto"/>
        <w:jc w:val="both"/>
        <w:rPr>
          <w:rFonts w:ascii="Times New Roman" w:hAnsi="Times New Roman" w:cs="Times New Roman"/>
          <w:sz w:val="24"/>
          <w:szCs w:val="24"/>
          <w:shd w:val="clear" w:color="auto" w:fill="FFFFFF"/>
        </w:rPr>
      </w:pPr>
      <w:r w:rsidRPr="002E747F">
        <w:rPr>
          <w:rFonts w:ascii="Times New Roman" w:hAnsi="Times New Roman" w:cs="Times New Roman"/>
          <w:sz w:val="24"/>
          <w:szCs w:val="24"/>
          <w:shd w:val="clear" w:color="auto" w:fill="FFFFFF"/>
        </w:rPr>
        <w:t>En 1995, la Administración Central gestionaba la mayor parte de los recursos públicos de España. De cada 100 euros de gasto público, 35 los ejecutaba el Estado. En ese momento ya estaba en marcha un proceso de descentralización que sigue avanzando tres décadas después. El último paso que está sobre la mesa es el de la financiación singular de Cataluña. Una negociación cuyo objetivo es establecer un nuevo sistema de financiación autonómica que eleve los recursos de Cataluña sin perjudicar al resto. Para que ninguna comunidad autónoma salga perdiendo, el que tiene que perder es el Estado central. La cesión de competencias no supone, en sí misma, un deterioro de la eficiencia del gasto público. Varios estudios muestran que la descentralización ha permitido mejorar el uso de los recursos públicos. Sin embargo, la pérdida de margen de gasto en el Estado complica el despliegue de políticas a nivel nacional. Del 35% del gasto que gestionaba hace tres décadas la Administración Central, ha pasado a ser menos del 23%. Hay un dato que es ilustrativo de esta situación: los ayuntamientos ya tienen una partida de personal superior a la Administración Central. En 2024, las corporaciones locales gastaron 30.800 millones en retribuciones, frente a los 30.600 millones de la Administración Central. El sorpaso se produjo en 2021 y se ha mantenido desde entonces, pero hace tres décadas el gasto que hacía la Administración Central era casi el triple. Este proceso de cesión de recursos no ha perseguido la eficiencia económica, sino la supervivencia política. Los distintos gobiernos estatales han recurrido a estas concesiones para lograr el apoyo de los partidos nacionalistas, regionalistas o independentistas. Pero el último bocado que se ha llevado la Administración Central se debe a la exige</w:t>
      </w:r>
      <w:r>
        <w:rPr>
          <w:rFonts w:ascii="Times New Roman" w:hAnsi="Times New Roman" w:cs="Times New Roman"/>
          <w:sz w:val="24"/>
          <w:szCs w:val="24"/>
          <w:shd w:val="clear" w:color="auto" w:fill="FFFFFF"/>
        </w:rPr>
        <w:t>ncia del pago de las pensiones.</w:t>
      </w:r>
    </w:p>
    <w:p w:rsidR="00D10F75" w:rsidRPr="002E747F" w:rsidRDefault="00D10F75" w:rsidP="00D10F75">
      <w:pPr>
        <w:spacing w:line="240" w:lineRule="auto"/>
        <w:jc w:val="both"/>
        <w:rPr>
          <w:rFonts w:ascii="Times New Roman" w:hAnsi="Times New Roman" w:cs="Times New Roman"/>
          <w:sz w:val="24"/>
          <w:szCs w:val="24"/>
          <w:shd w:val="clear" w:color="auto" w:fill="FFFFFF"/>
        </w:rPr>
      </w:pPr>
      <w:r w:rsidRPr="00EE37AA">
        <w:rPr>
          <w:rFonts w:ascii="Times New Roman" w:hAnsi="Times New Roman" w:cs="Times New Roman"/>
          <w:noProof/>
          <w:sz w:val="24"/>
          <w:szCs w:val="24"/>
          <w:shd w:val="clear" w:color="auto" w:fill="FFFFFF"/>
          <w:lang w:eastAsia="es-ES"/>
        </w:rPr>
        <w:drawing>
          <wp:inline distT="0" distB="0" distL="0" distR="0" wp14:anchorId="3C4F7C26" wp14:editId="505A9FCF">
            <wp:extent cx="5734050" cy="3562350"/>
            <wp:effectExtent l="0" t="0" r="0" b="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3560772"/>
                    </a:xfrm>
                    <a:prstGeom prst="rect">
                      <a:avLst/>
                    </a:prstGeom>
                  </pic:spPr>
                </pic:pic>
              </a:graphicData>
            </a:graphic>
          </wp:inline>
        </w:drawing>
      </w:r>
    </w:p>
    <w:p w:rsidR="00D10F75" w:rsidRPr="002E747F" w:rsidRDefault="00D10F75" w:rsidP="00D10F75">
      <w:pPr>
        <w:spacing w:line="240" w:lineRule="auto"/>
        <w:jc w:val="both"/>
        <w:rPr>
          <w:rFonts w:ascii="Times New Roman" w:hAnsi="Times New Roman" w:cs="Times New Roman"/>
          <w:sz w:val="24"/>
          <w:szCs w:val="24"/>
          <w:shd w:val="clear" w:color="auto" w:fill="FFFFFF"/>
        </w:rPr>
      </w:pPr>
      <w:r w:rsidRPr="002E747F">
        <w:rPr>
          <w:rFonts w:ascii="Times New Roman" w:hAnsi="Times New Roman" w:cs="Times New Roman"/>
          <w:sz w:val="24"/>
          <w:szCs w:val="24"/>
          <w:shd w:val="clear" w:color="auto" w:fill="FFFFFF"/>
        </w:rPr>
        <w:lastRenderedPageBreak/>
        <w:t>El Estado empezó a transferir recursos a la Seguridad Social en 2019 para compensar el incremento del gasto. El Gobie</w:t>
      </w:r>
      <w:r w:rsidR="00FB1411">
        <w:rPr>
          <w:rFonts w:ascii="Times New Roman" w:hAnsi="Times New Roman" w:cs="Times New Roman"/>
          <w:sz w:val="24"/>
          <w:szCs w:val="24"/>
          <w:shd w:val="clear" w:color="auto" w:fill="FFFFFF"/>
        </w:rPr>
        <w:t>rno llamó a esta operación los “gastos impropios”</w:t>
      </w:r>
      <w:r w:rsidRPr="002E747F">
        <w:rPr>
          <w:rFonts w:ascii="Times New Roman" w:hAnsi="Times New Roman" w:cs="Times New Roman"/>
          <w:sz w:val="24"/>
          <w:szCs w:val="24"/>
          <w:shd w:val="clear" w:color="auto" w:fill="FFFFFF"/>
        </w:rPr>
        <w:t xml:space="preserve"> de la Seguridad Social. Desde entonces ha transferido más de 115.000 millones de euros. El pasado 8 de julio, el Consejo de Ministros aprobó una nueva transferencia de crédito a la Seguridad Social por valor de casi 3.000 millones de euros, que se suma a los casi 20.000 millones de euros contemplados en la prórroga presupuestaria. A medida que la Administración Central tiene que asumir una porción mayor del sostenimiento de las pensiones, también se recorta su margen para poner en marcha otras medidas.</w:t>
      </w:r>
    </w:p>
    <w:p w:rsidR="00D10F75" w:rsidRPr="002E747F" w:rsidRDefault="00D10F75" w:rsidP="00D10F75">
      <w:pPr>
        <w:spacing w:line="240" w:lineRule="auto"/>
        <w:jc w:val="both"/>
        <w:rPr>
          <w:rFonts w:ascii="Times New Roman" w:hAnsi="Times New Roman" w:cs="Times New Roman"/>
          <w:sz w:val="24"/>
          <w:szCs w:val="24"/>
          <w:shd w:val="clear" w:color="auto" w:fill="FFFFFF"/>
        </w:rPr>
      </w:pPr>
      <w:r w:rsidRPr="002E747F">
        <w:rPr>
          <w:rFonts w:ascii="Times New Roman" w:hAnsi="Times New Roman" w:cs="Times New Roman"/>
          <w:sz w:val="24"/>
          <w:szCs w:val="24"/>
          <w:shd w:val="clear" w:color="auto" w:fill="FFFFFF"/>
        </w:rPr>
        <w:t>El recurso al déficit</w:t>
      </w:r>
    </w:p>
    <w:p w:rsidR="00D10F75" w:rsidRDefault="00D10F75" w:rsidP="00D10F75">
      <w:pPr>
        <w:spacing w:line="240" w:lineRule="auto"/>
        <w:jc w:val="both"/>
        <w:rPr>
          <w:rFonts w:ascii="Times New Roman" w:hAnsi="Times New Roman" w:cs="Times New Roman"/>
          <w:sz w:val="24"/>
          <w:szCs w:val="24"/>
          <w:shd w:val="clear" w:color="auto" w:fill="FFFFFF"/>
        </w:rPr>
      </w:pPr>
      <w:r w:rsidRPr="002E747F">
        <w:rPr>
          <w:rFonts w:ascii="Times New Roman" w:hAnsi="Times New Roman" w:cs="Times New Roman"/>
          <w:sz w:val="24"/>
          <w:szCs w:val="24"/>
          <w:shd w:val="clear" w:color="auto" w:fill="FFFFFF"/>
        </w:rPr>
        <w:t xml:space="preserve">En los últimos años, se ha frenado el estrechamiento del peso de la Administración Central, pero se ha hecho a costa de un elevado déficit público. El Gobierno ha concentrado en el Estado todo el margen de déficit que permiten las reglas fiscales, lo que ha evitado tener que hacer más ajustes. Por ejemplo, según las previsiones de la Autoridad Fiscal, el gasto de la Administración Central crecerá un 2,6% este año, frente a un 4,9% de las comunidades autónomas y un 4,2% de los ayuntamientos. La Administración Central cerró 2024 con un déficit del 2,9% del PIB, concentrando casi todo el saldo negativo de las AAPP, que se situó en el 3,2%. Antes de la pandemia, por el contrario, el déficit de la Administración Central era </w:t>
      </w:r>
      <w:r>
        <w:rPr>
          <w:rFonts w:ascii="Times New Roman" w:hAnsi="Times New Roman" w:cs="Times New Roman"/>
          <w:sz w:val="24"/>
          <w:szCs w:val="24"/>
          <w:shd w:val="clear" w:color="auto" w:fill="FFFFFF"/>
        </w:rPr>
        <w:t>muy inferior, del 1,5% del PIB.</w:t>
      </w:r>
    </w:p>
    <w:p w:rsidR="00D10F75" w:rsidRPr="002E747F" w:rsidRDefault="00D10F75" w:rsidP="00D10F75">
      <w:pPr>
        <w:spacing w:line="240" w:lineRule="auto"/>
        <w:jc w:val="both"/>
        <w:rPr>
          <w:rFonts w:ascii="Times New Roman" w:hAnsi="Times New Roman" w:cs="Times New Roman"/>
          <w:sz w:val="24"/>
          <w:szCs w:val="24"/>
          <w:shd w:val="clear" w:color="auto" w:fill="FFFFFF"/>
        </w:rPr>
      </w:pPr>
      <w:r w:rsidRPr="00EE37AA">
        <w:rPr>
          <w:rFonts w:ascii="Times New Roman" w:hAnsi="Times New Roman" w:cs="Times New Roman"/>
          <w:noProof/>
          <w:sz w:val="24"/>
          <w:szCs w:val="24"/>
          <w:shd w:val="clear" w:color="auto" w:fill="FFFFFF"/>
          <w:lang w:eastAsia="es-ES"/>
        </w:rPr>
        <w:drawing>
          <wp:inline distT="0" distB="0" distL="0" distR="0" wp14:anchorId="3FB1B884" wp14:editId="20008482">
            <wp:extent cx="5733376" cy="3308350"/>
            <wp:effectExtent l="0" t="0" r="1270" b="635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3307273"/>
                    </a:xfrm>
                    <a:prstGeom prst="rect">
                      <a:avLst/>
                    </a:prstGeom>
                  </pic:spPr>
                </pic:pic>
              </a:graphicData>
            </a:graphic>
          </wp:inline>
        </w:drawing>
      </w:r>
    </w:p>
    <w:p w:rsidR="00D10F75" w:rsidRDefault="00D10F75" w:rsidP="00D10F75">
      <w:pPr>
        <w:spacing w:line="240" w:lineRule="auto"/>
        <w:jc w:val="both"/>
        <w:rPr>
          <w:rFonts w:ascii="Times New Roman" w:hAnsi="Times New Roman" w:cs="Times New Roman"/>
          <w:sz w:val="24"/>
          <w:szCs w:val="24"/>
          <w:shd w:val="clear" w:color="auto" w:fill="FFFFFF"/>
        </w:rPr>
      </w:pPr>
      <w:r w:rsidRPr="002E747F">
        <w:rPr>
          <w:rFonts w:ascii="Times New Roman" w:hAnsi="Times New Roman" w:cs="Times New Roman"/>
          <w:sz w:val="24"/>
          <w:szCs w:val="24"/>
          <w:shd w:val="clear" w:color="auto" w:fill="FFFFFF"/>
        </w:rPr>
        <w:t xml:space="preserve">Mientras el resto de subsectores ya están saneados, la Administración Central todavía tiene que realizar importantes ajustes que reducirán su participación en el gasto. Si a esto se le suma una nueva financiación autonómica más generosa, el futuro apunta a un Estado apretándose el cinturón. No es necesario que haga recortes del gasto, basta con que crezca a un ritmo inferior al PIB para que su participación se vaya reduciendo. La reducción del déficit en los próximos años va a ser muy complicada, porque la Administración Central carga con una doble hipoteca. La primera es la financiación de las pensiones a medida que aceleren las jubilaciones. De </w:t>
      </w:r>
      <w:r w:rsidR="00FB1411">
        <w:rPr>
          <w:rFonts w:ascii="Times New Roman" w:hAnsi="Times New Roman" w:cs="Times New Roman"/>
          <w:sz w:val="24"/>
          <w:szCs w:val="24"/>
          <w:shd w:val="clear" w:color="auto" w:fill="FFFFFF"/>
        </w:rPr>
        <w:t>hecho, la Autoridad Fiscal (AIRE</w:t>
      </w:r>
      <w:r w:rsidRPr="002E747F">
        <w:rPr>
          <w:rFonts w:ascii="Times New Roman" w:hAnsi="Times New Roman" w:cs="Times New Roman"/>
          <w:sz w:val="24"/>
          <w:szCs w:val="24"/>
          <w:shd w:val="clear" w:color="auto" w:fill="FFFFFF"/>
        </w:rPr>
        <w:t xml:space="preserve">F) ha alertado de que el número de pensionistas está creciendo por encima de lo esperado, probablemente porque ahora se están retirando algunos trabajadores que se acogieron a los incentivos para retrasar </w:t>
      </w:r>
      <w:r w:rsidRPr="002E747F">
        <w:rPr>
          <w:rFonts w:ascii="Times New Roman" w:hAnsi="Times New Roman" w:cs="Times New Roman"/>
          <w:sz w:val="24"/>
          <w:szCs w:val="24"/>
          <w:shd w:val="clear" w:color="auto" w:fill="FFFFFF"/>
        </w:rPr>
        <w:lastRenderedPageBreak/>
        <w:t>su salida. La segunda es el aumento del gasto en defensa. El Gobierno se ha comprometido a elevar hasta el 2,1% el gasto, algo que tendrá que financiar íntegramente el Estado. Por su parte, la OTAN está exigiendo elevar esta partida hasta el 5% del PIB. Este es un esfuerzo adicional que tendrá que asumir el Estado a corto plazo que limita más el margen de gasto. A medida que la Administración Central cede recursos, pierde capacidad para desplegar políticas. Según los datos de la IGAE, la Administración Central generaba el 35% de la producción pública hace tres décadas, en la actualidad es menos de un 19%. Ha sido adelantada por las comunidades autónomas, pero también por los ayuntamientos. Es más, la producción de los ayuntamientos supera en un 27% a la de la Administración Central, en un</w:t>
      </w:r>
      <w:r>
        <w:rPr>
          <w:rFonts w:ascii="Times New Roman" w:hAnsi="Times New Roman" w:cs="Times New Roman"/>
          <w:sz w:val="24"/>
          <w:szCs w:val="24"/>
          <w:shd w:val="clear" w:color="auto" w:fill="FFFFFF"/>
        </w:rPr>
        <w:t>a brecha que no para de crecer.</w:t>
      </w:r>
    </w:p>
    <w:p w:rsidR="00D10F75" w:rsidRPr="002E747F" w:rsidRDefault="00D10F75" w:rsidP="00D10F75">
      <w:pPr>
        <w:spacing w:line="240" w:lineRule="auto"/>
        <w:jc w:val="both"/>
        <w:rPr>
          <w:rFonts w:ascii="Times New Roman" w:hAnsi="Times New Roman" w:cs="Times New Roman"/>
          <w:sz w:val="24"/>
          <w:szCs w:val="24"/>
          <w:shd w:val="clear" w:color="auto" w:fill="FFFFFF"/>
        </w:rPr>
      </w:pPr>
      <w:r w:rsidRPr="00EE37AA">
        <w:rPr>
          <w:rFonts w:ascii="Times New Roman" w:hAnsi="Times New Roman" w:cs="Times New Roman"/>
          <w:noProof/>
          <w:sz w:val="24"/>
          <w:szCs w:val="24"/>
          <w:shd w:val="clear" w:color="auto" w:fill="FFFFFF"/>
          <w:lang w:eastAsia="es-ES"/>
        </w:rPr>
        <w:drawing>
          <wp:inline distT="0" distB="0" distL="0" distR="0" wp14:anchorId="4EE83FEC" wp14:editId="3EE932A0">
            <wp:extent cx="5732310" cy="3454400"/>
            <wp:effectExtent l="0" t="0" r="1905" b="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3453918"/>
                    </a:xfrm>
                    <a:prstGeom prst="rect">
                      <a:avLst/>
                    </a:prstGeom>
                  </pic:spPr>
                </pic:pic>
              </a:graphicData>
            </a:graphic>
          </wp:inline>
        </w:drawing>
      </w:r>
    </w:p>
    <w:p w:rsidR="00D10F75" w:rsidRDefault="00D10F75" w:rsidP="00D10F75">
      <w:pPr>
        <w:spacing w:line="240" w:lineRule="auto"/>
        <w:jc w:val="both"/>
        <w:rPr>
          <w:rFonts w:ascii="Times New Roman" w:hAnsi="Times New Roman" w:cs="Times New Roman"/>
          <w:sz w:val="24"/>
          <w:szCs w:val="24"/>
          <w:shd w:val="clear" w:color="auto" w:fill="FFFFFF"/>
        </w:rPr>
      </w:pPr>
      <w:r w:rsidRPr="002E747F">
        <w:rPr>
          <w:rFonts w:ascii="Times New Roman" w:hAnsi="Times New Roman" w:cs="Times New Roman"/>
          <w:sz w:val="24"/>
          <w:szCs w:val="24"/>
          <w:shd w:val="clear" w:color="auto" w:fill="FFFFFF"/>
        </w:rPr>
        <w:t>Esto afecta directamente a los servicios públicos que provee el Estado. Por ejemplo, los escasos recursos para invertir han quedado al descubierto en los últimos meses con fallos de infraestructuras críticas, desde la red energética hasta la ferroviaria. No solo eso, el Estado también es el responsable de intervenir ante problemas que surjan a nivel nacional, e, incluso, de responder ante catástrofes. A medida que su participación en el presupuesto público se va reduciendo, o se va hipotecando, su capacidad de respuesta va menguando. No es de extrañar, por ejemplo, que el Gobierno utilice cada año la mitad del Fondo de Contingencia reservado para imprevistos para financiar gastos recurrentes. El presupuesto no da más de sí. La Administración Central es, en último término, el garante de la igualdad entre todos los españoles. También de respuesta ante una catástrofe. Si finalmente se ejecuta una reforma de la financiación autonómica que dé un nuevo recorte al Estado, podría tener importantes implicaciones para los habitantes en función de dónde vivan.</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 </w:t>
      </w:r>
      <w:r>
        <w:rPr>
          <w:rFonts w:ascii="Times New Roman" w:hAnsi="Times New Roman" w:cs="Times New Roman"/>
          <w:sz w:val="24"/>
          <w:szCs w:val="24"/>
          <w:u w:val="single"/>
        </w:rPr>
        <w:t>Las CCAA mantienen a 1.772 “chiringuitos”</w:t>
      </w:r>
      <w:r w:rsidRPr="009057E3">
        <w:rPr>
          <w:rFonts w:ascii="Times New Roman" w:hAnsi="Times New Roman" w:cs="Times New Roman"/>
          <w:sz w:val="24"/>
          <w:szCs w:val="24"/>
          <w:u w:val="single"/>
        </w:rPr>
        <w:t xml:space="preserve"> dónde los partidos pueden enchufar a sus allegados</w:t>
      </w:r>
      <w:r w:rsidRPr="009057E3">
        <w:rPr>
          <w:rFonts w:ascii="Times New Roman" w:hAnsi="Times New Roman" w:cs="Times New Roman"/>
          <w:sz w:val="24"/>
          <w:szCs w:val="24"/>
        </w:rPr>
        <w:t xml:space="preserve"> (Vozpópuli - </w:t>
      </w:r>
      <w:r w:rsidRPr="009057E3">
        <w:rPr>
          <w:rFonts w:ascii="Times New Roman" w:hAnsi="Times New Roman" w:cs="Times New Roman"/>
          <w:b/>
          <w:sz w:val="24"/>
          <w:szCs w:val="24"/>
        </w:rPr>
        <w:t>26/7/25</w:t>
      </w:r>
      <w:r w:rsidRPr="009057E3">
        <w:rPr>
          <w:rFonts w:ascii="Times New Roman" w:hAnsi="Times New Roman" w:cs="Times New Roman"/>
          <w:sz w:val="24"/>
          <w:szCs w:val="24"/>
        </w:rPr>
        <w:t>)</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Suma 364 de los 1.772 entes instrumentales que mantienen las comunidades autónomas en España</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lastRenderedPageBreak/>
        <w:t>Inflación de funcionarios en Cataluña: suma 100.000 e</w:t>
      </w:r>
      <w:r>
        <w:rPr>
          <w:rFonts w:ascii="Times New Roman" w:hAnsi="Times New Roman" w:cs="Times New Roman"/>
          <w:sz w:val="24"/>
          <w:szCs w:val="24"/>
        </w:rPr>
        <w:t>mpleados públicos más desde el “procés”</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(Por Francisco Núñez)</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La UCO ha confirmado en un atestado la denuncia de un sindicato de funcionarios sobre el enchufe de 85 allegados a cargos del PSOE (también de UGT) en la Fundación Andaluza de Formación y Empleo (Faffe). Entre ellos, se encuentra la mujer de Juan Espadas, ex secretario general del PSOE en Andalucía, actual portavoz socialista en el Senado y miembro de la Ejecutiva Federal. Este organismo público, creado en 2003 para combatir el paro y mejorar la formación de los trabajadores, acabó convirtiéndose en una agencia de colocación de afines al partido. Fue disuelto en 2011, también por el PSOE, pero sus 1.664 asalariados fueron integrados en otro ente público (el Servicio Andaluz de Empleo), dónde la mayoría ha consolidado su puesto, gracias a un proceso de estabilización que se ha completado hace unos meses.</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Se trata de un ejemplo más de la contratación irregular que se puede realizar aún en los 1.772 entes instrumentales, e</w:t>
      </w:r>
      <w:r>
        <w:rPr>
          <w:rFonts w:ascii="Times New Roman" w:hAnsi="Times New Roman" w:cs="Times New Roman"/>
          <w:sz w:val="24"/>
          <w:szCs w:val="24"/>
        </w:rPr>
        <w:t>n la denominada Administración “paralela” o “fantasma”</w:t>
      </w:r>
      <w:r w:rsidRPr="009057E3">
        <w:rPr>
          <w:rFonts w:ascii="Times New Roman" w:hAnsi="Times New Roman" w:cs="Times New Roman"/>
          <w:sz w:val="24"/>
          <w:szCs w:val="24"/>
        </w:rPr>
        <w:t>, de que disponen todavía las comunidades autónomas y también el resto de Administraciones. El Estado cuenta con 450 entes (más otros 43 sin adscribir aún), mientras que los ayuntamientos y diputaciones suman casi 4.200. Es decir, las Administraciones Públicas españolas disponen de casi 6.500 entes dónde los partidos pueden colocar a su legión de enchufados. Estos organismos, independientes de las administraciones generales, se han convertido, sobre todo en los años más duros de la economía y de cambios políticos, en un portillo de entrada de allegados, familiares, afectos y compromisos de los dirigentes políticos tanto de los que llegan al poder como de los que se tienen que ir consolidando antes su puesto.</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Se trata de organismos públicos instrumentales que se crearon para tener una mayor eficiencia operativa en la prestación de servicios, por no tener que acogerse a los requerimientos y a la lentitud del cumplimiento de la normativa administrativa del sector público, tanto en las adjudicaciones, adquisiciones, compra de bienes y servicios así como sobre todo en la contratación de personal. Es decir, estos entes no están sometidos al control y a la transparencia que debería exigirse vulnerándose en muchos casos los principios de igualdad, mérito, capacidad y publicidad que deben regir en toda actividad pública. De ahí, que aparezcan casos de nepotismo en todas las Administraciones, como, por ejemplo, en la contratación de las amistades de Ábalos por entes estatales.</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Realmente, no existe una justificación económica de su creación en muchos de ellos y sobre todo de su mantenimiento. Por ejemplo, el dirigente de Vox, Santiago Abascal, ha reconocido que estuvo contratado durante año y medio en dos entes sin actividad de la Comunidad de Madrid (la Agencia de Protección de Datos y la Fundación Mecenazgo y el Patrocinio). La Intervención General del Estado lleva 17 años intentando poner un cierto orden, pero el proceso se ha estancado y la mayor parte de la reducción conseguida (en 2010 se llegó a más de 2.500) es como consecuencia de la integración, fusión o absorción en otros organismos públicos.</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La maraña de entes de las autonomías</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Según el inventario del Ministerio de Hacienda, las autonomías suman 539 fundaciones, 428 sociedades mercantiles, 319 consorcios, 166 entes públicos; casi 160 organismos administrativos, comerciales y </w:t>
      </w:r>
      <w:r>
        <w:rPr>
          <w:rFonts w:ascii="Times New Roman" w:hAnsi="Times New Roman" w:cs="Times New Roman"/>
          <w:sz w:val="24"/>
          <w:szCs w:val="24"/>
        </w:rPr>
        <w:t xml:space="preserve">autónomos; medio centenar de </w:t>
      </w:r>
      <w:r w:rsidRPr="009057E3">
        <w:rPr>
          <w:rFonts w:ascii="Times New Roman" w:hAnsi="Times New Roman" w:cs="Times New Roman"/>
          <w:sz w:val="24"/>
          <w:szCs w:val="24"/>
        </w:rPr>
        <w:t xml:space="preserve">entidades públicas empresariales; así como 40 universidades, 33 ‘otras’ instituciones sin ánimo de lucro y 16 </w:t>
      </w:r>
      <w:r w:rsidRPr="009057E3">
        <w:rPr>
          <w:rFonts w:ascii="Times New Roman" w:hAnsi="Times New Roman" w:cs="Times New Roman"/>
          <w:sz w:val="24"/>
          <w:szCs w:val="24"/>
        </w:rPr>
        <w:lastRenderedPageBreak/>
        <w:t>agencias. Se trata de una auténtica maraña de entidades calificadas de derecho público o con personalidad jurídica. Incluso, disponen de presupuesto propio en algunos casos, no tienen fin de lucro y se supone que se han creado para fines de interés general. Pero, en su mayoría, se han convertido en el servicio de recolocación de los partidos políticos.</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Cataluña se lleva la palma. Es la región con más entes instrumentales. Dispone de 364 frente a los 325 (12%) de que disponía, por ejemplo, en 2008 en el inicio de la gran crisis económica. Esa cifra supone que uno de cada cinco organismos del conjunto autonómico se encuentra en esta comunidad y es la única en que ha crecido su número entre estos años. Lidera todas las opciones. Tiene censados a 112 consocios y 98 fundaciones (las organizaciones más oscurantistas) que representan el 60% de sus entes. Además, dispone de 64 sociedades mercantiles, 55 entes públicos así como 25 organismos administrativos, comerciales y autónomos.</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Andalucía, la región con mayor número de habitantes y tercer PIB regional, tiene ahora 181, casi la mitad de los que están adscritos a Cataluña frente a los 271 de que disponía en 2008 y, por ejemplo, los 376 en 2011. El País Vasco, la quinta economía regional, cuenta con 154 entes, casi la mitad son sociedades mercantiles. La Comunidad Valenciana, la cuarta economía autonómica, dispone de 135 organismos en su Administración ‘paralela’ (la mitad son fundaciones y consorcios); y, por ejemplo, Madrid, la primera economía nacional y la tercera en número de habitantes, ocupa el quinto lugar en este ranking con 123 entes (el 60% son fundaciones y consorcios). Sorprende además que Aragón tenga casi un centenar de organismos, y que Baleares y Canarias dispongan cada una de 74. </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La casuística de estos entes es de lo más variado e inverosímil en muchos casos. Por ejemplo, casi todas las autonomías disponen de alguna fundación u organismo similar dedicado a  la formación y el empleo, como en investigado en Andalucía, así como el correspondiente SEPE regional que sólo sirve para tomar nota de los parados que demandan empleo. Además, todas ellas tienen un emporio montado de sociedades y organismos para su despliegue audiovisual de televisiones y radios, entre otros. </w:t>
      </w:r>
    </w:p>
    <w:p w:rsidR="00D10F75" w:rsidRPr="009057E3" w:rsidRDefault="00D10F75" w:rsidP="00D10F75">
      <w:pPr>
        <w:spacing w:line="240" w:lineRule="auto"/>
        <w:jc w:val="both"/>
        <w:rPr>
          <w:rFonts w:ascii="Times New Roman" w:hAnsi="Times New Roman" w:cs="Times New Roman"/>
          <w:sz w:val="24"/>
          <w:szCs w:val="24"/>
        </w:rPr>
      </w:pPr>
      <w:r>
        <w:rPr>
          <w:rFonts w:ascii="Times New Roman" w:hAnsi="Times New Roman" w:cs="Times New Roman"/>
          <w:sz w:val="24"/>
          <w:szCs w:val="24"/>
        </w:rPr>
        <w:t>La “letra pequeña”</w:t>
      </w:r>
      <w:r w:rsidRPr="009057E3">
        <w:rPr>
          <w:rFonts w:ascii="Times New Roman" w:hAnsi="Times New Roman" w:cs="Times New Roman"/>
          <w:sz w:val="24"/>
          <w:szCs w:val="24"/>
        </w:rPr>
        <w:t xml:space="preserve"> de la lista</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La lista es larga con mucha letra pequeña. Cataluña es la estrella. Por ejemplo, cuenta con una Autoridad de la Competencia;  el Centro de Estudios de Opinión; el Centro de Estudios Jurídicos; el Instituto  de la Letras Catalanas; el Instituto de Finanzas así como el del Sol; el Memorial Democratic; el Consorcio de Alta velocidad; la Agencia de Migraciones; el Consorcio para la Normalización Lingüística o el de Terminología </w:t>
      </w:r>
      <w:r w:rsidR="00FE562B" w:rsidRPr="009057E3">
        <w:rPr>
          <w:rFonts w:ascii="Times New Roman" w:hAnsi="Times New Roman" w:cs="Times New Roman"/>
          <w:sz w:val="24"/>
          <w:szCs w:val="24"/>
        </w:rPr>
        <w:t>Catalán</w:t>
      </w:r>
      <w:r w:rsidRPr="009057E3">
        <w:rPr>
          <w:rFonts w:ascii="Times New Roman" w:hAnsi="Times New Roman" w:cs="Times New Roman"/>
          <w:sz w:val="24"/>
          <w:szCs w:val="24"/>
        </w:rPr>
        <w:t xml:space="preserve"> así como el del Memorial de los Espacios de la Batalla del Ebro o Centro de Investigación de la Economía Internacional. Hay que añadir también, entre otros, el Centro de Estudios Democráticos; el Instituto de Estudios Espaciales; la Fundación Barcelona Olímpica; la Promotora de Exportaciones Catalanas; Loterías de Cataluña, o, por ejemplo, la empresa Comercial La Forja, dedicada a la fabricación y comercialización de productos siderometalúrgicos. </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En Andalucía llama la atención la Fundación Olímpica; la Orquesta Sinfónica de Sevilla o la Agencia del Conocimiento. El País Vasco cuenta con el Instituto Vasco de Administraciones Públicas o el de Finanzas; la Agencia de Ciberseguridad y la de Internacionalización así como diversas sociedades para exportar a Estados Unidos, Singapur o Brasil. Por su parte, la Comunidad Valenciana dispone de la Academia de la Lengua; la Agencia del Cambio Climático; el Consorcio Valencia 2007; la Agencia de Seguridad Ferroviaria así como el Consorcio Espacial y el de Alicante Vuelta al Mundo a Vela. Mientras, Madrid cuenta con la </w:t>
      </w:r>
      <w:r w:rsidRPr="009057E3">
        <w:rPr>
          <w:rFonts w:ascii="Times New Roman" w:hAnsi="Times New Roman" w:cs="Times New Roman"/>
          <w:sz w:val="24"/>
          <w:szCs w:val="24"/>
        </w:rPr>
        <w:lastRenderedPageBreak/>
        <w:t xml:space="preserve">Agencia para la Tutela de Adultos; la Fundación Madrid por la Excelencia (emite certificaciones) y mantiene una veintena larga de consorcios urbanísticos.  </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También llama la atención entes en Aragón como la Agencia de Calidad y Prospectiva Universitaria o Aragón exterior; en Canarias, la Fundación de la Lengua o los Hoteles Escuelas S.A.; en Cantabria, el Balneario y Agua de Solares o la Oficina de Proyectos Europeos; en Castilla y León, el Club Deportivo Universidad de Salamanca o la Escuela de la Lengua Española; en Castilla La Mancha, el Instituto de Promoción Exterior o la Fundación Patronato de la Semana de Música Religiosa de Cuenca; en Extremadura, la Agencia para la Cooperación Internacional para el Desarrollo o la Fundación Centro de Documentación e Información Europea; en Galicia, la Escuela de Administración Pública o las fundaciones USC Deportiva y Dieta Atlántica; en Murcia, el Consorcio Año Jubilar 2010 o las fundaciones Cante de las Minas y Orquesta Sinfónica; en Baleares, el Consorcio Escuela de Hostelería o las fundaciones para el Deporte y de la Cátedra Iberoamericana;  en Asturias, la Fundación Observatorio Económico del Deporte o el Centro de Bellas Artes; en La Rioja, el Instituto de Estudios Riojanos o las fundaciones para la Transformación o la Cooperación Internacional; y en Navarra, el Centro de Aprendizaje de Idiomas o el Europeo de Empresas.</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Es evidente que, además de la Intervención General del Estado, la UCO debería tener también manga ancha para actuar en este sector público instrumental de las CCAA.</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 </w:t>
      </w:r>
      <w:r w:rsidRPr="009057E3">
        <w:rPr>
          <w:rFonts w:ascii="Times New Roman" w:hAnsi="Times New Roman" w:cs="Times New Roman"/>
          <w:sz w:val="24"/>
          <w:szCs w:val="24"/>
          <w:u w:val="single"/>
        </w:rPr>
        <w:t>El empleo público autonómico ya es un 13,1% mayor que antes de la pandemia</w:t>
      </w:r>
      <w:r w:rsidRPr="009057E3">
        <w:rPr>
          <w:rFonts w:ascii="Times New Roman" w:hAnsi="Times New Roman" w:cs="Times New Roman"/>
          <w:sz w:val="24"/>
          <w:szCs w:val="24"/>
        </w:rPr>
        <w:t xml:space="preserve"> (El Economista - </w:t>
      </w:r>
      <w:r w:rsidRPr="009057E3">
        <w:rPr>
          <w:rFonts w:ascii="Times New Roman" w:hAnsi="Times New Roman" w:cs="Times New Roman"/>
          <w:b/>
          <w:sz w:val="24"/>
          <w:szCs w:val="24"/>
        </w:rPr>
        <w:t>20/8/25</w:t>
      </w:r>
      <w:r w:rsidRPr="009057E3">
        <w:rPr>
          <w:rFonts w:ascii="Times New Roman" w:hAnsi="Times New Roman" w:cs="Times New Roman"/>
          <w:sz w:val="24"/>
          <w:szCs w:val="24"/>
        </w:rPr>
        <w:t>)</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Cinco autonomías han ampliado sus plantillas en el segundo trimestre desde el 8,3% al 2,6%</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Desde 2021, el número de ocupados se ha mantenido por encima de los dos millones</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Alza desmedida de empleo público</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(Por Marta Yoldi)</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El empleo público sigue creciendo en España. En esta ocasión, hay que detenerse en las autonomías, que han experimentado incrementos constantes de empleados desde el año 2019. Si en el segundo trimestre de aquel año se alcanzó 1,8 millones de ocupados, en los mismos meses de 2025 superan ligeramente los 2 millones, un 13,1% más, de acuerdo con los últimos datos de la Encuesta de Población Activa (EPA). El 54% de ellos son funcionarios de carrera frente al 78% que lo son en el sector público estatal.</w:t>
      </w:r>
    </w:p>
    <w:p w:rsidR="00D10F75"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La evolución se aceleró en el año 2020, año de la pandemia por excelencia. Pero, desde entonces no ha dejado de aumentar el número de empleados de las administraciones autonómicas. Éstas concentran el 62,2% de todo el empleo de las Administraciones Públicas en España y, aunque el aumento es generalizado, el de las autonomías no cesa y se avanza a buen ritmo aunque con algunos parones. El aumento en las comunidades autónomas es el que sube la media total en estos seis años sobre empleo en el sector público, ya que en la Administración central incluso ha habido retrocesos. El trabajo público representa el 15% del total en España.</w:t>
      </w:r>
    </w:p>
    <w:p w:rsidR="007C1B7D" w:rsidRPr="009057E3" w:rsidRDefault="007C1B7D"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Este mismo año, hay varias comunidades que han tenido crecimientos muy altos. Es el caso de Extremadura que, el segundo trimestre aumentó sus plantillas públicas un 8,34% respecto al primer trimestre. Baleares lo hizo, en el mismo periodo, un 4,42%, y Aragón, un 3,79%. Cantabria subió su personal un 2,62% y Galicia, un 2,6%. Aunque ha sido la ciudad autónoma de Ceuta la que más incrementó sus nóminas en el segundo trimestre del año en </w:t>
      </w:r>
      <w:r w:rsidRPr="009057E3">
        <w:rPr>
          <w:rFonts w:ascii="Times New Roman" w:hAnsi="Times New Roman" w:cs="Times New Roman"/>
          <w:sz w:val="24"/>
          <w:szCs w:val="24"/>
        </w:rPr>
        <w:lastRenderedPageBreak/>
        <w:t>relación al primero, nada menos que un 20,34%. Estas cinco comunidades autónomas y Ceuta ejemplifican la tónica que se viene produciendo desde la pandemia.</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noProof/>
          <w:sz w:val="24"/>
          <w:szCs w:val="24"/>
          <w:lang w:eastAsia="es-ES"/>
        </w:rPr>
        <w:drawing>
          <wp:inline distT="0" distB="0" distL="0" distR="0" wp14:anchorId="13480190" wp14:editId="4C70B832">
            <wp:extent cx="5715000" cy="3606800"/>
            <wp:effectExtent l="0" t="0" r="0" b="0"/>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22149" cy="3611312"/>
                    </a:xfrm>
                    <a:prstGeom prst="rect">
                      <a:avLst/>
                    </a:prstGeom>
                  </pic:spPr>
                </pic:pic>
              </a:graphicData>
            </a:graphic>
          </wp:inline>
        </w:drawing>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La serie de la EPA muestra que, a partir de 2021 cuando se superó la barrera de los 2 millones de empleados autonómicos, éstos han ido oscilando. No se ha vuelto a bajar de esa cantidad, si bien ha habido trimestres con más cantidad de ocupados. A la Administración autonómica competen materias tan intensivas en empleo como son la educación y la sanidad. Es en estos sectores donde más altas se producen y que más ocupados absorben, si bien en el ámbito educativo hay numerosos movimientos de personas. Administración aparece en tercer lugar como el área que más funcionarios concentra tras educación y salud. Los servicios sociales, igualmente competencia de las comunidades autónomas, son otra de las áreas laborales donde, cada vez más, trabajan más personas.</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Por número de personal, Andalucía lidera la lista con 500.000 empleados al servicio de su gobierno autonómico. Cataluña y Madrid son las siguientes, con más de 250.000 la primera y más de 230.000, la segunda. Estas cantidades entran dentro de la lógica porque se trata de las autonomías con más habitantes del país.</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Lo que da idea de cierta desproporción es el ratio de empleados públicos por cada mil habitantes. Así, si la media de todas las comunidades autónomas es de 36,7, hay regiones que la superan de largo como Extremadura (56,8) y Navarra (51,3), según los datos del Boletín Estadístico del Personal al Servicio de las AAPP. Una de las explicaciones es que regiones como Extremadura o Castilla y León, que cuenta con 100.000 ocupados públicos ofrecen menos oportunidades laborales en el sector privado.</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No está tan claro el motivo del ratio de Navarra, autonomía ampliamente industrializada y con alto nivel de vida, fuera de motivos políticos. La Comunidad Foral es una de las menos pobladas de España (no llega a los 680.000 habitantes) y da trabajo a 20.000 personas en el sector público. En el mismo caso se encuentra, Cantabria. La Rioja, con 10.000, es la que menos ocupados presenta en el sector público, pero también es la menos poblada.</w:t>
      </w:r>
    </w:p>
    <w:p w:rsidR="00D10F75" w:rsidRPr="009057E3"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lastRenderedPageBreak/>
        <w:t>En relación a los salarios, los más altos por regla general son los que abona la Comunidad de Madrid. Para fijarlos, se tiene en cuenta la renta per cápita de la región y el alto coste de la vida en la misma. Por el contrario, una de las que ofrece sueldos más bajos a sus empleados es Andalucía por las mismas razones pero al revés: menores ingresos per cápita y menor coste de la vida. También influyen las políticas prioritarias de cada gobierno regional y la inflación, que varía entre autonomías, en ocasiones bastante.</w:t>
      </w:r>
    </w:p>
    <w:p w:rsidR="00D10F75" w:rsidRDefault="00D10F75" w:rsidP="00D10F75">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Hay que tener en cuenta que las autonomías tienen libertad para gest</w:t>
      </w:r>
      <w:r>
        <w:rPr>
          <w:rFonts w:ascii="Times New Roman" w:hAnsi="Times New Roman" w:cs="Times New Roman"/>
          <w:sz w:val="24"/>
          <w:szCs w:val="24"/>
        </w:rPr>
        <w:t xml:space="preserve">ionar ciertos aspectos </w:t>
      </w:r>
      <w:r w:rsidRPr="009057E3">
        <w:rPr>
          <w:rFonts w:ascii="Times New Roman" w:hAnsi="Times New Roman" w:cs="Times New Roman"/>
          <w:sz w:val="24"/>
          <w:szCs w:val="24"/>
        </w:rPr>
        <w:t>salariales de sus ocupados públicos. Otros, como el básico de la actualización de las nóminas de acuerdo con el IPC, corresponde</w:t>
      </w:r>
      <w:r>
        <w:rPr>
          <w:rFonts w:ascii="Times New Roman" w:hAnsi="Times New Roman" w:cs="Times New Roman"/>
          <w:sz w:val="24"/>
          <w:szCs w:val="24"/>
        </w:rPr>
        <w:t>n</w:t>
      </w:r>
      <w:r w:rsidRPr="009057E3">
        <w:rPr>
          <w:rFonts w:ascii="Times New Roman" w:hAnsi="Times New Roman" w:cs="Times New Roman"/>
          <w:sz w:val="24"/>
          <w:szCs w:val="24"/>
        </w:rPr>
        <w:t xml:space="preserve"> al Estado, que es quien fija el porcentaje de subida en Consejo de Ministros. Un dato: en 2024 cinco autonomías (Castilla La Mancha, Extremadura, Murcia, Andalucía y Aragón) destinaron el 50% de recursos presupuestados para dicho ejercicio al abono de nóminas públicas. En términos absolutos, son casi 92.000 millones de euros los que el conjunto de los Gobiernos autonómicos se gastan en los sueldos del personal de su Administración, lo que en términos relativos supone más de diez puntos porcentuales por encima del nivel de 2019, hace seis años, antes de los años de la pandemia en que se dispararon los puestos de trabajo públicos.</w:t>
      </w:r>
    </w:p>
    <w:p w:rsidR="00D10F75" w:rsidRPr="00D812DB" w:rsidRDefault="00D10F75" w:rsidP="00D10F75">
      <w:pPr>
        <w:spacing w:line="240" w:lineRule="auto"/>
        <w:jc w:val="both"/>
        <w:rPr>
          <w:rFonts w:ascii="Times New Roman" w:hAnsi="Times New Roman" w:cs="Times New Roman"/>
          <w:sz w:val="24"/>
          <w:szCs w:val="24"/>
        </w:rPr>
      </w:pPr>
      <w:r w:rsidRPr="00D812DB">
        <w:rPr>
          <w:rFonts w:ascii="Times New Roman" w:hAnsi="Times New Roman" w:cs="Times New Roman"/>
          <w:sz w:val="24"/>
          <w:szCs w:val="24"/>
        </w:rPr>
        <w:t xml:space="preserve">- </w:t>
      </w:r>
      <w:r w:rsidRPr="00D812DB">
        <w:rPr>
          <w:rFonts w:ascii="Times New Roman" w:hAnsi="Times New Roman" w:cs="Times New Roman"/>
          <w:sz w:val="24"/>
          <w:szCs w:val="24"/>
          <w:u w:val="single"/>
        </w:rPr>
        <w:t>Excesivo peso del empleo público</w:t>
      </w:r>
      <w:r w:rsidRPr="00D812DB">
        <w:rPr>
          <w:rFonts w:ascii="Times New Roman" w:hAnsi="Times New Roman" w:cs="Times New Roman"/>
          <w:sz w:val="24"/>
          <w:szCs w:val="24"/>
        </w:rPr>
        <w:t xml:space="preserve"> (Editorial - El Economista - </w:t>
      </w:r>
      <w:r w:rsidRPr="00D812DB">
        <w:rPr>
          <w:rFonts w:ascii="Times New Roman" w:hAnsi="Times New Roman" w:cs="Times New Roman"/>
          <w:b/>
          <w:sz w:val="24"/>
          <w:szCs w:val="24"/>
        </w:rPr>
        <w:t>20/8/25</w:t>
      </w:r>
      <w:r w:rsidRPr="00D812DB">
        <w:rPr>
          <w:rFonts w:ascii="Times New Roman" w:hAnsi="Times New Roman" w:cs="Times New Roman"/>
          <w:sz w:val="24"/>
          <w:szCs w:val="24"/>
        </w:rPr>
        <w:t>)</w:t>
      </w:r>
    </w:p>
    <w:p w:rsidR="00D10F75" w:rsidRPr="00D812DB" w:rsidRDefault="00D10F75" w:rsidP="00D10F75">
      <w:pPr>
        <w:spacing w:line="240" w:lineRule="auto"/>
        <w:jc w:val="both"/>
        <w:rPr>
          <w:rFonts w:ascii="Times New Roman" w:hAnsi="Times New Roman" w:cs="Times New Roman"/>
          <w:sz w:val="24"/>
          <w:szCs w:val="24"/>
        </w:rPr>
      </w:pPr>
      <w:r w:rsidRPr="00D812DB">
        <w:rPr>
          <w:rFonts w:ascii="Times New Roman" w:hAnsi="Times New Roman" w:cs="Times New Roman"/>
          <w:sz w:val="24"/>
          <w:szCs w:val="24"/>
        </w:rPr>
        <w:t>Las plantillas de las Administraciones autonómicas se consolidan por encima de los dos millones de asalariados</w:t>
      </w:r>
    </w:p>
    <w:p w:rsidR="00D10F75" w:rsidRPr="00D812DB" w:rsidRDefault="00D10F75" w:rsidP="00D10F75">
      <w:pPr>
        <w:spacing w:line="240" w:lineRule="auto"/>
        <w:jc w:val="both"/>
        <w:rPr>
          <w:rFonts w:ascii="Times New Roman" w:hAnsi="Times New Roman" w:cs="Times New Roman"/>
          <w:sz w:val="24"/>
          <w:szCs w:val="24"/>
        </w:rPr>
      </w:pPr>
      <w:r w:rsidRPr="00D812DB">
        <w:rPr>
          <w:rFonts w:ascii="Times New Roman" w:hAnsi="Times New Roman" w:cs="Times New Roman"/>
          <w:sz w:val="24"/>
          <w:szCs w:val="24"/>
        </w:rPr>
        <w:t>Los últimos datos de la Encuesta de Población Activa delatan cómo el total de asalariados del sector público autonómico se acerca a los 2,1 millones de personas. Se trata de una marca récord que se supera en un 13% el tamaño de las plantillas que los Gobiernos regionales gestionaban antes de la pandemia. La emergencia provocada por el Covid motivó sus primeros incrementos, muy focalizados en el ámbito de los servicios sanitarios. Sin embargo, años después de aquella emergencia, el total de asalariados de este nivel administrativo se resiste a normalizarse y prosigue su auge en ámbitos que ya nada tienen que ver con la atención a los servicios más básicos de la ciudadanía. La tendencia se potenció ante la cercanía de las elecciones de 2023 y vuelve a tomar fuerza en el prim</w:t>
      </w:r>
      <w:r>
        <w:rPr>
          <w:rFonts w:ascii="Times New Roman" w:hAnsi="Times New Roman" w:cs="Times New Roman"/>
          <w:sz w:val="24"/>
          <w:szCs w:val="24"/>
        </w:rPr>
        <w:t>er semestre de 2025.</w:t>
      </w:r>
    </w:p>
    <w:p w:rsidR="007C1B7D" w:rsidRPr="00D812DB" w:rsidRDefault="00D10F75" w:rsidP="00D10F75">
      <w:pPr>
        <w:spacing w:line="240" w:lineRule="auto"/>
        <w:jc w:val="both"/>
        <w:rPr>
          <w:rFonts w:ascii="Times New Roman" w:hAnsi="Times New Roman" w:cs="Times New Roman"/>
          <w:sz w:val="24"/>
          <w:szCs w:val="24"/>
        </w:rPr>
      </w:pPr>
      <w:r w:rsidRPr="00D812DB">
        <w:rPr>
          <w:rFonts w:ascii="Times New Roman" w:hAnsi="Times New Roman" w:cs="Times New Roman"/>
          <w:sz w:val="24"/>
          <w:szCs w:val="24"/>
        </w:rPr>
        <w:t>Como resultado de esta progresión, el sector público se erija en la principal agencia de colocación en varios territorios, donde el peso de este tipo de empleo equivale, o incluso rebasa, el 20% del conjunto de los puestos de trabajo disponibles. Esta situación delata una faceta preocupante del mercado laboral español, pese a sus sucesivos registros récord de afiliación, y de los fundamentales sobre los que asienta el avance del PIB español en los ejercicios más recientes. Nunca será una buena noticia que las plantillas públicas aumenten a ritmos hasta cuatro veces superiores a los de sus homólogas del sector privado, como ha ocurrido repetidamente desde los años previos a la pandemia. Un desequilibrio de esa índole responde a la pregunta de por qué, en medio del nuevo milagro económico español, tanto la productividad como a la riqueza per cápita les está costando tanto recuperar el terreno perdido respecto al resto de la Unión Europea.</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 xml:space="preserve">- </w:t>
      </w:r>
      <w:r w:rsidRPr="003610AD">
        <w:rPr>
          <w:rFonts w:ascii="Times New Roman" w:hAnsi="Times New Roman" w:cs="Times New Roman"/>
          <w:sz w:val="24"/>
          <w:szCs w:val="24"/>
          <w:u w:val="single"/>
        </w:rPr>
        <w:t>Las cinco razones que explican por qué la quita de la deuda es el principio del fin del Estado autonómico</w:t>
      </w:r>
      <w:r w:rsidRPr="003610AD">
        <w:rPr>
          <w:rFonts w:ascii="Times New Roman" w:hAnsi="Times New Roman" w:cs="Times New Roman"/>
          <w:sz w:val="24"/>
          <w:szCs w:val="24"/>
        </w:rPr>
        <w:t xml:space="preserve"> (Libertad Digital - </w:t>
      </w:r>
      <w:r w:rsidRPr="003610AD">
        <w:rPr>
          <w:rFonts w:ascii="Times New Roman" w:hAnsi="Times New Roman" w:cs="Times New Roman"/>
          <w:b/>
          <w:sz w:val="24"/>
          <w:szCs w:val="24"/>
        </w:rPr>
        <w:t>2/9/25</w:t>
      </w:r>
      <w:r w:rsidRPr="003610AD">
        <w:rPr>
          <w:rFonts w:ascii="Times New Roman" w:hAnsi="Times New Roman" w:cs="Times New Roman"/>
          <w:sz w:val="24"/>
          <w:szCs w:val="24"/>
        </w:rPr>
        <w:t>)</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La quita de deuda es una bomba de relojería y uno de los movimientos más peligrosos de nuestra democracia.</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lastRenderedPageBreak/>
        <w:t>Hoy Sánchez lleva al Consejo de Ministros uno de los movimientos más peligrosos de nuestra democracia: una oferta de impago de deuda pública para las comunidades autónomas.</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Nadie en su sano juicio ofertaría a una administración pública un impago de deuda. Solamente un modelo con ambiciones autoritarias y sin ninguna intención de respetar la democracia liberal que nos dimos los países más avanzados en el siglo pasado podría hacerlo de una manera tan descarada, impúdica y manipuladora.</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Lo hace, además, con total impunidad y haciendo públicas una serie de cuestiones que son, sencillamente, falacias. Veamos 5 razones por las cuales la quita de deuda es una bomba de relojería que, de facto, acaba con el Estado de las auto</w:t>
      </w:r>
      <w:r>
        <w:rPr>
          <w:rFonts w:ascii="Times New Roman" w:hAnsi="Times New Roman" w:cs="Times New Roman"/>
          <w:sz w:val="24"/>
          <w:szCs w:val="24"/>
        </w:rPr>
        <w:t>nomías que nos dimos en el ’78.</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1. No es una quita de deuda</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Es un reparto injusto y arbitrario. Lo primero que debemos hacer al hablar de este tema es no caer en el marco mental del sanchismo. Los 87.000 millones de euros que van a pasar hoy por el Consejo de Ministros es deuda que vamos a soportar todos los españoles. O, dicho de otra manera: Es despilfarro en embajadas, ingeniería social o propaganda que vienen haciendo varios presidentes fundamentalmente independentistas y socialistas y que ahora vamos a pagar entre todos.</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En el argot financiero, a esta operación (que la deuda pública cambie de manos y se diluya en un ente administr</w:t>
      </w:r>
      <w:r w:rsidR="007C1B7D">
        <w:rPr>
          <w:rFonts w:ascii="Times New Roman" w:hAnsi="Times New Roman" w:cs="Times New Roman"/>
          <w:sz w:val="24"/>
          <w:szCs w:val="24"/>
        </w:rPr>
        <w:t>ativo superior) se le denomina “mutualización”</w:t>
      </w:r>
      <w:r w:rsidRPr="003610AD">
        <w:rPr>
          <w:rFonts w:ascii="Times New Roman" w:hAnsi="Times New Roman" w:cs="Times New Roman"/>
          <w:sz w:val="24"/>
          <w:szCs w:val="24"/>
        </w:rPr>
        <w:t xml:space="preserve"> de la deuda pública.</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Si esto sale adelante, las obligaciones de pago asociada a esos 87.000 millones de euros van a seguir estando pendientes, solamente que será el Gobierno central el que tenga que subir impuestos al español medio, y no los gobiernos autonómicos responsables de ese gasto.</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2. Saca a las CCAA de los mercados</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El segundo elemento que debemos asegurar para salir del falseamiento que pretende llevar a cabo el sanchismo es el de una España de vencedores y vencidos con la quita de deuda.</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Sencillamente, es mentira que ninguna comunidad autónoma salga favorecida con esta medida. Ni a Cataluña ni a Andalucía les beneficia lo que se va a aprobar hoy. Hay comunidades más desfavorecidas (como por ejemplo Madrid, o País Vasco), y hay regiones menos desfavorecidas. Pero todos perdemos.</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La razón es evidente: Una quita de deuda nunca favorece al deudor. Y lo que se va a llevar al Congreso de los Diputados es una quita de deuda de las administraciones autonómicas que se adhieran a esta propuesta.</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Nadie presta dinero a quien no paga sus deudas. Las regiones que hagan impago al Gobierno central saldrán durante un tiempo largo de los mercados financieros internacionales, y eso supone una dependencia total y absoluta del Fondo de Liquidez Autonómica.</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3. No sale gratis</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España asumirá 15.600 millones de euros más en coste de la deuda. Tampoco es cierto que esta operación sea inocua para el contribuyente medio español. El impacto directo de esta medida es que cada madrileño tendrá 500 euros más de deuda pública nacional, mientras que cada catalán tendrá 410 menos.</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lastRenderedPageBreak/>
        <w:t>La deuda cambia de manos, ya lo hemos explicado. Pero, además, también incrementa el coste de la deuda para el conjunto nacional. Pongamos cifras a esto:</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La vida media de la deuda FLA es a 8,5 años. El tipo de interés de la deuda del Tesoro a ese plazo en febrero del año 2022 se sitúo en 3,50%</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El Tesoro se financió a ese plazo a ese tipo en febrero del 2022 para financiar a las comunidades autónomas que están en FLA. Esas regiones le pagaban a Tesoro el mismo tipo de interés que el Tesoro conseguía con su financiación es decir un 3,5%. Es decir, el impacto era neutro para las cuentas públicas.</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Con la condonación de deuda esa carga de intereses la asumirá el Estado. El importe de la condonación es de 83.252 millones de euros. El tipo de interés de la deuda pública es del 2,2%.</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El gasto financiero del Estado por lo tanto el déficit se va a elevar en 1.840 millones cada año. Esto por 8,5 años son 15.600 millones, que es lo que le va costar al Estado la condonación de deuda en el mejor de los casos.</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Debemos tener en cuenta, además, que ya</w:t>
      </w:r>
      <w:r w:rsidR="007C1B7D">
        <w:rPr>
          <w:rFonts w:ascii="Times New Roman" w:hAnsi="Times New Roman" w:cs="Times New Roman"/>
          <w:sz w:val="24"/>
          <w:szCs w:val="24"/>
        </w:rPr>
        <w:t xml:space="preserve"> ha habido varias agencias de ra</w:t>
      </w:r>
      <w:r w:rsidRPr="003610AD">
        <w:rPr>
          <w:rFonts w:ascii="Times New Roman" w:hAnsi="Times New Roman" w:cs="Times New Roman"/>
          <w:sz w:val="24"/>
          <w:szCs w:val="24"/>
        </w:rPr>
        <w:t>ting que han advertido de que la mutualización de la deuda podría conllevar una reducción de la calificación crediticia de nuestro país. Y eso supone más coste por la deuda, y un efecto cascada que afecta negativamente a las pocas comunidades autónomas que permanezcan en los mercados.</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Para que todo el mundo lo entienda: Si a España le bajan el rating, no solo va a tener que pagar más por su deuda, sino que también se lo van a bajar automáticamente a regiones como Madrid, por lo que también se encarecerá la deuda autonómica.</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4. Se abandona la objetividad y la multilateralidad</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Nadie sabe de dónde salen los 87.000 millones de euros, ni su reparto entre comunidades autónomas. Expertos de todo el mundo ya han advertido de que no existe fórmula matemática que respalde los cálculos del gobierno, y todo parece indicar que las cuantías se han hecho por puro cálculo electoral.</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O, dicho de otra manera: Si votas PSOE o Sánchez te necesita para mantenerse en Moncloa, eres de los menos desfavorecidos. Si estás al otro lado del muro, te vas a caer con todo el equipo. Tú, y tus hijos.</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El Consejo de Política Fiscal y Financiera, o las fórmulas objetivas son conceptos que, al parecer, se van a dejar para las democracias liberales que dentro de poco nos parecerán un tiempo pasado.</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5. Somete a las CCAA al poder del Gobierno central</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Como consecuencia de lo anterior, el multilateralismo queda reemplazado por el vasallaje. No importa si gestionas bien o mal. No importa si cumples las normas o no. No importa si hay ley alguna que justifique tus actos. Lo único importante es no criticar al líder supremo y, a poder ser, que te necesite para alguno de sus planes de poder.</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El multilateralismo y el estado de las autonomías bajo el paraguas de la Constitución quedan sometidos al vasallaje y al culto al Presidente del Gobierno.</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lastRenderedPageBreak/>
        <w:t>Unas comunidades autónomas sin autonomía financiera, sin acceso a los mercados y sin normas claras para su financiación no son más que instrumentos de poder al servicio del Sanchismo. Justo lo que la Constitución pretendía finiquitar.</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España cada vez se parece más a las autocracias hispanoamericanas. Cada vez que hablo con inversores o empresarios argentinos hay un tema</w:t>
      </w:r>
      <w:r w:rsidR="007C1B7D">
        <w:rPr>
          <w:rFonts w:ascii="Times New Roman" w:hAnsi="Times New Roman" w:cs="Times New Roman"/>
          <w:sz w:val="24"/>
          <w:szCs w:val="24"/>
        </w:rPr>
        <w:t xml:space="preserve"> que sale de forma recurrente: “</w:t>
      </w:r>
      <w:r w:rsidRPr="003610AD">
        <w:rPr>
          <w:rFonts w:ascii="Times New Roman" w:hAnsi="Times New Roman" w:cs="Times New Roman"/>
          <w:sz w:val="24"/>
          <w:szCs w:val="24"/>
        </w:rPr>
        <w:t>Si el Gobierno de Milei lo está haciendo tan bien y la evolución de Argentina es buena, ¿cómo puede ser que</w:t>
      </w:r>
      <w:r w:rsidR="007C1B7D">
        <w:rPr>
          <w:rFonts w:ascii="Times New Roman" w:hAnsi="Times New Roman" w:cs="Times New Roman"/>
          <w:sz w:val="24"/>
          <w:szCs w:val="24"/>
        </w:rPr>
        <w:t xml:space="preserve"> la inversión no fluya al país?”</w:t>
      </w:r>
      <w:r w:rsidRPr="003610AD">
        <w:rPr>
          <w:rFonts w:ascii="Times New Roman" w:hAnsi="Times New Roman" w:cs="Times New Roman"/>
          <w:sz w:val="24"/>
          <w:szCs w:val="24"/>
        </w:rPr>
        <w:t>. La respuesta es muy sencilla: Nadie quiere invertir en un país que expropió uno de los mayores yacimientos de petróleo en 2012 (Vaca Muerta) y en la pupila de todo el mundo persiste la terrible imagen de los diputados argentinos aplaudiendo uno de los múltiples impagos de deuda que ha hecho el país en las últimas décadas. Porque la confianza de los mercados, una vez que se pierde, cuesta mucho recuperarla.</w:t>
      </w:r>
    </w:p>
    <w:p w:rsidR="00D10F75" w:rsidRPr="003610AD" w:rsidRDefault="00D10F75" w:rsidP="00D10F75">
      <w:pPr>
        <w:spacing w:line="240" w:lineRule="auto"/>
        <w:jc w:val="both"/>
        <w:rPr>
          <w:rFonts w:ascii="Times New Roman" w:hAnsi="Times New Roman" w:cs="Times New Roman"/>
          <w:sz w:val="24"/>
          <w:szCs w:val="24"/>
        </w:rPr>
      </w:pPr>
      <w:r w:rsidRPr="003610AD">
        <w:rPr>
          <w:rFonts w:ascii="Times New Roman" w:hAnsi="Times New Roman" w:cs="Times New Roman"/>
          <w:sz w:val="24"/>
          <w:szCs w:val="24"/>
        </w:rPr>
        <w:t>Los políticos responsables que aún quedan en Europa están mandando un mensaje claro: Cuidado con lo que pueda pasar en un futuro no muy lejano con la deuda. Ahí están los planes de ajuste de Reino Unido o de Francia, o la preocupación por la sostenibilidad de las pensiones de Alemania. Sánchez decide ir en dirección contraria, seguir despilfarrando y ejercer el populismo más kirchnerista de nuestra historia en materia fiscal. Lo pagaremos.</w:t>
      </w:r>
    </w:p>
    <w:p w:rsidR="007C1B7D" w:rsidRPr="00066C2B" w:rsidRDefault="007C1B7D" w:rsidP="007C1B7D">
      <w:pPr>
        <w:spacing w:line="240" w:lineRule="auto"/>
        <w:jc w:val="both"/>
        <w:rPr>
          <w:rFonts w:ascii="Times New Roman" w:hAnsi="Times New Roman" w:cs="Times New Roman"/>
          <w:color w:val="FF0000"/>
          <w:sz w:val="24"/>
          <w:szCs w:val="24"/>
          <w:shd w:val="clear" w:color="auto" w:fill="FFFFFF"/>
        </w:rPr>
      </w:pPr>
      <w:r w:rsidRPr="00066C2B">
        <w:rPr>
          <w:rFonts w:ascii="Times New Roman" w:hAnsi="Times New Roman" w:cs="Times New Roman"/>
          <w:color w:val="FF0000"/>
          <w:sz w:val="24"/>
          <w:szCs w:val="24"/>
          <w:shd w:val="clear" w:color="auto" w:fill="FFFFFF"/>
        </w:rPr>
        <w:t>- Eliminar los cupos fiscales (vasco y catalán)</w:t>
      </w:r>
    </w:p>
    <w:p w:rsidR="007C1B7D" w:rsidRPr="00CC3A3F" w:rsidRDefault="007C1B7D" w:rsidP="007C1B7D">
      <w:pPr>
        <w:spacing w:line="240" w:lineRule="auto"/>
        <w:jc w:val="both"/>
        <w:rPr>
          <w:rFonts w:ascii="Times New Roman" w:hAnsi="Times New Roman" w:cs="Times New Roman"/>
          <w:color w:val="000000"/>
          <w:sz w:val="24"/>
          <w:szCs w:val="24"/>
          <w:shd w:val="clear" w:color="auto" w:fill="FFFFFF"/>
        </w:rPr>
      </w:pPr>
      <w:r w:rsidRPr="00CC3A3F">
        <w:rPr>
          <w:rFonts w:ascii="Times New Roman" w:hAnsi="Times New Roman" w:cs="Times New Roman"/>
          <w:color w:val="000000"/>
          <w:sz w:val="24"/>
          <w:szCs w:val="24"/>
          <w:shd w:val="clear" w:color="auto" w:fill="FFFFFF"/>
        </w:rPr>
        <w:t>El Cupo Vasco es la cantidad económica que el País Vasco aporta al Estado español para financiar las competencias que este último ejerce en el territorio vasco pero que no han sido transferidas a la Comunidad Autónoma. No es un precio fijo, sino que se calcula anualmente y varía en función de diversos factores.</w:t>
      </w:r>
    </w:p>
    <w:p w:rsidR="007C1B7D" w:rsidRPr="00CC3A3F" w:rsidRDefault="007C1B7D" w:rsidP="007C1B7D">
      <w:pPr>
        <w:spacing w:line="240" w:lineRule="auto"/>
        <w:jc w:val="both"/>
        <w:rPr>
          <w:rFonts w:ascii="Times New Roman" w:hAnsi="Times New Roman" w:cs="Times New Roman"/>
          <w:color w:val="000000"/>
          <w:sz w:val="24"/>
          <w:szCs w:val="24"/>
          <w:shd w:val="clear" w:color="auto" w:fill="FFFFFF"/>
        </w:rPr>
      </w:pPr>
      <w:r w:rsidRPr="00CC3A3F">
        <w:rPr>
          <w:rFonts w:ascii="Times New Roman" w:hAnsi="Times New Roman" w:cs="Times New Roman"/>
          <w:color w:val="000000"/>
          <w:sz w:val="24"/>
          <w:szCs w:val="24"/>
          <w:shd w:val="clear" w:color="auto" w:fill="FFFFFF"/>
        </w:rPr>
        <w:t>El cálculo del Cupo se basa en el Concierto Económico, un acuerdo que establece las relaciones financieras entre el Estado y el País Vasco. El Cupo se obtiene restando de los gastos del Estado en competencias no asumidas por la CAV, las cargas que sí asume la Comunidad Autónoma. Además, se aplican ajustes por ingresos tributarios y no tributarios, así como compensaciones y otras correcciones.</w:t>
      </w:r>
    </w:p>
    <w:p w:rsidR="007C1B7D" w:rsidRDefault="007C1B7D" w:rsidP="007C1B7D">
      <w:pPr>
        <w:spacing w:line="240" w:lineRule="auto"/>
        <w:jc w:val="both"/>
        <w:rPr>
          <w:rFonts w:ascii="Times New Roman" w:hAnsi="Times New Roman" w:cs="Times New Roman"/>
          <w:color w:val="000000"/>
          <w:sz w:val="24"/>
          <w:szCs w:val="24"/>
          <w:shd w:val="clear" w:color="auto" w:fill="FFFFFF"/>
        </w:rPr>
      </w:pPr>
      <w:r w:rsidRPr="00CC3A3F">
        <w:rPr>
          <w:rFonts w:ascii="Times New Roman" w:hAnsi="Times New Roman" w:cs="Times New Roman"/>
          <w:color w:val="000000"/>
          <w:sz w:val="24"/>
          <w:szCs w:val="24"/>
          <w:shd w:val="clear" w:color="auto" w:fill="FFFFFF"/>
        </w:rPr>
        <w:t>Se utiliza un índice</w:t>
      </w:r>
      <w:r>
        <w:rPr>
          <w:rFonts w:ascii="Times New Roman" w:hAnsi="Times New Roman" w:cs="Times New Roman"/>
          <w:color w:val="000000"/>
          <w:sz w:val="24"/>
          <w:szCs w:val="24"/>
          <w:shd w:val="clear" w:color="auto" w:fill="FFFFFF"/>
        </w:rPr>
        <w:t xml:space="preserve"> de referencia</w:t>
      </w:r>
      <w:r w:rsidRPr="00CC3A3F">
        <w:rPr>
          <w:rFonts w:ascii="Times New Roman" w:hAnsi="Times New Roman" w:cs="Times New Roman"/>
          <w:color w:val="000000"/>
          <w:sz w:val="24"/>
          <w:szCs w:val="24"/>
          <w:shd w:val="clear" w:color="auto" w:fill="FFFFFF"/>
        </w:rPr>
        <w:t xml:space="preserve"> (6,24% en el periodo actual) para relacionar la capacidad económica del País Vasco con el conjunto del Estado.</w:t>
      </w:r>
    </w:p>
    <w:p w:rsidR="007C1B7D" w:rsidRPr="00CC3A3F" w:rsidRDefault="007C1B7D" w:rsidP="007C1B7D">
      <w:pPr>
        <w:spacing w:line="240" w:lineRule="auto"/>
        <w:jc w:val="both"/>
        <w:rPr>
          <w:rFonts w:ascii="Times New Roman" w:hAnsi="Times New Roman" w:cs="Times New Roman"/>
          <w:color w:val="000000"/>
          <w:sz w:val="24"/>
          <w:szCs w:val="24"/>
          <w:shd w:val="clear" w:color="auto" w:fill="FFFFFF"/>
        </w:rPr>
      </w:pPr>
      <w:r w:rsidRPr="00CC3A3F">
        <w:rPr>
          <w:rFonts w:ascii="Times New Roman" w:hAnsi="Times New Roman" w:cs="Times New Roman"/>
          <w:color w:val="000000"/>
          <w:sz w:val="24"/>
          <w:szCs w:val="24"/>
          <w:shd w:val="clear" w:color="auto" w:fill="FFFFFF"/>
        </w:rPr>
        <w:t xml:space="preserve">La complejidad radica en la interacción de múltiples factores y en la necesidad de aplicar ajustes y compensaciones, que pueden variar cada año. Además, la evolución de la economía vasca y del conjunto del Estado influye en el cálculo. </w:t>
      </w:r>
    </w:p>
    <w:p w:rsidR="007C1B7D" w:rsidRDefault="007C1B7D" w:rsidP="007C1B7D">
      <w:pPr>
        <w:spacing w:line="240" w:lineRule="auto"/>
        <w:jc w:val="both"/>
        <w:rPr>
          <w:rFonts w:ascii="Times New Roman" w:hAnsi="Times New Roman" w:cs="Times New Roman"/>
          <w:color w:val="000000"/>
          <w:sz w:val="24"/>
          <w:szCs w:val="24"/>
          <w:shd w:val="clear" w:color="auto" w:fill="FFFFFF"/>
        </w:rPr>
      </w:pPr>
      <w:r w:rsidRPr="00CC3A3F">
        <w:rPr>
          <w:rFonts w:ascii="Times New Roman" w:hAnsi="Times New Roman" w:cs="Times New Roman"/>
          <w:color w:val="000000"/>
          <w:sz w:val="24"/>
          <w:szCs w:val="24"/>
          <w:shd w:val="clear" w:color="auto" w:fill="FFFFFF"/>
        </w:rPr>
        <w:t>En resumen: El Cupo Vasco es una contribución anual que se calcula en función de las competencias no asumidas por la Comunidad Autónoma, los gastos del Estado y diversos factores de ajuste. Su cálculo es complejo y requiere un análisis detallado de las relaciones financieras entre el Estado y el País Vasco.</w:t>
      </w:r>
    </w:p>
    <w:p w:rsidR="007C1B7D" w:rsidRPr="00CC3A3F" w:rsidRDefault="007C1B7D" w:rsidP="007C1B7D">
      <w:pPr>
        <w:spacing w:line="240" w:lineRule="auto"/>
        <w:jc w:val="both"/>
        <w:rPr>
          <w:rFonts w:ascii="Times New Roman" w:hAnsi="Times New Roman" w:cs="Times New Roman"/>
          <w:color w:val="000000"/>
          <w:sz w:val="24"/>
          <w:szCs w:val="24"/>
          <w:shd w:val="clear" w:color="auto" w:fill="FFFFFF"/>
        </w:rPr>
      </w:pPr>
      <w:r w:rsidRPr="00CC3A3F">
        <w:rPr>
          <w:rFonts w:ascii="Times New Roman" w:hAnsi="Times New Roman" w:cs="Times New Roman"/>
          <w:color w:val="000000"/>
          <w:sz w:val="24"/>
          <w:szCs w:val="24"/>
          <w:shd w:val="clear" w:color="auto" w:fill="FFFFFF"/>
        </w:rPr>
        <w:t>¿Cuánto paga Euskadi por el cupo?</w:t>
      </w:r>
    </w:p>
    <w:p w:rsidR="007C1B7D" w:rsidRDefault="007C1B7D" w:rsidP="007C1B7D">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D</w:t>
      </w:r>
      <w:r w:rsidRPr="00CC3A3F">
        <w:rPr>
          <w:rFonts w:ascii="Times New Roman" w:hAnsi="Times New Roman" w:cs="Times New Roman"/>
          <w:color w:val="000000"/>
          <w:sz w:val="24"/>
          <w:szCs w:val="24"/>
          <w:shd w:val="clear" w:color="auto" w:fill="FFFFFF"/>
        </w:rPr>
        <w:t>e todo lo que recaudó el Gobierno vasco en 2021 (15.963 millones de euros) entregó al Estado central los citados 1.403 millones. Esa cantidad equivalente al 8,8% de la recaudación.</w:t>
      </w:r>
    </w:p>
    <w:p w:rsidR="007C1B7D" w:rsidRDefault="007C1B7D" w:rsidP="007C1B7D">
      <w:pPr>
        <w:spacing w:line="240" w:lineRule="auto"/>
        <w:jc w:val="both"/>
        <w:rPr>
          <w:rFonts w:ascii="Times New Roman" w:hAnsi="Times New Roman" w:cs="Times New Roman"/>
          <w:color w:val="000000"/>
          <w:sz w:val="24"/>
          <w:szCs w:val="24"/>
          <w:shd w:val="clear" w:color="auto" w:fill="FFFFFF"/>
        </w:rPr>
      </w:pPr>
    </w:p>
    <w:p w:rsidR="007C1B7D" w:rsidRDefault="007C1B7D" w:rsidP="007C1B7D">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El cupo catalán </w:t>
      </w:r>
    </w:p>
    <w:p w:rsidR="007C1B7D" w:rsidRPr="0041147A" w:rsidRDefault="007C1B7D" w:rsidP="007C1B7D">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S</w:t>
      </w:r>
      <w:r w:rsidRPr="0041147A">
        <w:rPr>
          <w:rFonts w:ascii="Times New Roman" w:hAnsi="Times New Roman" w:cs="Times New Roman"/>
          <w:color w:val="000000"/>
          <w:sz w:val="24"/>
          <w:szCs w:val="24"/>
          <w:shd w:val="clear" w:color="auto" w:fill="FFFFFF"/>
        </w:rPr>
        <w:t>i se hiciera un ejercicio de “economía ficción” y se extrapolara lo que representa el cupo vasco respecto a sus ingresos en el caso de la propuesta del modelo catalán significaría que la aportación de Catalunya debería ser de unos de 4.600 millones, el 8,8% de los 52.000 millones de recaudación potenci</w:t>
      </w:r>
      <w:r>
        <w:rPr>
          <w:rFonts w:ascii="Times New Roman" w:hAnsi="Times New Roman" w:cs="Times New Roman"/>
          <w:color w:val="000000"/>
          <w:sz w:val="24"/>
          <w:szCs w:val="24"/>
          <w:shd w:val="clear" w:color="auto" w:fill="FFFFFF"/>
        </w:rPr>
        <w:t>al para el 2021, como se detalló</w:t>
      </w:r>
      <w:r w:rsidRPr="0041147A">
        <w:rPr>
          <w:rFonts w:ascii="Times New Roman" w:hAnsi="Times New Roman" w:cs="Times New Roman"/>
          <w:color w:val="000000"/>
          <w:sz w:val="24"/>
          <w:szCs w:val="24"/>
          <w:shd w:val="clear" w:color="auto" w:fill="FFFFFF"/>
        </w:rPr>
        <w:t xml:space="preserve"> en presentación del proy</w:t>
      </w:r>
      <w:r>
        <w:rPr>
          <w:rFonts w:ascii="Times New Roman" w:hAnsi="Times New Roman" w:cs="Times New Roman"/>
          <w:color w:val="000000"/>
          <w:sz w:val="24"/>
          <w:szCs w:val="24"/>
          <w:shd w:val="clear" w:color="auto" w:fill="FFFFFF"/>
        </w:rPr>
        <w:t>ecto.</w:t>
      </w:r>
    </w:p>
    <w:p w:rsidR="007C1B7D" w:rsidRPr="0041147A" w:rsidRDefault="007C1B7D" w:rsidP="007C1B7D">
      <w:pPr>
        <w:spacing w:line="240" w:lineRule="auto"/>
        <w:jc w:val="both"/>
        <w:rPr>
          <w:rFonts w:ascii="Times New Roman" w:hAnsi="Times New Roman" w:cs="Times New Roman"/>
          <w:color w:val="000000"/>
          <w:sz w:val="24"/>
          <w:szCs w:val="24"/>
          <w:shd w:val="clear" w:color="auto" w:fill="FFFFFF"/>
        </w:rPr>
      </w:pPr>
      <w:r w:rsidRPr="0041147A">
        <w:rPr>
          <w:rFonts w:ascii="Times New Roman" w:hAnsi="Times New Roman" w:cs="Times New Roman"/>
          <w:color w:val="000000"/>
          <w:sz w:val="24"/>
          <w:szCs w:val="24"/>
          <w:shd w:val="clear" w:color="auto" w:fill="FFFFFF"/>
        </w:rPr>
        <w:t>A esa cantidad debería añadirse la solidaridad con el resto de comunidades. Es una cifra incierta y que la Generalitat no ha querido cuantificar porque -defiende- debe ser un elemento de negociación. No obstante, la consellera Mas en una entrevista el año pasado señaló que una solidaridad aceptable con el resto de España debería ser de entre el 2 y el 4% del PIB. Eso traducido en euros y para el 2021 implica una horquilla de entre 4.900 y 9.800 millones. Sumadas esas cantidades a la aportación al Estado (4.600millones) arrojan cifras totales de entre 9.500 y 14.400 mil</w:t>
      </w:r>
      <w:r>
        <w:rPr>
          <w:rFonts w:ascii="Times New Roman" w:hAnsi="Times New Roman" w:cs="Times New Roman"/>
          <w:color w:val="000000"/>
          <w:sz w:val="24"/>
          <w:szCs w:val="24"/>
          <w:shd w:val="clear" w:color="auto" w:fill="FFFFFF"/>
        </w:rPr>
        <w:t>l</w:t>
      </w:r>
      <w:r w:rsidRPr="0041147A">
        <w:rPr>
          <w:rFonts w:ascii="Times New Roman" w:hAnsi="Times New Roman" w:cs="Times New Roman"/>
          <w:color w:val="000000"/>
          <w:sz w:val="24"/>
          <w:szCs w:val="24"/>
          <w:shd w:val="clear" w:color="auto" w:fill="FFFFFF"/>
        </w:rPr>
        <w:t>ones. Teniendo en cuenta que la ganancia esperada con el modelo nuevo por parte de la Generalitat es de 26.000 millones, la situación sería más positiva para la Generalitat que con el sistema actual.</w:t>
      </w:r>
      <w:r>
        <w:rPr>
          <w:rFonts w:ascii="Times New Roman" w:hAnsi="Times New Roman" w:cs="Times New Roman"/>
          <w:color w:val="000000"/>
          <w:sz w:val="24"/>
          <w:szCs w:val="24"/>
          <w:shd w:val="clear" w:color="auto" w:fill="FFFFFF"/>
        </w:rPr>
        <w:t xml:space="preserve"> (La Vanguardia - </w:t>
      </w:r>
      <w:r w:rsidRPr="001A1A40">
        <w:rPr>
          <w:rFonts w:ascii="Times New Roman" w:hAnsi="Times New Roman" w:cs="Times New Roman"/>
          <w:b/>
          <w:color w:val="000000"/>
          <w:sz w:val="24"/>
          <w:szCs w:val="24"/>
          <w:shd w:val="clear" w:color="auto" w:fill="FFFFFF"/>
        </w:rPr>
        <w:t>25/3/24</w:t>
      </w:r>
      <w:r>
        <w:rPr>
          <w:rFonts w:ascii="Times New Roman" w:hAnsi="Times New Roman" w:cs="Times New Roman"/>
          <w:color w:val="000000"/>
          <w:sz w:val="24"/>
          <w:szCs w:val="24"/>
          <w:shd w:val="clear" w:color="auto" w:fill="FFFFFF"/>
        </w:rPr>
        <w:t>)</w:t>
      </w:r>
    </w:p>
    <w:p w:rsidR="007C1B7D" w:rsidRPr="0041147A" w:rsidRDefault="007C1B7D" w:rsidP="007C1B7D">
      <w:pPr>
        <w:spacing w:line="240" w:lineRule="auto"/>
        <w:jc w:val="both"/>
        <w:rPr>
          <w:rFonts w:ascii="Times New Roman" w:hAnsi="Times New Roman" w:cs="Times New Roman"/>
          <w:color w:val="000000"/>
          <w:sz w:val="24"/>
          <w:szCs w:val="24"/>
          <w:shd w:val="clear" w:color="auto" w:fill="FFFFFF"/>
        </w:rPr>
      </w:pPr>
      <w:r w:rsidRPr="0041147A">
        <w:rPr>
          <w:rFonts w:ascii="Times New Roman" w:hAnsi="Times New Roman" w:cs="Times New Roman"/>
          <w:color w:val="000000"/>
          <w:sz w:val="24"/>
          <w:szCs w:val="24"/>
          <w:shd w:val="clear" w:color="auto" w:fill="FFFFFF"/>
        </w:rPr>
        <w:t>Esta modalidad de financiación implicaría que Cataluña gestionaría directamente sus impuestos, contribuyendo posteriormente al Estado en función de ciertos criterios establecidos. Pero ¿cuál sería el coste real de esta nu</w:t>
      </w:r>
      <w:r>
        <w:rPr>
          <w:rFonts w:ascii="Times New Roman" w:hAnsi="Times New Roman" w:cs="Times New Roman"/>
          <w:color w:val="000000"/>
          <w:sz w:val="24"/>
          <w:szCs w:val="24"/>
          <w:shd w:val="clear" w:color="auto" w:fill="FFFFFF"/>
        </w:rPr>
        <w:t xml:space="preserve">eva forma de financiación? </w:t>
      </w:r>
    </w:p>
    <w:p w:rsidR="007C1B7D" w:rsidRPr="0041147A" w:rsidRDefault="007C1B7D" w:rsidP="007C1B7D">
      <w:pPr>
        <w:spacing w:line="240" w:lineRule="auto"/>
        <w:jc w:val="both"/>
        <w:rPr>
          <w:rFonts w:ascii="Times New Roman" w:hAnsi="Times New Roman" w:cs="Times New Roman"/>
          <w:color w:val="000000"/>
          <w:sz w:val="24"/>
          <w:szCs w:val="24"/>
          <w:shd w:val="clear" w:color="auto" w:fill="FFFFFF"/>
        </w:rPr>
      </w:pPr>
      <w:r w:rsidRPr="0041147A">
        <w:rPr>
          <w:rFonts w:ascii="Times New Roman" w:hAnsi="Times New Roman" w:cs="Times New Roman"/>
          <w:color w:val="000000"/>
          <w:sz w:val="24"/>
          <w:szCs w:val="24"/>
          <w:shd w:val="clear" w:color="auto" w:fill="FFFFFF"/>
        </w:rPr>
        <w:t>En el 2024, la Agencia Estatal de Administración Tributaria (AEAT) recaudó en Cataluña 57.194 millones de euros. De esa cantidad, la Generalitat recibió inicialmente 25.645 millones mediante entregas a cuenta. Restando ambas cifras, quedan 31.549 millones. Pero pensar que esta cifra íntegra corresponde automáticamente a Cataluña sería simplificar demasiado. El Estado sostiene ciertos gastos comunes co</w:t>
      </w:r>
      <w:r>
        <w:rPr>
          <w:rFonts w:ascii="Times New Roman" w:hAnsi="Times New Roman" w:cs="Times New Roman"/>
          <w:color w:val="000000"/>
          <w:sz w:val="24"/>
          <w:szCs w:val="24"/>
          <w:shd w:val="clear" w:color="auto" w:fill="FFFFFF"/>
        </w:rPr>
        <w:t>mo justicia, defensa o cultura.</w:t>
      </w:r>
    </w:p>
    <w:p w:rsidR="007C1B7D" w:rsidRPr="0041147A" w:rsidRDefault="007C1B7D" w:rsidP="007C1B7D">
      <w:pPr>
        <w:spacing w:line="240" w:lineRule="auto"/>
        <w:jc w:val="both"/>
        <w:rPr>
          <w:rFonts w:ascii="Times New Roman" w:hAnsi="Times New Roman" w:cs="Times New Roman"/>
          <w:color w:val="000000"/>
          <w:sz w:val="24"/>
          <w:szCs w:val="24"/>
          <w:shd w:val="clear" w:color="auto" w:fill="FFFFFF"/>
        </w:rPr>
      </w:pPr>
      <w:r w:rsidRPr="0041147A">
        <w:rPr>
          <w:rFonts w:ascii="Times New Roman" w:hAnsi="Times New Roman" w:cs="Times New Roman"/>
          <w:color w:val="000000"/>
          <w:sz w:val="24"/>
          <w:szCs w:val="24"/>
          <w:shd w:val="clear" w:color="auto" w:fill="FFFFFF"/>
        </w:rPr>
        <w:t>¿Cuánto cuestan estos servicios comunes? Según Fedea, alrededor de 50.787 millones de euros. Cataluña, como parte del Estado español, debería contribuir proporcionalmente. Tomando el peso poblacional (16,5%) o el del PIB (18,8%), la aportación catalana estarí</w:t>
      </w:r>
      <w:r>
        <w:rPr>
          <w:rFonts w:ascii="Times New Roman" w:hAnsi="Times New Roman" w:cs="Times New Roman"/>
          <w:color w:val="000000"/>
          <w:sz w:val="24"/>
          <w:szCs w:val="24"/>
          <w:shd w:val="clear" w:color="auto" w:fill="FFFFFF"/>
        </w:rPr>
        <w:t>a entre 8.402 y 9.553 millones.</w:t>
      </w:r>
    </w:p>
    <w:p w:rsidR="007C1B7D" w:rsidRPr="0041147A" w:rsidRDefault="007C1B7D" w:rsidP="007C1B7D">
      <w:pPr>
        <w:spacing w:line="240" w:lineRule="auto"/>
        <w:jc w:val="both"/>
        <w:rPr>
          <w:rFonts w:ascii="Times New Roman" w:hAnsi="Times New Roman" w:cs="Times New Roman"/>
          <w:color w:val="000000"/>
          <w:sz w:val="24"/>
          <w:szCs w:val="24"/>
          <w:shd w:val="clear" w:color="auto" w:fill="FFFFFF"/>
        </w:rPr>
      </w:pPr>
      <w:r w:rsidRPr="0041147A">
        <w:rPr>
          <w:rFonts w:ascii="Times New Roman" w:hAnsi="Times New Roman" w:cs="Times New Roman"/>
          <w:color w:val="000000"/>
          <w:sz w:val="24"/>
          <w:szCs w:val="24"/>
          <w:shd w:val="clear" w:color="auto" w:fill="FFFFFF"/>
        </w:rPr>
        <w:t>Sin embargo, Cataluña ya cubre ciertas competencias singulares, como la policía autonómica o políticas lingüísticas, valoradas en 3.900 millones. Restando este gasto, la contribución real catalana quedaría entre 4.500 y 5.600 millones, coincidiendo con un hipotético cupo vasco ajustado a Cataluña (5</w:t>
      </w:r>
      <w:r>
        <w:rPr>
          <w:rFonts w:ascii="Times New Roman" w:hAnsi="Times New Roman" w:cs="Times New Roman"/>
          <w:color w:val="000000"/>
          <w:sz w:val="24"/>
          <w:szCs w:val="24"/>
          <w:shd w:val="clear" w:color="auto" w:fill="FFFFFF"/>
        </w:rPr>
        <w:t>.000 millones aproximadamente).</w:t>
      </w:r>
    </w:p>
    <w:p w:rsidR="007C1B7D" w:rsidRPr="0041147A" w:rsidRDefault="007C1B7D" w:rsidP="007C1B7D">
      <w:pPr>
        <w:spacing w:line="240" w:lineRule="auto"/>
        <w:jc w:val="both"/>
        <w:rPr>
          <w:rFonts w:ascii="Times New Roman" w:hAnsi="Times New Roman" w:cs="Times New Roman"/>
          <w:color w:val="000000"/>
          <w:sz w:val="24"/>
          <w:szCs w:val="24"/>
          <w:shd w:val="clear" w:color="auto" w:fill="FFFFFF"/>
        </w:rPr>
      </w:pPr>
      <w:r w:rsidRPr="0041147A">
        <w:rPr>
          <w:rFonts w:ascii="Times New Roman" w:hAnsi="Times New Roman" w:cs="Times New Roman"/>
          <w:color w:val="000000"/>
          <w:sz w:val="24"/>
          <w:szCs w:val="24"/>
          <w:shd w:val="clear" w:color="auto" w:fill="FFFFFF"/>
        </w:rPr>
        <w:t>Además, Cataluña debería asumir otros gastos significativos: intereses de deuda (5.500 millones), Seguridad Social (9.200 millones), presupuesto europeo (2.900 millones) y otras transfe</w:t>
      </w:r>
      <w:r>
        <w:rPr>
          <w:rFonts w:ascii="Times New Roman" w:hAnsi="Times New Roman" w:cs="Times New Roman"/>
          <w:color w:val="000000"/>
          <w:sz w:val="24"/>
          <w:szCs w:val="24"/>
          <w:shd w:val="clear" w:color="auto" w:fill="FFFFFF"/>
        </w:rPr>
        <w:t>rencias menores (800 millones).</w:t>
      </w:r>
    </w:p>
    <w:p w:rsidR="007C1B7D" w:rsidRPr="0041147A" w:rsidRDefault="007C1B7D" w:rsidP="007C1B7D">
      <w:pPr>
        <w:spacing w:line="240" w:lineRule="auto"/>
        <w:jc w:val="both"/>
        <w:rPr>
          <w:rFonts w:ascii="Times New Roman" w:hAnsi="Times New Roman" w:cs="Times New Roman"/>
          <w:color w:val="000000"/>
          <w:sz w:val="24"/>
          <w:szCs w:val="24"/>
          <w:shd w:val="clear" w:color="auto" w:fill="FFFFFF"/>
        </w:rPr>
      </w:pPr>
      <w:r w:rsidRPr="0041147A">
        <w:rPr>
          <w:rFonts w:ascii="Times New Roman" w:hAnsi="Times New Roman" w:cs="Times New Roman"/>
          <w:color w:val="000000"/>
          <w:sz w:val="24"/>
          <w:szCs w:val="24"/>
          <w:shd w:val="clear" w:color="auto" w:fill="FFFFFF"/>
        </w:rPr>
        <w:t>Hechas todas estas cuentas, Cataluña obtendría una financiación adicional neta de unos 8.600 mill</w:t>
      </w:r>
      <w:r>
        <w:rPr>
          <w:rFonts w:ascii="Times New Roman" w:hAnsi="Times New Roman" w:cs="Times New Roman"/>
          <w:color w:val="000000"/>
          <w:sz w:val="24"/>
          <w:szCs w:val="24"/>
          <w:shd w:val="clear" w:color="auto" w:fill="FFFFFF"/>
        </w:rPr>
        <w:t>ones. Pero falta la denominada “cuota de solidaridad” -aún sin concretar-</w:t>
      </w:r>
      <w:r w:rsidRPr="0041147A">
        <w:rPr>
          <w:rFonts w:ascii="Times New Roman" w:hAnsi="Times New Roman" w:cs="Times New Roman"/>
          <w:color w:val="000000"/>
          <w:sz w:val="24"/>
          <w:szCs w:val="24"/>
          <w:shd w:val="clear" w:color="auto" w:fill="FFFFFF"/>
        </w:rPr>
        <w:t>, que podría absorber aproxima</w:t>
      </w:r>
      <w:r>
        <w:rPr>
          <w:rFonts w:ascii="Times New Roman" w:hAnsi="Times New Roman" w:cs="Times New Roman"/>
          <w:color w:val="000000"/>
          <w:sz w:val="24"/>
          <w:szCs w:val="24"/>
          <w:shd w:val="clear" w:color="auto" w:fill="FFFFFF"/>
        </w:rPr>
        <w:t>damente la mitad de esta cifra.</w:t>
      </w:r>
    </w:p>
    <w:p w:rsidR="007C1B7D" w:rsidRDefault="007C1B7D" w:rsidP="007C1B7D">
      <w:pPr>
        <w:spacing w:line="240" w:lineRule="auto"/>
        <w:jc w:val="both"/>
        <w:rPr>
          <w:rFonts w:ascii="Times New Roman" w:hAnsi="Times New Roman" w:cs="Times New Roman"/>
          <w:color w:val="000000"/>
          <w:sz w:val="24"/>
          <w:szCs w:val="24"/>
          <w:shd w:val="clear" w:color="auto" w:fill="FFFFFF"/>
        </w:rPr>
      </w:pPr>
      <w:r w:rsidRPr="0041147A">
        <w:rPr>
          <w:rFonts w:ascii="Times New Roman" w:hAnsi="Times New Roman" w:cs="Times New Roman"/>
          <w:color w:val="000000"/>
          <w:sz w:val="24"/>
          <w:szCs w:val="24"/>
          <w:shd w:val="clear" w:color="auto" w:fill="FFFFFF"/>
        </w:rPr>
        <w:t xml:space="preserve">En resumen: el cupo catalán supondría unos 9.000 millones de euros al Estado, aumentando la financiación catalana en aproximadamente 4.300 millones, es decir, unos 530 euros más por catalán. Esta cifra convertiría a Cataluña en la región del régimen común mejor financiada, justo después de País Vasco y Navarra, comunidades que disfrutan de un régimen fiscal privilegiado al no asumir la solidaridad estatal ni contribuir al </w:t>
      </w:r>
      <w:r>
        <w:rPr>
          <w:rFonts w:ascii="Times New Roman" w:hAnsi="Times New Roman" w:cs="Times New Roman"/>
          <w:color w:val="000000"/>
          <w:sz w:val="24"/>
          <w:szCs w:val="24"/>
          <w:shd w:val="clear" w:color="auto" w:fill="FFFFFF"/>
        </w:rPr>
        <w:t xml:space="preserve">déficit de la Seguridad Social. (La Voz de Galicia - </w:t>
      </w:r>
      <w:r w:rsidRPr="001A1A40">
        <w:rPr>
          <w:rFonts w:ascii="Times New Roman" w:hAnsi="Times New Roman" w:cs="Times New Roman"/>
          <w:b/>
          <w:color w:val="000000"/>
          <w:sz w:val="24"/>
          <w:szCs w:val="24"/>
          <w:shd w:val="clear" w:color="auto" w:fill="FFFFFF"/>
        </w:rPr>
        <w:t>20/7/25</w:t>
      </w:r>
      <w:r>
        <w:rPr>
          <w:rFonts w:ascii="Times New Roman" w:hAnsi="Times New Roman" w:cs="Times New Roman"/>
          <w:color w:val="000000"/>
          <w:sz w:val="24"/>
          <w:szCs w:val="24"/>
          <w:shd w:val="clear" w:color="auto" w:fill="FFFFFF"/>
        </w:rPr>
        <w:t>)</w:t>
      </w:r>
    </w:p>
    <w:p w:rsidR="007C1B7D" w:rsidRDefault="007C1B7D" w:rsidP="007C1B7D">
      <w:pPr>
        <w:spacing w:line="240" w:lineRule="auto"/>
        <w:jc w:val="both"/>
        <w:rPr>
          <w:rFonts w:ascii="Times New Roman" w:hAnsi="Times New Roman" w:cs="Times New Roman"/>
          <w:color w:val="000000"/>
          <w:sz w:val="24"/>
          <w:szCs w:val="24"/>
          <w:shd w:val="clear" w:color="auto" w:fill="FFFFFF"/>
        </w:rPr>
      </w:pP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lastRenderedPageBreak/>
        <w:t xml:space="preserve">- </w:t>
      </w:r>
      <w:r>
        <w:rPr>
          <w:rFonts w:ascii="Times New Roman" w:hAnsi="Times New Roman" w:cs="Times New Roman"/>
          <w:sz w:val="24"/>
          <w:szCs w:val="24"/>
        </w:rPr>
        <w:t>“</w:t>
      </w:r>
      <w:r>
        <w:rPr>
          <w:rFonts w:ascii="Times New Roman" w:hAnsi="Times New Roman" w:cs="Times New Roman"/>
          <w:sz w:val="24"/>
          <w:szCs w:val="24"/>
          <w:u w:val="single"/>
        </w:rPr>
        <w:t>Cupo”</w:t>
      </w:r>
      <w:r w:rsidRPr="009057E3">
        <w:rPr>
          <w:rFonts w:ascii="Times New Roman" w:hAnsi="Times New Roman" w:cs="Times New Roman"/>
          <w:sz w:val="24"/>
          <w:szCs w:val="24"/>
          <w:u w:val="single"/>
        </w:rPr>
        <w:t xml:space="preserve"> catalán: un paso más hacia el abismo, pero más corto</w:t>
      </w:r>
      <w:r w:rsidRPr="009057E3">
        <w:rPr>
          <w:rFonts w:ascii="Times New Roman" w:hAnsi="Times New Roman" w:cs="Times New Roman"/>
          <w:sz w:val="24"/>
          <w:szCs w:val="24"/>
        </w:rPr>
        <w:t xml:space="preserve"> (El Economista - </w:t>
      </w:r>
      <w:r w:rsidRPr="009057E3">
        <w:rPr>
          <w:rFonts w:ascii="Times New Roman" w:hAnsi="Times New Roman" w:cs="Times New Roman"/>
          <w:b/>
          <w:sz w:val="24"/>
          <w:szCs w:val="24"/>
        </w:rPr>
        <w:t>21/7/25</w:t>
      </w:r>
      <w:r w:rsidRPr="009057E3">
        <w:rPr>
          <w:rFonts w:ascii="Times New Roman" w:hAnsi="Times New Roman" w:cs="Times New Roman"/>
          <w:sz w:val="24"/>
          <w:szCs w:val="24"/>
        </w:rPr>
        <w:t>)</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El acuerdo entre el gobierno de España y la Generalitat es ambiguo, tibio y contradictorio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No es justo que el exceso de gasto lo paguemos los contribuyentes no residentes en CAT</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(Por Francisco de la Torre Díaz)</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El pasado lunes 14, el gobierno de España y la Generalidad de Cata</w:t>
      </w:r>
      <w:r>
        <w:rPr>
          <w:rFonts w:ascii="Times New Roman" w:hAnsi="Times New Roman" w:cs="Times New Roman"/>
          <w:sz w:val="24"/>
          <w:szCs w:val="24"/>
        </w:rPr>
        <w:t>luña presentaban el acuerdo de “</w:t>
      </w:r>
      <w:r w:rsidRPr="009057E3">
        <w:rPr>
          <w:rFonts w:ascii="Times New Roman" w:hAnsi="Times New Roman" w:cs="Times New Roman"/>
          <w:sz w:val="24"/>
          <w:szCs w:val="24"/>
        </w:rPr>
        <w:t>fi</w:t>
      </w:r>
      <w:r>
        <w:rPr>
          <w:rFonts w:ascii="Times New Roman" w:hAnsi="Times New Roman" w:cs="Times New Roman"/>
          <w:sz w:val="24"/>
          <w:szCs w:val="24"/>
        </w:rPr>
        <w:t>nanciación singular de Cataluña” y de “</w:t>
      </w:r>
      <w:r w:rsidRPr="009057E3">
        <w:rPr>
          <w:rFonts w:ascii="Times New Roman" w:hAnsi="Times New Roman" w:cs="Times New Roman"/>
          <w:sz w:val="24"/>
          <w:szCs w:val="24"/>
        </w:rPr>
        <w:t>asunción de competencias en el I</w:t>
      </w:r>
      <w:r>
        <w:rPr>
          <w:rFonts w:ascii="Times New Roman" w:hAnsi="Times New Roman" w:cs="Times New Roman"/>
          <w:sz w:val="24"/>
          <w:szCs w:val="24"/>
        </w:rPr>
        <w:t>RPF por parte de la Generalidad”</w:t>
      </w:r>
      <w:r w:rsidRPr="009057E3">
        <w:rPr>
          <w:rFonts w:ascii="Times New Roman" w:hAnsi="Times New Roman" w:cs="Times New Roman"/>
          <w:sz w:val="24"/>
          <w:szCs w:val="24"/>
        </w:rPr>
        <w:t xml:space="preserve">. Este acuerdo no dejó contento a nadie. El acuerdo ha recibido críticas durísimas de todas las Comunidades Autónomas de régimen común, de muchos expertos, de los inspectores de Hacienda, y al mismo tiempo de ERC y de Junts, que lo </w:t>
      </w:r>
      <w:r>
        <w:rPr>
          <w:rFonts w:ascii="Times New Roman" w:hAnsi="Times New Roman" w:cs="Times New Roman"/>
          <w:sz w:val="24"/>
          <w:szCs w:val="24"/>
        </w:rPr>
        <w:t>califica directamente como una “tomadura de pelo”</w:t>
      </w:r>
      <w:r w:rsidRPr="009057E3">
        <w:rPr>
          <w:rFonts w:ascii="Times New Roman" w:hAnsi="Times New Roman" w:cs="Times New Roman"/>
          <w:sz w:val="24"/>
          <w:szCs w:val="24"/>
        </w:rPr>
        <w:t>.</w:t>
      </w:r>
    </w:p>
    <w:p w:rsidR="007C1B7D" w:rsidRPr="009057E3" w:rsidRDefault="007C1B7D" w:rsidP="007C1B7D">
      <w:pPr>
        <w:spacing w:line="240" w:lineRule="auto"/>
        <w:jc w:val="both"/>
        <w:rPr>
          <w:rFonts w:ascii="Times New Roman" w:hAnsi="Times New Roman" w:cs="Times New Roman"/>
          <w:sz w:val="24"/>
          <w:szCs w:val="24"/>
        </w:rPr>
      </w:pPr>
      <w:r>
        <w:rPr>
          <w:rFonts w:ascii="Times New Roman" w:hAnsi="Times New Roman" w:cs="Times New Roman"/>
          <w:sz w:val="24"/>
          <w:szCs w:val="24"/>
        </w:rPr>
        <w:t>El acuerdo es un “quiero y no puedo”</w:t>
      </w:r>
      <w:r w:rsidRPr="009057E3">
        <w:rPr>
          <w:rFonts w:ascii="Times New Roman" w:hAnsi="Times New Roman" w:cs="Times New Roman"/>
          <w:sz w:val="24"/>
          <w:szCs w:val="24"/>
        </w:rPr>
        <w:t>. Por una parte, es un paso más en la financiación singular, que supone que "Cataluña recaudará todos los impuestos que se generan y con ellos se financiarán los gastos comunes del Estado, y el resto se utilizará para financiar nuestras competencias". Esta definición no es mía, sino de Alicia Romero del PSC. Esto es un sistema de cupo (o más técnicamente de concierto económico). Pero, la primera fuerza política que utilizo el té</w:t>
      </w:r>
      <w:r>
        <w:rPr>
          <w:rFonts w:ascii="Times New Roman" w:hAnsi="Times New Roman" w:cs="Times New Roman"/>
          <w:sz w:val="24"/>
          <w:szCs w:val="24"/>
        </w:rPr>
        <w:t>rmino fue ERC, que lo denominó “cupo solidario”</w:t>
      </w:r>
      <w:r w:rsidRPr="009057E3">
        <w:rPr>
          <w:rFonts w:ascii="Times New Roman" w:hAnsi="Times New Roman" w:cs="Times New Roman"/>
          <w:sz w:val="24"/>
          <w:szCs w:val="24"/>
        </w:rPr>
        <w:t>. Esto parece un oxímoron, es decir combinar dos palabras con significado opuesto, esencialmente porque es un oxímoron. Un sistema de cupo se monta en una comunidad rica para reducir la solidaridad interterritorial. Otra cuestión es que el cupo catalán sea menos injusto, o insolidario, que los actuales resultados del concierto vasco o del convenio navarro. Pero, aunque María Jesús Montero lo califique así, el cupo catalán no es un bulo, ni del PP ni de nadie, es una realidad amenazante.</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El acuerdo entre el gobierno de España y la Generalidad es ambiguo, no tiene cifras, y también es contradictorio y tibio. Pero, convertir un acuerdo entre dos partidos políticos el PSC y ERC en un acuerdo bilateral entre gobiernos tiene consecuencias, y no son menores, ni mucho menos gratuitas. Por una parte, legitima que Cataluña tenga una financiación superior a</w:t>
      </w:r>
      <w:r w:rsidR="00FE562B">
        <w:rPr>
          <w:rFonts w:ascii="Times New Roman" w:hAnsi="Times New Roman" w:cs="Times New Roman"/>
          <w:sz w:val="24"/>
          <w:szCs w:val="24"/>
        </w:rPr>
        <w:t xml:space="preserve"> la</w:t>
      </w:r>
      <w:r w:rsidRPr="009057E3">
        <w:rPr>
          <w:rFonts w:ascii="Times New Roman" w:hAnsi="Times New Roman" w:cs="Times New Roman"/>
          <w:sz w:val="24"/>
          <w:szCs w:val="24"/>
        </w:rPr>
        <w:t xml:space="preserve"> de otras Comunidades, y por tanto pri</w:t>
      </w:r>
      <w:r>
        <w:rPr>
          <w:rFonts w:ascii="Times New Roman" w:hAnsi="Times New Roman" w:cs="Times New Roman"/>
          <w:sz w:val="24"/>
          <w:szCs w:val="24"/>
        </w:rPr>
        <w:t>vilegiada, fundamentada en sus “singularidades”</w:t>
      </w:r>
      <w:r w:rsidRPr="009057E3">
        <w:rPr>
          <w:rFonts w:ascii="Times New Roman" w:hAnsi="Times New Roman" w:cs="Times New Roman"/>
          <w:sz w:val="24"/>
          <w:szCs w:val="24"/>
        </w:rPr>
        <w:t>. Eso sí, el acuerdo no concreta ni cuánto, ni cuándo. Pero, esto es simplemente inaceptable por muchas razones.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En primer lugar, Cataluña sí es la Comunidad más endeudada, pero no por estar infra financiada, sino por un problema endémico de exceso de gasto. La Generalidad catalana gasta sistemáticamente por encima de lo que ingresa, y, además, gasta más que otras comunidades con una población y un peso económico similar (como Madrid o Andalucía) en la práctica totalidad de las partidas. Como documentamos Jesús Fernández-Villaverde y yo en La Factura del cupo catalán, por ejemplo, Cataluña gasta cinco veces más en alta dirección </w:t>
      </w:r>
      <w:r>
        <w:rPr>
          <w:rFonts w:ascii="Times New Roman" w:hAnsi="Times New Roman" w:cs="Times New Roman"/>
          <w:sz w:val="24"/>
          <w:szCs w:val="24"/>
        </w:rPr>
        <w:t>que Madrid. Las estructuras de “proto-estado”</w:t>
      </w:r>
      <w:r w:rsidRPr="009057E3">
        <w:rPr>
          <w:rFonts w:ascii="Times New Roman" w:hAnsi="Times New Roman" w:cs="Times New Roman"/>
          <w:sz w:val="24"/>
          <w:szCs w:val="24"/>
        </w:rPr>
        <w:t xml:space="preserve"> son carísimas. Pero, no es aceptable, ni justo, ni precisamente federal, que el exceso de gasto se lo paguemos los demás contribuyentes, que no vivimos en Cataluña.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Además, en España, todas las Comunidades Autónomas tienen unas competencias muy similares. Más de tres cuartas parte del gasto consolidado autonómico se concentra en sanidad (41%), educación (24%) y otros gastos sociales (12%) como dependencia. También hay otros gastos de administración general que son comunes. En España, a nivel de gasto, tenemos un sistema de casi todo el café para todos. Por eso, que Cataluña tenga Mossos d' </w:t>
      </w:r>
      <w:r w:rsidRPr="009057E3">
        <w:rPr>
          <w:rFonts w:ascii="Times New Roman" w:hAnsi="Times New Roman" w:cs="Times New Roman"/>
          <w:sz w:val="24"/>
          <w:szCs w:val="24"/>
        </w:rPr>
        <w:lastRenderedPageBreak/>
        <w:t>Esquadra o la gestión de las prisiones justifica una pequeña diferencia, pero no poner patas arriba todo el sistema, que ya lo tiene en cuenta.</w:t>
      </w:r>
    </w:p>
    <w:p w:rsidR="007C1B7D" w:rsidRPr="009057E3" w:rsidRDefault="007C1B7D" w:rsidP="007C1B7D">
      <w:pPr>
        <w:spacing w:line="240" w:lineRule="auto"/>
        <w:jc w:val="both"/>
        <w:rPr>
          <w:rFonts w:ascii="Times New Roman" w:hAnsi="Times New Roman" w:cs="Times New Roman"/>
          <w:sz w:val="24"/>
          <w:szCs w:val="24"/>
        </w:rPr>
      </w:pPr>
      <w:r>
        <w:rPr>
          <w:rFonts w:ascii="Times New Roman" w:hAnsi="Times New Roman" w:cs="Times New Roman"/>
          <w:sz w:val="24"/>
          <w:szCs w:val="24"/>
        </w:rPr>
        <w:t>Esta financiación “singular”</w:t>
      </w:r>
      <w:r w:rsidRPr="009057E3">
        <w:rPr>
          <w:rFonts w:ascii="Times New Roman" w:hAnsi="Times New Roman" w:cs="Times New Roman"/>
          <w:sz w:val="24"/>
          <w:szCs w:val="24"/>
        </w:rPr>
        <w:t xml:space="preserve"> se trata de justificar en el famoso criterio de ordinalidad, que está en el preámbulo del acuerdo, pero no en el acuerdo en sí. El criterio, en su versión más light que no es la de los acuerdos ERC-PSC, es</w:t>
      </w:r>
      <w:r>
        <w:rPr>
          <w:rFonts w:ascii="Times New Roman" w:hAnsi="Times New Roman" w:cs="Times New Roman"/>
          <w:sz w:val="24"/>
          <w:szCs w:val="24"/>
        </w:rPr>
        <w:t>tablece que el “orden”</w:t>
      </w:r>
      <w:r w:rsidRPr="009057E3">
        <w:rPr>
          <w:rFonts w:ascii="Times New Roman" w:hAnsi="Times New Roman" w:cs="Times New Roman"/>
          <w:sz w:val="24"/>
          <w:szCs w:val="24"/>
        </w:rPr>
        <w:t xml:space="preserve"> entre las Comunidades antes de impuestos y transferencias no se debe ver alterado por el sistema de financiación. Pero, eso es un atentado contra la lógica del Estado de Bienestar, por la que los contribuyentes pagan en función de su renta, pero las Administraciones se financian en función de sus necesidades. Si una comunidad tiene muchos ancianos que atender en sus hospitales, eso hay que financiarlo adecuadamente, aunque eso suponga que la comunidad supere a otra en renta per cápita. La alternativa es que las prestaciones médicas, o el derecho a la salud, dependan de la renta per cápita, antes de impuestos, de la comunidad en la que se resida.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La otra gran consecuencia del </w:t>
      </w:r>
      <w:r>
        <w:rPr>
          <w:rFonts w:ascii="Times New Roman" w:hAnsi="Times New Roman" w:cs="Times New Roman"/>
          <w:sz w:val="24"/>
          <w:szCs w:val="24"/>
        </w:rPr>
        <w:t>acuerdo es que se pretende que “</w:t>
      </w:r>
      <w:r w:rsidRPr="009057E3">
        <w:rPr>
          <w:rFonts w:ascii="Times New Roman" w:hAnsi="Times New Roman" w:cs="Times New Roman"/>
          <w:sz w:val="24"/>
          <w:szCs w:val="24"/>
        </w:rPr>
        <w:t>Cataluña recaude todos sus im</w:t>
      </w:r>
      <w:r>
        <w:rPr>
          <w:rFonts w:ascii="Times New Roman" w:hAnsi="Times New Roman" w:cs="Times New Roman"/>
          <w:sz w:val="24"/>
          <w:szCs w:val="24"/>
        </w:rPr>
        <w:t>puestos”</w:t>
      </w:r>
      <w:r w:rsidRPr="009057E3">
        <w:rPr>
          <w:rFonts w:ascii="Times New Roman" w:hAnsi="Times New Roman" w:cs="Times New Roman"/>
          <w:sz w:val="24"/>
          <w:szCs w:val="24"/>
        </w:rPr>
        <w:t>. Esto es un disparate, especialmente si como señala la dirigente del PSC (y expresidenta del Congreso) Meritxe</w:t>
      </w:r>
      <w:r>
        <w:rPr>
          <w:rFonts w:ascii="Times New Roman" w:hAnsi="Times New Roman" w:cs="Times New Roman"/>
          <w:sz w:val="24"/>
          <w:szCs w:val="24"/>
        </w:rPr>
        <w:t>ll Batet, la realidad es la de “</w:t>
      </w:r>
      <w:r w:rsidRPr="009057E3">
        <w:rPr>
          <w:rFonts w:ascii="Times New Roman" w:hAnsi="Times New Roman" w:cs="Times New Roman"/>
          <w:sz w:val="24"/>
          <w:szCs w:val="24"/>
        </w:rPr>
        <w:t>una administración tributaria de la Generalitat sin las capacidades suficientes para gestionar hoy los impuestos en Cataluña; una administración tributaria estatal que ha alcanzado un nivel de servicio al que no estamos dispuestos a renunciar; y una realidad tributaria profundamente integrada con e</w:t>
      </w:r>
      <w:r>
        <w:rPr>
          <w:rFonts w:ascii="Times New Roman" w:hAnsi="Times New Roman" w:cs="Times New Roman"/>
          <w:sz w:val="24"/>
          <w:szCs w:val="24"/>
        </w:rPr>
        <w:t>l resto de España y con Europa”.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La financiación singular es un cupo catalán, que, de llevarse a término en su totalidad, implicaría un aumento de 25.000 o 30.000 millones en la financiación catalana, para equipararla a la vasca o la navarra a costa de los contribuyentes del resto de España. Además, implicaría fragmentar la AEAT porque la Administración Tributaria de la Generalidad no está preparada para gestionar ni el IRPF, ni mucho menos todos los impuestos. Esto tendría consecuencias devastadoras en el fraude, aumento de duplicidades, y perjudicaría a la lucha contra la corrupción. No nos hemos alejado de ese abismo, sino que hemos un dado un paso adelante, eso sí, más corto y a menos velocidad de lo que querían los independentistas. Es una mala noticia.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 </w:t>
      </w:r>
      <w:r>
        <w:rPr>
          <w:rFonts w:ascii="Times New Roman" w:hAnsi="Times New Roman" w:cs="Times New Roman"/>
          <w:sz w:val="24"/>
          <w:szCs w:val="24"/>
          <w:u w:val="single"/>
        </w:rPr>
        <w:t>Fernández-Villaverde: “</w:t>
      </w:r>
      <w:r w:rsidRPr="009057E3">
        <w:rPr>
          <w:rFonts w:ascii="Times New Roman" w:hAnsi="Times New Roman" w:cs="Times New Roman"/>
          <w:sz w:val="24"/>
          <w:szCs w:val="24"/>
          <w:u w:val="single"/>
        </w:rPr>
        <w:t>El problema de Cataluña es de gasto: c</w:t>
      </w:r>
      <w:r>
        <w:rPr>
          <w:rFonts w:ascii="Times New Roman" w:hAnsi="Times New Roman" w:cs="Times New Roman"/>
          <w:sz w:val="24"/>
          <w:szCs w:val="24"/>
          <w:u w:val="single"/>
        </w:rPr>
        <w:t>onstruir un protoestado es caro”</w:t>
      </w:r>
      <w:r w:rsidRPr="009057E3">
        <w:rPr>
          <w:rFonts w:ascii="Times New Roman" w:hAnsi="Times New Roman" w:cs="Times New Roman"/>
          <w:sz w:val="24"/>
          <w:szCs w:val="24"/>
        </w:rPr>
        <w:t xml:space="preserve"> (The Objective - </w:t>
      </w:r>
      <w:r w:rsidRPr="009057E3">
        <w:rPr>
          <w:rFonts w:ascii="Times New Roman" w:hAnsi="Times New Roman" w:cs="Times New Roman"/>
          <w:b/>
          <w:sz w:val="24"/>
          <w:szCs w:val="24"/>
        </w:rPr>
        <w:t>24/8/25</w:t>
      </w:r>
      <w:r w:rsidRPr="009057E3">
        <w:rPr>
          <w:rFonts w:ascii="Times New Roman" w:hAnsi="Times New Roman" w:cs="Times New Roman"/>
          <w:sz w:val="24"/>
          <w:szCs w:val="24"/>
        </w:rPr>
        <w:t>)</w:t>
      </w:r>
    </w:p>
    <w:p w:rsidR="007C1B7D" w:rsidRPr="009057E3" w:rsidRDefault="001A1A40" w:rsidP="007C1B7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C1B7D" w:rsidRPr="009057E3">
        <w:rPr>
          <w:rFonts w:ascii="Times New Roman" w:hAnsi="Times New Roman" w:cs="Times New Roman"/>
          <w:sz w:val="24"/>
          <w:szCs w:val="24"/>
        </w:rPr>
        <w:t>País Vasco y Navarra detraen recursos de la caja común a pesar d</w:t>
      </w:r>
      <w:r>
        <w:rPr>
          <w:rFonts w:ascii="Times New Roman" w:hAnsi="Times New Roman" w:cs="Times New Roman"/>
          <w:sz w:val="24"/>
          <w:szCs w:val="24"/>
        </w:rPr>
        <w:t>e ser de las regiones más ricas”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(Por Miguel Ors Villarejo)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Jesús Fernández-Villaverde (Madrid, 1972) cursó E3 (o sea, derecho y empresariales) en Icade, se doctoró en economía por la Universidad de Minnesota y en la actualidad es catedrático en la de Pennsylvania. Ha dado clases en Oxford, Princeton, Harvard y Yale, pero todo esto, con ser muy impresionante, apenas da una idea de su erudición casi ecuménica. A Jesús la economía se le queda pequeña. Tiene la curiosidad de un hombre del Renacimiento y, en cuanto puede, incursiona en campos limítrofes y no tan limítrofes.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Así es Jesús. No hay materia que se le resista. Si una duda le hace señas a 10.000 kilómetros, lo deja todo, se arroja sobre ella y la desmenuza hasta que ya no es duda. Da igual de qué se trate: el cambio climático, el sistema electoral, la economía italiana o, como es el caso del libro que ha publicado a medias con Francisco de la Torre, el pacto entre PSC y ERC para </w:t>
      </w:r>
      <w:r w:rsidR="003277A5">
        <w:rPr>
          <w:rFonts w:ascii="Times New Roman" w:hAnsi="Times New Roman" w:cs="Times New Roman"/>
          <w:sz w:val="24"/>
          <w:szCs w:val="24"/>
        </w:rPr>
        <w:lastRenderedPageBreak/>
        <w:t>dotar de “soberanía fiscal” a Cataluña, que considera “</w:t>
      </w:r>
      <w:r w:rsidRPr="009057E3">
        <w:rPr>
          <w:rFonts w:ascii="Times New Roman" w:hAnsi="Times New Roman" w:cs="Times New Roman"/>
          <w:sz w:val="24"/>
          <w:szCs w:val="24"/>
        </w:rPr>
        <w:t xml:space="preserve">la mutación más importante de nuestro sistema constitucional </w:t>
      </w:r>
      <w:r w:rsidR="003277A5">
        <w:rPr>
          <w:rFonts w:ascii="Times New Roman" w:hAnsi="Times New Roman" w:cs="Times New Roman"/>
          <w:sz w:val="24"/>
          <w:szCs w:val="24"/>
        </w:rPr>
        <w:t>desde 1978”</w:t>
      </w:r>
      <w:r w:rsidRPr="009057E3">
        <w:rPr>
          <w:rFonts w:ascii="Times New Roman" w:hAnsi="Times New Roman" w:cs="Times New Roman"/>
          <w:sz w:val="24"/>
          <w:szCs w:val="24"/>
        </w:rPr>
        <w:t>.</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Por ahí arranca nuestra conversación, que se puede escuchar íntegra en la web de T</w:t>
      </w:r>
      <w:r w:rsidR="003277A5">
        <w:rPr>
          <w:rFonts w:ascii="Times New Roman" w:hAnsi="Times New Roman" w:cs="Times New Roman"/>
          <w:sz w:val="24"/>
          <w:szCs w:val="24"/>
        </w:rPr>
        <w:t xml:space="preserve">he Objective </w:t>
      </w:r>
      <w:r w:rsidRPr="009057E3">
        <w:rPr>
          <w:rFonts w:ascii="Times New Roman" w:hAnsi="Times New Roman" w:cs="Times New Roman"/>
          <w:sz w:val="24"/>
          <w:szCs w:val="24"/>
        </w:rPr>
        <w:t>y de la que sigue una versión extractada y editada.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Pregunta- ¿Por qué la financiación singular de Cataluña supondría, de materializarse, una transformación radical del Estado?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Respuesta- Uno de los grandes economistas de todos los tiempos, Joseph Schumpeter, con quien guardo, por cierto, </w:t>
      </w:r>
      <w:r w:rsidR="003277A5">
        <w:rPr>
          <w:rFonts w:ascii="Times New Roman" w:hAnsi="Times New Roman" w:cs="Times New Roman"/>
          <w:sz w:val="24"/>
          <w:szCs w:val="24"/>
        </w:rPr>
        <w:t>una relación académica directa (</w:t>
      </w:r>
      <w:r w:rsidRPr="009057E3">
        <w:rPr>
          <w:rFonts w:ascii="Times New Roman" w:hAnsi="Times New Roman" w:cs="Times New Roman"/>
          <w:sz w:val="24"/>
          <w:szCs w:val="24"/>
        </w:rPr>
        <w:t>fue efectivamente el director de tesis de Paul Samuelson, quien a su vez dirigió la de Lawrence Klein, quien dirigió la de Tim Cooley, quien dirigió la de Lee Ohanian, quien dirigió la de Jesús; o sea, Schumpeter vendría a ser</w:t>
      </w:r>
      <w:r w:rsidR="003277A5">
        <w:rPr>
          <w:rFonts w:ascii="Times New Roman" w:hAnsi="Times New Roman" w:cs="Times New Roman"/>
          <w:sz w:val="24"/>
          <w:szCs w:val="24"/>
        </w:rPr>
        <w:t xml:space="preserve"> su trastataradirector de tesis)</w:t>
      </w:r>
      <w:r w:rsidRPr="009057E3">
        <w:rPr>
          <w:rFonts w:ascii="Times New Roman" w:hAnsi="Times New Roman" w:cs="Times New Roman"/>
          <w:sz w:val="24"/>
          <w:szCs w:val="24"/>
        </w:rPr>
        <w:t xml:space="preserve">, Schumpeter pronunció en </w:t>
      </w:r>
      <w:r w:rsidR="003277A5">
        <w:rPr>
          <w:rFonts w:ascii="Times New Roman" w:hAnsi="Times New Roman" w:cs="Times New Roman"/>
          <w:sz w:val="24"/>
          <w:szCs w:val="24"/>
        </w:rPr>
        <w:t>1918 una conferencia magistral (</w:t>
      </w:r>
      <w:r w:rsidRPr="009057E3">
        <w:rPr>
          <w:rFonts w:ascii="Times New Roman" w:hAnsi="Times New Roman" w:cs="Times New Roman"/>
          <w:sz w:val="24"/>
          <w:szCs w:val="24"/>
        </w:rPr>
        <w:t>La crisis del Estado f</w:t>
      </w:r>
      <w:r w:rsidR="003277A5">
        <w:rPr>
          <w:rFonts w:ascii="Times New Roman" w:hAnsi="Times New Roman" w:cs="Times New Roman"/>
          <w:sz w:val="24"/>
          <w:szCs w:val="24"/>
        </w:rPr>
        <w:t>iscal)</w:t>
      </w:r>
      <w:r w:rsidRPr="009057E3">
        <w:rPr>
          <w:rFonts w:ascii="Times New Roman" w:hAnsi="Times New Roman" w:cs="Times New Roman"/>
          <w:sz w:val="24"/>
          <w:szCs w:val="24"/>
        </w:rPr>
        <w:t xml:space="preserve"> que se ha convertido en un clásico de la historia del pensamiento </w:t>
      </w:r>
      <w:r w:rsidR="003277A5">
        <w:rPr>
          <w:rFonts w:ascii="Times New Roman" w:hAnsi="Times New Roman" w:cs="Times New Roman"/>
          <w:sz w:val="24"/>
          <w:szCs w:val="24"/>
        </w:rPr>
        <w:t>económico y en la que dice que “</w:t>
      </w:r>
      <w:r w:rsidRPr="009057E3">
        <w:rPr>
          <w:rFonts w:ascii="Times New Roman" w:hAnsi="Times New Roman" w:cs="Times New Roman"/>
          <w:sz w:val="24"/>
          <w:szCs w:val="24"/>
        </w:rPr>
        <w:t>la expresión “Estado fiscal” casi puede</w:t>
      </w:r>
      <w:r w:rsidR="003277A5">
        <w:rPr>
          <w:rFonts w:ascii="Times New Roman" w:hAnsi="Times New Roman" w:cs="Times New Roman"/>
          <w:sz w:val="24"/>
          <w:szCs w:val="24"/>
        </w:rPr>
        <w:t xml:space="preserve"> considerarse como un pleonasmo”</w:t>
      </w:r>
      <w:r w:rsidRPr="009057E3">
        <w:rPr>
          <w:rFonts w:ascii="Times New Roman" w:hAnsi="Times New Roman" w:cs="Times New Roman"/>
          <w:sz w:val="24"/>
          <w:szCs w:val="24"/>
        </w:rPr>
        <w:t>, porque, para él, los términos Estado y fiscal son prácticamente equivalentes. Los impuestos no solo crearon el Estado moderno, sino que conforman su estructura fundamental y lo determinan todo.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Piensa en la economía política de Franco. Era completamente distinta de la actual porque el régimen fiscal era distinto. Si cambias el régimen fiscal, cambias el Estado.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¿Y cómo es nuestro régimen fiscal?</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Muy peculiar. Hay 15 comunidades sujetas al régimen común y otras dos (País Vasco y Navarra) al sistema foral. Centrémonos en las primeras. La legislación establece una división de competencias entre el Estado central y las comunidades, así como un reparto en la recaudación de impuestos. No es un modelo perfecto, pero es relativamente sensato y muy similar al alemán. E</w:t>
      </w:r>
      <w:r w:rsidR="003277A5">
        <w:rPr>
          <w:rFonts w:ascii="Times New Roman" w:hAnsi="Times New Roman" w:cs="Times New Roman"/>
          <w:sz w:val="24"/>
          <w:szCs w:val="24"/>
        </w:rPr>
        <w:t>n ciencia política se denomina “federalismo cooperativo”</w:t>
      </w:r>
      <w:r w:rsidRPr="009057E3">
        <w:rPr>
          <w:rFonts w:ascii="Times New Roman" w:hAnsi="Times New Roman" w:cs="Times New Roman"/>
          <w:sz w:val="24"/>
          <w:szCs w:val="24"/>
        </w:rPr>
        <w:t xml:space="preserve"> y permite dar autonomía a las regiones, a la vez que mantiene la igualdad en la pres</w:t>
      </w:r>
      <w:r w:rsidR="003277A5">
        <w:rPr>
          <w:rFonts w:ascii="Times New Roman" w:hAnsi="Times New Roman" w:cs="Times New Roman"/>
          <w:sz w:val="24"/>
          <w:szCs w:val="24"/>
        </w:rPr>
        <w:t>tación de servicios esenciales (</w:t>
      </w:r>
      <w:r w:rsidRPr="009057E3">
        <w:rPr>
          <w:rFonts w:ascii="Times New Roman" w:hAnsi="Times New Roman" w:cs="Times New Roman"/>
          <w:sz w:val="24"/>
          <w:szCs w:val="24"/>
        </w:rPr>
        <w:t>como educación,</w:t>
      </w:r>
      <w:r w:rsidR="003277A5">
        <w:rPr>
          <w:rFonts w:ascii="Times New Roman" w:hAnsi="Times New Roman" w:cs="Times New Roman"/>
          <w:sz w:val="24"/>
          <w:szCs w:val="24"/>
        </w:rPr>
        <w:t xml:space="preserve"> sanidad, dependencia, etcétera)</w:t>
      </w:r>
      <w:r w:rsidRPr="009057E3">
        <w:rPr>
          <w:rFonts w:ascii="Times New Roman" w:hAnsi="Times New Roman" w:cs="Times New Roman"/>
          <w:sz w:val="24"/>
          <w:szCs w:val="24"/>
        </w:rPr>
        <w:t>.</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Lo que Esquerra Republicana y otros nacionalistas quieren es pasar de este régimen común al foral. Y como reclamar un cupo catalán suena poco solida</w:t>
      </w:r>
      <w:r w:rsidR="003277A5">
        <w:rPr>
          <w:rFonts w:ascii="Times New Roman" w:hAnsi="Times New Roman" w:cs="Times New Roman"/>
          <w:sz w:val="24"/>
          <w:szCs w:val="24"/>
        </w:rPr>
        <w:t>rio, se han inventado lo de la “financiación singular”</w:t>
      </w:r>
      <w:r w:rsidRPr="009057E3">
        <w:rPr>
          <w:rFonts w:ascii="Times New Roman" w:hAnsi="Times New Roman" w:cs="Times New Roman"/>
          <w:sz w:val="24"/>
          <w:szCs w:val="24"/>
        </w:rPr>
        <w:t>.</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¿Y por qué es eso malo?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¡Uf! Necesitaría cinco horas para responderte, nuestro libro no tiene 400 páginas por casualidad… Pero, muy sucintamente, hay problemas técnicos y hay problemas de justicia.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Para empezar, no puedes fragmentar la agencia tributaria. La recaudación debe estar centralizada. De hecho, la del IVA debería encomendarse a una agencia europea. La fragmentación sale cara y, sobre todo, dificulta la persecución del fraude. En España, la Asociación de Inspectores de Hacienda ha calificado los regímenes forales de agujeros negros. ¿Por qué? Te cuento un caso. Tú eres una empresa en Pamplona (llamémosla Volkswagen) y montas una estructura fiscal artificial gracias a la cual a la Agencia Estatal de Administración Tributaria (AEAT) le dices que el IVA se lo has pagado a la Diputación Foral, y a la Diputación Foral, que se lo has pagado a la AEAT.</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lastRenderedPageBreak/>
        <w:t>Me dirás que es un truco muy burdo, pero ha ocurrido realmente. Lo denunció un diario de la izquierda abertzale que se conoce que odia más a Volkswagen por ser multinacional que por evadir impuestos a la Hacienda española.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Parece la maquinación de un adolescente…</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Exacto. Le dice a mamá que papá le ha dado permiso pa</w:t>
      </w:r>
      <w:r w:rsidR="003277A5">
        <w:rPr>
          <w:rFonts w:ascii="Times New Roman" w:hAnsi="Times New Roman" w:cs="Times New Roman"/>
          <w:sz w:val="24"/>
          <w:szCs w:val="24"/>
        </w:rPr>
        <w:t>ra jugar al fútbol, mamá dice: “Ah, bueno, entonces vale”, y luego va a papá y le dice: “Es que mamá me ha dado permiso”</w:t>
      </w:r>
      <w:r w:rsidRPr="009057E3">
        <w:rPr>
          <w:rFonts w:ascii="Times New Roman" w:hAnsi="Times New Roman" w:cs="Times New Roman"/>
          <w:sz w:val="24"/>
          <w:szCs w:val="24"/>
        </w:rPr>
        <w:t>, y al final se va a jugar al fútbol. Eso, que ya es difícil de controlar entre dos, imagina cómo es con cuatro diputaciones forales. Y lo que pasará si se suma al juego Cataluña, que representa el 17% de la economía española. Te vas a llevar por delante buena parte de la recaudación.</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Hablabas también de problemas de justicia.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Así es. ¿En qué se basa un estado de bienestar? En que los ciudadanos (¡ojo, no los territorios, los ciudadanos!) que más ganan pagan más y los que menos ganan reciben más. Esto genera transferencias. En cualquier economía, incluida la española, tienes más ciudadanos de renta alta en Barcelona y Madrid que en Mérida o Talavera de la Reina. Por tanto, existen redistribuciones territoriales entre Barcelona y Talavera de la Reina, y entre Madrid y Mér</w:t>
      </w:r>
      <w:r w:rsidR="003277A5">
        <w:rPr>
          <w:rFonts w:ascii="Times New Roman" w:hAnsi="Times New Roman" w:cs="Times New Roman"/>
          <w:sz w:val="24"/>
          <w:szCs w:val="24"/>
        </w:rPr>
        <w:t>ida. Pero si de repente dices: “</w:t>
      </w:r>
      <w:r w:rsidRPr="009057E3">
        <w:rPr>
          <w:rFonts w:ascii="Times New Roman" w:hAnsi="Times New Roman" w:cs="Times New Roman"/>
          <w:sz w:val="24"/>
          <w:szCs w:val="24"/>
        </w:rPr>
        <w:t>No, el dinero de Barcelona s</w:t>
      </w:r>
      <w:r w:rsidR="003277A5">
        <w:rPr>
          <w:rFonts w:ascii="Times New Roman" w:hAnsi="Times New Roman" w:cs="Times New Roman"/>
          <w:sz w:val="24"/>
          <w:szCs w:val="24"/>
        </w:rPr>
        <w:t>e tiene que quedar en Barcelona”</w:t>
      </w:r>
      <w:r w:rsidRPr="009057E3">
        <w:rPr>
          <w:rFonts w:ascii="Times New Roman" w:hAnsi="Times New Roman" w:cs="Times New Roman"/>
          <w:sz w:val="24"/>
          <w:szCs w:val="24"/>
        </w:rPr>
        <w:t>, te cargas el estado de bienestar.</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En Madrid insistimos en que el País Vasco y Navarra reciben un trato fiscal privilegiado, pero mis colegas vascos y navarros dicen que ellos pagan muchos impuestos.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Aquí hay dos cosas diferentes. La primera se refiere al País Vasco y Navarra. En estos momentos, y esto hay que decirlo de manera clara y meridiana, están recibiendo transferencias fiscales del resto de España. El País Vasco, la segunda comunidad con mayor PIB per cápita del país, y Navarra, la tercera, reciben dinero del resto del país. No solo no aportan a la caja común, sino que detraen recursos de ella.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¿Cómo puede ser?</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Centrémonos en el País Vasco, que es más fácil de explicar. Paga aproximadamente 1.500 millones de euros al año en concepto de cupo, que es su contribución al mantenimiento de los servicios centrales del Estado: defensa, justicia, representación exterior, etcétera. Evidentemente, con esos 1.500 millones no cubren ni de broma la parte que les corresponde, pero olvidémonos de eso. Aquí hay dos problemas.</w:t>
      </w:r>
    </w:p>
    <w:p w:rsidR="007C1B7D" w:rsidRPr="009057E3" w:rsidRDefault="003277A5" w:rsidP="007C1B7D">
      <w:pPr>
        <w:spacing w:line="240" w:lineRule="auto"/>
        <w:jc w:val="both"/>
        <w:rPr>
          <w:rFonts w:ascii="Times New Roman" w:hAnsi="Times New Roman" w:cs="Times New Roman"/>
          <w:sz w:val="24"/>
          <w:szCs w:val="24"/>
        </w:rPr>
      </w:pPr>
      <w:r>
        <w:rPr>
          <w:rFonts w:ascii="Times New Roman" w:hAnsi="Times New Roman" w:cs="Times New Roman"/>
          <w:sz w:val="24"/>
          <w:szCs w:val="24"/>
        </w:rPr>
        <w:t>El primero es el llamado “ajuste del IVA”</w:t>
      </w:r>
      <w:r w:rsidR="007C1B7D" w:rsidRPr="009057E3">
        <w:rPr>
          <w:rFonts w:ascii="Times New Roman" w:hAnsi="Times New Roman" w:cs="Times New Roman"/>
          <w:sz w:val="24"/>
          <w:szCs w:val="24"/>
        </w:rPr>
        <w:t>. El IVA se cobra a las empresas para que se lo repercutan a los consumidores, ya que grava el consumo, no la producción. Si tú tienes una fábrica de electrodomésticos en Bilbao y le vendes un televisor a un bilbaíno, le cargas un 21% adicional que ingresas en la Diputación Foral de Vizcaya. Ahora bien, ¿qué pasa si la empresa que le vende el televisor a ese bilbaíno es de Madrid? Ingresará el IVA en la AEAT, que es la que recauda los impuestos en las autonomías de régimen común, con lo que el dinero del consumidor bilbaíno acabará en las arcas de la Hacienda española.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Para compensar esa pérdida de ingresos, tenemos una fórmula por la cual de todo el IVA recaudado en las 15 comunidades del régimen común una parte se la damos al País Vasco.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¿Una parte de todo el IVA recaudado?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lastRenderedPageBreak/>
        <w:t xml:space="preserve">R.- De todo. Supón que en Zamora hay un señor al </w:t>
      </w:r>
      <w:r w:rsidR="003277A5">
        <w:rPr>
          <w:rFonts w:ascii="Times New Roman" w:hAnsi="Times New Roman" w:cs="Times New Roman"/>
          <w:sz w:val="24"/>
          <w:szCs w:val="24"/>
        </w:rPr>
        <w:t>que le gusta tanto The Objective</w:t>
      </w:r>
      <w:r w:rsidRPr="009057E3">
        <w:rPr>
          <w:rFonts w:ascii="Times New Roman" w:hAnsi="Times New Roman" w:cs="Times New Roman"/>
          <w:sz w:val="24"/>
          <w:szCs w:val="24"/>
        </w:rPr>
        <w:t xml:space="preserve"> que os paga 50 euros al año. El señor ha nacido y ha vivido toda su vida en Zamora, y vosotros estáis aquí en Madrid, en pleno barrio de Salamanca, pero un porcentaje del IVA que se aplica a esos 50 euros se va a la Diputación de Vizcaya.</w:t>
      </w:r>
    </w:p>
    <w:p w:rsidR="007C1B7D" w:rsidRPr="009057E3" w:rsidRDefault="003277A5" w:rsidP="007C1B7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C1B7D" w:rsidRPr="009057E3">
        <w:rPr>
          <w:rFonts w:ascii="Times New Roman" w:hAnsi="Times New Roman" w:cs="Times New Roman"/>
          <w:sz w:val="24"/>
          <w:szCs w:val="24"/>
        </w:rPr>
        <w:t>En 2022, el País Vasco cobró 2.692 millones de euros en concepto de ajuste del IVA. Esta compensación no la reciben solo los regímenes forales, sino todas las regiones. Sucede, sin embargo, que el ajuste del IVA en las autonomías de régimen común se calcula en función de su consumo interior, mientras que en el País Vasco este criterio se ignora. De haberse tenido en cuenta, en 2022 habría percibido 784 millones, no 2.692, es decir, 1.908 millones más. Dado que ese año abonó al Estado un cupo de 1.467 millones, el País Vasco se benefició de una tra</w:t>
      </w:r>
      <w:r>
        <w:rPr>
          <w:rFonts w:ascii="Times New Roman" w:hAnsi="Times New Roman" w:cs="Times New Roman"/>
          <w:sz w:val="24"/>
          <w:szCs w:val="24"/>
        </w:rPr>
        <w:t>nsferencia neta de 441 millones)</w:t>
      </w:r>
      <w:r w:rsidR="007C1B7D" w:rsidRPr="009057E3">
        <w:rPr>
          <w:rFonts w:ascii="Times New Roman" w:hAnsi="Times New Roman" w:cs="Times New Roman"/>
          <w:sz w:val="24"/>
          <w:szCs w:val="24"/>
        </w:rPr>
        <w:t>.</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Muy bonito.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Pero espera, que no he acabado. Lo del ajuste del IVA no es lo peor, es solo el pecado venial. Ahora te voy a contar el mortal, y es que El País Vasco tiene unos 4.800 millones de euros de déficit en pensiones contributivas. ¿Y quién cubre la diferencia?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El resto de los españoles.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Les estamos pagando a los vascos las pensiones, que para más inri están entre las más generosas de España. Y aún hay más. Porque aho</w:t>
      </w:r>
      <w:r w:rsidR="003277A5">
        <w:rPr>
          <w:rFonts w:ascii="Times New Roman" w:hAnsi="Times New Roman" w:cs="Times New Roman"/>
          <w:sz w:val="24"/>
          <w:szCs w:val="24"/>
        </w:rPr>
        <w:t>ra llega Pedro Sánchez y dice: “</w:t>
      </w:r>
      <w:r w:rsidRPr="009057E3">
        <w:rPr>
          <w:rFonts w:ascii="Times New Roman" w:hAnsi="Times New Roman" w:cs="Times New Roman"/>
          <w:sz w:val="24"/>
          <w:szCs w:val="24"/>
        </w:rPr>
        <w:t>Vamos</w:t>
      </w:r>
      <w:r w:rsidR="003277A5">
        <w:rPr>
          <w:rFonts w:ascii="Times New Roman" w:hAnsi="Times New Roman" w:cs="Times New Roman"/>
          <w:sz w:val="24"/>
          <w:szCs w:val="24"/>
        </w:rPr>
        <w:t xml:space="preserve"> a subir las prestaciones un 4%”</w:t>
      </w:r>
      <w:r w:rsidRPr="009057E3">
        <w:rPr>
          <w:rFonts w:ascii="Times New Roman" w:hAnsi="Times New Roman" w:cs="Times New Roman"/>
          <w:sz w:val="24"/>
          <w:szCs w:val="24"/>
        </w:rPr>
        <w:t>. ¿Y de dónde sale dinero? Como el sistema no da más de sí, del déficit. Así que los diputados del PNV y de Bildu van a Barakaldo y les dicen a los jubilados que les han subido las pensiones, cuando los que les pagamos la subida somos el resto de los españoles… ¡Y encima tus colegas tienen la cara dura de decirte que pagan muchos impuestos! ¡No, hombre, no! El País Vasco y Navarra viven en estos momentos del resto de España, y por eso en el libro hablamos de privilegios territoriales.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Pedro Sánchez defiende que la financiación singular de Cataluña es un paso hacia la federalización.</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R.- En mis tiempos de alumno de Icade, cada vez que salía el tema de la organización territorial en algún debate, nunca faltaba uno </w:t>
      </w:r>
      <w:r w:rsidR="003277A5">
        <w:rPr>
          <w:rFonts w:ascii="Times New Roman" w:hAnsi="Times New Roman" w:cs="Times New Roman"/>
          <w:sz w:val="24"/>
          <w:szCs w:val="24"/>
        </w:rPr>
        <w:t>que levantaba la mano y decía: “</w:t>
      </w:r>
      <w:r w:rsidRPr="009057E3">
        <w:rPr>
          <w:rFonts w:ascii="Times New Roman" w:hAnsi="Times New Roman" w:cs="Times New Roman"/>
          <w:sz w:val="24"/>
          <w:szCs w:val="24"/>
        </w:rPr>
        <w:t>La solución a los problemas de Españ</w:t>
      </w:r>
      <w:r w:rsidR="003277A5">
        <w:rPr>
          <w:rFonts w:ascii="Times New Roman" w:hAnsi="Times New Roman" w:cs="Times New Roman"/>
          <w:sz w:val="24"/>
          <w:szCs w:val="24"/>
        </w:rPr>
        <w:t>a es una federación”</w:t>
      </w:r>
      <w:r w:rsidRPr="009057E3">
        <w:rPr>
          <w:rFonts w:ascii="Times New Roman" w:hAnsi="Times New Roman" w:cs="Times New Roman"/>
          <w:sz w:val="24"/>
          <w:szCs w:val="24"/>
        </w:rPr>
        <w:t>. Y todo el mundo asentía. Lo de la federación es como la paz o la tortilla de patatas. ¿Quién puede estar en contra? El derecho alemán ha acuñado un nombre p</w:t>
      </w:r>
      <w:r w:rsidR="003277A5">
        <w:rPr>
          <w:rFonts w:ascii="Times New Roman" w:hAnsi="Times New Roman" w:cs="Times New Roman"/>
          <w:sz w:val="24"/>
          <w:szCs w:val="24"/>
        </w:rPr>
        <w:t>ara estos conceptos. Los llama “</w:t>
      </w:r>
      <w:r w:rsidRPr="009057E3">
        <w:rPr>
          <w:rFonts w:ascii="Times New Roman" w:hAnsi="Times New Roman" w:cs="Times New Roman"/>
          <w:sz w:val="24"/>
          <w:szCs w:val="24"/>
        </w:rPr>
        <w:t>té</w:t>
      </w:r>
      <w:r w:rsidR="003277A5">
        <w:rPr>
          <w:rFonts w:ascii="Times New Roman" w:hAnsi="Times New Roman" w:cs="Times New Roman"/>
          <w:sz w:val="24"/>
          <w:szCs w:val="24"/>
        </w:rPr>
        <w:t>rminos jurídicos indeterminados”</w:t>
      </w:r>
      <w:r w:rsidRPr="009057E3">
        <w:rPr>
          <w:rFonts w:ascii="Times New Roman" w:hAnsi="Times New Roman" w:cs="Times New Roman"/>
          <w:sz w:val="24"/>
          <w:szCs w:val="24"/>
        </w:rPr>
        <w:t xml:space="preserve"> y son cosas que suenan fenomenal, pero que carecen de contenido específico y que cada cual entiende como le da la gana.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Son co</w:t>
      </w:r>
      <w:r w:rsidR="003277A5">
        <w:rPr>
          <w:rFonts w:ascii="Times New Roman" w:hAnsi="Times New Roman" w:cs="Times New Roman"/>
          <w:sz w:val="24"/>
          <w:szCs w:val="24"/>
        </w:rPr>
        <w:t>mo los significantes vacíos de (Ernesto) Laclau (el mentor de Podemos)</w:t>
      </w:r>
      <w:r w:rsidRPr="009057E3">
        <w:rPr>
          <w:rFonts w:ascii="Times New Roman" w:hAnsi="Times New Roman" w:cs="Times New Roman"/>
          <w:sz w:val="24"/>
          <w:szCs w:val="24"/>
        </w:rPr>
        <w:t>.</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Igual. Lo científico, por tanto, es buscar indicadores objetivos de descentralización y ver en qué grado los satisfacen los distintos países. Eso es lo que ha hecho un grupo de investigadores de la Comisión Europea. Han elaborado un índice global de descentralización, que se desglosa en tres subíndices: fiscal, administrativa y política. Su conclusión es que España es el segundo país de la Unión más descentralizado fiscal y administrativamente y el tercero políticamente. No importa que en la Constitución no ponga que somos una federación; lo que importa es lo que hacemos, y en la práctica hemos creado una estructura cuasifederal.</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¿Y no se puede descentralizar más?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lastRenderedPageBreak/>
        <w:t>R.- A esta pregunta hay dos posibles respuestas, una subjetiva y otra objetiva. La</w:t>
      </w:r>
      <w:r w:rsidR="003277A5">
        <w:rPr>
          <w:rFonts w:ascii="Times New Roman" w:hAnsi="Times New Roman" w:cs="Times New Roman"/>
          <w:sz w:val="24"/>
          <w:szCs w:val="24"/>
        </w:rPr>
        <w:t xml:space="preserve"> subjetiva es la del que dice: “</w:t>
      </w:r>
      <w:r w:rsidRPr="009057E3">
        <w:rPr>
          <w:rFonts w:ascii="Times New Roman" w:hAnsi="Times New Roman" w:cs="Times New Roman"/>
          <w:sz w:val="24"/>
          <w:szCs w:val="24"/>
        </w:rPr>
        <w:t>Mira, es que yo no quiero tener nada q</w:t>
      </w:r>
      <w:r w:rsidR="003277A5">
        <w:rPr>
          <w:rFonts w:ascii="Times New Roman" w:hAnsi="Times New Roman" w:cs="Times New Roman"/>
          <w:sz w:val="24"/>
          <w:szCs w:val="24"/>
        </w:rPr>
        <w:t>ue ver contigo”</w:t>
      </w:r>
      <w:r w:rsidRPr="009057E3">
        <w:rPr>
          <w:rFonts w:ascii="Times New Roman" w:hAnsi="Times New Roman" w:cs="Times New Roman"/>
          <w:sz w:val="24"/>
          <w:szCs w:val="24"/>
        </w:rPr>
        <w:t>, y contra eso yo no puedo decir nada. A unos les gusta el verde y a otros el amarillo. Muy bien.</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Pero cuando consideras el asunto desde un punto de vista objetivo, lo que se aprecia es que España sufre un exceso de descentralización que está teniendo consecuencias negativas en el bienestar. S</w:t>
      </w:r>
      <w:r w:rsidR="003277A5">
        <w:rPr>
          <w:rFonts w:ascii="Times New Roman" w:hAnsi="Times New Roman" w:cs="Times New Roman"/>
          <w:sz w:val="24"/>
          <w:szCs w:val="24"/>
        </w:rPr>
        <w:t>e vio con la crisis financiera (de 2008)</w:t>
      </w:r>
      <w:r w:rsidRPr="009057E3">
        <w:rPr>
          <w:rFonts w:ascii="Times New Roman" w:hAnsi="Times New Roman" w:cs="Times New Roman"/>
          <w:sz w:val="24"/>
          <w:szCs w:val="24"/>
        </w:rPr>
        <w:t xml:space="preserve">, cuyo tumor estaba localizado en unas cajas de ahorro a las que no se podía meter mano porque dependían de las autonomías. Se ha vuelto a ver con las terribles riadas de Valencia y la descoordinación entre el Gobierno central y la Generalitat. Y se ve cada día en la fractura del mercado interior. Mis amigos empresarios me dicen que para una compañía madrileña es más fácil abrir una sucursal en París que en Burgos. </w:t>
      </w:r>
      <w:r w:rsidR="003277A5">
        <w:rPr>
          <w:rFonts w:ascii="Times New Roman" w:hAnsi="Times New Roman" w:cs="Times New Roman"/>
          <w:sz w:val="24"/>
          <w:szCs w:val="24"/>
        </w:rPr>
        <w:t>“</w:t>
      </w:r>
      <w:r w:rsidRPr="009057E3">
        <w:rPr>
          <w:rFonts w:ascii="Times New Roman" w:hAnsi="Times New Roman" w:cs="Times New Roman"/>
          <w:sz w:val="24"/>
          <w:szCs w:val="24"/>
        </w:rPr>
        <w:t xml:space="preserve">Prefiero que me saquen dos muelas sin anestesia a tener </w:t>
      </w:r>
      <w:r w:rsidR="003277A5">
        <w:rPr>
          <w:rFonts w:ascii="Times New Roman" w:hAnsi="Times New Roman" w:cs="Times New Roman"/>
          <w:sz w:val="24"/>
          <w:szCs w:val="24"/>
        </w:rPr>
        <w:t>que tratar con la comunidad Tal”</w:t>
      </w:r>
      <w:r w:rsidRPr="009057E3">
        <w:rPr>
          <w:rFonts w:ascii="Times New Roman" w:hAnsi="Times New Roman" w:cs="Times New Roman"/>
          <w:sz w:val="24"/>
          <w:szCs w:val="24"/>
        </w:rPr>
        <w:t>, me dicen.</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Así que si me preguntas qué opino de descentralizar más, yo te digo que estoy en contra, porque no va a ayudar a que los españoles tengamos mejor educación, mejor sanidad ni mejores salarios. Ahora bien, si me dices que a ti eso te da igual, porque lo que tú quieres es vivir junto al campanario de tu pueblo, comiendo berzas, pues nada, dale duro a tu campanario y a tus berzas.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Los dos grandes modelos federales son el alemán y el estadounidense. ¿En qué se diferencian? Da la impresión de que el segundo está más cerca de lo que sería una confederación.</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Eso último</w:t>
      </w:r>
      <w:r w:rsidR="003277A5">
        <w:rPr>
          <w:rFonts w:ascii="Times New Roman" w:hAnsi="Times New Roman" w:cs="Times New Roman"/>
          <w:sz w:val="24"/>
          <w:szCs w:val="24"/>
        </w:rPr>
        <w:t xml:space="preserve"> era cierto antes del New Deal (</w:t>
      </w:r>
      <w:r w:rsidRPr="009057E3">
        <w:rPr>
          <w:rFonts w:ascii="Times New Roman" w:hAnsi="Times New Roman" w:cs="Times New Roman"/>
          <w:sz w:val="24"/>
          <w:szCs w:val="24"/>
        </w:rPr>
        <w:t>el programa intervencionista desarrollado por Franklin D. Ro</w:t>
      </w:r>
      <w:r w:rsidR="003277A5">
        <w:rPr>
          <w:rFonts w:ascii="Times New Roman" w:hAnsi="Times New Roman" w:cs="Times New Roman"/>
          <w:sz w:val="24"/>
          <w:szCs w:val="24"/>
        </w:rPr>
        <w:t>osevelt en la década de 1930)</w:t>
      </w:r>
      <w:r w:rsidRPr="009057E3">
        <w:rPr>
          <w:rFonts w:ascii="Times New Roman" w:hAnsi="Times New Roman" w:cs="Times New Roman"/>
          <w:sz w:val="24"/>
          <w:szCs w:val="24"/>
        </w:rPr>
        <w:t>. Desde entonces, Estados Unidos ha reducido muchísimo la autonomía de los estados y, de hecho, hay áreas en las que es</w:t>
      </w:r>
      <w:r w:rsidR="003277A5">
        <w:rPr>
          <w:rFonts w:ascii="Times New Roman" w:hAnsi="Times New Roman" w:cs="Times New Roman"/>
          <w:sz w:val="24"/>
          <w:szCs w:val="24"/>
        </w:rPr>
        <w:t>tá más centralizado que España (</w:t>
      </w:r>
      <w:r w:rsidRPr="009057E3">
        <w:rPr>
          <w:rFonts w:ascii="Times New Roman" w:hAnsi="Times New Roman" w:cs="Times New Roman"/>
          <w:sz w:val="24"/>
          <w:szCs w:val="24"/>
        </w:rPr>
        <w:t>unidad de merca</w:t>
      </w:r>
      <w:r w:rsidR="003277A5">
        <w:rPr>
          <w:rFonts w:ascii="Times New Roman" w:hAnsi="Times New Roman" w:cs="Times New Roman"/>
          <w:sz w:val="24"/>
          <w:szCs w:val="24"/>
        </w:rPr>
        <w:t>do, justicia, política exterior)</w:t>
      </w:r>
      <w:r w:rsidRPr="009057E3">
        <w:rPr>
          <w:rFonts w:ascii="Times New Roman" w:hAnsi="Times New Roman" w:cs="Times New Roman"/>
          <w:sz w:val="24"/>
          <w:szCs w:val="24"/>
        </w:rPr>
        <w:t>.</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¿Cómo funciona el sistema americano? A grandes rasgos, hay un Gobierno federal que se dedica a hacer lo que hace un Gobierno federal, para lo que recauda un impuesto sobre la renta federal. Todos los años, los contribuyentes tenemos que cumplimentar el formulario 1040 y enviárselo a</w:t>
      </w:r>
      <w:r w:rsidR="003277A5">
        <w:rPr>
          <w:rFonts w:ascii="Times New Roman" w:hAnsi="Times New Roman" w:cs="Times New Roman"/>
          <w:sz w:val="24"/>
          <w:szCs w:val="24"/>
        </w:rPr>
        <w:t xml:space="preserve"> la IRS (</w:t>
      </w:r>
      <w:r w:rsidRPr="009057E3">
        <w:rPr>
          <w:rFonts w:ascii="Times New Roman" w:hAnsi="Times New Roman" w:cs="Times New Roman"/>
          <w:sz w:val="24"/>
          <w:szCs w:val="24"/>
        </w:rPr>
        <w:t>Servicio de Impuestos Int</w:t>
      </w:r>
      <w:r w:rsidR="003277A5">
        <w:rPr>
          <w:rFonts w:ascii="Times New Roman" w:hAnsi="Times New Roman" w:cs="Times New Roman"/>
          <w:sz w:val="24"/>
          <w:szCs w:val="24"/>
        </w:rPr>
        <w:t>ernos, por sus siglas en inglés)</w:t>
      </w:r>
      <w:r w:rsidRPr="009057E3">
        <w:rPr>
          <w:rFonts w:ascii="Times New Roman" w:hAnsi="Times New Roman" w:cs="Times New Roman"/>
          <w:sz w:val="24"/>
          <w:szCs w:val="24"/>
        </w:rPr>
        <w:t>. Pero luego está la hacienda estatal (en mi caso, la de Pennsylvania), para la que tienes que hacer otra declaración totalmente diferente, con su formulario y su regulación específica. Son dos declaraciones cada año como mínimo. Porque si recibes ingresos de diferentes fuentes, como es mi caso, te tocan cinco o seis declaraciones al año. Abril es un mes divertidísimo…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¿Cuál es la consecuencia de esta multiplicidad? Pues que en Misisipi son pobres y, como además no les gustan los impuestos, tienen una educación pública pésima. En Massachusetts, por el contrario, son más ricos, tienen impuestos altos y los gestionan mejor, así que la educación pública es muy buena. Y yo te pregunto: ¿quieres vivir en un país con divergencias brutales en servicios sociales y educación, como las que hay entre Misisipi y Massachusetts? Si tu respuesta es afirmativa, entonces tu modelo es el americano.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El segundo tipo de federalismo es el alemán, que utiliza la redistribución territorial para que el niño en Baviera reciba la misma educación que el niño de Brandeburgo. En España decidimos copiar este sistema y es al </w:t>
      </w:r>
      <w:r w:rsidR="003277A5">
        <w:rPr>
          <w:rFonts w:ascii="Times New Roman" w:hAnsi="Times New Roman" w:cs="Times New Roman"/>
          <w:sz w:val="24"/>
          <w:szCs w:val="24"/>
        </w:rPr>
        <w:t>que ahora los catalanes dicen: “</w:t>
      </w:r>
      <w:r w:rsidRPr="009057E3">
        <w:rPr>
          <w:rFonts w:ascii="Times New Roman" w:hAnsi="Times New Roman" w:cs="Times New Roman"/>
          <w:sz w:val="24"/>
          <w:szCs w:val="24"/>
        </w:rPr>
        <w:t>No, por favor, esto no l</w:t>
      </w:r>
      <w:r w:rsidR="003277A5">
        <w:rPr>
          <w:rFonts w:ascii="Times New Roman" w:hAnsi="Times New Roman" w:cs="Times New Roman"/>
          <w:sz w:val="24"/>
          <w:szCs w:val="24"/>
        </w:rPr>
        <w:t>o queremos bajo ningún concepto”</w:t>
      </w:r>
      <w:r w:rsidRPr="009057E3">
        <w:rPr>
          <w:rFonts w:ascii="Times New Roman" w:hAnsi="Times New Roman" w:cs="Times New Roman"/>
          <w:sz w:val="24"/>
          <w:szCs w:val="24"/>
        </w:rPr>
        <w:t>.</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El sistema confederal es aún más insolidario.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lastRenderedPageBreak/>
        <w:t>R.- En una confederación se generan grandes desigualdades. Si a un socialista y a un republicano esto les parece bien, fenomenal, pero que lo digan abiertamente, y que expliquen a continuación por qué se consideran de izquierdas.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La experiencia histórica también revela que las confederaciones funcionan mal. Por eso la historia de Estados Unidos en los últimos 250 años ha sido un proceso constante de centralización: se han dado cuenta de que hay muchísimas cosas que no se pueden llevar de manera tan descentralizada como el proyecto inicial de 1776.</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Suiza es una confederación y funciona bien.</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La Confederación Helvética lo es solo en el nombre. Según el Índice de Autoridad Regional de Oxford, los cantones suizos tienen menos competencias que los Länder alemanes. Son esas paradojas de la política. Tú te puedes llamar confederación, aunque luego seas una federación, igual que te puedes llamar Sumar, aunque lo único que hagas luego sea restar.</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La justificación que PS</w:t>
      </w:r>
      <w:r w:rsidR="003277A5">
        <w:rPr>
          <w:rFonts w:ascii="Times New Roman" w:hAnsi="Times New Roman" w:cs="Times New Roman"/>
          <w:sz w:val="24"/>
          <w:szCs w:val="24"/>
        </w:rPr>
        <w:t>C y ERC dan al pacto es “</w:t>
      </w:r>
      <w:r w:rsidRPr="009057E3">
        <w:rPr>
          <w:rFonts w:ascii="Times New Roman" w:hAnsi="Times New Roman" w:cs="Times New Roman"/>
          <w:sz w:val="24"/>
          <w:szCs w:val="24"/>
        </w:rPr>
        <w:t>la infrafinanciación sostenida en el</w:t>
      </w:r>
      <w:r w:rsidR="003277A5">
        <w:rPr>
          <w:rFonts w:ascii="Times New Roman" w:hAnsi="Times New Roman" w:cs="Times New Roman"/>
          <w:sz w:val="24"/>
          <w:szCs w:val="24"/>
        </w:rPr>
        <w:t xml:space="preserve"> tiempo que ha sufrido Cataluña”</w:t>
      </w:r>
      <w:r w:rsidRPr="009057E3">
        <w:rPr>
          <w:rFonts w:ascii="Times New Roman" w:hAnsi="Times New Roman" w:cs="Times New Roman"/>
          <w:sz w:val="24"/>
          <w:szCs w:val="24"/>
        </w:rPr>
        <w:t>. ¿No recibe Cataluña el dinero que le correspondería?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Cataluña recibe lo que le corresponde. Según los datos de 2022 (los últimos consolidados, porque las diputaciones forales reportan tarde, mal y nunca), la media de las comunidades de régimen común es de 3.300 euros por persona y Cataluña recibió 3.800, es decir, 500 euros más. Esa cantidad adicional está perfectamente justificada, primero, porque tienen transferidas la seguridad ciudadana y las prisiones y, segundo, porque tiene una población más dispersa y relativamente joven.</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¿De qué se quejan, entonces?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R.- Cataluña tiene un problema de gasto, no de ingresos, derivado de que, a partir de 1981, sus gobernantes decidieron construir una estructura de protoestado, por la puerta de atrás y mientras aguardaban el momento de independizarse. Porque si algo </w:t>
      </w:r>
      <w:r w:rsidR="003277A5">
        <w:rPr>
          <w:rFonts w:ascii="Times New Roman" w:hAnsi="Times New Roman" w:cs="Times New Roman"/>
          <w:sz w:val="24"/>
          <w:szCs w:val="24"/>
        </w:rPr>
        <w:t>ha quedado claro con el procés (</w:t>
      </w:r>
      <w:r w:rsidRPr="009057E3">
        <w:rPr>
          <w:rFonts w:ascii="Times New Roman" w:hAnsi="Times New Roman" w:cs="Times New Roman"/>
          <w:sz w:val="24"/>
          <w:szCs w:val="24"/>
        </w:rPr>
        <w:t>las iniciativas impulsadas entre</w:t>
      </w:r>
      <w:r w:rsidR="003277A5">
        <w:rPr>
          <w:rFonts w:ascii="Times New Roman" w:hAnsi="Times New Roman" w:cs="Times New Roman"/>
          <w:sz w:val="24"/>
          <w:szCs w:val="24"/>
        </w:rPr>
        <w:t xml:space="preserve"> 2012 y 2022 por la Generalitat)</w:t>
      </w:r>
      <w:r w:rsidRPr="009057E3">
        <w:rPr>
          <w:rFonts w:ascii="Times New Roman" w:hAnsi="Times New Roman" w:cs="Times New Roman"/>
          <w:sz w:val="24"/>
          <w:szCs w:val="24"/>
        </w:rPr>
        <w:t xml:space="preserve"> es que sus promotores sabían que tarde o temprano tenían que asestar una puñalada por la espalda.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El problema de este protoestado es que es muy caro y el dinero no les llega. Te voy a poner una comparación. ¿Cuánto destina la Comunidad de Madrid a acción exterior? Cuatro millones de euros, lo suficiente para tener una caseta en una feria en París o en una muestra en Fráncfort. Me parecen cuatro millones más de los necesarios, pero ese es otro asunto. ¿Y cuánto gasta Cataluña? Casi 20 veces más: 76 millones.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Otro dato revelador. ¿Cuál es la pensión más alta del sector público en España? La del expresidente de la Generalitat: más de 100.000 euros, superior incluso a la del presidente del Gobierno… A mí me parece fenomenal, yo creo en el estado de las autonomías y, si el pueblo catalán considera en su magnanimidad que su muy honorable expresidente se merece una pensión de más de 100.000 euros, adelante. Ahora, que no me vengan luego con que no la pueden pagar porque los estamos infrafinanciando.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De todo lo que llevamos hablado se desprendería que a los nacionalistas no les importa mucho la suerte de las regiones más pobres, pero lo cierto es que el pacto entre PSC y ERC contempla una cuota de solidaridad.</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lastRenderedPageBreak/>
        <w:t>R.- Hombre, claro, esto hay que venderlo, pero nosotros en el libro hemos hecho los números. Imaginemos que Cataluña tuviese un cupo como el vasco, pero bien hecho, porque el cupo vasco está mal calculado adrede. ¿Sabes por qué?</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¿Por qué?</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Por los muertos</w:t>
      </w:r>
      <w:r w:rsidR="003277A5">
        <w:rPr>
          <w:rFonts w:ascii="Times New Roman" w:hAnsi="Times New Roman" w:cs="Times New Roman"/>
          <w:sz w:val="24"/>
          <w:szCs w:val="24"/>
        </w:rPr>
        <w:t xml:space="preserve"> en el cuartel de Intxaurrondo (</w:t>
      </w:r>
      <w:r w:rsidRPr="009057E3">
        <w:rPr>
          <w:rFonts w:ascii="Times New Roman" w:hAnsi="Times New Roman" w:cs="Times New Roman"/>
          <w:sz w:val="24"/>
          <w:szCs w:val="24"/>
        </w:rPr>
        <w:t>durante la lucha contra E</w:t>
      </w:r>
      <w:r w:rsidR="003277A5">
        <w:rPr>
          <w:rFonts w:ascii="Times New Roman" w:hAnsi="Times New Roman" w:cs="Times New Roman"/>
          <w:sz w:val="24"/>
          <w:szCs w:val="24"/>
        </w:rPr>
        <w:t>TA)</w:t>
      </w:r>
      <w:r w:rsidRPr="009057E3">
        <w:rPr>
          <w:rFonts w:ascii="Times New Roman" w:hAnsi="Times New Roman" w:cs="Times New Roman"/>
          <w:sz w:val="24"/>
          <w:szCs w:val="24"/>
        </w:rPr>
        <w:t>. Cada vez que había que negociar, unos sacudían el árbol y otros recogían las nueces [como el expresidente del PNV Xabier Arzalluz definió el reparto de tareas entre radicales y moderados]. Pero bueno, no nos desviemos de nuestro tema.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Imaginemos que calculamos el cupo catalán correctamente. La recaudación de los impuestos gestionados por la AEAT en Cataluña alcanzó los 53.543 millones en 2023. El sueño de cualquier independentista sería quedárselos todos, pero, en primer lugar, el sistema ya le ha adelantado 23.255 millones que debe devolver y, de los 30.288 restantes, hay que detraer los 22.500 millones que suman la parte que le corresponde de los servicios estatales comunes, el pago de los intereses de la deuda, la financiación de la Seguridad Social y el presupuesto europeo. Total, que le quedan 7.780 millones para, a la vez, incrementar la financiación de la Generalitat y pagar la cuota de solidaridad.</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¿Y cómo se repartirían?</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En el libro aventuramos que la cuota de solidaridad será de unos 4.000 millones, porque una suma inferior sería muy difícil de vender y condenaría a la desaparición del PSOE en Andalucía y Extremadura. Eso significa que la Generalitat apenas va a ingresar 3.400 millones adicionales, algo que dejará a mucha gente descontenta. Los catalanes se piensan que con la financiación singular recibirán un chorro de dinero, pero sobre el papel salen esos 3.400 millones, que además serán muchos menos, porque entre el aumento del fraude y los costes de gestión difícilmente entrarán en las arcas públicas 1.000 millones más.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Pero dentro de cuatro años habrá un nuevo pacto de legislatura con quien sea: con el Partido Popular, con el Partido Nacional del Pirulí Verde o con el Partido Liberal Democrático de la Reconciliación Nacional. Y Junts</w:t>
      </w:r>
      <w:r w:rsidR="003277A5">
        <w:rPr>
          <w:rFonts w:ascii="Times New Roman" w:hAnsi="Times New Roman" w:cs="Times New Roman"/>
          <w:sz w:val="24"/>
          <w:szCs w:val="24"/>
        </w:rPr>
        <w:t xml:space="preserve"> y Esquerra dirán: “</w:t>
      </w:r>
      <w:r w:rsidRPr="009057E3">
        <w:rPr>
          <w:rFonts w:ascii="Times New Roman" w:hAnsi="Times New Roman" w:cs="Times New Roman"/>
          <w:sz w:val="24"/>
          <w:szCs w:val="24"/>
        </w:rPr>
        <w:t>Tenemos los votos para la investidura, pero, si los queréis, la cuota de solidaridad va a</w:t>
      </w:r>
      <w:r w:rsidR="003277A5">
        <w:rPr>
          <w:rFonts w:ascii="Times New Roman" w:hAnsi="Times New Roman" w:cs="Times New Roman"/>
          <w:sz w:val="24"/>
          <w:szCs w:val="24"/>
        </w:rPr>
        <w:t xml:space="preserve"> ser de 3.800 en lugar de 4.000”</w:t>
      </w:r>
      <w:r w:rsidRPr="009057E3">
        <w:rPr>
          <w:rFonts w:ascii="Times New Roman" w:hAnsi="Times New Roman" w:cs="Times New Roman"/>
          <w:sz w:val="24"/>
          <w:szCs w:val="24"/>
        </w:rPr>
        <w:t>. O simplemente y para que no se note tanto, no la actualizarán con la inflación, hasta que quede reducida a cero en 2050.</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Es lo que decís que ha pasado en Euskadi.</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El convenio del País Vasco no era originalmente demencial. Era malo, pero no demencial. Lo que ha ocurrido es que el PNV ha aplicado una estrategia muy astuta: puso el pie en la puerta en 1981 con un cupo determinado, sabiendo que podrían revisarlo a la baja durante los siguientes 40 años.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La filos</w:t>
      </w:r>
      <w:r w:rsidR="003277A5">
        <w:rPr>
          <w:rFonts w:ascii="Times New Roman" w:hAnsi="Times New Roman" w:cs="Times New Roman"/>
          <w:sz w:val="24"/>
          <w:szCs w:val="24"/>
        </w:rPr>
        <w:t>ofía es la siguiente. Mientras (Mariano)</w:t>
      </w:r>
      <w:r w:rsidRPr="009057E3">
        <w:rPr>
          <w:rFonts w:ascii="Times New Roman" w:hAnsi="Times New Roman" w:cs="Times New Roman"/>
          <w:sz w:val="24"/>
          <w:szCs w:val="24"/>
        </w:rPr>
        <w:t xml:space="preserve"> Rajoy tuvo mayoría absoluta en el Parlamento, las negociaciones se paralizaron y solo se reanudaron una vez que la perdió. Entonces quitaron 50 millones de aquí, 50 millones de allí… Son cantidades que se diluyen en el vasto océano</w:t>
      </w:r>
      <w:r w:rsidR="003277A5">
        <w:rPr>
          <w:rFonts w:ascii="Times New Roman" w:hAnsi="Times New Roman" w:cs="Times New Roman"/>
          <w:sz w:val="24"/>
          <w:szCs w:val="24"/>
        </w:rPr>
        <w:t xml:space="preserve"> de los Presupuestos Generales (de 450.000 millones en 2023)</w:t>
      </w:r>
      <w:r w:rsidRPr="009057E3">
        <w:rPr>
          <w:rFonts w:ascii="Times New Roman" w:hAnsi="Times New Roman" w:cs="Times New Roman"/>
          <w:sz w:val="24"/>
          <w:szCs w:val="24"/>
        </w:rPr>
        <w:t>. Nadie monta un escándalo en la conferencia de prensa del Consejo de Ministros por 50 millones. Y así es como, rodaja a rodaja, el País Vasco ha ido recortando el salami hasta que al final se lo ha quedado entero, e incluso con una parte del salami del vecino.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lastRenderedPageBreak/>
        <w:t>P.- Madrid desbancó en 2019 a Cataluña como primera economía regional. ¿Qué papel ha desempeñado el sistema de financiación? A los nacionalistas se les llena la boca con el Madrid ens roba.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Aquí hay que distinguir varios conceptos. Para empezar, ¿es verdad que la comunidad de Madrid tiene más actividad de la que tendría naturalmente como consecuencia de que el grueso de la Administración General del Estado está aquí? Sí. Habría que pensar en maneras de reequilibrar España territorialmente. Yo soy el primero en defenderlo, pero esto no significa que Madrid esté mejor financiada.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¿Por qué? Porque el sistema tiene en cuenta ese problema. Los nacionalistas catalanes argumentan que los funcionarios del Estado pagan el IRPF en Madrid, y es cierto. Pero el Fondo de Garantía de Servicios Públicos compensa al resto de las regiones por ese concepto. También dicen los nacionalistas que los directivos del Ibex pagan el IRPF en Madrid, y es verdad, pero los tres fondos autonómicos descuentan ese IRPF de lo que recibe Madrid.</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Por eso, al final Madrid recibe 3.100 euros por persona y Cataluña 3.800 euros. No estoy diciendo que Madrid esté infrafinanciada, sino que no está sobrefinanciada: 3.100 es menos que la media de 3.400 euros.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Ahora, el segundo tema. ¿Por qué Cataluña ha crecido menos que Madrid? Por muchos motivos, pero el principal es que Madrid ha aplicado políticas económicas más sensatas. En Madrid es más fácil abrir un negocio que en Barcelona y tiene una fiscalidad autonómica más amable, y déjame puntualizar que el coste de que los madrileños paguen menos IRPF lo asume completamente su Administración; el resto de los españoles no pone ni un euro de más por ello. Los presidentes madrileños también han sido más partidarios del crecimiento, la desregulación y los incentivos empresariales que los de la Generalitat. Eso se aprecia mucho en los medios. No voy a decir que la prensa madrileña sea furiosamente liberal, pero sí es mucho más promercado que la catalana. Allí solo hay dos tipos de artículos: los que sostienen que el capitalismo es malvado y los que sostienen que es hipermalvado.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Finalmente, Cataluña ha tenido otro lastre muy importante, algo que los nacionalistas no reconocen en público, pero que a Jordi Pujol se le escapó una vez.</w:t>
      </w:r>
    </w:p>
    <w:p w:rsidR="007C1B7D" w:rsidRPr="009057E3" w:rsidRDefault="003277A5" w:rsidP="007C1B7D">
      <w:pPr>
        <w:spacing w:line="240" w:lineRule="auto"/>
        <w:jc w:val="both"/>
        <w:rPr>
          <w:rFonts w:ascii="Times New Roman" w:hAnsi="Times New Roman" w:cs="Times New Roman"/>
          <w:sz w:val="24"/>
          <w:szCs w:val="24"/>
        </w:rPr>
      </w:pPr>
      <w:r>
        <w:rPr>
          <w:rFonts w:ascii="Times New Roman" w:hAnsi="Times New Roman" w:cs="Times New Roman"/>
          <w:sz w:val="24"/>
          <w:szCs w:val="24"/>
        </w:rPr>
        <w:t>P.- La famosa frase de que “</w:t>
      </w:r>
      <w:r w:rsidR="007C1B7D" w:rsidRPr="009057E3">
        <w:rPr>
          <w:rFonts w:ascii="Times New Roman" w:hAnsi="Times New Roman" w:cs="Times New Roman"/>
          <w:sz w:val="24"/>
          <w:szCs w:val="24"/>
        </w:rPr>
        <w:t>un país es mucho más que una ciudad, por grande, poderosa y entrañable q</w:t>
      </w:r>
      <w:r>
        <w:rPr>
          <w:rFonts w:ascii="Times New Roman" w:hAnsi="Times New Roman" w:cs="Times New Roman"/>
          <w:sz w:val="24"/>
          <w:szCs w:val="24"/>
        </w:rPr>
        <w:t>ue sea” (</w:t>
      </w:r>
      <w:r w:rsidR="007C1B7D" w:rsidRPr="009057E3">
        <w:rPr>
          <w:rFonts w:ascii="Times New Roman" w:hAnsi="Times New Roman" w:cs="Times New Roman"/>
          <w:sz w:val="24"/>
          <w:szCs w:val="24"/>
        </w:rPr>
        <w:t>que recoge José María Martí Font en Barcel</w:t>
      </w:r>
      <w:r>
        <w:rPr>
          <w:rFonts w:ascii="Times New Roman" w:hAnsi="Times New Roman" w:cs="Times New Roman"/>
          <w:sz w:val="24"/>
          <w:szCs w:val="24"/>
        </w:rPr>
        <w:t>ona y Madrid: Decadencia y auge)</w:t>
      </w:r>
      <w:r w:rsidR="007C1B7D" w:rsidRPr="009057E3">
        <w:rPr>
          <w:rFonts w:ascii="Times New Roman" w:hAnsi="Times New Roman" w:cs="Times New Roman"/>
          <w:sz w:val="24"/>
          <w:szCs w:val="24"/>
        </w:rPr>
        <w:t>.</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Para los nacionalistas el enemigo número uno no es Madrid, sino Barcelona. Ese es el gran secreto del catalanismo: a quien realmente odian es a Barcelona y su área metropolitana. ¿Por qué? Porque es castellanohablante, porque no vota nacionalista y porque absorbe la actividad del resto de Cataluña.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Pujol nunca ocultó su propósito de hacer país y, durante más de 40 años, la política de la Generalitat ha ido orientada a perjudicar a Barcelona. Esto es una barbaridad en todo momento y lugar, pero da la casualidad además de que vivimos en una era en la que el motor del crecimiento son las grandes ciudades.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Por razones que no entendemos completamente…</w:t>
      </w:r>
    </w:p>
    <w:p w:rsidR="007C1B7D" w:rsidRPr="009057E3" w:rsidRDefault="003277A5" w:rsidP="007C1B7D">
      <w:pPr>
        <w:spacing w:line="240" w:lineRule="auto"/>
        <w:jc w:val="both"/>
        <w:rPr>
          <w:rFonts w:ascii="Times New Roman" w:hAnsi="Times New Roman" w:cs="Times New Roman"/>
          <w:sz w:val="24"/>
          <w:szCs w:val="24"/>
        </w:rPr>
      </w:pPr>
      <w:r>
        <w:rPr>
          <w:rFonts w:ascii="Times New Roman" w:hAnsi="Times New Roman" w:cs="Times New Roman"/>
          <w:sz w:val="24"/>
          <w:szCs w:val="24"/>
        </w:rPr>
        <w:t>R.-</w:t>
      </w:r>
      <w:r w:rsidR="007C1B7D" w:rsidRPr="009057E3">
        <w:rPr>
          <w:rFonts w:ascii="Times New Roman" w:hAnsi="Times New Roman" w:cs="Times New Roman"/>
          <w:sz w:val="24"/>
          <w:szCs w:val="24"/>
        </w:rPr>
        <w:t xml:space="preserve">…pero que en ningún caso tienen que ver con el sistema de financiación autonómica español. Es un fenómeno global. Lo ves en lo bien que les ha ido (especialmente antes del covid) a Nueva York, a San Francisco o a Los Ángeles, en comparación con la mitad rural de </w:t>
      </w:r>
      <w:r w:rsidR="007C1B7D" w:rsidRPr="009057E3">
        <w:rPr>
          <w:rFonts w:ascii="Times New Roman" w:hAnsi="Times New Roman" w:cs="Times New Roman"/>
          <w:sz w:val="24"/>
          <w:szCs w:val="24"/>
        </w:rPr>
        <w:lastRenderedPageBreak/>
        <w:t>Kansas. Es una dinámica poderosa de la economía mundial y si tu gran baza se llama Barcelona pero te dedicas a fastidiarla…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La paralización de la ampliación del aeropuerto del Prat es el más reciente ejemplo.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Los nacionalistas catalanes critican constantemente la ejecución de obra pública estatal en Cataluña. Dicen que en Madrid se presupuestan, digamos, 150 millones de euros y se ejecutan todos, mientras que en Cataluña siempre queda alguno pendiente.</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¿Y por qué es eso así? Muy sencillo. Si en Madrid quieres ampliar Barajas, llegan las excavadoras y se ponen a mover tierra. Y si alguien dice que ha detectado la presencia de una especie protegida de murciélago, el votante medio de Madrid (sin entrar a val</w:t>
      </w:r>
      <w:r w:rsidR="003277A5">
        <w:rPr>
          <w:rFonts w:ascii="Times New Roman" w:hAnsi="Times New Roman" w:cs="Times New Roman"/>
          <w:sz w:val="24"/>
          <w:szCs w:val="24"/>
        </w:rPr>
        <w:t>orar si está bien o mal) dice: “</w:t>
      </w:r>
      <w:r w:rsidRPr="009057E3">
        <w:rPr>
          <w:rFonts w:ascii="Times New Roman" w:hAnsi="Times New Roman" w:cs="Times New Roman"/>
          <w:sz w:val="24"/>
          <w:szCs w:val="24"/>
        </w:rPr>
        <w:t>¡A freír espárragos los</w:t>
      </w:r>
      <w:r w:rsidR="003277A5">
        <w:rPr>
          <w:rFonts w:ascii="Times New Roman" w:hAnsi="Times New Roman" w:cs="Times New Roman"/>
          <w:sz w:val="24"/>
          <w:szCs w:val="24"/>
        </w:rPr>
        <w:t xml:space="preserve"> murciélagos!”</w:t>
      </w:r>
      <w:r w:rsidRPr="009057E3">
        <w:rPr>
          <w:rFonts w:ascii="Times New Roman" w:hAnsi="Times New Roman" w:cs="Times New Roman"/>
          <w:sz w:val="24"/>
          <w:szCs w:val="24"/>
        </w:rPr>
        <w:t>.</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En Cataluña, en cambio, planteas alargar la tercera pista del Prat y al día siguiente tienes a la Asociación Vecinal manifestándose y a Ecologistas en Acción presentando una demanda judicial. Al final, no ejecutas la obra, y encima le echas la culpa a Madrid…</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En vuestro libro afirmáis que el éxito de Madrid se ha convertido en una amenaza para el sistema de financiación.</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Yo estudié en un colegio muy tradicional, donde todo giraba en torno a Aristóteles y su idea de que la virtud está en el término medio, y pienso efectivamente que necesitas un país equilibrado, donde ningún territorio destaque excesivamente ni para bien ni para mal.</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Que a Madrid le vaya como le está yendo no es beneficioso ni para el resto de España ni para la propia Madrid. Esto no significa que yo quiera perjudicar a Madrid (algunas veces me han acusado de antimadrileño). En absoluto. Madrid tiene mucho mérito. Ha prosperado en buena medida gracias al acierto de sus decisiones, pero también por circunstancias que la trascienden. Se ha beneficiado de enormes ventajas de localización y de las fuerzas de la globalización. Deberíamos pensar en fórmulas para compartir esta prosperidad sobrevenida. De lo contrario, se generarán envidias y resentimientos que no son buenos para nadie.</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¿Cómo se debería reformar el actual sistema de financiación que, según vosotros, se ha quedado anticuado?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Es fundamental hacerlo más transparente. Hoy sales a la calle, paras a cualquier profesional (un señor con traje y corbata o una señora bien vestida), le preguntas: «Explíqueme, por favor, cómo funciona el sistema de financiación a grandes rasgos», y te apuesto una cena en el restaurante que quieras a que no lo sabe, a menos que des con un técnico del Ministerio de Hacienda.</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Eso no puede ser. Necesitamos un sistema más sencillo. La situación actual es insostenible. No puede ser que Francisco de la Torre (un tipo superinteligente, compañero mío de promoción y número uno de su oposición) y yo, que algo hemos hecho en la vida, tengamos que estar a las tres de la madrugada devanándonos los sesos porque nos hemos puesto a leer la ley y no la entendemos.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¿Y qué hacemos con las haciendas forales?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 xml:space="preserve">R.- Muy fácil. Primero, que el País Vasco y Navarra empiecen a sufragar la parte que les corresponde en el déficit de las pensiones contributivas. Segundo, cambiar el ajuste del IVA </w:t>
      </w:r>
      <w:r w:rsidRPr="009057E3">
        <w:rPr>
          <w:rFonts w:ascii="Times New Roman" w:hAnsi="Times New Roman" w:cs="Times New Roman"/>
          <w:sz w:val="24"/>
          <w:szCs w:val="24"/>
        </w:rPr>
        <w:lastRenderedPageBreak/>
        <w:t>para que refleje la realidad del consumo en el País Vasco y Navarra. Simplemente esas dos cosas. A ver qué nacionalista me puede decir algo.</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P.- Decirte algo no sé, pero se van a hacer los locos.</w:t>
      </w:r>
    </w:p>
    <w:p w:rsidR="007C1B7D" w:rsidRPr="009057E3" w:rsidRDefault="007C1B7D" w:rsidP="007C1B7D">
      <w:pPr>
        <w:spacing w:line="240" w:lineRule="auto"/>
        <w:jc w:val="both"/>
        <w:rPr>
          <w:rFonts w:ascii="Times New Roman" w:hAnsi="Times New Roman" w:cs="Times New Roman"/>
          <w:sz w:val="24"/>
          <w:szCs w:val="24"/>
        </w:rPr>
      </w:pPr>
      <w:r w:rsidRPr="009057E3">
        <w:rPr>
          <w:rFonts w:ascii="Times New Roman" w:hAnsi="Times New Roman" w:cs="Times New Roman"/>
          <w:sz w:val="24"/>
          <w:szCs w:val="24"/>
        </w:rPr>
        <w:t>R.- Por supuesto que se van a hacer los locos. He discutido mucho con ellos y en seguida se salen por la tangente. Pero, ¿sabes qué? La solución va a venir por la vía de los hechos, porque el País Vasco sufre un declive demográfico tremendo y, de aquí a 10 años, se va a poder gobernar España sin su apoyo. Ya está. Y si no les gusta, que se aguanten.</w:t>
      </w:r>
    </w:p>
    <w:p w:rsidR="007C1B7D" w:rsidRDefault="007C1B7D" w:rsidP="007C1B7D">
      <w:pPr>
        <w:spacing w:line="240" w:lineRule="auto"/>
        <w:jc w:val="both"/>
        <w:rPr>
          <w:rFonts w:ascii="Times New Roman" w:hAnsi="Times New Roman" w:cs="Times New Roman"/>
          <w:color w:val="FF0000"/>
          <w:sz w:val="24"/>
          <w:szCs w:val="24"/>
          <w:shd w:val="clear" w:color="auto" w:fill="FFFFFF"/>
        </w:rPr>
      </w:pPr>
      <w:r w:rsidRPr="00147327">
        <w:rPr>
          <w:rFonts w:ascii="Times New Roman" w:hAnsi="Times New Roman" w:cs="Times New Roman"/>
          <w:color w:val="FF0000"/>
          <w:sz w:val="24"/>
          <w:szCs w:val="24"/>
          <w:shd w:val="clear" w:color="auto" w:fill="FFFFFF"/>
        </w:rPr>
        <w:t>Queda claro, pues, que la factura del cupo catalán no es baladí: números importantes, responsabilidades fiscales complejas y, sobre todo, un reparto que influirá en el bolsillo de todos los españoles. Pero más allá de las cifras, el peligro reside en consolidar un modelo asimétrico y territorializado que podría incrementar las desigualdades, afectar negativamente la solidaridad interregional y generar una mayor fragmentación del sistema tributario español.</w:t>
      </w:r>
    </w:p>
    <w:p w:rsidR="007C1B7D" w:rsidRPr="00D812DB" w:rsidRDefault="007C1B7D" w:rsidP="007C1B7D">
      <w:pPr>
        <w:spacing w:line="240" w:lineRule="auto"/>
        <w:jc w:val="both"/>
        <w:rPr>
          <w:rFonts w:ascii="Times New Roman" w:hAnsi="Times New Roman" w:cs="Times New Roman"/>
          <w:sz w:val="24"/>
          <w:szCs w:val="24"/>
        </w:rPr>
      </w:pPr>
      <w:r w:rsidRPr="00D812DB">
        <w:rPr>
          <w:rFonts w:ascii="Times New Roman" w:hAnsi="Times New Roman" w:cs="Times New Roman"/>
          <w:sz w:val="24"/>
          <w:szCs w:val="24"/>
        </w:rPr>
        <w:t xml:space="preserve">- </w:t>
      </w:r>
      <w:r w:rsidR="003277A5">
        <w:rPr>
          <w:rFonts w:ascii="Times New Roman" w:hAnsi="Times New Roman" w:cs="Times New Roman"/>
          <w:sz w:val="24"/>
          <w:szCs w:val="24"/>
          <w:u w:val="single"/>
        </w:rPr>
        <w:t>Las “llaves de la caja”</w:t>
      </w:r>
      <w:r w:rsidRPr="00D812DB">
        <w:rPr>
          <w:rFonts w:ascii="Times New Roman" w:hAnsi="Times New Roman" w:cs="Times New Roman"/>
          <w:sz w:val="24"/>
          <w:szCs w:val="24"/>
          <w:u w:val="single"/>
        </w:rPr>
        <w:t xml:space="preserve"> para Cataluña y su coste</w:t>
      </w:r>
      <w:r w:rsidRPr="00D812DB">
        <w:rPr>
          <w:rFonts w:ascii="Times New Roman" w:hAnsi="Times New Roman" w:cs="Times New Roman"/>
          <w:sz w:val="24"/>
          <w:szCs w:val="24"/>
        </w:rPr>
        <w:t xml:space="preserve"> (El Economista - </w:t>
      </w:r>
      <w:r w:rsidRPr="00D812DB">
        <w:rPr>
          <w:rFonts w:ascii="Times New Roman" w:hAnsi="Times New Roman" w:cs="Times New Roman"/>
          <w:b/>
          <w:sz w:val="24"/>
          <w:szCs w:val="24"/>
        </w:rPr>
        <w:t>30/8/25</w:t>
      </w:r>
      <w:r w:rsidRPr="00D812DB">
        <w:rPr>
          <w:rFonts w:ascii="Times New Roman" w:hAnsi="Times New Roman" w:cs="Times New Roman"/>
          <w:sz w:val="24"/>
          <w:szCs w:val="24"/>
        </w:rPr>
        <w:t>)</w:t>
      </w:r>
    </w:p>
    <w:p w:rsidR="007C1B7D" w:rsidRPr="00D812DB" w:rsidRDefault="007C1B7D" w:rsidP="007C1B7D">
      <w:pPr>
        <w:spacing w:line="240" w:lineRule="auto"/>
        <w:jc w:val="both"/>
        <w:rPr>
          <w:rFonts w:ascii="Times New Roman" w:hAnsi="Times New Roman" w:cs="Times New Roman"/>
          <w:sz w:val="24"/>
          <w:szCs w:val="24"/>
        </w:rPr>
      </w:pPr>
      <w:r w:rsidRPr="00D812DB">
        <w:rPr>
          <w:rFonts w:ascii="Times New Roman" w:hAnsi="Times New Roman" w:cs="Times New Roman"/>
          <w:sz w:val="24"/>
          <w:szCs w:val="24"/>
        </w:rPr>
        <w:t>(Por Francisco de la Torre Díaz)</w:t>
      </w:r>
    </w:p>
    <w:p w:rsidR="007C1B7D" w:rsidRPr="00D812DB" w:rsidRDefault="007C1B7D" w:rsidP="007C1B7D">
      <w:pPr>
        <w:spacing w:line="240" w:lineRule="auto"/>
        <w:jc w:val="both"/>
        <w:rPr>
          <w:rFonts w:ascii="Times New Roman" w:hAnsi="Times New Roman" w:cs="Times New Roman"/>
          <w:sz w:val="24"/>
          <w:szCs w:val="24"/>
        </w:rPr>
      </w:pPr>
      <w:r w:rsidRPr="00D812DB">
        <w:rPr>
          <w:rFonts w:ascii="Times New Roman" w:hAnsi="Times New Roman" w:cs="Times New Roman"/>
          <w:sz w:val="24"/>
          <w:szCs w:val="24"/>
        </w:rPr>
        <w:t>El pasado miércoles, el gobierno de la Generalidad de Catal</w:t>
      </w:r>
      <w:r w:rsidR="009067AF">
        <w:rPr>
          <w:rFonts w:ascii="Times New Roman" w:hAnsi="Times New Roman" w:cs="Times New Roman"/>
          <w:sz w:val="24"/>
          <w:szCs w:val="24"/>
        </w:rPr>
        <w:t>uña aprobó un Decreto-Ley para “fortalecer”</w:t>
      </w:r>
      <w:r w:rsidRPr="00D812DB">
        <w:rPr>
          <w:rFonts w:ascii="Times New Roman" w:hAnsi="Times New Roman" w:cs="Times New Roman"/>
          <w:sz w:val="24"/>
          <w:szCs w:val="24"/>
        </w:rPr>
        <w:t xml:space="preserve"> la Agencia Tributaria de Cataluña, de tal forma que pueda estar </w:t>
      </w:r>
      <w:r w:rsidR="009067AF">
        <w:rPr>
          <w:rFonts w:ascii="Times New Roman" w:hAnsi="Times New Roman" w:cs="Times New Roman"/>
          <w:sz w:val="24"/>
          <w:szCs w:val="24"/>
        </w:rPr>
        <w:t>en condiciones de gestionar la “financiación singular”</w:t>
      </w:r>
      <w:r w:rsidRPr="00D812DB">
        <w:rPr>
          <w:rFonts w:ascii="Times New Roman" w:hAnsi="Times New Roman" w:cs="Times New Roman"/>
          <w:sz w:val="24"/>
          <w:szCs w:val="24"/>
        </w:rPr>
        <w:t>, más conocida como cupo catalán. Este "fortalecimiento" consiste en la creación de dos nuevos cuerpos de funcionarios, agentes e informáticos, dar más autonomía presupuestaria y prever un contrato-programa para la Agencia Tributaria de Cataluña. En resumen, un aumento permanente de gasto público en Cataluña para la realización de unas funciones, que, en estos momentos ya desarrolla la Agencia Tributaria del Estado, y que, sin una modificación legal sustancial, no puede desarrollar la Agencia catalana. Lo primero que sorprende de esta decisión es que Cataluña no tiene presupuestos. No hay prioridades de gasto aprobadas en el Parlamento, pero, vía decreto-ley, se aumenta el gasto para asumir la gestión de nuevos impuestos. Además, la Generalidad de Cataluña ha tenido que recurrir a ampliaciones de crédito porque el presupuesto prorrogado se le ha quedado corto.</w:t>
      </w:r>
    </w:p>
    <w:p w:rsidR="007C1B7D" w:rsidRPr="00D812DB" w:rsidRDefault="007C1B7D" w:rsidP="007C1B7D">
      <w:pPr>
        <w:spacing w:line="240" w:lineRule="auto"/>
        <w:jc w:val="both"/>
        <w:rPr>
          <w:rFonts w:ascii="Times New Roman" w:hAnsi="Times New Roman" w:cs="Times New Roman"/>
          <w:color w:val="FF0000"/>
          <w:sz w:val="24"/>
          <w:szCs w:val="24"/>
        </w:rPr>
      </w:pPr>
      <w:r w:rsidRPr="00D812DB">
        <w:rPr>
          <w:rFonts w:ascii="Times New Roman" w:hAnsi="Times New Roman" w:cs="Times New Roman"/>
          <w:sz w:val="24"/>
          <w:szCs w:val="24"/>
        </w:rPr>
        <w:t xml:space="preserve">Por otra parte, el año pasado la administración autonómica catalana tuvo un déficit de 1.224 millones de euros, el segundo déficit autonómico más elevado después de Valencia (y en términos relativos, es decir en porcentaje del tamaño de su economía, el cuarto después de Valencia, Murcia y el País Vasco). Esto quiere decir que los aumentos de gasto permanente, como el de montar una Agencia Tributaria para gestionar la "financiación singular", implicarán más déficit, lo que supondrá, en principio, aumentar el endeudamiento de la administración autonómica más endeudada, la Generalidad de Cataluña. Hay una diferencia en el campeonato del déficit autonómico: Valencia y Murcia son las comunidades más infrafinanciadas de España, mientras que Cataluña está financiada por encima de la media, 3.822 euros por habitante, frente a la media del régimen común de 3.399 euros (datos del Ministerio de Hacienda </w:t>
      </w:r>
      <w:r w:rsidR="001A1A40">
        <w:rPr>
          <w:rFonts w:ascii="Times New Roman" w:hAnsi="Times New Roman" w:cs="Times New Roman"/>
          <w:sz w:val="24"/>
          <w:szCs w:val="24"/>
        </w:rPr>
        <w:t xml:space="preserve">de 2022). Es cierto que la </w:t>
      </w:r>
      <w:r w:rsidRPr="00D812DB">
        <w:rPr>
          <w:rFonts w:ascii="Times New Roman" w:hAnsi="Times New Roman" w:cs="Times New Roman"/>
          <w:sz w:val="24"/>
          <w:szCs w:val="24"/>
        </w:rPr>
        <w:t>sobrefinanciación catalana está bastante justificada, tanto porque asumen competencias que no tiene otras comunidades como la policía o prisiones, como porque ha subido impuestos. Pero</w:t>
      </w:r>
      <w:r w:rsidRPr="00D812DB">
        <w:rPr>
          <w:rFonts w:ascii="Times New Roman" w:hAnsi="Times New Roman" w:cs="Times New Roman"/>
          <w:color w:val="FF0000"/>
          <w:sz w:val="24"/>
          <w:szCs w:val="24"/>
        </w:rPr>
        <w:t>, como explicamos el profesor Fernández-Villaverde y</w:t>
      </w:r>
      <w:r w:rsidR="009067AF">
        <w:rPr>
          <w:rFonts w:ascii="Times New Roman" w:hAnsi="Times New Roman" w:cs="Times New Roman"/>
          <w:color w:val="FF0000"/>
          <w:sz w:val="24"/>
          <w:szCs w:val="24"/>
        </w:rPr>
        <w:t xml:space="preserve"> un servidor, en nuestro libro “</w:t>
      </w:r>
      <w:r w:rsidRPr="00D812DB">
        <w:rPr>
          <w:rFonts w:ascii="Times New Roman" w:hAnsi="Times New Roman" w:cs="Times New Roman"/>
          <w:color w:val="FF0000"/>
          <w:sz w:val="24"/>
          <w:szCs w:val="24"/>
        </w:rPr>
        <w:t>La factura del cupo catalán. Privilegios te</w:t>
      </w:r>
      <w:r w:rsidR="009067AF">
        <w:rPr>
          <w:rFonts w:ascii="Times New Roman" w:hAnsi="Times New Roman" w:cs="Times New Roman"/>
          <w:color w:val="FF0000"/>
          <w:sz w:val="24"/>
          <w:szCs w:val="24"/>
        </w:rPr>
        <w:t>rritoriales frente a ciudadanía”</w:t>
      </w:r>
      <w:r w:rsidRPr="00D812DB">
        <w:rPr>
          <w:rFonts w:ascii="Times New Roman" w:hAnsi="Times New Roman" w:cs="Times New Roman"/>
          <w:color w:val="FF0000"/>
          <w:sz w:val="24"/>
          <w:szCs w:val="24"/>
        </w:rPr>
        <w:t xml:space="preserve"> (La esfera de los libros 2025), lo que tiene Cataluña es un problema endémico de exceso de gasto, y por eso está tan endeudada. Desde luego, no existe un límite al gasto, como lo prueba el caso del País Vasco, de lejos la comunidad mejor financiada de España, y que, el año pasado tuvo un déficit del 0,63% de su PIB, incluso </w:t>
      </w:r>
      <w:r w:rsidRPr="00D812DB">
        <w:rPr>
          <w:rFonts w:ascii="Times New Roman" w:hAnsi="Times New Roman" w:cs="Times New Roman"/>
          <w:color w:val="FF0000"/>
          <w:sz w:val="24"/>
          <w:szCs w:val="24"/>
        </w:rPr>
        <w:lastRenderedPageBreak/>
        <w:t>superior al catalán en términos relativos. Decidir si se quiere tener más gasto público, y en consecuencia soportar más impuestos, o, por el contrario, menos gasto con menores impuestos, es la esencia del federalismo fiscal y de la autonomía financiera de las Comunidades Autónomas.</w:t>
      </w:r>
    </w:p>
    <w:p w:rsidR="007C1B7D" w:rsidRPr="00D812DB" w:rsidRDefault="007C1B7D" w:rsidP="007C1B7D">
      <w:pPr>
        <w:spacing w:line="240" w:lineRule="auto"/>
        <w:jc w:val="both"/>
        <w:rPr>
          <w:rFonts w:ascii="Times New Roman" w:hAnsi="Times New Roman" w:cs="Times New Roman"/>
          <w:sz w:val="24"/>
          <w:szCs w:val="24"/>
        </w:rPr>
      </w:pPr>
      <w:r w:rsidRPr="00D812DB">
        <w:rPr>
          <w:rFonts w:ascii="Times New Roman" w:hAnsi="Times New Roman" w:cs="Times New Roman"/>
          <w:sz w:val="24"/>
          <w:szCs w:val="24"/>
        </w:rPr>
        <w:t>Pero, aumentar el gasto público, pretendiendo que sean los demás los que lo paguen, no es ni federalismo fiscal sino la búsqueda injustificada del privileg</w:t>
      </w:r>
      <w:r w:rsidR="009067AF">
        <w:rPr>
          <w:rFonts w:ascii="Times New Roman" w:hAnsi="Times New Roman" w:cs="Times New Roman"/>
          <w:sz w:val="24"/>
          <w:szCs w:val="24"/>
        </w:rPr>
        <w:t>io territorial. En el caso del “fortalecimiento”</w:t>
      </w:r>
      <w:r w:rsidRPr="00D812DB">
        <w:rPr>
          <w:rFonts w:ascii="Times New Roman" w:hAnsi="Times New Roman" w:cs="Times New Roman"/>
          <w:sz w:val="24"/>
          <w:szCs w:val="24"/>
        </w:rPr>
        <w:t xml:space="preserve"> de la Agencia Tributaria de Cataluña, esta búsqueda del privilegio tiene dos agravantes. El primero es que el catalán de a pie no se va a beneficiar en nada de este aumento del gasto público. El segundo problema es que este organismo, de momento duplicado y superfluo en buena medida, sólo puede complicar la gestión tributaria, y eso se acaba traduciendo en peores servicios a los contribuyentes honestos, y, sobre todo en más fraude fiscal, como lleva advirtiendo, con criterio y conocimiento técnico, la Asociación de inspectores de Hacienda. Otra cuestión importante en este Decreto-Ley de fortalecimiento de la Agencia Tributaria de Cataluña es quién lo paga realmente. En principio, la financiación correría a cargo del presupuesto de la Generalidad de Cataluña. Pero, el punto de partida de la finan</w:t>
      </w:r>
      <w:r w:rsidR="009067AF">
        <w:rPr>
          <w:rFonts w:ascii="Times New Roman" w:hAnsi="Times New Roman" w:cs="Times New Roman"/>
          <w:sz w:val="24"/>
          <w:szCs w:val="24"/>
        </w:rPr>
        <w:t>ciación singular es un aumento “sustancial”</w:t>
      </w:r>
      <w:r w:rsidRPr="00D812DB">
        <w:rPr>
          <w:rFonts w:ascii="Times New Roman" w:hAnsi="Times New Roman" w:cs="Times New Roman"/>
          <w:sz w:val="24"/>
          <w:szCs w:val="24"/>
        </w:rPr>
        <w:t xml:space="preserve"> de la financiación de la Generalidad, que evidentemente iría a cargo de los contribuyentes del resto de España. Para que esta financiación singular o cupo para Cataluña avance, sería necesario que el Congreso aprobase una reforma sustancial de la Ley Orgánica de Financiación de las Comunidades Autónomas y de la ley de cesión de tributos a las mismas, entre otras leyes. Esta modificación podría tener problemas de constitucionalidad, porque no hay una habilitación constitucional expresa para calcar el régimen foral, que sólo está</w:t>
      </w:r>
      <w:r w:rsidR="009067AF">
        <w:rPr>
          <w:rFonts w:ascii="Times New Roman" w:hAnsi="Times New Roman" w:cs="Times New Roman"/>
          <w:sz w:val="24"/>
          <w:szCs w:val="24"/>
        </w:rPr>
        <w:t xml:space="preserve"> previsto para los denominados “territorios históricos”</w:t>
      </w:r>
      <w:r w:rsidRPr="00D812DB">
        <w:rPr>
          <w:rFonts w:ascii="Times New Roman" w:hAnsi="Times New Roman" w:cs="Times New Roman"/>
          <w:sz w:val="24"/>
          <w:szCs w:val="24"/>
        </w:rPr>
        <w:t>, es decir, Álava, Vizcaya, Guipúzcoa y Navarra. Pero, dejando aparte esta cuestión, esta reforma podría no aprobarse, o incluso en el futuro, revertirse. Eso sí, la estructura burocrática, y su coste, ya estaría creada, y eso sería aún más complicado de revertir.</w:t>
      </w:r>
    </w:p>
    <w:p w:rsidR="007C1B7D" w:rsidRPr="00D812DB" w:rsidRDefault="007C1B7D" w:rsidP="007C1B7D">
      <w:pPr>
        <w:spacing w:line="240" w:lineRule="auto"/>
        <w:jc w:val="both"/>
        <w:rPr>
          <w:rFonts w:ascii="Times New Roman" w:hAnsi="Times New Roman" w:cs="Times New Roman"/>
          <w:sz w:val="24"/>
          <w:szCs w:val="24"/>
        </w:rPr>
      </w:pPr>
      <w:r w:rsidRPr="00D812DB">
        <w:rPr>
          <w:rFonts w:ascii="Times New Roman" w:hAnsi="Times New Roman" w:cs="Times New Roman"/>
          <w:color w:val="FF0000"/>
          <w:sz w:val="24"/>
          <w:szCs w:val="24"/>
        </w:rPr>
        <w:t>Aunque no se aprobase el cupo para Cataluña, no sólo el contribuyente catalán soportará este aumento de gasto, porque se financiará aumentando la deuda autonómica catalana. Pero, Cataluña no puede financiarse en los mercados, sino que lo hace a través de los mecanismos de financiación del Estado. Por una parte, el Estado se financia a un coste menor que las Comunidades Autónomas, que lo hacen en el mercado como Madrid. Esto supone una subvención implícita del resto de los contribuyentes a las Comunidades más endeudadas, a través de los menores intereses del FLA. Pero, además, recientemente se ha anunciado un proyecto de ley para condonar una parte de la deuda de las CCAA con el Estado, y una de las Comunidades más beneficiadas sería, precisamente, Cataluña.</w:t>
      </w:r>
      <w:r w:rsidRPr="00D812DB">
        <w:rPr>
          <w:rFonts w:ascii="Times New Roman" w:hAnsi="Times New Roman" w:cs="Times New Roman"/>
          <w:sz w:val="24"/>
          <w:szCs w:val="24"/>
        </w:rPr>
        <w:t xml:space="preserve"> Otro día hablaremos del proyecto de condonación de deuda, que supone un traspaso de la deuda desde las comunidades más endeudadas hacia los contribuyentes del resto de España, que serían los que asumirían el coste real de una parte del gasto autonómico. Desde un punto de vista de justicia, esto puede tener sentido si se financian gastos de servicios públicos fundamentales como sanidad o educación de comunidades infrafinanciadas, pero no, al menos en mi opinión, si lo que se financia es el exceso de gasto en estructuras de protoestado, como una Agencia Tributaria para cobrar unos impuestos sobre los que no se tiene competencia. Y, en cualquier caso, la condonación de deuda debería ser extraordinaria, sometida a requisitos de control de gasto, y ser el punto final de la reforma de la financiación autonómica. Esto es comenzar la casa por el tejado.</w:t>
      </w:r>
    </w:p>
    <w:p w:rsidR="007C1B7D" w:rsidRDefault="007C1B7D" w:rsidP="007C1B7D">
      <w:pPr>
        <w:spacing w:line="240" w:lineRule="auto"/>
        <w:jc w:val="both"/>
        <w:rPr>
          <w:rFonts w:ascii="Times New Roman" w:hAnsi="Times New Roman" w:cs="Times New Roman"/>
          <w:sz w:val="24"/>
          <w:szCs w:val="24"/>
        </w:rPr>
      </w:pPr>
      <w:r w:rsidRPr="00D812DB">
        <w:rPr>
          <w:rFonts w:ascii="Times New Roman" w:hAnsi="Times New Roman" w:cs="Times New Roman"/>
          <w:sz w:val="24"/>
          <w:szCs w:val="24"/>
        </w:rPr>
        <w:t xml:space="preserve">Para concluir, en 2017, la Generalidad de Cataluña, entonces presidida por Puigdemont, intentó un golpe a la Democracia, que finalmente no prosperó. Una de las razones fue que la administración autonómica no contaba con una Agencia Tributaria capaz de cobrar los principales impuestos, aunque lo intentó. El resultado de todo esto fue una fuga de empresas </w:t>
      </w:r>
      <w:r w:rsidRPr="00D812DB">
        <w:rPr>
          <w:rFonts w:ascii="Times New Roman" w:hAnsi="Times New Roman" w:cs="Times New Roman"/>
          <w:sz w:val="24"/>
          <w:szCs w:val="24"/>
        </w:rPr>
        <w:lastRenderedPageBreak/>
        <w:t>que no se ha revertido. Ésta, a su vez, fue la razón fundamental de la pérdida de peso económico de Cataluña en los últimos años. Recordemos, que Creo que estos factores, el impacto en el crecimiento económico, y la escasa lealtad institucional demostrada, deberían tenerse también en cuenta cuando se valora el cupo para Cataluña, que se sustenta en dar las llaves de la caja a la Generalidad de Cataluña. Deberíamos tenerlo en cuenta, aunque sólo sea porque algunos promotores del cupo catalán, ERC y Junts, también lo fueron del golpe</w:t>
      </w:r>
      <w:r w:rsidR="009067AF">
        <w:rPr>
          <w:rFonts w:ascii="Times New Roman" w:hAnsi="Times New Roman" w:cs="Times New Roman"/>
          <w:sz w:val="24"/>
          <w:szCs w:val="24"/>
        </w:rPr>
        <w:t xml:space="preserve"> de 2017 y siguen diciendo que “ho tornarem a fer”</w:t>
      </w:r>
      <w:r w:rsidRPr="00D812DB">
        <w:rPr>
          <w:rFonts w:ascii="Times New Roman" w:hAnsi="Times New Roman" w:cs="Times New Roman"/>
          <w:sz w:val="24"/>
          <w:szCs w:val="24"/>
        </w:rPr>
        <w:t xml:space="preserve"> (lo volveremos a hacer).</w:t>
      </w:r>
    </w:p>
    <w:p w:rsidR="007C1B7D" w:rsidRPr="00D31185" w:rsidRDefault="007C1B7D" w:rsidP="007C1B7D">
      <w:pPr>
        <w:spacing w:line="240" w:lineRule="auto"/>
        <w:jc w:val="both"/>
        <w:rPr>
          <w:rFonts w:ascii="Times New Roman" w:hAnsi="Times New Roman" w:cs="Times New Roman"/>
          <w:sz w:val="24"/>
          <w:szCs w:val="24"/>
        </w:rPr>
      </w:pPr>
      <w:r w:rsidRPr="00D31185">
        <w:rPr>
          <w:rFonts w:ascii="Times New Roman" w:hAnsi="Times New Roman" w:cs="Times New Roman"/>
          <w:sz w:val="24"/>
          <w:szCs w:val="24"/>
        </w:rPr>
        <w:t xml:space="preserve">- </w:t>
      </w:r>
      <w:r w:rsidRPr="00D31185">
        <w:rPr>
          <w:rFonts w:ascii="Times New Roman" w:hAnsi="Times New Roman" w:cs="Times New Roman"/>
          <w:sz w:val="24"/>
          <w:szCs w:val="24"/>
          <w:u w:val="single"/>
        </w:rPr>
        <w:t>Hacienda calcula que País Vasco y Navarra tienen un exceso de financiación de 1.625 millones de euros</w:t>
      </w:r>
      <w:r w:rsidRPr="00D31185">
        <w:rPr>
          <w:rFonts w:ascii="Times New Roman" w:hAnsi="Times New Roman" w:cs="Times New Roman"/>
          <w:sz w:val="24"/>
          <w:szCs w:val="24"/>
        </w:rPr>
        <w:t xml:space="preserve"> (El Confidencial - </w:t>
      </w:r>
      <w:r w:rsidRPr="00D31185">
        <w:rPr>
          <w:rFonts w:ascii="Times New Roman" w:hAnsi="Times New Roman" w:cs="Times New Roman"/>
          <w:b/>
          <w:sz w:val="24"/>
          <w:szCs w:val="24"/>
        </w:rPr>
        <w:t>1/9/25</w:t>
      </w:r>
      <w:r w:rsidRPr="00D31185">
        <w:rPr>
          <w:rFonts w:ascii="Times New Roman" w:hAnsi="Times New Roman" w:cs="Times New Roman"/>
          <w:sz w:val="24"/>
          <w:szCs w:val="24"/>
        </w:rPr>
        <w:t>)</w:t>
      </w:r>
    </w:p>
    <w:p w:rsidR="007C1B7D" w:rsidRPr="009067AF" w:rsidRDefault="007C1B7D" w:rsidP="007C1B7D">
      <w:pPr>
        <w:spacing w:line="240" w:lineRule="auto"/>
        <w:jc w:val="both"/>
        <w:rPr>
          <w:rFonts w:ascii="Times New Roman" w:hAnsi="Times New Roman" w:cs="Times New Roman"/>
          <w:sz w:val="24"/>
          <w:szCs w:val="24"/>
        </w:rPr>
      </w:pPr>
      <w:r w:rsidRPr="009067AF">
        <w:rPr>
          <w:rFonts w:ascii="Times New Roman" w:hAnsi="Times New Roman" w:cs="Times New Roman"/>
          <w:sz w:val="24"/>
          <w:szCs w:val="24"/>
        </w:rPr>
        <w:t>Las cifras aparecen aquí, en el análisis anual que hace Hacienda sobre la deuda de las comunidades autónomas (CCAA), y lo que dice es que los dos territorios forales, País Vasco y Navarra, tuvieron el año pasado un exceso de financiación equivalente a 1.625 millones de euros. De esta cantidad, 1.479 millones (el 91%) corresponden a Euskadi y el resto a Navarra…</w:t>
      </w:r>
    </w:p>
    <w:p w:rsidR="007C1B7D" w:rsidRDefault="007C1B7D" w:rsidP="007C1B7D">
      <w:pPr>
        <w:spacing w:line="240" w:lineRule="auto"/>
        <w:jc w:val="both"/>
        <w:rPr>
          <w:rFonts w:ascii="Times New Roman" w:hAnsi="Times New Roman" w:cs="Times New Roman"/>
          <w:color w:val="FF0000"/>
          <w:sz w:val="24"/>
          <w:szCs w:val="24"/>
        </w:rPr>
      </w:pPr>
      <w:r w:rsidRPr="00CC2394">
        <w:rPr>
          <w:rFonts w:ascii="Times New Roman" w:hAnsi="Times New Roman" w:cs="Times New Roman"/>
          <w:noProof/>
          <w:color w:val="FF0000"/>
          <w:sz w:val="24"/>
          <w:szCs w:val="24"/>
          <w:lang w:eastAsia="es-ES"/>
        </w:rPr>
        <w:drawing>
          <wp:inline distT="0" distB="0" distL="0" distR="0" wp14:anchorId="3532B4B5" wp14:editId="754B5D71">
            <wp:extent cx="5731776" cy="2571750"/>
            <wp:effectExtent l="0" t="0" r="2540" b="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2571631"/>
                    </a:xfrm>
                    <a:prstGeom prst="rect">
                      <a:avLst/>
                    </a:prstGeom>
                  </pic:spPr>
                </pic:pic>
              </a:graphicData>
            </a:graphic>
          </wp:inline>
        </w:drawing>
      </w:r>
    </w:p>
    <w:p w:rsidR="007C1B7D" w:rsidRPr="00D31185" w:rsidRDefault="007C1B7D" w:rsidP="007C1B7D">
      <w:pPr>
        <w:spacing w:line="240" w:lineRule="auto"/>
        <w:jc w:val="both"/>
        <w:rPr>
          <w:rFonts w:ascii="Times New Roman" w:hAnsi="Times New Roman" w:cs="Times New Roman"/>
          <w:color w:val="FF0000"/>
          <w:sz w:val="24"/>
          <w:szCs w:val="24"/>
        </w:rPr>
      </w:pPr>
      <w:r w:rsidRPr="00CC2394">
        <w:rPr>
          <w:rFonts w:ascii="Times New Roman" w:hAnsi="Times New Roman" w:cs="Times New Roman"/>
          <w:noProof/>
          <w:color w:val="FF0000"/>
          <w:sz w:val="24"/>
          <w:szCs w:val="24"/>
          <w:lang w:eastAsia="es-ES"/>
        </w:rPr>
        <w:drawing>
          <wp:inline distT="0" distB="0" distL="0" distR="0" wp14:anchorId="674CA226" wp14:editId="01F56D71">
            <wp:extent cx="6165849" cy="3257550"/>
            <wp:effectExtent l="0" t="0" r="6985" b="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165849" cy="3257550"/>
                    </a:xfrm>
                    <a:prstGeom prst="rect">
                      <a:avLst/>
                    </a:prstGeom>
                  </pic:spPr>
                </pic:pic>
              </a:graphicData>
            </a:graphic>
          </wp:inline>
        </w:drawing>
      </w:r>
    </w:p>
    <w:p w:rsidR="009067AF" w:rsidRDefault="009067AF" w:rsidP="009067AF">
      <w:pPr>
        <w:spacing w:line="240" w:lineRule="auto"/>
        <w:jc w:val="both"/>
        <w:rPr>
          <w:rFonts w:ascii="Times New Roman" w:hAnsi="Times New Roman" w:cs="Times New Roman"/>
          <w:color w:val="FF0000"/>
          <w:sz w:val="24"/>
          <w:szCs w:val="24"/>
          <w:shd w:val="clear" w:color="auto" w:fill="FFFFFF"/>
        </w:rPr>
      </w:pPr>
      <w:r w:rsidRPr="00066C2B">
        <w:rPr>
          <w:rFonts w:ascii="Times New Roman" w:hAnsi="Times New Roman" w:cs="Times New Roman"/>
          <w:color w:val="FF0000"/>
          <w:sz w:val="24"/>
          <w:szCs w:val="24"/>
          <w:shd w:val="clear" w:color="auto" w:fill="FFFFFF"/>
        </w:rPr>
        <w:lastRenderedPageBreak/>
        <w:t>- Eliminar las Diputaciones Provinciales, Cabildos, y los Ayuntamientos de</w:t>
      </w:r>
      <w:r>
        <w:rPr>
          <w:rFonts w:ascii="Times New Roman" w:hAnsi="Times New Roman" w:cs="Times New Roman"/>
          <w:color w:val="FF0000"/>
          <w:sz w:val="24"/>
          <w:szCs w:val="24"/>
          <w:shd w:val="clear" w:color="auto" w:fill="FFFFFF"/>
        </w:rPr>
        <w:t xml:space="preserve"> menos de 100.000 habitantes</w:t>
      </w:r>
      <w:r w:rsidRPr="00066C2B">
        <w:rPr>
          <w:rFonts w:ascii="Times New Roman" w:hAnsi="Times New Roman" w:cs="Times New Roman"/>
          <w:color w:val="FF0000"/>
          <w:sz w:val="24"/>
          <w:szCs w:val="24"/>
          <w:shd w:val="clear" w:color="auto" w:fill="FFFFFF"/>
        </w:rPr>
        <w:t xml:space="preserve"> (agrupar los ayuntamientos menores hasta alcanzar los 100.000 hab.)</w:t>
      </w:r>
    </w:p>
    <w:p w:rsidR="009067AF" w:rsidRDefault="009067AF" w:rsidP="009067AF">
      <w:pPr>
        <w:spacing w:line="240" w:lineRule="auto"/>
        <w:jc w:val="both"/>
        <w:rPr>
          <w:rFonts w:ascii="Times New Roman" w:hAnsi="Times New Roman" w:cs="Times New Roman"/>
          <w:sz w:val="24"/>
          <w:szCs w:val="24"/>
          <w:shd w:val="clear" w:color="auto" w:fill="FFFFFF"/>
        </w:rPr>
      </w:pPr>
      <w:r w:rsidRPr="00066C2B">
        <w:rPr>
          <w:rFonts w:ascii="Times New Roman" w:hAnsi="Times New Roman" w:cs="Times New Roman"/>
          <w:sz w:val="24"/>
          <w:szCs w:val="24"/>
          <w:shd w:val="clear" w:color="auto" w:fill="FFFFFF"/>
        </w:rPr>
        <w:t xml:space="preserve">La diputación provincial es la institución encargada del gobierno y la administración autónoma de las provincias españolas, como entidad local, para la cooperación necesaria en todos aquellos servicios que los ayuntamientos no pueden cubrir, asistiendo de forma técnica, jurídica y económica a los ayuntamientos para que puedan prestar los servicios de calidad. Cada diputación tiene por ámbito de actuación los límites de su provincia. De acuerdo con la constitución española de 1978 en su artículo 141, el gobierno y la administración autónoma de las provincias estarán encomendados a diputaciones u otras corporaciones de carácter representativo. </w:t>
      </w:r>
    </w:p>
    <w:p w:rsidR="009067AF" w:rsidRPr="00066C2B" w:rsidRDefault="009067AF" w:rsidP="009067AF">
      <w:pPr>
        <w:spacing w:line="240" w:lineRule="auto"/>
        <w:jc w:val="both"/>
        <w:rPr>
          <w:rFonts w:ascii="Times New Roman" w:hAnsi="Times New Roman" w:cs="Times New Roman"/>
          <w:sz w:val="24"/>
          <w:szCs w:val="24"/>
          <w:shd w:val="clear" w:color="auto" w:fill="FFFFFF"/>
        </w:rPr>
      </w:pPr>
      <w:r w:rsidRPr="00066C2B">
        <w:rPr>
          <w:rFonts w:ascii="Times New Roman" w:hAnsi="Times New Roman" w:cs="Times New Roman"/>
          <w:sz w:val="24"/>
          <w:szCs w:val="24"/>
          <w:shd w:val="clear" w:color="auto" w:fill="FFFFFF"/>
        </w:rPr>
        <w:t>Según una publicación académica</w:t>
      </w:r>
      <w:r>
        <w:rPr>
          <w:rFonts w:ascii="Times New Roman" w:hAnsi="Times New Roman" w:cs="Times New Roman"/>
          <w:sz w:val="24"/>
          <w:szCs w:val="24"/>
          <w:shd w:val="clear" w:color="auto" w:fill="FFFFFF"/>
        </w:rPr>
        <w:t xml:space="preserve"> (Sánchez Morón, 2017)</w:t>
      </w:r>
      <w:r w:rsidRPr="00066C2B">
        <w:rPr>
          <w:rFonts w:ascii="Times New Roman" w:hAnsi="Times New Roman" w:cs="Times New Roman"/>
          <w:sz w:val="24"/>
          <w:szCs w:val="24"/>
          <w:shd w:val="clear" w:color="auto" w:fill="FFFFFF"/>
        </w:rPr>
        <w:t>, las diputaciones provinciales han sido, desde su creación, las instituciones públicas más controvertidas de España. Según esta crítica, no fueron concebidas para servir los intereses del público ni para promover el desarrollo provincial. Su única función concreta por ley es apoyar a los municipios más pequeños. Supuestamente, solo sirven a los intereses de los partidos políticos, al distribuir cargos remunerados a los miembros del partid</w:t>
      </w:r>
      <w:r>
        <w:rPr>
          <w:rFonts w:ascii="Times New Roman" w:hAnsi="Times New Roman" w:cs="Times New Roman"/>
          <w:sz w:val="24"/>
          <w:szCs w:val="24"/>
          <w:shd w:val="clear" w:color="auto" w:fill="FFFFFF"/>
        </w:rPr>
        <w:t xml:space="preserve">o o sus asociados. </w:t>
      </w:r>
      <w:r w:rsidRPr="00066C2B">
        <w:rPr>
          <w:rFonts w:ascii="Times New Roman" w:hAnsi="Times New Roman" w:cs="Times New Roman"/>
          <w:sz w:val="24"/>
          <w:szCs w:val="24"/>
          <w:shd w:val="clear" w:color="auto" w:fill="FFFFFF"/>
        </w:rPr>
        <w:t>Esto se debe a que, elegidos indirectamente, los diputados son, en la práctica, decididos por los altos funcionarios de los grandes partidos políticos, dice el autor.</w:t>
      </w:r>
    </w:p>
    <w:p w:rsidR="009067AF" w:rsidRPr="00B018C8" w:rsidRDefault="009067AF" w:rsidP="009067AF">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r w:rsidRPr="00B018C8">
        <w:rPr>
          <w:rFonts w:ascii="Times New Roman" w:hAnsi="Times New Roman" w:cs="Times New Roman"/>
          <w:color w:val="000000"/>
          <w:sz w:val="24"/>
          <w:szCs w:val="24"/>
          <w:shd w:val="clear" w:color="auto" w:fill="FFFFFF"/>
        </w:rPr>
        <w:t>Cuánto cuestan las diputaciones provinciales?</w:t>
      </w:r>
    </w:p>
    <w:p w:rsidR="009067AF" w:rsidRPr="00B018C8" w:rsidRDefault="009067AF" w:rsidP="009067AF">
      <w:pPr>
        <w:spacing w:line="240" w:lineRule="auto"/>
        <w:jc w:val="both"/>
        <w:rPr>
          <w:rFonts w:ascii="Times New Roman" w:hAnsi="Times New Roman" w:cs="Times New Roman"/>
          <w:color w:val="000000"/>
          <w:sz w:val="24"/>
          <w:szCs w:val="24"/>
          <w:shd w:val="clear" w:color="auto" w:fill="FFFFFF"/>
        </w:rPr>
      </w:pPr>
      <w:r w:rsidRPr="00B018C8">
        <w:rPr>
          <w:rFonts w:ascii="Times New Roman" w:hAnsi="Times New Roman" w:cs="Times New Roman"/>
          <w:color w:val="000000"/>
          <w:sz w:val="24"/>
          <w:szCs w:val="24"/>
          <w:shd w:val="clear" w:color="auto" w:fill="FFFFFF"/>
        </w:rPr>
        <w:t>Las diputaciones son los organismos que controlan el poder</w:t>
      </w:r>
      <w:r>
        <w:rPr>
          <w:rFonts w:ascii="Times New Roman" w:hAnsi="Times New Roman" w:cs="Times New Roman"/>
          <w:color w:val="000000"/>
          <w:sz w:val="24"/>
          <w:szCs w:val="24"/>
          <w:shd w:val="clear" w:color="auto" w:fill="FFFFFF"/>
        </w:rPr>
        <w:t xml:space="preserve"> territorial en España y contaban</w:t>
      </w:r>
      <w:r w:rsidRPr="00B018C8">
        <w:rPr>
          <w:rFonts w:ascii="Times New Roman" w:hAnsi="Times New Roman" w:cs="Times New Roman"/>
          <w:color w:val="000000"/>
          <w:sz w:val="24"/>
          <w:szCs w:val="24"/>
          <w:shd w:val="clear" w:color="auto" w:fill="FFFFFF"/>
        </w:rPr>
        <w:t xml:space="preserve"> con un presupuesto</w:t>
      </w:r>
      <w:r>
        <w:rPr>
          <w:rFonts w:ascii="Times New Roman" w:hAnsi="Times New Roman" w:cs="Times New Roman"/>
          <w:color w:val="000000"/>
          <w:sz w:val="24"/>
          <w:szCs w:val="24"/>
          <w:shd w:val="clear" w:color="auto" w:fill="FFFFFF"/>
        </w:rPr>
        <w:t xml:space="preserve"> (en el año 2016)</w:t>
      </w:r>
      <w:r w:rsidRPr="00B018C8">
        <w:rPr>
          <w:rFonts w:ascii="Times New Roman" w:hAnsi="Times New Roman" w:cs="Times New Roman"/>
          <w:color w:val="000000"/>
          <w:sz w:val="24"/>
          <w:szCs w:val="24"/>
          <w:shd w:val="clear" w:color="auto" w:fill="FFFFFF"/>
        </w:rPr>
        <w:t xml:space="preserve"> de casi 6.400 m</w:t>
      </w:r>
      <w:r>
        <w:rPr>
          <w:rFonts w:ascii="Times New Roman" w:hAnsi="Times New Roman" w:cs="Times New Roman"/>
          <w:color w:val="000000"/>
          <w:sz w:val="24"/>
          <w:szCs w:val="24"/>
          <w:shd w:val="clear" w:color="auto" w:fill="FFFFFF"/>
        </w:rPr>
        <w:t>illones de euros, que alcanzaba</w:t>
      </w:r>
      <w:r w:rsidRPr="00B018C8">
        <w:rPr>
          <w:rFonts w:ascii="Times New Roman" w:hAnsi="Times New Roman" w:cs="Times New Roman"/>
          <w:color w:val="000000"/>
          <w:sz w:val="24"/>
          <w:szCs w:val="24"/>
          <w:shd w:val="clear" w:color="auto" w:fill="FFFFFF"/>
        </w:rPr>
        <w:t xml:space="preserve"> lo</w:t>
      </w:r>
      <w:r>
        <w:rPr>
          <w:rFonts w:ascii="Times New Roman" w:hAnsi="Times New Roman" w:cs="Times New Roman"/>
          <w:color w:val="000000"/>
          <w:sz w:val="24"/>
          <w:szCs w:val="24"/>
          <w:shd w:val="clear" w:color="auto" w:fill="FFFFFF"/>
        </w:rPr>
        <w:t>s 22.000 millones si se incluían</w:t>
      </w:r>
      <w:r w:rsidRPr="00B018C8">
        <w:rPr>
          <w:rFonts w:ascii="Times New Roman" w:hAnsi="Times New Roman" w:cs="Times New Roman"/>
          <w:color w:val="000000"/>
          <w:sz w:val="24"/>
          <w:szCs w:val="24"/>
          <w:shd w:val="clear" w:color="auto" w:fill="FFFFFF"/>
        </w:rPr>
        <w:t xml:space="preserve"> las diputaciones forales (13.200) y las Islas Baleares y Can</w:t>
      </w:r>
      <w:r>
        <w:rPr>
          <w:rFonts w:ascii="Times New Roman" w:hAnsi="Times New Roman" w:cs="Times New Roman"/>
          <w:color w:val="000000"/>
          <w:sz w:val="24"/>
          <w:szCs w:val="24"/>
          <w:shd w:val="clear" w:color="auto" w:fill="FFFFFF"/>
        </w:rPr>
        <w:t>arias (2.100). No sólo controlaban</w:t>
      </w:r>
      <w:r w:rsidRPr="00B018C8">
        <w:rPr>
          <w:rFonts w:ascii="Times New Roman" w:hAnsi="Times New Roman" w:cs="Times New Roman"/>
          <w:color w:val="000000"/>
          <w:sz w:val="24"/>
          <w:szCs w:val="24"/>
          <w:shd w:val="clear" w:color="auto" w:fill="FFFFFF"/>
        </w:rPr>
        <w:t xml:space="preserve"> los presupuestos más potentes a n</w:t>
      </w:r>
      <w:r>
        <w:rPr>
          <w:rFonts w:ascii="Times New Roman" w:hAnsi="Times New Roman" w:cs="Times New Roman"/>
          <w:color w:val="000000"/>
          <w:sz w:val="24"/>
          <w:szCs w:val="24"/>
          <w:shd w:val="clear" w:color="auto" w:fill="FFFFFF"/>
        </w:rPr>
        <w:t>ivel territorial, sino que sumaban</w:t>
      </w:r>
      <w:r w:rsidRPr="00B018C8">
        <w:rPr>
          <w:rFonts w:ascii="Times New Roman" w:hAnsi="Times New Roman" w:cs="Times New Roman"/>
          <w:color w:val="000000"/>
          <w:sz w:val="24"/>
          <w:szCs w:val="24"/>
          <w:shd w:val="clear" w:color="auto" w:fill="FFFFFF"/>
        </w:rPr>
        <w:t xml:space="preserve"> un total de 60.696 empleados, 7.000 más que el Banco Santander y el BBVA juntos en España.</w:t>
      </w:r>
      <w:r>
        <w:rPr>
          <w:rFonts w:ascii="Times New Roman" w:hAnsi="Times New Roman" w:cs="Times New Roman"/>
          <w:color w:val="000000"/>
          <w:sz w:val="24"/>
          <w:szCs w:val="24"/>
          <w:shd w:val="clear" w:color="auto" w:fill="FFFFFF"/>
        </w:rPr>
        <w:t xml:space="preserve"> (El Mundo - 25/2/16)</w:t>
      </w:r>
    </w:p>
    <w:p w:rsidR="009067AF" w:rsidRPr="00B018C8" w:rsidRDefault="009067AF" w:rsidP="009067AF">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En el año 2016 había</w:t>
      </w:r>
      <w:r w:rsidRPr="00B018C8">
        <w:rPr>
          <w:rFonts w:ascii="Times New Roman" w:hAnsi="Times New Roman" w:cs="Times New Roman"/>
          <w:color w:val="000000"/>
          <w:sz w:val="24"/>
          <w:szCs w:val="24"/>
          <w:shd w:val="clear" w:color="auto" w:fill="FFFFFF"/>
        </w:rPr>
        <w:t xml:space="preserve"> 38 diputaciones de régimen común, a las que se deben sumar las tres diputaciones forales del País Vasco, que cuentan con un régimen especial al tratarse de territorios históricos. De hecho, las diputaciones vascas son órganos de elección directa y tienen competencias para gestionar los impuestos.</w:t>
      </w:r>
    </w:p>
    <w:p w:rsidR="009067AF" w:rsidRPr="00B018C8" w:rsidRDefault="009067AF" w:rsidP="009067AF">
      <w:pPr>
        <w:spacing w:line="240" w:lineRule="auto"/>
        <w:jc w:val="both"/>
        <w:rPr>
          <w:rFonts w:ascii="Times New Roman" w:hAnsi="Times New Roman" w:cs="Times New Roman"/>
          <w:color w:val="000000"/>
          <w:sz w:val="24"/>
          <w:szCs w:val="24"/>
          <w:shd w:val="clear" w:color="auto" w:fill="FFFFFF"/>
        </w:rPr>
      </w:pPr>
      <w:r w:rsidRPr="00B018C8">
        <w:rPr>
          <w:rFonts w:ascii="Times New Roman" w:hAnsi="Times New Roman" w:cs="Times New Roman"/>
          <w:color w:val="000000"/>
          <w:sz w:val="24"/>
          <w:szCs w:val="24"/>
          <w:shd w:val="clear" w:color="auto" w:fill="FFFFFF"/>
        </w:rPr>
        <w:t>Las seis comunidades autónomas uniprovinciales, Asturias, Madrid, Cantabria, La Rioja, Murcia y Navarra, no cuentan con diputaciones provinciales, ya que sus competencias fueron absorbidas en su día por los gobiernos autonómicos. En el caso de Navarra, el Gobierno foral se denomina Diputación foral. Por su parte, las islas tampoco cuentan con diputaciones, sino que tienen siete cabildos en Canarias y tres consejos en Baleares.</w:t>
      </w:r>
    </w:p>
    <w:p w:rsidR="009067AF" w:rsidRPr="00B018C8" w:rsidRDefault="009067AF" w:rsidP="009067AF">
      <w:pPr>
        <w:spacing w:line="240" w:lineRule="auto"/>
        <w:jc w:val="both"/>
        <w:rPr>
          <w:rFonts w:ascii="Times New Roman" w:hAnsi="Times New Roman" w:cs="Times New Roman"/>
          <w:color w:val="000000"/>
          <w:sz w:val="24"/>
          <w:szCs w:val="24"/>
          <w:shd w:val="clear" w:color="auto" w:fill="FFFFFF"/>
        </w:rPr>
      </w:pPr>
      <w:r w:rsidRPr="00B018C8">
        <w:rPr>
          <w:rFonts w:ascii="Times New Roman" w:hAnsi="Times New Roman" w:cs="Times New Roman"/>
          <w:color w:val="000000"/>
          <w:sz w:val="24"/>
          <w:szCs w:val="24"/>
          <w:shd w:val="clear" w:color="auto" w:fill="FFFFFF"/>
        </w:rPr>
        <w:t>La pregunta del millón es: ¿a qué se dedican realmente las diputaciones? Curiosamente, en su origen, estos organismos deberían servir para ahorrar dinero, ya que su función consiste en prestar servicios comunes para municipios distintos de menos de 20.000 habitantes. Se encargan así de gestionar recursos como el agua, los residuos o los bomberos y de distribuir los fondos estat</w:t>
      </w:r>
      <w:r>
        <w:rPr>
          <w:rFonts w:ascii="Times New Roman" w:hAnsi="Times New Roman" w:cs="Times New Roman"/>
          <w:color w:val="000000"/>
          <w:sz w:val="24"/>
          <w:szCs w:val="24"/>
          <w:shd w:val="clear" w:color="auto" w:fill="FFFFFF"/>
        </w:rPr>
        <w:t>ales para las infraestructuras.</w:t>
      </w:r>
    </w:p>
    <w:p w:rsidR="009067AF" w:rsidRPr="00B018C8" w:rsidRDefault="009067AF" w:rsidP="009067AF">
      <w:pPr>
        <w:spacing w:line="240" w:lineRule="auto"/>
        <w:jc w:val="both"/>
        <w:rPr>
          <w:rFonts w:ascii="Times New Roman" w:hAnsi="Times New Roman" w:cs="Times New Roman"/>
          <w:color w:val="000000"/>
          <w:sz w:val="24"/>
          <w:szCs w:val="24"/>
          <w:shd w:val="clear" w:color="auto" w:fill="FFFFFF"/>
        </w:rPr>
      </w:pPr>
      <w:r w:rsidRPr="00B018C8">
        <w:rPr>
          <w:rFonts w:ascii="Times New Roman" w:hAnsi="Times New Roman" w:cs="Times New Roman"/>
          <w:color w:val="000000"/>
          <w:sz w:val="24"/>
          <w:szCs w:val="24"/>
          <w:shd w:val="clear" w:color="auto" w:fill="FFFFFF"/>
        </w:rPr>
        <w:t>Sin embargo, su gestión opaca y las críticas por haberse convertido en agencias de colocación de los partidos han puesto en tela de juicio su misión original. Otro de los problemas que plantean es su déficit democrático, ya que sus diputados no se escogen por elección directa, sino a trav</w:t>
      </w:r>
      <w:r>
        <w:rPr>
          <w:rFonts w:ascii="Times New Roman" w:hAnsi="Times New Roman" w:cs="Times New Roman"/>
          <w:color w:val="000000"/>
          <w:sz w:val="24"/>
          <w:szCs w:val="24"/>
          <w:shd w:val="clear" w:color="auto" w:fill="FFFFFF"/>
        </w:rPr>
        <w:t>és de los comicios municipales.</w:t>
      </w:r>
    </w:p>
    <w:p w:rsidR="009067AF" w:rsidRPr="00B018C8" w:rsidRDefault="009067AF" w:rsidP="009067AF">
      <w:pPr>
        <w:spacing w:line="240" w:lineRule="auto"/>
        <w:jc w:val="both"/>
        <w:rPr>
          <w:rFonts w:ascii="Times New Roman" w:hAnsi="Times New Roman" w:cs="Times New Roman"/>
          <w:color w:val="000000"/>
          <w:sz w:val="24"/>
          <w:szCs w:val="24"/>
          <w:shd w:val="clear" w:color="auto" w:fill="FFFFFF"/>
        </w:rPr>
      </w:pPr>
      <w:r w:rsidRPr="00B018C8">
        <w:rPr>
          <w:rFonts w:ascii="Times New Roman" w:hAnsi="Times New Roman" w:cs="Times New Roman"/>
          <w:color w:val="000000"/>
          <w:sz w:val="24"/>
          <w:szCs w:val="24"/>
          <w:shd w:val="clear" w:color="auto" w:fill="FFFFFF"/>
        </w:rPr>
        <w:lastRenderedPageBreak/>
        <w:t>Cada provincia está dividida en partidos judiciales, que agrupan a varios municipios y, según los sufragios obtenidos, se les asigna un número de diputados. En total hay 1.040 diputados provinciales a los que hay que sumar 155 consejeros insulares, según los datos del Ministerio del Interior.</w:t>
      </w:r>
    </w:p>
    <w:p w:rsidR="009067AF" w:rsidRDefault="009067AF" w:rsidP="009067AF">
      <w:pPr>
        <w:spacing w:line="240" w:lineRule="auto"/>
        <w:jc w:val="both"/>
        <w:rPr>
          <w:rFonts w:ascii="Times New Roman" w:hAnsi="Times New Roman" w:cs="Times New Roman"/>
          <w:color w:val="000000"/>
          <w:sz w:val="24"/>
          <w:szCs w:val="24"/>
          <w:shd w:val="clear" w:color="auto" w:fill="FFFFFF"/>
        </w:rPr>
      </w:pPr>
      <w:r w:rsidRPr="00B018C8">
        <w:rPr>
          <w:rFonts w:ascii="Times New Roman" w:hAnsi="Times New Roman" w:cs="Times New Roman"/>
          <w:color w:val="000000"/>
          <w:sz w:val="24"/>
          <w:szCs w:val="24"/>
          <w:shd w:val="clear" w:color="auto" w:fill="FFFFFF"/>
        </w:rPr>
        <w:t>Aunque no se encuentran en la primera línea de los escándalos, cada cierto tiempo salta un caso de corrupción que afecta a las diputaciones provinciales. Las críticas y acusaciones por los contratos a familiares y amigos en el seno de estos entes se repiten periódicamente.</w:t>
      </w:r>
    </w:p>
    <w:p w:rsidR="009067AF" w:rsidRDefault="009067AF" w:rsidP="009067AF">
      <w:pPr>
        <w:spacing w:line="240" w:lineRule="auto"/>
        <w:jc w:val="both"/>
        <w:rPr>
          <w:rFonts w:ascii="Times New Roman" w:hAnsi="Times New Roman" w:cs="Times New Roman"/>
          <w:color w:val="000000"/>
          <w:sz w:val="24"/>
          <w:szCs w:val="24"/>
          <w:shd w:val="clear" w:color="auto" w:fill="FFFFFF"/>
        </w:rPr>
      </w:pPr>
      <w:r w:rsidRPr="00066C2B">
        <w:rPr>
          <w:rFonts w:ascii="Times New Roman" w:hAnsi="Times New Roman" w:cs="Times New Roman"/>
          <w:color w:val="000000"/>
          <w:sz w:val="24"/>
          <w:szCs w:val="24"/>
          <w:shd w:val="clear" w:color="auto" w:fill="FFFFFF"/>
        </w:rPr>
        <w:t>El conjunto de las diputaciones provinciales, consejos y cabildos insulares tuvieron en 2018 un gasto de 29.495 millones de euros, lo que equivale más del doble de todo el gasto de los 20 municipios de España que más dinero desembolsan anualmente.</w:t>
      </w:r>
      <w:r>
        <w:rPr>
          <w:rFonts w:ascii="Times New Roman" w:hAnsi="Times New Roman" w:cs="Times New Roman"/>
          <w:color w:val="000000"/>
          <w:sz w:val="24"/>
          <w:szCs w:val="24"/>
          <w:shd w:val="clear" w:color="auto" w:fill="FFFFFF"/>
        </w:rPr>
        <w:t xml:space="preserve"> (newtral.es - 8/7/19)</w:t>
      </w:r>
    </w:p>
    <w:p w:rsidR="009067AF" w:rsidRDefault="009067AF" w:rsidP="009067AF">
      <w:pPr>
        <w:spacing w:line="240" w:lineRule="auto"/>
        <w:jc w:val="both"/>
        <w:rPr>
          <w:rFonts w:ascii="Times New Roman" w:hAnsi="Times New Roman" w:cs="Times New Roman"/>
          <w:color w:val="000000"/>
          <w:sz w:val="24"/>
          <w:szCs w:val="24"/>
          <w:shd w:val="clear" w:color="auto" w:fill="FFFFFF"/>
        </w:rPr>
      </w:pPr>
      <w:r w:rsidRPr="00F01B94">
        <w:rPr>
          <w:rFonts w:ascii="Times New Roman" w:hAnsi="Times New Roman" w:cs="Times New Roman"/>
          <w:color w:val="000000"/>
          <w:sz w:val="24"/>
          <w:szCs w:val="24"/>
          <w:shd w:val="clear" w:color="auto" w:fill="FFFFFF"/>
        </w:rPr>
        <w:t>El botín oculto de las diputaciones: 29.000 millones de presupuesto y más de 2.400 sueldos</w:t>
      </w:r>
      <w:r>
        <w:rPr>
          <w:rFonts w:ascii="Times New Roman" w:hAnsi="Times New Roman" w:cs="Times New Roman"/>
          <w:color w:val="000000"/>
          <w:sz w:val="24"/>
          <w:szCs w:val="24"/>
          <w:shd w:val="clear" w:color="auto" w:fill="FFFFFF"/>
        </w:rPr>
        <w:t xml:space="preserve">. </w:t>
      </w:r>
      <w:r w:rsidRPr="00F01B94">
        <w:rPr>
          <w:rFonts w:ascii="Times New Roman" w:hAnsi="Times New Roman" w:cs="Times New Roman"/>
          <w:color w:val="000000"/>
          <w:sz w:val="24"/>
          <w:szCs w:val="24"/>
          <w:shd w:val="clear" w:color="auto" w:fill="FFFFFF"/>
        </w:rPr>
        <w:t>Los 52 organismos supramunicipales son focos de poder que los partidos utilizan para foguear a sus cachorros y como bastión de poder local, a pesar de que no tienen el brillo de otras pugnas políticas</w:t>
      </w:r>
      <w:r>
        <w:rPr>
          <w:rFonts w:ascii="Times New Roman" w:hAnsi="Times New Roman" w:cs="Times New Roman"/>
          <w:color w:val="000000"/>
          <w:sz w:val="24"/>
          <w:szCs w:val="24"/>
          <w:shd w:val="clear" w:color="auto" w:fill="FFFFFF"/>
        </w:rPr>
        <w:t xml:space="preserve"> (El Confidencial - 27/2/23)</w:t>
      </w:r>
    </w:p>
    <w:p w:rsidR="009067AF" w:rsidRDefault="009067AF" w:rsidP="009067AF">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Y ahora, vamos a por los Ayuntamientos</w:t>
      </w:r>
    </w:p>
    <w:p w:rsidR="009067AF" w:rsidRDefault="009067AF" w:rsidP="009067AF">
      <w:pPr>
        <w:spacing w:line="240" w:lineRule="auto"/>
        <w:jc w:val="both"/>
        <w:rPr>
          <w:rFonts w:ascii="Times New Roman" w:hAnsi="Times New Roman" w:cs="Times New Roman"/>
          <w:color w:val="000000"/>
          <w:sz w:val="24"/>
          <w:szCs w:val="24"/>
          <w:shd w:val="clear" w:color="auto" w:fill="FFFFFF"/>
        </w:rPr>
      </w:pPr>
      <w:r w:rsidRPr="001C3CA5">
        <w:rPr>
          <w:rFonts w:ascii="Times New Roman" w:hAnsi="Times New Roman" w:cs="Times New Roman"/>
          <w:color w:val="000000"/>
          <w:sz w:val="24"/>
          <w:szCs w:val="24"/>
          <w:shd w:val="clear" w:color="auto" w:fill="FFFFFF"/>
        </w:rPr>
        <w:t>En España existen 8.131 ayuntamientos, según datos del INE. Estos ayuntamientos se encuentran repartidos entre las 50 provincias y las dos ciudades autónomas, Ceuta y Melilla.</w:t>
      </w:r>
    </w:p>
    <w:p w:rsidR="009067AF" w:rsidRDefault="009067AF" w:rsidP="009067AF">
      <w:pPr>
        <w:spacing w:line="240" w:lineRule="auto"/>
        <w:jc w:val="both"/>
        <w:rPr>
          <w:rFonts w:ascii="Times New Roman" w:hAnsi="Times New Roman" w:cs="Times New Roman"/>
          <w:color w:val="000000"/>
          <w:sz w:val="24"/>
          <w:szCs w:val="24"/>
          <w:shd w:val="clear" w:color="auto" w:fill="FFFFFF"/>
        </w:rPr>
      </w:pPr>
      <w:r w:rsidRPr="001C3CA5">
        <w:rPr>
          <w:rFonts w:ascii="Times New Roman" w:hAnsi="Times New Roman" w:cs="Times New Roman"/>
          <w:color w:val="000000"/>
          <w:sz w:val="24"/>
          <w:szCs w:val="24"/>
          <w:shd w:val="clear" w:color="auto" w:fill="FFFFFF"/>
        </w:rPr>
        <w:t>En España, hay 6.827 municipios que no superan los 5.000 habitantes y que concentran a 5,7 millones de personas, el 12% de la población total.</w:t>
      </w:r>
    </w:p>
    <w:p w:rsidR="009067AF" w:rsidRDefault="009067AF" w:rsidP="009067AF">
      <w:pPr>
        <w:spacing w:line="240" w:lineRule="auto"/>
        <w:jc w:val="both"/>
        <w:rPr>
          <w:rFonts w:ascii="Times New Roman" w:hAnsi="Times New Roman" w:cs="Times New Roman"/>
          <w:color w:val="000000"/>
          <w:sz w:val="24"/>
          <w:szCs w:val="24"/>
          <w:shd w:val="clear" w:color="auto" w:fill="FFFFFF"/>
        </w:rPr>
      </w:pPr>
      <w:r w:rsidRPr="00987764">
        <w:rPr>
          <w:rFonts w:ascii="Times New Roman" w:hAnsi="Times New Roman" w:cs="Times New Roman"/>
          <w:color w:val="000000"/>
          <w:sz w:val="24"/>
          <w:szCs w:val="24"/>
          <w:shd w:val="clear" w:color="auto" w:fill="FFFFFF"/>
        </w:rPr>
        <w:t>El gasto en personal y financiero (capítulos 1 y 3 del estado de gastos) puede representar hasta el 44,7% del gasto total en municipios pequeños, mientras que la media nacional se sitúa en el 34,2% según el Ministerio de Hacienda.</w:t>
      </w:r>
      <w:r>
        <w:rPr>
          <w:rFonts w:ascii="Times New Roman" w:hAnsi="Times New Roman" w:cs="Times New Roman"/>
          <w:color w:val="000000"/>
          <w:sz w:val="24"/>
          <w:szCs w:val="24"/>
          <w:shd w:val="clear" w:color="auto" w:fill="FFFFFF"/>
        </w:rPr>
        <w:t xml:space="preserve"> </w:t>
      </w:r>
    </w:p>
    <w:p w:rsidR="009067AF" w:rsidRDefault="009067AF" w:rsidP="009067AF">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N</w:t>
      </w:r>
      <w:r w:rsidRPr="00CB74F9">
        <w:rPr>
          <w:rFonts w:ascii="Times New Roman" w:hAnsi="Times New Roman" w:cs="Times New Roman"/>
          <w:color w:val="000000"/>
          <w:sz w:val="24"/>
          <w:szCs w:val="24"/>
          <w:shd w:val="clear" w:color="auto" w:fill="FFFFFF"/>
        </w:rPr>
        <w:t>o hay una cifra única de gasto para los 6.827 municipios con menos de 5.000 habitantes en España. La diversidad de municipios y el sistema descentralizado de gobierno dificultan la consolidación de un único gasto.</w:t>
      </w:r>
    </w:p>
    <w:p w:rsidR="009067AF" w:rsidRPr="006851B3" w:rsidRDefault="009067AF" w:rsidP="009067AF">
      <w:pPr>
        <w:spacing w:line="240" w:lineRule="auto"/>
        <w:jc w:val="both"/>
        <w:rPr>
          <w:rFonts w:ascii="Times New Roman" w:hAnsi="Times New Roman" w:cs="Times New Roman"/>
          <w:color w:val="000000"/>
          <w:sz w:val="24"/>
          <w:szCs w:val="24"/>
          <w:u w:val="single"/>
          <w:shd w:val="clear" w:color="auto" w:fill="FFFFFF"/>
        </w:rPr>
      </w:pPr>
      <w:r w:rsidRPr="006851B3">
        <w:rPr>
          <w:rFonts w:ascii="Times New Roman" w:hAnsi="Times New Roman" w:cs="Times New Roman"/>
          <w:color w:val="000000"/>
          <w:sz w:val="24"/>
          <w:szCs w:val="24"/>
          <w:u w:val="single"/>
          <w:shd w:val="clear" w:color="auto" w:fill="FFFFFF"/>
        </w:rPr>
        <w:t>El entramado público</w:t>
      </w:r>
    </w:p>
    <w:p w:rsidR="009067AF" w:rsidRDefault="009067AF" w:rsidP="009067AF">
      <w:pPr>
        <w:spacing w:line="240" w:lineRule="auto"/>
        <w:jc w:val="both"/>
        <w:rPr>
          <w:rFonts w:ascii="Times New Roman" w:hAnsi="Times New Roman" w:cs="Times New Roman"/>
          <w:color w:val="000000"/>
          <w:sz w:val="24"/>
          <w:szCs w:val="24"/>
          <w:shd w:val="clear" w:color="auto" w:fill="FFFFFF"/>
        </w:rPr>
      </w:pPr>
      <w:r w:rsidRPr="006851B3">
        <w:rPr>
          <w:rFonts w:ascii="Times New Roman" w:hAnsi="Times New Roman" w:cs="Times New Roman"/>
          <w:color w:val="000000"/>
          <w:sz w:val="24"/>
          <w:szCs w:val="24"/>
          <w:shd w:val="clear" w:color="auto" w:fill="FFFFFF"/>
        </w:rPr>
        <w:t>Según los datos de Inventario de entes públicos, a día 3 de marzo había en España 5.121 entes, empresas, consorcios y fundaciones dependientes de las administraciones estatal, autonómica y local. Hasta 447 organismos estaban adscritos al Estado, mientras 1.332 estaban vinculados a las autonomías y 2.751 a los ayuntamientos. Mientras, 591 entes dependían de varias administrac</w:t>
      </w:r>
      <w:r>
        <w:rPr>
          <w:rFonts w:ascii="Times New Roman" w:hAnsi="Times New Roman" w:cs="Times New Roman"/>
          <w:color w:val="000000"/>
          <w:sz w:val="24"/>
          <w:szCs w:val="24"/>
          <w:shd w:val="clear" w:color="auto" w:fill="FFFFFF"/>
        </w:rPr>
        <w:t>iones. Cataluña lidera el ra</w:t>
      </w:r>
      <w:r w:rsidRPr="006851B3">
        <w:rPr>
          <w:rFonts w:ascii="Times New Roman" w:hAnsi="Times New Roman" w:cs="Times New Roman"/>
          <w:color w:val="000000"/>
          <w:sz w:val="24"/>
          <w:szCs w:val="24"/>
          <w:shd w:val="clear" w:color="auto" w:fill="FFFFFF"/>
        </w:rPr>
        <w:t>nking de entes adscritos, con 244, seguida de Andalucía -115- y Madrid -144-.</w:t>
      </w:r>
      <w:r>
        <w:rPr>
          <w:rFonts w:ascii="Times New Roman" w:hAnsi="Times New Roman" w:cs="Times New Roman"/>
          <w:color w:val="000000"/>
          <w:sz w:val="24"/>
          <w:szCs w:val="24"/>
          <w:shd w:val="clear" w:color="auto" w:fill="FFFFFF"/>
        </w:rPr>
        <w:t xml:space="preserve"> (</w:t>
      </w:r>
      <w:r w:rsidRPr="006851B3">
        <w:rPr>
          <w:rFonts w:ascii="Times New Roman" w:hAnsi="Times New Roman" w:cs="Times New Roman"/>
          <w:color w:val="000000"/>
          <w:sz w:val="24"/>
          <w:szCs w:val="24"/>
          <w:shd w:val="clear" w:color="auto" w:fill="FFFFFF"/>
        </w:rPr>
        <w:t xml:space="preserve">The Objective - </w:t>
      </w:r>
      <w:r w:rsidRPr="001A1A40">
        <w:rPr>
          <w:rFonts w:ascii="Times New Roman" w:hAnsi="Times New Roman" w:cs="Times New Roman"/>
          <w:b/>
          <w:color w:val="000000"/>
          <w:sz w:val="24"/>
          <w:szCs w:val="24"/>
          <w:shd w:val="clear" w:color="auto" w:fill="FFFFFF"/>
        </w:rPr>
        <w:t>6/3/23</w:t>
      </w:r>
      <w:r w:rsidRPr="006851B3">
        <w:rPr>
          <w:rFonts w:ascii="Times New Roman" w:hAnsi="Times New Roman" w:cs="Times New Roman"/>
          <w:color w:val="000000"/>
          <w:sz w:val="24"/>
          <w:szCs w:val="24"/>
          <w:shd w:val="clear" w:color="auto" w:fill="FFFFFF"/>
        </w:rPr>
        <w:t>)</w:t>
      </w:r>
    </w:p>
    <w:p w:rsidR="009067AF" w:rsidRPr="00854E72" w:rsidRDefault="009067AF" w:rsidP="009067A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 xml:space="preserve">- </w:t>
      </w:r>
      <w:r w:rsidRPr="00854E72">
        <w:rPr>
          <w:rFonts w:ascii="Times New Roman" w:hAnsi="Times New Roman" w:cs="Times New Roman"/>
          <w:sz w:val="24"/>
          <w:szCs w:val="24"/>
          <w:u w:val="single"/>
        </w:rPr>
        <w:t>Los ayuntamie</w:t>
      </w:r>
      <w:r>
        <w:rPr>
          <w:rFonts w:ascii="Times New Roman" w:hAnsi="Times New Roman" w:cs="Times New Roman"/>
          <w:sz w:val="24"/>
          <w:szCs w:val="24"/>
          <w:u w:val="single"/>
        </w:rPr>
        <w:t>ntos tienen más de 4.000 entes “fantasmas”</w:t>
      </w:r>
      <w:r w:rsidRPr="00854E72">
        <w:rPr>
          <w:rFonts w:ascii="Times New Roman" w:hAnsi="Times New Roman" w:cs="Times New Roman"/>
          <w:sz w:val="24"/>
          <w:szCs w:val="24"/>
          <w:u w:val="single"/>
        </w:rPr>
        <w:t xml:space="preserve"> donde colocar a enchufados políticos a dedo</w:t>
      </w:r>
      <w:r w:rsidRPr="00854E72">
        <w:rPr>
          <w:rFonts w:ascii="Times New Roman" w:hAnsi="Times New Roman" w:cs="Times New Roman"/>
          <w:sz w:val="24"/>
          <w:szCs w:val="24"/>
        </w:rPr>
        <w:t xml:space="preserve"> (Vozpópuli - </w:t>
      </w:r>
      <w:r w:rsidRPr="00854E72">
        <w:rPr>
          <w:rFonts w:ascii="Times New Roman" w:hAnsi="Times New Roman" w:cs="Times New Roman"/>
          <w:b/>
          <w:sz w:val="24"/>
          <w:szCs w:val="24"/>
        </w:rPr>
        <w:t>16/8/25</w:t>
      </w:r>
      <w:r w:rsidRPr="00854E72">
        <w:rPr>
          <w:rFonts w:ascii="Times New Roman" w:hAnsi="Times New Roman" w:cs="Times New Roman"/>
          <w:sz w:val="24"/>
          <w:szCs w:val="24"/>
        </w:rPr>
        <w:t>)</w:t>
      </w:r>
    </w:p>
    <w:p w:rsidR="009067AF" w:rsidRPr="00854E72" w:rsidRDefault="009067AF" w:rsidP="009067A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Los municipios mantienen un enorme puzzle de entes públicos instrumentales: clubs de fútbol, de natación, balnearios, escuelas taurinas, de esquí, museos...</w:t>
      </w:r>
    </w:p>
    <w:p w:rsidR="009067AF" w:rsidRPr="00854E72" w:rsidRDefault="009067AF" w:rsidP="009067A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 xml:space="preserve">España es el único país de occidente en que ha aumentado el número de ayuntamientos en los últimos años mientras que desde Europa se alerta de la inflación de Administraciones y de entes públicos sin que exista una justificación de su eficiencia, productividad o de su aportación a la economía nacional. Ningún partido se ha atrevido a realizar ajuste o reforma alguna porque los grupos políticos se han convertido en agencias de empleo y utilizan el </w:t>
      </w:r>
      <w:r w:rsidRPr="00854E72">
        <w:rPr>
          <w:rFonts w:ascii="Times New Roman" w:hAnsi="Times New Roman" w:cs="Times New Roman"/>
          <w:sz w:val="24"/>
          <w:szCs w:val="24"/>
        </w:rPr>
        <w:lastRenderedPageBreak/>
        <w:t>sector público para colocar a allegados, familiares y compromisos sin tener que documentar siquiera su cualificación profesional o académica s</w:t>
      </w:r>
      <w:r>
        <w:rPr>
          <w:rFonts w:ascii="Times New Roman" w:hAnsi="Times New Roman" w:cs="Times New Roman"/>
          <w:sz w:val="24"/>
          <w:szCs w:val="24"/>
        </w:rPr>
        <w:t>obre todo en la Administración “fanta</w:t>
      </w:r>
      <w:r w:rsidR="001A1A40">
        <w:rPr>
          <w:rFonts w:ascii="Times New Roman" w:hAnsi="Times New Roman" w:cs="Times New Roman"/>
          <w:sz w:val="24"/>
          <w:szCs w:val="24"/>
        </w:rPr>
        <w:t>s</w:t>
      </w:r>
      <w:r>
        <w:rPr>
          <w:rFonts w:ascii="Times New Roman" w:hAnsi="Times New Roman" w:cs="Times New Roman"/>
          <w:sz w:val="24"/>
          <w:szCs w:val="24"/>
        </w:rPr>
        <w:t>ma”</w:t>
      </w:r>
      <w:r w:rsidRPr="00854E72">
        <w:rPr>
          <w:rFonts w:ascii="Times New Roman" w:hAnsi="Times New Roman" w:cs="Times New Roman"/>
          <w:sz w:val="24"/>
          <w:szCs w:val="24"/>
        </w:rPr>
        <w:t xml:space="preserve"> de entidades instrumentales que se han configurado sin control alguno y sin las exigencias de formación y de transparencia que se requieren para la función pública.</w:t>
      </w:r>
    </w:p>
    <w:p w:rsidR="009067AF" w:rsidRPr="00854E72" w:rsidRDefault="009067AF" w:rsidP="009067A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En la actualidad, el sector público local dispone de casi 13.000 entes principales (entre ayuntamientos, mancomunidades y otras entidades de ámbito municipal) a las que hay que añadir un puzzle de casi 4.200 entes dependientes, todos ellos cargados de empleo que no paran de crecer, cuya justificación y existencia se desconoce en muchos casos mientras que sus servicios más que duplicados suelen solaparse con los que deben prestar las autonomías o el propio Estado. Es más, tras cincuenta años de democracia, Hacienda sigue sin conocer a qué corporaciones pert</w:t>
      </w:r>
      <w:r>
        <w:rPr>
          <w:rFonts w:ascii="Times New Roman" w:hAnsi="Times New Roman" w:cs="Times New Roman"/>
          <w:sz w:val="24"/>
          <w:szCs w:val="24"/>
        </w:rPr>
        <w:t>enecen casi un tercio de estos “chiringuitos”</w:t>
      </w:r>
      <w:r w:rsidRPr="00854E72">
        <w:rPr>
          <w:rFonts w:ascii="Times New Roman" w:hAnsi="Times New Roman" w:cs="Times New Roman"/>
          <w:sz w:val="24"/>
          <w:szCs w:val="24"/>
        </w:rPr>
        <w:t xml:space="preserve"> locales.</w:t>
      </w:r>
    </w:p>
    <w:p w:rsidR="009067AF" w:rsidRPr="00854E72" w:rsidRDefault="009067AF" w:rsidP="009067A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En todo caso, a esos más de 17.000 organismos públicos locales hay que sumar el medio millar de que dispone la Administración Central y los casi 1.800 con que cuentan las autonomías. Todo ello</w:t>
      </w:r>
      <w:r>
        <w:rPr>
          <w:rFonts w:ascii="Times New Roman" w:hAnsi="Times New Roman" w:cs="Times New Roman"/>
          <w:sz w:val="24"/>
          <w:szCs w:val="24"/>
        </w:rPr>
        <w:t xml:space="preserve"> conforma un “mastodóntico”</w:t>
      </w:r>
      <w:r w:rsidRPr="00854E72">
        <w:rPr>
          <w:rFonts w:ascii="Times New Roman" w:hAnsi="Times New Roman" w:cs="Times New Roman"/>
          <w:sz w:val="24"/>
          <w:szCs w:val="24"/>
        </w:rPr>
        <w:t xml:space="preserve"> sector público total, cada vez más caro e ineficiente en muchos casos, de más de 19.000 entes instrumentales y administraciones generales, que incrementa la deuda pública y que necesita más ingresos impositivos drenando recursos a la actividad económica. Además, el sector público, sobre todo el instrumental, se ha convertido en una agencia particular de colocación de los partidos, también de sindicatos y de otros altos cargos, sea cual fuere su color o ubicación ideológica.</w:t>
      </w:r>
    </w:p>
    <w:p w:rsidR="009067AF" w:rsidRPr="00854E72" w:rsidRDefault="009067AF" w:rsidP="009067A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 xml:space="preserve">Los ayuntamientos, con más de 700.000 empleos directos se </w:t>
      </w:r>
      <w:r>
        <w:rPr>
          <w:rFonts w:ascii="Times New Roman" w:hAnsi="Times New Roman" w:cs="Times New Roman"/>
          <w:sz w:val="24"/>
          <w:szCs w:val="24"/>
        </w:rPr>
        <w:t>han convertido en la principal “empresa”</w:t>
      </w:r>
      <w:r w:rsidRPr="00854E72">
        <w:rPr>
          <w:rFonts w:ascii="Times New Roman" w:hAnsi="Times New Roman" w:cs="Times New Roman"/>
          <w:sz w:val="24"/>
          <w:szCs w:val="24"/>
        </w:rPr>
        <w:t xml:space="preserve"> de cada municipio sin que se conozca el detalle de cuántas colocaciones más hay que</w:t>
      </w:r>
      <w:r w:rsidR="001A1A40">
        <w:rPr>
          <w:rFonts w:ascii="Times New Roman" w:hAnsi="Times New Roman" w:cs="Times New Roman"/>
          <w:sz w:val="24"/>
          <w:szCs w:val="24"/>
        </w:rPr>
        <w:t xml:space="preserve"> añadir de esta administración “paralela”</w:t>
      </w:r>
      <w:r w:rsidRPr="00854E72">
        <w:rPr>
          <w:rFonts w:ascii="Times New Roman" w:hAnsi="Times New Roman" w:cs="Times New Roman"/>
          <w:sz w:val="24"/>
          <w:szCs w:val="24"/>
        </w:rPr>
        <w:t xml:space="preserve"> con 1.459 sociedades, muchas de ellas con presupuesto y cuentas propias; 728 asociaciones; 726 organismos autónomos; 718 fundaciones; 453 consorcios; así como 56 entidades públicas empresariales. La Intervención General del Estado lleva, a instancias de Bruselas, casi una veintena de años intentando poner un cierto orden a esta inflación de entidades que al estallar la gran crisis económica de 2008 alcanzaba los 6.280 organismos. Su aparente reducción desde entonces no se debe a su supresión o reforma sino a su sectorización (muchos organismos han pasado a computarse como entes públicos autonómicos o estatales), así como a la fusión o a su monitorización privada dónde la presencia accionarial del ayuntamiento era exigua. Pero, aún queda por dilucidar cuál es su tamaño real ya que siguen descubriéndose participaciones de los ayuntamientos en otras entidades. En todo caso, Hacienda reconoce en sus informes que se ha producido una cierta ralentización de este proceso de revisión y de reducción. Llama la atención particularmente el crecimiento de las fundaciones, que se supone que son entidades sin ánimo de lucro. Se trata de las entidades menos transparentes. Muchas de ellas se han configurado sin desempeño y fundamento alguno, pero plagadas de puestos de trabajo. Es decir, si en 2016, por ejemplo, había 442 fundaciones, ahora hay esas 718 (el incremento supera el 60%). Algo similar ocurre con los consorcios y las sociedades. En todo caso, en algunos ayuntamientos se denominan fundaciones o consorcios lo que en otros para un mismo fin se llaman organismos autónomos, sociedades, entidades públicas empresariales o asociaciones.</w:t>
      </w:r>
    </w:p>
    <w:p w:rsidR="009067AF" w:rsidRPr="00854E72" w:rsidRDefault="009067AF" w:rsidP="009067AF">
      <w:pPr>
        <w:spacing w:line="240" w:lineRule="auto"/>
        <w:jc w:val="both"/>
        <w:rPr>
          <w:rFonts w:ascii="Times New Roman" w:hAnsi="Times New Roman" w:cs="Times New Roman"/>
          <w:sz w:val="24"/>
          <w:szCs w:val="24"/>
        </w:rPr>
      </w:pPr>
      <w:r>
        <w:rPr>
          <w:rFonts w:ascii="Times New Roman" w:hAnsi="Times New Roman" w:cs="Times New Roman"/>
          <w:sz w:val="24"/>
          <w:szCs w:val="24"/>
        </w:rPr>
        <w:t>El “enjambre”</w:t>
      </w:r>
      <w:r w:rsidRPr="00854E72">
        <w:rPr>
          <w:rFonts w:ascii="Times New Roman" w:hAnsi="Times New Roman" w:cs="Times New Roman"/>
          <w:sz w:val="24"/>
          <w:szCs w:val="24"/>
        </w:rPr>
        <w:t xml:space="preserve"> de entes, que tienen que competir con el sector privado en muchas actividades, es importante. Se han creado organismos (se rigen por criterios de contratación a dedo en muchos casos así como de bienes y servicios), que se han consolidado en el tiempo, para realizar supuestamente servicios que debería prestar el propio ayuntamiento a través de su administración general. La lista es larga. Hay entidades para: ferias; residencias; polideportivos y actividades deportivas de todo tipo; patronatos (desde deportivos a </w:t>
      </w:r>
      <w:r w:rsidRPr="00854E72">
        <w:rPr>
          <w:rFonts w:ascii="Times New Roman" w:hAnsi="Times New Roman" w:cs="Times New Roman"/>
          <w:sz w:val="24"/>
          <w:szCs w:val="24"/>
        </w:rPr>
        <w:lastRenderedPageBreak/>
        <w:t>relacionados con la cultura, el turismo o la juventud); escuelas infantiles y hasta universitarias; empresas de actividades relacionadas con el suelo, la vivienda, la promoción inmobiliaria o la industrial; agencias de desarrollo económico y de empleo; autobuses; aparcamientos; canales y gestoras de radio y televisión así como medios de comunicación y de publicidad; auditorios; cementerios; parkings; campings; mataderos; puertos; comercializadoras y productoras de energía eléctrica; teatros y artes escénicas; museos; parques tecnológicos o agroalimentarios; de residuos; empresas de informática, de mantenimiento, limpieza o de infraestructuras; palacios de congresos y hasta de música o danza.</w:t>
      </w:r>
    </w:p>
    <w:p w:rsidR="009067AF" w:rsidRPr="00854E72" w:rsidRDefault="009067AF" w:rsidP="009067AF">
      <w:pPr>
        <w:spacing w:line="240" w:lineRule="auto"/>
        <w:jc w:val="both"/>
        <w:rPr>
          <w:rFonts w:ascii="Times New Roman" w:hAnsi="Times New Roman" w:cs="Times New Roman"/>
          <w:sz w:val="24"/>
          <w:szCs w:val="24"/>
        </w:rPr>
      </w:pPr>
      <w:r>
        <w:rPr>
          <w:rFonts w:ascii="Times New Roman" w:hAnsi="Times New Roman" w:cs="Times New Roman"/>
          <w:sz w:val="24"/>
          <w:szCs w:val="24"/>
        </w:rPr>
        <w:t>La “letra pequeña”</w:t>
      </w:r>
      <w:r w:rsidRPr="00854E72">
        <w:rPr>
          <w:rFonts w:ascii="Times New Roman" w:hAnsi="Times New Roman" w:cs="Times New Roman"/>
          <w:sz w:val="24"/>
          <w:szCs w:val="24"/>
        </w:rPr>
        <w:t xml:space="preserve"> de todos estos entes no tiene desperdicio tanto en los grandes como en los medianos y pequeños ayuntamientos. El municipio de Albacete tiene creado un consorcio para una Escuela de Tauromaquia y otro para el Museo de la Cuchillería; el de Badajoz dispone de otro más con el nombre de Escuela de Artes Plásticas y el de Lepe (Huelva) añade el de Turismo Sostenible mientras que el de Tarazona (Zaragoza) cuenta con la Casa del Traductor. El municipio de Sitges suma un consorcio para el Club de Natación; y el de Vall de Uxó (Castellón) tiene otro con el título de Escuela de Esquí; el de Lepe (Huelva) ha creado otro de Turismo Sostenible; y, por ejemplo, el de Hospitalet (Barcelona) ha configurado otro más para los Teatros Públicos mientras que el de Avilés (Asturias) mantiene el del Albergue y Refugio de Animales. El Real Club Recreativo de Huelva (fútbol) pertenece al ayuntamiento de esta localidad así como el estadio La Nueva Romareda al de Zaragoza mientras que el de Badalona (Barcelona) ha creado la fundación Badalona Capital Europea del Básquet. La localidad de Santa María del Páramo (León) tiene la sociedad León Termal Sport (Spa) y el ayuntamiento de Madrid sostiene al Club de Campo Villa de Madrid así como una Agencia de Actividades y otra para el Empleo y un consorcio para la Rehabilitación y Equipamiento de los Teatros de la capital. En el municipio de Barcelona proliferan los entes: Alimentaria Exhibitions S.L.; Barcelona de Infraestructuras; Agencia Local de Energía; consorcios para la Biblioteca, del Turismo y del Auditorio y Orquesta, del Museo del Arte Contemporáneo o del Forum Universal de la Cultura Barcelona 2004; las fundaciones Barcelona Capital Náutica o Barcelona Zoo, Barcelona Olímpica; así como, por ejemplo, el Instituto de Deportes, o el Instituto para la Cultura.</w:t>
      </w:r>
    </w:p>
    <w:p w:rsidR="009067AF" w:rsidRDefault="009067AF" w:rsidP="009067A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El goteo de organismos es importante: el ayuntamiento de Pamplona tiene una empresa para los Comercios Minoristas y un ente autónomo para las Escuelas Infantiles; el de Córdoba dispone de otra S.A. de Autobuses; el del Bilbao ha configurado un Instituto de Deportes y un Centro de Cultura Contemporánea; el de Lleida suma un Centro de Negocios y un consorcio para el Desarrollo de la TDT Local; el de Murcia añade un Centro Integrado de Transportes; el de Valencia ha creado un Centro de Alimentación Urbana Sostenible; el de San Sebastián tiene inscrita una Compañía de Tranvías y el de Sevilla una empresa de Congresos y Turismo; los de Málaga y Córdoba han configurado consorcios para su Orquesta municipal; y el de Albacete dispone de otro para la Gestión del Circuito Permanente de Velocidad mientras que el de Á Coruña cuenta con otro consorcio para la Promoción de la Música así como un Instituto para Espectáculos. Además, el municipio de Gandía (Valencia) dispone, por ejemplo, de un Centro de Estudios e Investigaciones Comarcales; el de Ubrique (Cádiz) cuenta con una S.A. para la Administración del Artículo de Piel de esta localidad; el de Cuenca tiene una empresa de Maderas S.A.; y los de Medina del Campo (Valladolid) y Roa del Duero han creado consorcios para la Ruta del Vino de Rueda y de Ribera del Duero. Por su parte, el ayuntamiento de Vitoria ha inscrito una Escuela de Danza; el de Onteniente (Valencia) sostiene una fundación Museo Textil; el de Gerona añade un Museo del Cine; y, por ejemplo, el de La Unión (Murcia) dispone de una fundación Cante de las Minas mientras que el de Benahavís (Málaga) cuenta con otra fundación para su Escuela de Hostelería.</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lastRenderedPageBreak/>
        <w:t xml:space="preserve">- </w:t>
      </w:r>
      <w:r w:rsidRPr="00A31377">
        <w:rPr>
          <w:rFonts w:ascii="Times New Roman" w:hAnsi="Times New Roman" w:cs="Times New Roman"/>
          <w:sz w:val="24"/>
          <w:szCs w:val="24"/>
          <w:u w:val="single"/>
        </w:rPr>
        <w:t>Las diputaciones se afianzan co</w:t>
      </w:r>
      <w:r>
        <w:rPr>
          <w:rFonts w:ascii="Times New Roman" w:hAnsi="Times New Roman" w:cs="Times New Roman"/>
          <w:sz w:val="24"/>
          <w:szCs w:val="24"/>
          <w:u w:val="single"/>
        </w:rPr>
        <w:t>mo “agencias de colocación”</w:t>
      </w:r>
      <w:r w:rsidRPr="00A31377">
        <w:rPr>
          <w:rFonts w:ascii="Times New Roman" w:hAnsi="Times New Roman" w:cs="Times New Roman"/>
          <w:sz w:val="24"/>
          <w:szCs w:val="24"/>
          <w:u w:val="single"/>
        </w:rPr>
        <w:t xml:space="preserve"> de políticos con 800 entes instrumentales</w:t>
      </w:r>
      <w:r w:rsidRPr="00A31377">
        <w:rPr>
          <w:rFonts w:ascii="Times New Roman" w:hAnsi="Times New Roman" w:cs="Times New Roman"/>
          <w:sz w:val="24"/>
          <w:szCs w:val="24"/>
        </w:rPr>
        <w:t xml:space="preserve"> (Vozpópuli - </w:t>
      </w:r>
      <w:r w:rsidRPr="00A31377">
        <w:rPr>
          <w:rFonts w:ascii="Times New Roman" w:hAnsi="Times New Roman" w:cs="Times New Roman"/>
          <w:b/>
          <w:sz w:val="24"/>
          <w:szCs w:val="24"/>
        </w:rPr>
        <w:t>24/8/25</w:t>
      </w:r>
      <w:r w:rsidRPr="00A31377">
        <w:rPr>
          <w:rFonts w:ascii="Times New Roman" w:hAnsi="Times New Roman" w:cs="Times New Roman"/>
          <w:sz w:val="24"/>
          <w:szCs w:val="24"/>
        </w:rPr>
        <w:t>)</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De escuelas taurinas a museos, pasando por centros de idiomas o clubes deportivos: las diputaciones cuentan con un 60% más de entes que el propio Estado</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(Por Francisco Núñez)</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La diputa</w:t>
      </w:r>
      <w:r>
        <w:rPr>
          <w:rFonts w:ascii="Times New Roman" w:hAnsi="Times New Roman" w:cs="Times New Roman"/>
          <w:sz w:val="24"/>
          <w:szCs w:val="24"/>
        </w:rPr>
        <w:t>ción de Badajoz creó una plaza “ad hoc”</w:t>
      </w:r>
      <w:r w:rsidRPr="00A31377">
        <w:rPr>
          <w:rFonts w:ascii="Times New Roman" w:hAnsi="Times New Roman" w:cs="Times New Roman"/>
          <w:sz w:val="24"/>
          <w:szCs w:val="24"/>
        </w:rPr>
        <w:t xml:space="preserve"> para contratar al hermano de Pedro Sánchez como coordinador de conservatorios y director de la Oficina de Artes Escénicas. Mientras, la de Valencia otorgó, sin tener la necesaria titulación, el cargo de subdirectora del Museo de la Ilustración y la Modernidad a la esposa del dimitido excomisionado del Gobierno por la Dana (también sin la titulación académica adecuada) e hija de uno de los fundadores del PSV-PSOE.</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 xml:space="preserve">Son dos de los </w:t>
      </w:r>
      <w:r>
        <w:rPr>
          <w:rFonts w:ascii="Times New Roman" w:hAnsi="Times New Roman" w:cs="Times New Roman"/>
          <w:sz w:val="24"/>
          <w:szCs w:val="24"/>
        </w:rPr>
        <w:t>últimos ejemplos de colocación “a dedo”</w:t>
      </w:r>
      <w:r w:rsidRPr="00A31377">
        <w:rPr>
          <w:rFonts w:ascii="Times New Roman" w:hAnsi="Times New Roman" w:cs="Times New Roman"/>
          <w:sz w:val="24"/>
          <w:szCs w:val="24"/>
        </w:rPr>
        <w:t xml:space="preserve"> de familiares, amistades, allegados y de compromisos de los políticos en que los partidos han convertido el sector público. Sobre todo, a través de los entes instrumentales, es decir, de las ‘administraciones paralelas’ existentes en el propio Estado (Administración Central), las autonomías, los ayuntamientos. Y, particularmente, en las diputaciones que no se rigen por los criterios de contratación relacionados con el mérito, la transparencia y la publicidad. </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Las 42 diputaciones provinciales, y también las forales (las vascas tienen también capacidad recaudatoria), los cabildos y los consejos insu</w:t>
      </w:r>
      <w:r>
        <w:rPr>
          <w:rFonts w:ascii="Times New Roman" w:hAnsi="Times New Roman" w:cs="Times New Roman"/>
          <w:sz w:val="24"/>
          <w:szCs w:val="24"/>
        </w:rPr>
        <w:t>lares, se han convertido en un “caladero”</w:t>
      </w:r>
      <w:r w:rsidRPr="00A31377">
        <w:rPr>
          <w:rFonts w:ascii="Times New Roman" w:hAnsi="Times New Roman" w:cs="Times New Roman"/>
          <w:sz w:val="24"/>
          <w:szCs w:val="24"/>
        </w:rPr>
        <w:t xml:space="preserve"> de empleo y en agencias de autocolocación para los partidos. Según los datos del Inventario de Entes del Sector Público del Ministerio de Hacienda, estos organismos territoriales disponen de un puzzle de casi 800 entes instrumentales, un 60% más de los que tiene el propio Estado (450 más 43 sin asignar todavía). Algunos de ellos están aún pendientes de su sectorización (adscripción a una Administración) o de su ubicación.</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Hay entes para todo, desde centros de idiomas a escuelas taurinas, museos, teatros, música o danza, clubs deportivos y hasta cementerios, y de todo tipo. Abundan sobre todo las fundaciones: hay más de 340, que representan el 44% del conjunto de entidades. Pero también existen 150 sociedades mercantiles; unos 145 consorcios; un centenar de organismos autónomos; y medio centenar de otros entes.</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Las diputaciones provinciales fueron creadas hace más de dos siglos mediante la Constitución de Cádiz de 1812 para reestructurar el sistema territorial del Estado. Su principal función es la de prestar apoyo a los pequeños municipios, repartir las subvenciones públicas que les llegan, prestar algunos servicios sociales y realizar infraestructuras de menor orden, como el mantenimiento de algunas carreteras o la construcción de residencias o polideportivos.</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Ajenas a cualquier control, las diputaciones se han convertido en la mejor salida laboral y salarial para los allegados de los partidos</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Es difícil saber cuál es el sentido de su existencia en la actualidad; sobre todo, por el aumento de las competencias de las autonomías transferidas por el Estado o por las propias funciones que desempeñan los ayuntamientos.</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 xml:space="preserve">Ajenas a cualquier control, se han convertido en la mejor salida laboral y salarial para los allegados de los partidos. Los ciudadanos desconocen a qué se dedican realmente y cuáles son sus proyectos. Se trata de unas instituciones que no rinden cuentas de su gestión y de sus actividades mientras que sus altos representantes (hay más de un millar de diputados </w:t>
      </w:r>
      <w:r w:rsidRPr="00A31377">
        <w:rPr>
          <w:rFonts w:ascii="Times New Roman" w:hAnsi="Times New Roman" w:cs="Times New Roman"/>
          <w:sz w:val="24"/>
          <w:szCs w:val="24"/>
        </w:rPr>
        <w:lastRenderedPageBreak/>
        <w:t xml:space="preserve">provinciales) no son elegidos por los ciudadanos sino por las votaciones de los propios alcaldes y concejales.  </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En realidad, son un  peso muerto de clientelismo político de empleo y de gasto público, posiblemente ineficiente e innecesario. Sólo Ciudadanos se planteó en su momento su supresión o revisión. Cuentan con más de 67.000 empleados y tienen un presupuesto de unos 32.000 millones que no dedican a actividades básicas como la sanidad o la educación. Acumulan una deuda superior a los 4.000 millones. La mayor parte de su gasto es improductivo: un tercio se destina a pagar nóminas y otro tercio largo se emplea para atender el gasto corriente de bienes y servicios para su funcionamiento.</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Otra parte se reparte entre transferencias corrientes (subvenciones) y prácticamente sólo les queda un 6% de ese presupuesto para inversiones en infraestructuras y generar actividad. Mientras tanto, el sector público no tiene recursos para combatir el fuego o las Danas, para pagar el peaje de la seguridad de la OTAN o para garantizar un plan de viviendas públicas suficiente o una red de transpo</w:t>
      </w:r>
      <w:r>
        <w:rPr>
          <w:rFonts w:ascii="Times New Roman" w:hAnsi="Times New Roman" w:cs="Times New Roman"/>
          <w:sz w:val="24"/>
          <w:szCs w:val="24"/>
        </w:rPr>
        <w:t xml:space="preserve">rte y unas carreteras fiables. </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Un puzzle inacabable de entes</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Las diputaciones catalanas son las que mantienen un mayor número de entes, sobre todo fundaciones. Se trata de entidades sin ánimo de lucro que disponen de cuentas propias y que brillan por su opacidad. Por ejemplo, de los 30 entes que Girona tiene en su conjunto al menos 19 son fundaciones; Barcelona llega a 17 de las 33 entidades totales; Lleida suma 15 de los 25 entes y Tarragona incorpora 10 fundaciones de las 13 entidades que acumula.</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Las de Salamanca y de Pontevedra también mantienen a 10 fundaciones cada una de un total de 15 entidades de que disponen. En cuanto al resto, destacan las 27 sociedades mercantiles que registra la diputación de Vizcaya y las 24 del Cabildo Insular de Tenerife así como los 11 consorcios de la de Barcelona y los nueve de la diputación de Alicante.</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El detalle de estas entidades no tiene desperdicio: las diputaciones de Badajoz y de Castellón tienen creados dos organismos autónomos para sus Escuelas Taurinas; el Consejo Insular de Mallorca tiene un Instituto de Deporte Hípico así como fundaciones literarias, de fotografía o incluso de Solidaridad y Cooperación y el de Formentera ha creado un Conservatorio Superior de Música y Danza; la diputación de Barcelona cuenta, además de un organismo para la producción de televisión y radio, con un Instituto de Teatro, una Fundación Democracia y Gobierno Local, otra para la Red de Ciudades por la Bicicleta, y otra denominada Aula de Altos Estudios de Cargos Electos así como un consorcio con el nombre de Instituto de Ciencias Políticas y Sociales; y la de Burgos tiene una fundación para estudiar los dinosaurios y un consorcio Camino del Cid.</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Por si fuera poco, la diputación de Cáceres tiene una fundación para mantener al Colegio Oficial de Aparejadores y Arquitectos Técnicos; la de Cádiz añade una fundación para el Carnaval y una empresa para la Comercialización de Productos de Marroquinería de Ubrique, así como una sociedad pública de Vivienda y Suelo; la de Ciudad Real, además de dos</w:t>
      </w:r>
      <w:r w:rsidR="001A1A40">
        <w:rPr>
          <w:rFonts w:ascii="Times New Roman" w:hAnsi="Times New Roman" w:cs="Times New Roman"/>
          <w:sz w:val="24"/>
          <w:szCs w:val="24"/>
        </w:rPr>
        <w:t xml:space="preserve"> sociedades para el aeropuerto “fantasma”</w:t>
      </w:r>
      <w:r w:rsidRPr="00A31377">
        <w:rPr>
          <w:rFonts w:ascii="Times New Roman" w:hAnsi="Times New Roman" w:cs="Times New Roman"/>
          <w:sz w:val="24"/>
          <w:szCs w:val="24"/>
        </w:rPr>
        <w:t xml:space="preserve">, suma un diario (Lanza) y una fundación para el festival de Teatro Clásico de Almagro; la de Córdoba cuenta con una fundación de Artes Plásticas y una Agencia de la Energía; la de Cuenca dispone de un Mueso de la Semana Santa; y, además, la de Girona suma un Conservatorio de Música y una Orquesta de Cámara así como una sociedad Institucional del Básquet S.L. y un Museo del Juguete. </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lastRenderedPageBreak/>
        <w:t xml:space="preserve">Proliferan los entes relacionados con los museos. Destacan los de la diputación de Valencia con ese Museo de Ilustración y Modernidad objeto de polémica por la contratación de la esposa del excomisionado para la Dana, al que  hay que añadir el Museo de la Etnología y el de Prehistoria. La diputación de León tiene una fundación de Cultura Minera y un consorcio para la promoción de su aeropuerto; la de Jaén ha creado un consorcio Vía Verde del Aceite y una agencia de Gestión Energética; la de Huelva cuenta con una fundación para la Historia de la Minería; y la de Lleida dispone de una Estación Duanera S.A. y un Centro de Estudios Porcinos. </w:t>
      </w:r>
    </w:p>
    <w:p w:rsidR="009067AF" w:rsidRPr="00A31377" w:rsidRDefault="009067AF" w:rsidP="009067AF">
      <w:pPr>
        <w:spacing w:line="240" w:lineRule="auto"/>
        <w:jc w:val="both"/>
        <w:rPr>
          <w:rFonts w:ascii="Times New Roman" w:hAnsi="Times New Roman" w:cs="Times New Roman"/>
          <w:sz w:val="24"/>
          <w:szCs w:val="24"/>
        </w:rPr>
      </w:pPr>
      <w:r>
        <w:rPr>
          <w:rFonts w:ascii="Times New Roman" w:hAnsi="Times New Roman" w:cs="Times New Roman"/>
          <w:sz w:val="24"/>
          <w:szCs w:val="24"/>
        </w:rPr>
        <w:t>La “cartera”</w:t>
      </w:r>
      <w:r w:rsidRPr="00A31377">
        <w:rPr>
          <w:rFonts w:ascii="Times New Roman" w:hAnsi="Times New Roman" w:cs="Times New Roman"/>
          <w:sz w:val="24"/>
          <w:szCs w:val="24"/>
        </w:rPr>
        <w:t xml:space="preserve"> de entes del Cabildo de Gran Canaria</w:t>
      </w:r>
    </w:p>
    <w:p w:rsidR="009067AF" w:rsidRPr="00A31377"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Por su parte, el Cabildo Insular de Gran Canaria es el propietario del Club de Baloncesto Gran Canaria, de una Orquesta Filarmónica y de los consorcios de viviendas y de ferrocarriles, así como del Centro Atlántico de Arte Moderno. Del Cabildo Insular de La Palma es la Destilería del Valle S.A.; y del Cabildo de Tenerife figuran colgadas las empresas Casino Taoro, Casino Playa América y Casino Santa Cruz, así como el Auditorio y el Palacio de Música. De la diputación de Pontevedra depende la Escuela Universitaria de Enfermería y el Centro Financiero de Vigo S.A.; y de la de Sevilla pende el consorcio de Investigación y Desarrollo Aeronáutico.</w:t>
      </w:r>
    </w:p>
    <w:p w:rsidR="009067AF" w:rsidRDefault="009067AF" w:rsidP="009067AF">
      <w:pPr>
        <w:spacing w:line="240" w:lineRule="auto"/>
        <w:jc w:val="both"/>
        <w:rPr>
          <w:rFonts w:ascii="Times New Roman" w:hAnsi="Times New Roman" w:cs="Times New Roman"/>
          <w:sz w:val="24"/>
          <w:szCs w:val="24"/>
        </w:rPr>
      </w:pPr>
      <w:r w:rsidRPr="00A31377">
        <w:rPr>
          <w:rFonts w:ascii="Times New Roman" w:hAnsi="Times New Roman" w:cs="Times New Roman"/>
          <w:sz w:val="24"/>
          <w:szCs w:val="24"/>
        </w:rPr>
        <w:t>Además, de la de Teruel depende las sociedades Prensa de Teruel y Nieves de Teruel; la de Valladolid tiene un Centro Etnográfico; la de Vizcaya cuenta con varias fundaciones para su Orquesta Sinfónica y los museos de Arte Moderno, Marítimo y Guggenheim; la de Zamora añade una fundación de Vinos así como un consorcio de Idiomas y otro de Fomento Musical; la de Albacete suma la fundación de Conciertos; la de Álava dispone de un Centro de Cálculo y de una empresa denominada Naturgolf; la de Badajoz ha creado una fundación de Estudios Romanos; y el Consejo Insular de Menorca dispone de un Instituto de la Juventud así como una fundación Enciclopédica y otra de Ópera. El listado de entes públicos, muchos de ellos sin sentido e ineficientes y que ningún partido se atreve a revisar, es enorme.</w:t>
      </w:r>
    </w:p>
    <w:p w:rsidR="009067AF" w:rsidRPr="00F079F6" w:rsidRDefault="009067AF" w:rsidP="009067AF">
      <w:pPr>
        <w:spacing w:line="240" w:lineRule="auto"/>
        <w:jc w:val="both"/>
        <w:rPr>
          <w:rFonts w:ascii="Times New Roman" w:hAnsi="Times New Roman" w:cs="Times New Roman"/>
          <w:color w:val="FF0000"/>
          <w:sz w:val="24"/>
          <w:szCs w:val="24"/>
        </w:rPr>
      </w:pPr>
      <w:r w:rsidRPr="00F079F6">
        <w:rPr>
          <w:rFonts w:ascii="Times New Roman" w:hAnsi="Times New Roman" w:cs="Times New Roman"/>
          <w:b/>
          <w:color w:val="FF0000"/>
          <w:sz w:val="24"/>
          <w:szCs w:val="24"/>
        </w:rPr>
        <w:t xml:space="preserve">Nota I: </w:t>
      </w:r>
      <w:r w:rsidRPr="009067AF">
        <w:rPr>
          <w:rFonts w:ascii="Times New Roman" w:hAnsi="Times New Roman" w:cs="Times New Roman"/>
          <w:color w:val="FF0000"/>
          <w:sz w:val="24"/>
          <w:szCs w:val="24"/>
        </w:rPr>
        <w:t>“Lo que más bronca me da es haber sido tan gil”</w:t>
      </w:r>
      <w:r w:rsidRPr="00F079F6">
        <w:rPr>
          <w:rFonts w:ascii="Times New Roman" w:hAnsi="Times New Roman" w:cs="Times New Roman"/>
          <w:b/>
          <w:color w:val="FF0000"/>
          <w:sz w:val="24"/>
          <w:szCs w:val="24"/>
        </w:rPr>
        <w:t xml:space="preserve"> </w:t>
      </w:r>
      <w:r w:rsidRPr="00F079F6">
        <w:rPr>
          <w:rFonts w:ascii="Times New Roman" w:hAnsi="Times New Roman" w:cs="Times New Roman"/>
          <w:color w:val="FF0000"/>
          <w:sz w:val="24"/>
          <w:szCs w:val="24"/>
        </w:rPr>
        <w:t>(como dice la letra de tango: “Chorra”)</w:t>
      </w:r>
      <w:r w:rsidRPr="00F079F6">
        <w:rPr>
          <w:rFonts w:ascii="Times New Roman" w:hAnsi="Times New Roman" w:cs="Times New Roman"/>
          <w:b/>
          <w:color w:val="FF0000"/>
          <w:sz w:val="24"/>
          <w:szCs w:val="24"/>
        </w:rPr>
        <w:t xml:space="preserve">. </w:t>
      </w:r>
      <w:r w:rsidRPr="00F079F6">
        <w:rPr>
          <w:rFonts w:ascii="Times New Roman" w:hAnsi="Times New Roman" w:cs="Times New Roman"/>
          <w:color w:val="FF0000"/>
          <w:sz w:val="24"/>
          <w:szCs w:val="24"/>
        </w:rPr>
        <w:t>Después de casi 40 años de residencia en Las Palmas de Gran Canaria, me vengo a enterar que entre los innumerables “chiringuitos” que tiene su Cabildo (suerte de Diputación Provincial), donde pastan en el presupuesto una gran manada de</w:t>
      </w:r>
      <w:r>
        <w:rPr>
          <w:rFonts w:ascii="Times New Roman" w:hAnsi="Times New Roman" w:cs="Times New Roman"/>
          <w:color w:val="FF0000"/>
          <w:sz w:val="24"/>
          <w:szCs w:val="24"/>
        </w:rPr>
        <w:t xml:space="preserve"> analfabetos funcionales y estómagos agradecidos</w:t>
      </w:r>
      <w:r w:rsidRPr="00F079F6">
        <w:rPr>
          <w:rFonts w:ascii="Times New Roman" w:hAnsi="Times New Roman" w:cs="Times New Roman"/>
          <w:color w:val="FF0000"/>
          <w:sz w:val="24"/>
          <w:szCs w:val="24"/>
        </w:rPr>
        <w:t xml:space="preserve">, existe un “consorcio de ferrocarriles”. Puedo asegurarles que nunca ha habido, ni habrá, algún tipo de ferrocarril en Gran Canaria. Como mucho hay un trecho de riel (de unos metros) conservado bajo un vidrio protector, como recuerdo del tranvía que pasaba por la calle Triana, en los tiempos de Pérez Galdós. </w:t>
      </w:r>
    </w:p>
    <w:p w:rsidR="009067AF" w:rsidRPr="00A31377" w:rsidRDefault="009067AF" w:rsidP="009067AF">
      <w:pPr>
        <w:spacing w:line="240" w:lineRule="auto"/>
        <w:jc w:val="both"/>
        <w:rPr>
          <w:rFonts w:ascii="Times New Roman" w:hAnsi="Times New Roman" w:cs="Times New Roman"/>
          <w:color w:val="FF0000"/>
          <w:sz w:val="24"/>
          <w:szCs w:val="24"/>
          <w:shd w:val="clear" w:color="auto" w:fill="FFFFFF"/>
        </w:rPr>
      </w:pPr>
      <w:r w:rsidRPr="00A31377">
        <w:rPr>
          <w:rFonts w:ascii="Times New Roman" w:hAnsi="Times New Roman" w:cs="Times New Roman"/>
          <w:b/>
          <w:color w:val="FF0000"/>
          <w:sz w:val="24"/>
          <w:szCs w:val="24"/>
          <w:shd w:val="clear" w:color="auto" w:fill="FFFFFF"/>
        </w:rPr>
        <w:t>Nota</w:t>
      </w:r>
      <w:r>
        <w:rPr>
          <w:rFonts w:ascii="Times New Roman" w:hAnsi="Times New Roman" w:cs="Times New Roman"/>
          <w:b/>
          <w:color w:val="FF0000"/>
          <w:sz w:val="24"/>
          <w:szCs w:val="24"/>
          <w:shd w:val="clear" w:color="auto" w:fill="FFFFFF"/>
        </w:rPr>
        <w:t xml:space="preserve"> II</w:t>
      </w:r>
      <w:r w:rsidRPr="00A31377">
        <w:rPr>
          <w:rFonts w:ascii="Times New Roman" w:hAnsi="Times New Roman" w:cs="Times New Roman"/>
          <w:color w:val="FF0000"/>
          <w:sz w:val="24"/>
          <w:szCs w:val="24"/>
          <w:shd w:val="clear" w:color="auto" w:fill="FFFFFF"/>
        </w:rPr>
        <w:t>: Creo que la consolidación de los Ayuntamientos hasta alcanzar el equivalente a los 100.000 habitantes por cada uno, evitaría duplicidades, triplicidades, y cuadruplicidades como es público y notorio. Los Alcaldes, Concejales, cargos de libre designación, policía local, y aparato burocrático se propaga como una plaga (casi un cáncer metastásico) por todo el territorio nacional.</w:t>
      </w:r>
    </w:p>
    <w:p w:rsidR="009067AF" w:rsidRDefault="009067AF" w:rsidP="009067AF">
      <w:pPr>
        <w:spacing w:line="240" w:lineRule="auto"/>
        <w:jc w:val="both"/>
        <w:rPr>
          <w:rFonts w:ascii="Times New Roman" w:hAnsi="Times New Roman" w:cs="Times New Roman"/>
          <w:color w:val="FF0000"/>
          <w:sz w:val="24"/>
          <w:szCs w:val="24"/>
          <w:shd w:val="clear" w:color="auto" w:fill="FFFFFF"/>
        </w:rPr>
      </w:pPr>
      <w:r w:rsidRPr="00A31377">
        <w:rPr>
          <w:rFonts w:ascii="Times New Roman" w:hAnsi="Times New Roman" w:cs="Times New Roman"/>
          <w:color w:val="FF0000"/>
          <w:sz w:val="24"/>
          <w:szCs w:val="24"/>
          <w:shd w:val="clear" w:color="auto" w:fill="FFFFFF"/>
        </w:rPr>
        <w:t xml:space="preserve">Y la triste realidad es, que después de tener cuatro niveles de administración (Gobierno Nacional, Gobiernos Autonómicos, Cabildos y Diputaciones Provinciales, y Ayuntamientos, sin olvidar las Mancomunidades (que haberlas, haylas…), a un costo “inasumible”, y una corrupción “insoportable”, a la hora de algún siniestro de importancia (pandemia de Covid -130.000 muertos-, apagón generalizado en todo el territorio nacional por casi 24 horas, la Dana de Valencia -227 muertos-, suspensión prolongada del servicio ferroviario, fallos de servicio en aeropuertos, incendios importantes, grandes nevadas en autovías… nunca (jamás) </w:t>
      </w:r>
      <w:r w:rsidRPr="00A31377">
        <w:rPr>
          <w:rFonts w:ascii="Times New Roman" w:hAnsi="Times New Roman" w:cs="Times New Roman"/>
          <w:color w:val="FF0000"/>
          <w:sz w:val="24"/>
          <w:szCs w:val="24"/>
          <w:shd w:val="clear" w:color="auto" w:fill="FFFFFF"/>
        </w:rPr>
        <w:lastRenderedPageBreak/>
        <w:t xml:space="preserve">se encuentra un organismo público y/o un funcionario que se haga responsable del “desaguisado”. Unos se pasan la pelota a los otros, y la casa sin barrer. Y por supuesto (lamentablemente) nunca renuncia nadie, y jamás entra alguno en prisión. Fin de la historia. </w:t>
      </w:r>
    </w:p>
    <w:p w:rsidR="007E438D" w:rsidRPr="00E335E8" w:rsidRDefault="007E438D" w:rsidP="007E438D">
      <w:pPr>
        <w:spacing w:line="240" w:lineRule="auto"/>
        <w:jc w:val="both"/>
        <w:rPr>
          <w:rFonts w:ascii="Times New Roman" w:hAnsi="Times New Roman" w:cs="Times New Roman"/>
          <w:color w:val="FF0000"/>
          <w:sz w:val="24"/>
          <w:szCs w:val="24"/>
          <w:shd w:val="clear" w:color="auto" w:fill="FFFFFF"/>
        </w:rPr>
      </w:pPr>
      <w:r w:rsidRPr="00E335E8">
        <w:rPr>
          <w:rFonts w:ascii="Times New Roman" w:hAnsi="Times New Roman" w:cs="Times New Roman"/>
          <w:color w:val="FF0000"/>
          <w:sz w:val="24"/>
          <w:szCs w:val="24"/>
          <w:shd w:val="clear" w:color="auto" w:fill="FFFFFF"/>
        </w:rPr>
        <w:t>- Eliminar el Tribunal Constitucional (transformarlo en una Sala del Tribunal Supremo)</w:t>
      </w:r>
    </w:p>
    <w:p w:rsidR="007E438D" w:rsidRDefault="007E438D" w:rsidP="007E438D">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Es esta caso no puedo presentar una Memoria Económica, pero utilizando lo escrito por</w:t>
      </w:r>
      <w:r w:rsidRPr="00AF7709">
        <w:rPr>
          <w:rFonts w:ascii="Times New Roman" w:hAnsi="Times New Roman" w:cs="Times New Roman"/>
          <w:color w:val="000000"/>
          <w:sz w:val="24"/>
          <w:szCs w:val="24"/>
          <w:shd w:val="clear" w:color="auto" w:fill="FFFFFF"/>
        </w:rPr>
        <w:t xml:space="preserve"> sor Juana Inés de la Cruz</w:t>
      </w:r>
      <w:r>
        <w:rPr>
          <w:rFonts w:ascii="Times New Roman" w:hAnsi="Times New Roman" w:cs="Times New Roman"/>
          <w:color w:val="000000"/>
          <w:sz w:val="24"/>
          <w:szCs w:val="24"/>
          <w:shd w:val="clear" w:color="auto" w:fill="FFFFFF"/>
        </w:rPr>
        <w:t xml:space="preserve"> (s. XVII): “Hombres necios que acusáis, a la mujer sin razón, sin ver que sois la ocasión de lo mismo que culpáis (que </w:t>
      </w:r>
      <w:r w:rsidRPr="00AF7709">
        <w:rPr>
          <w:rFonts w:ascii="Times New Roman" w:hAnsi="Times New Roman" w:cs="Times New Roman"/>
          <w:color w:val="000000"/>
          <w:sz w:val="24"/>
          <w:szCs w:val="24"/>
          <w:shd w:val="clear" w:color="auto" w:fill="FFFFFF"/>
        </w:rPr>
        <w:t>expresa muy bien que los hombres insisten a las mujeres para que cedan a su deseo sexual y luego las c</w:t>
      </w:r>
      <w:r>
        <w:rPr>
          <w:rFonts w:ascii="Times New Roman" w:hAnsi="Times New Roman" w:cs="Times New Roman"/>
          <w:color w:val="000000"/>
          <w:sz w:val="24"/>
          <w:szCs w:val="24"/>
          <w:shd w:val="clear" w:color="auto" w:fill="FFFFFF"/>
        </w:rPr>
        <w:t>ritican por fáciles), puedo denunciar al Tribunal Constitucional, como la pieza fundamental del sometimiento de la democracia española a los intereses del gobierno de turno (en especial del Partido Socialista).</w:t>
      </w:r>
    </w:p>
    <w:p w:rsidR="007E438D" w:rsidRDefault="007E438D" w:rsidP="007E438D">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Al Tribunal Constitucional, le cabe, como anillo al dedo, otro párrafo del verso de sor Juana Inés de la Cruz: “Combatís su resistencia, </w:t>
      </w:r>
      <w:r w:rsidRPr="00AF7709">
        <w:rPr>
          <w:rFonts w:ascii="Times New Roman" w:hAnsi="Times New Roman" w:cs="Times New Roman"/>
          <w:color w:val="000000"/>
          <w:sz w:val="24"/>
          <w:szCs w:val="24"/>
          <w:shd w:val="clear" w:color="auto" w:fill="FFFFFF"/>
        </w:rPr>
        <w:t>y luego, con graveda</w:t>
      </w:r>
      <w:r>
        <w:rPr>
          <w:rFonts w:ascii="Times New Roman" w:hAnsi="Times New Roman" w:cs="Times New Roman"/>
          <w:color w:val="000000"/>
          <w:sz w:val="24"/>
          <w:szCs w:val="24"/>
          <w:shd w:val="clear" w:color="auto" w:fill="FFFFFF"/>
        </w:rPr>
        <w:t xml:space="preserve">d, </w:t>
      </w:r>
      <w:r w:rsidRPr="00AF7709">
        <w:rPr>
          <w:rFonts w:ascii="Times New Roman" w:hAnsi="Times New Roman" w:cs="Times New Roman"/>
          <w:color w:val="000000"/>
          <w:sz w:val="24"/>
          <w:szCs w:val="24"/>
          <w:shd w:val="clear" w:color="auto" w:fill="FFFFFF"/>
        </w:rPr>
        <w:t>decís que fue liviandad</w:t>
      </w:r>
      <w:r>
        <w:rPr>
          <w:rFonts w:ascii="Times New Roman" w:hAnsi="Times New Roman" w:cs="Times New Roman"/>
          <w:color w:val="000000"/>
          <w:sz w:val="24"/>
          <w:szCs w:val="24"/>
          <w:shd w:val="clear" w:color="auto" w:fill="FFFFFF"/>
        </w:rPr>
        <w:t xml:space="preserve">,  </w:t>
      </w:r>
      <w:r w:rsidRPr="00AF7709">
        <w:rPr>
          <w:rFonts w:ascii="Times New Roman" w:hAnsi="Times New Roman" w:cs="Times New Roman"/>
          <w:color w:val="000000"/>
          <w:sz w:val="24"/>
          <w:szCs w:val="24"/>
          <w:shd w:val="clear" w:color="auto" w:fill="FFFFFF"/>
        </w:rPr>
        <w:t>lo que hizo la diligencia</w:t>
      </w:r>
      <w:r>
        <w:rPr>
          <w:rFonts w:ascii="Times New Roman" w:hAnsi="Times New Roman" w:cs="Times New Roman"/>
          <w:color w:val="000000"/>
          <w:sz w:val="24"/>
          <w:szCs w:val="24"/>
          <w:shd w:val="clear" w:color="auto" w:fill="FFFFFF"/>
        </w:rPr>
        <w:t xml:space="preserve">”, aunque para el caso, se trate de la “democracia y la justicia”.  </w:t>
      </w:r>
    </w:p>
    <w:p w:rsidR="007E438D" w:rsidRDefault="007E438D" w:rsidP="007E438D">
      <w:pPr>
        <w:spacing w:line="240" w:lineRule="auto"/>
        <w:jc w:val="both"/>
        <w:rPr>
          <w:rFonts w:ascii="Times New Roman" w:hAnsi="Times New Roman" w:cs="Times New Roman"/>
          <w:color w:val="000000"/>
          <w:sz w:val="24"/>
          <w:szCs w:val="24"/>
          <w:shd w:val="clear" w:color="auto" w:fill="FFFFFF"/>
        </w:rPr>
      </w:pPr>
      <w:r w:rsidRPr="00AF7709">
        <w:rPr>
          <w:rFonts w:ascii="Times New Roman" w:hAnsi="Times New Roman" w:cs="Times New Roman"/>
          <w:color w:val="000000"/>
          <w:sz w:val="24"/>
          <w:szCs w:val="24"/>
          <w:shd w:val="clear" w:color="auto" w:fill="FFFFFF"/>
        </w:rPr>
        <w:t>El Tribunal Constitucional (TC) español, en los últimos tiempos, ha sido objeto de críticas por su politización y la supuesta erosión de la confianza en la democracia. Se argumenta que las decisiones del TC, especialmente en asuntos políticamente sensibles, se están tomando por bloques partidistas, lo que mina su credibilidad ante la ciudadanía. Esta situación, a su vez, podría afectar la moral de los jueces y la percepción de la legitimidad de las actuaciones gubernamentales.</w:t>
      </w:r>
    </w:p>
    <w:p w:rsidR="007E438D" w:rsidRDefault="007E438D" w:rsidP="007E438D">
      <w:pPr>
        <w:spacing w:line="240" w:lineRule="auto"/>
        <w:jc w:val="both"/>
        <w:rPr>
          <w:rFonts w:ascii="Times New Roman" w:hAnsi="Times New Roman" w:cs="Times New Roman"/>
          <w:color w:val="000000"/>
          <w:sz w:val="24"/>
          <w:szCs w:val="24"/>
          <w:shd w:val="clear" w:color="auto" w:fill="FFFFFF"/>
        </w:rPr>
      </w:pPr>
      <w:r w:rsidRPr="00296B2B">
        <w:rPr>
          <w:rFonts w:ascii="Times New Roman" w:hAnsi="Times New Roman" w:cs="Times New Roman"/>
          <w:color w:val="000000"/>
          <w:sz w:val="24"/>
          <w:szCs w:val="24"/>
          <w:shd w:val="clear" w:color="auto" w:fill="FFFFFF"/>
        </w:rPr>
        <w:t xml:space="preserve">Las críticas al Tribunal Constitucional español giran en torno a su composición, politización, y la interpretación de la Constitución. Se le acusa de retrasos en la resolución de recursos, de favorecer a determinados gobiernos y partidos políticos, y de extralimitarse en sus funciones. Además, se critica la falta de transparencia y la dificultad de acceso a la información sobre sus decisiones. </w:t>
      </w:r>
      <w:r>
        <w:rPr>
          <w:rFonts w:ascii="Times New Roman" w:hAnsi="Times New Roman" w:cs="Times New Roman"/>
          <w:color w:val="000000"/>
          <w:sz w:val="24"/>
          <w:szCs w:val="24"/>
          <w:shd w:val="clear" w:color="auto" w:fill="FFFFFF"/>
        </w:rPr>
        <w:t xml:space="preserve"> </w:t>
      </w:r>
    </w:p>
    <w:p w:rsidR="007E438D" w:rsidRDefault="007E438D" w:rsidP="007E438D">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Nombramiento de magistrados (s</w:t>
      </w:r>
      <w:r w:rsidRPr="00296B2B">
        <w:rPr>
          <w:rFonts w:ascii="Times New Roman" w:hAnsi="Times New Roman" w:cs="Times New Roman"/>
          <w:color w:val="000000"/>
          <w:sz w:val="24"/>
          <w:szCs w:val="24"/>
          <w:shd w:val="clear" w:color="auto" w:fill="FFFFFF"/>
        </w:rPr>
        <w:t>e critica que los magistrados son nombrados por partidos políticos, lo que puede llevar a una falta de independencia y a una interpretación partidista de la Consti</w:t>
      </w:r>
      <w:r>
        <w:rPr>
          <w:rFonts w:ascii="Times New Roman" w:hAnsi="Times New Roman" w:cs="Times New Roman"/>
          <w:color w:val="000000"/>
          <w:sz w:val="24"/>
          <w:szCs w:val="24"/>
          <w:shd w:val="clear" w:color="auto" w:fill="FFFFFF"/>
        </w:rPr>
        <w:t>tución), politización de las decisiones (s</w:t>
      </w:r>
      <w:r w:rsidRPr="00296B2B">
        <w:rPr>
          <w:rFonts w:ascii="Times New Roman" w:hAnsi="Times New Roman" w:cs="Times New Roman"/>
          <w:color w:val="000000"/>
          <w:sz w:val="24"/>
          <w:szCs w:val="24"/>
          <w:shd w:val="clear" w:color="auto" w:fill="FFFFFF"/>
        </w:rPr>
        <w:t>e señala que el Tribunal puede verse influenciado por presiones políticas</w:t>
      </w:r>
      <w:r>
        <w:rPr>
          <w:rFonts w:ascii="Times New Roman" w:hAnsi="Times New Roman" w:cs="Times New Roman"/>
          <w:color w:val="000000"/>
          <w:sz w:val="24"/>
          <w:szCs w:val="24"/>
          <w:shd w:val="clear" w:color="auto" w:fill="FFFFFF"/>
        </w:rPr>
        <w:t>), influencia política (se considera</w:t>
      </w:r>
      <w:r w:rsidRPr="00296B2B">
        <w:rPr>
          <w:rFonts w:ascii="Times New Roman" w:hAnsi="Times New Roman" w:cs="Times New Roman"/>
          <w:color w:val="000000"/>
          <w:sz w:val="24"/>
          <w:szCs w:val="24"/>
          <w:shd w:val="clear" w:color="auto" w:fill="FFFFFF"/>
        </w:rPr>
        <w:t xml:space="preserve"> que el Tribunal ha ido más allá de su función de garante de la Constitución y ha entrado en el terreno de la política,</w:t>
      </w:r>
      <w:r>
        <w:rPr>
          <w:rFonts w:ascii="Times New Roman" w:hAnsi="Times New Roman" w:cs="Times New Roman"/>
          <w:color w:val="000000"/>
          <w:sz w:val="24"/>
          <w:szCs w:val="24"/>
          <w:shd w:val="clear" w:color="auto" w:fill="FFFFFF"/>
        </w:rPr>
        <w:t xml:space="preserve"> </w:t>
      </w:r>
      <w:r w:rsidRPr="00296B2B">
        <w:rPr>
          <w:rFonts w:ascii="Times New Roman" w:hAnsi="Times New Roman" w:cs="Times New Roman"/>
          <w:color w:val="000000"/>
          <w:sz w:val="24"/>
          <w:szCs w:val="24"/>
          <w:shd w:val="clear" w:color="auto" w:fill="FFFFFF"/>
        </w:rPr>
        <w:t>especialmente en casos de alta resonancia mediática o que afectan a intereses partidistas</w:t>
      </w:r>
      <w:r>
        <w:rPr>
          <w:rFonts w:ascii="Times New Roman" w:hAnsi="Times New Roman" w:cs="Times New Roman"/>
          <w:color w:val="000000"/>
          <w:sz w:val="24"/>
          <w:szCs w:val="24"/>
          <w:shd w:val="clear" w:color="auto" w:fill="FFFFFF"/>
        </w:rPr>
        <w:t>,</w:t>
      </w:r>
      <w:r w:rsidRPr="00296B2B">
        <w:rPr>
          <w:rFonts w:ascii="Times New Roman" w:hAnsi="Times New Roman" w:cs="Times New Roman"/>
          <w:color w:val="000000"/>
          <w:sz w:val="24"/>
          <w:szCs w:val="24"/>
          <w:shd w:val="clear" w:color="auto" w:fill="FFFFFF"/>
        </w:rPr>
        <w:t xml:space="preserve"> generando </w:t>
      </w:r>
      <w:r>
        <w:rPr>
          <w:rFonts w:ascii="Times New Roman" w:hAnsi="Times New Roman" w:cs="Times New Roman"/>
          <w:color w:val="000000"/>
          <w:sz w:val="24"/>
          <w:szCs w:val="24"/>
          <w:shd w:val="clear" w:color="auto" w:fill="FFFFFF"/>
        </w:rPr>
        <w:t>controversia con sus decisiones), falta de transparencia (s</w:t>
      </w:r>
      <w:r w:rsidRPr="00296B2B">
        <w:rPr>
          <w:rFonts w:ascii="Times New Roman" w:hAnsi="Times New Roman" w:cs="Times New Roman"/>
          <w:color w:val="000000"/>
          <w:sz w:val="24"/>
          <w:szCs w:val="24"/>
          <w:shd w:val="clear" w:color="auto" w:fill="FFFFFF"/>
        </w:rPr>
        <w:t>e critica la opacidad en el proceso de toma de decisiones y la falta de acceso a la información sobre las delib</w:t>
      </w:r>
      <w:r>
        <w:rPr>
          <w:rFonts w:ascii="Times New Roman" w:hAnsi="Times New Roman" w:cs="Times New Roman"/>
          <w:color w:val="000000"/>
          <w:sz w:val="24"/>
          <w:szCs w:val="24"/>
          <w:shd w:val="clear" w:color="auto" w:fill="FFFFFF"/>
        </w:rPr>
        <w:t>eraciones internas del Tribunal), pérdida de credibilidad, e</w:t>
      </w:r>
      <w:r w:rsidRPr="009102D9">
        <w:rPr>
          <w:rFonts w:ascii="Times New Roman" w:hAnsi="Times New Roman" w:cs="Times New Roman"/>
          <w:color w:val="000000"/>
          <w:sz w:val="24"/>
          <w:szCs w:val="24"/>
          <w:shd w:val="clear" w:color="auto" w:fill="FFFFFF"/>
        </w:rPr>
        <w:t>fe</w:t>
      </w:r>
      <w:r>
        <w:rPr>
          <w:rFonts w:ascii="Times New Roman" w:hAnsi="Times New Roman" w:cs="Times New Roman"/>
          <w:color w:val="000000"/>
          <w:sz w:val="24"/>
          <w:szCs w:val="24"/>
          <w:shd w:val="clear" w:color="auto" w:fill="FFFFFF"/>
        </w:rPr>
        <w:t>ctos en la moral de los jueces (</w:t>
      </w:r>
      <w:r w:rsidRPr="009102D9">
        <w:rPr>
          <w:rFonts w:ascii="Times New Roman" w:hAnsi="Times New Roman" w:cs="Times New Roman"/>
          <w:color w:val="000000"/>
          <w:sz w:val="24"/>
          <w:szCs w:val="24"/>
          <w:shd w:val="clear" w:color="auto" w:fill="FFFFFF"/>
        </w:rPr>
        <w:t>especialmente de aquellos que no están dispuestos a</w:t>
      </w:r>
      <w:r>
        <w:rPr>
          <w:rFonts w:ascii="Times New Roman" w:hAnsi="Times New Roman" w:cs="Times New Roman"/>
          <w:color w:val="000000"/>
          <w:sz w:val="24"/>
          <w:szCs w:val="24"/>
          <w:shd w:val="clear" w:color="auto" w:fill="FFFFFF"/>
        </w:rPr>
        <w:t xml:space="preserve"> ceder ante presiones políticas), legitimidad de las actuaciones (percepción por parte de la ciudadanía</w:t>
      </w:r>
      <w:r w:rsidRPr="009102D9">
        <w:rPr>
          <w:rFonts w:ascii="Times New Roman" w:hAnsi="Times New Roman" w:cs="Times New Roman"/>
          <w:color w:val="000000"/>
          <w:sz w:val="24"/>
          <w:szCs w:val="24"/>
          <w:shd w:val="clear" w:color="auto" w:fill="FFFFFF"/>
        </w:rPr>
        <w:t xml:space="preserve"> que el TC no es un garan</w:t>
      </w:r>
      <w:r>
        <w:rPr>
          <w:rFonts w:ascii="Times New Roman" w:hAnsi="Times New Roman" w:cs="Times New Roman"/>
          <w:color w:val="000000"/>
          <w:sz w:val="24"/>
          <w:szCs w:val="24"/>
          <w:shd w:val="clear" w:color="auto" w:fill="FFFFFF"/>
        </w:rPr>
        <w:t>te imparcial de la Constitución).</w:t>
      </w:r>
    </w:p>
    <w:p w:rsidR="007E438D" w:rsidRPr="00046F57" w:rsidRDefault="007E438D" w:rsidP="007E438D">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En la realidad</w:t>
      </w:r>
      <w:r w:rsidR="008A7097">
        <w:rPr>
          <w:rFonts w:ascii="Times New Roman" w:hAnsi="Times New Roman" w:cs="Times New Roman"/>
          <w:color w:val="FF0000"/>
          <w:sz w:val="24"/>
          <w:szCs w:val="24"/>
          <w:shd w:val="clear" w:color="auto" w:fill="FFFFFF"/>
        </w:rPr>
        <w:t>,</w:t>
      </w:r>
      <w:r>
        <w:rPr>
          <w:rFonts w:ascii="Times New Roman" w:hAnsi="Times New Roman" w:cs="Times New Roman"/>
          <w:color w:val="FF0000"/>
          <w:sz w:val="24"/>
          <w:szCs w:val="24"/>
          <w:shd w:val="clear" w:color="auto" w:fill="FFFFFF"/>
        </w:rPr>
        <w:t xml:space="preserve"> el</w:t>
      </w:r>
      <w:r w:rsidR="008A7097">
        <w:rPr>
          <w:rFonts w:ascii="Times New Roman" w:hAnsi="Times New Roman" w:cs="Times New Roman"/>
          <w:color w:val="FF0000"/>
          <w:sz w:val="24"/>
          <w:szCs w:val="24"/>
          <w:shd w:val="clear" w:color="auto" w:fill="FFFFFF"/>
        </w:rPr>
        <w:t xml:space="preserve"> Tribunal Constitucional</w:t>
      </w:r>
      <w:r w:rsidRPr="00046F57">
        <w:rPr>
          <w:rFonts w:ascii="Times New Roman" w:hAnsi="Times New Roman" w:cs="Times New Roman"/>
          <w:color w:val="FF0000"/>
          <w:sz w:val="24"/>
          <w:szCs w:val="24"/>
          <w:shd w:val="clear" w:color="auto" w:fill="FFFFFF"/>
        </w:rPr>
        <w:t xml:space="preserve"> se ha transformado en un Tribunal Supremo, del Tribunal Supremo, alterando el espíritu de la Constitución Española. El Tribunal Constitucional está permitiendo utilizar la justicia para transformar el poder presidencial.</w:t>
      </w:r>
    </w:p>
    <w:p w:rsidR="007E438D" w:rsidRPr="00046F57" w:rsidRDefault="007E438D" w:rsidP="007E438D">
      <w:pPr>
        <w:spacing w:line="240" w:lineRule="auto"/>
        <w:jc w:val="both"/>
        <w:rPr>
          <w:rFonts w:ascii="Times New Roman" w:hAnsi="Times New Roman" w:cs="Times New Roman"/>
          <w:color w:val="FF0000"/>
          <w:sz w:val="24"/>
          <w:szCs w:val="24"/>
          <w:shd w:val="clear" w:color="auto" w:fill="FFFFFF"/>
        </w:rPr>
      </w:pPr>
      <w:r w:rsidRPr="00046F57">
        <w:rPr>
          <w:rFonts w:ascii="Times New Roman" w:hAnsi="Times New Roman" w:cs="Times New Roman"/>
          <w:color w:val="FF0000"/>
          <w:sz w:val="24"/>
          <w:szCs w:val="24"/>
          <w:shd w:val="clear" w:color="auto" w:fill="FFFFFF"/>
        </w:rPr>
        <w:t>De todos las Instituciones y Organismos del Estado, el Tribunal Constitucional está resultando ser el más peligroso y nocivo para la democracia española, después del Poder Ejecutivo, en manos de unos jueces (que a veces no son magistrados) prevaricadores, que se dejan utilizar por la jefatura del gobierno para atender sus propios intereses (y beneficio).</w:t>
      </w:r>
    </w:p>
    <w:p w:rsidR="007E438D" w:rsidRPr="00046F57" w:rsidRDefault="007E438D" w:rsidP="007E438D">
      <w:pPr>
        <w:spacing w:line="240" w:lineRule="auto"/>
        <w:jc w:val="both"/>
        <w:rPr>
          <w:rFonts w:ascii="Times New Roman" w:hAnsi="Times New Roman" w:cs="Times New Roman"/>
          <w:color w:val="FF0000"/>
          <w:sz w:val="24"/>
          <w:szCs w:val="24"/>
          <w:shd w:val="clear" w:color="auto" w:fill="FFFFFF"/>
        </w:rPr>
      </w:pPr>
      <w:r w:rsidRPr="00046F57">
        <w:rPr>
          <w:rFonts w:ascii="Times New Roman" w:hAnsi="Times New Roman" w:cs="Times New Roman"/>
          <w:color w:val="FF0000"/>
          <w:sz w:val="24"/>
          <w:szCs w:val="24"/>
          <w:shd w:val="clear" w:color="auto" w:fill="FFFFFF"/>
        </w:rPr>
        <w:lastRenderedPageBreak/>
        <w:t xml:space="preserve">Por ello, sin “memoria económica” -ni falta que hace, para el caso-, pero con “memoria histórica” -por la cuenta que nos trae- propongo que el Tribunal Constitucional pase a ser una Sala del Tribunal Supremo, para encargarse de aquellos casos en que podrían verse alterados los derechos fundamentales (garantías constitucionales).  </w:t>
      </w:r>
    </w:p>
    <w:p w:rsidR="007E438D" w:rsidRPr="00E511B2" w:rsidRDefault="007E438D" w:rsidP="007E438D">
      <w:pPr>
        <w:spacing w:line="240" w:lineRule="auto"/>
        <w:jc w:val="both"/>
        <w:rPr>
          <w:rFonts w:ascii="Times New Roman" w:hAnsi="Times New Roman" w:cs="Times New Roman"/>
          <w:color w:val="FF0000"/>
          <w:sz w:val="24"/>
          <w:szCs w:val="24"/>
          <w:shd w:val="clear" w:color="auto" w:fill="FFFFFF"/>
        </w:rPr>
      </w:pPr>
      <w:r w:rsidRPr="00E511B2">
        <w:rPr>
          <w:rFonts w:ascii="Times New Roman" w:hAnsi="Times New Roman" w:cs="Times New Roman"/>
          <w:color w:val="FF0000"/>
          <w:sz w:val="24"/>
          <w:szCs w:val="24"/>
          <w:shd w:val="clear" w:color="auto" w:fill="FFFFFF"/>
        </w:rPr>
        <w:t>- Eliminar el Consejo de Estado (tanto nacional, como autonómicos)</w:t>
      </w:r>
    </w:p>
    <w:p w:rsidR="007E438D" w:rsidRPr="00F1414E" w:rsidRDefault="007E438D" w:rsidP="007E438D">
      <w:pPr>
        <w:spacing w:line="240" w:lineRule="auto"/>
        <w:jc w:val="both"/>
        <w:rPr>
          <w:rFonts w:ascii="Times New Roman" w:hAnsi="Times New Roman" w:cs="Times New Roman"/>
          <w:color w:val="000000"/>
          <w:sz w:val="24"/>
          <w:szCs w:val="24"/>
          <w:shd w:val="clear" w:color="auto" w:fill="FFFFFF"/>
        </w:rPr>
      </w:pPr>
      <w:r w:rsidRPr="00F1414E">
        <w:rPr>
          <w:rFonts w:ascii="Times New Roman" w:hAnsi="Times New Roman" w:cs="Times New Roman"/>
          <w:color w:val="000000"/>
          <w:sz w:val="24"/>
          <w:szCs w:val="24"/>
          <w:shd w:val="clear" w:color="auto" w:fill="FFFFFF"/>
        </w:rPr>
        <w:t xml:space="preserve">El Consejo de Estado es un órgano consultivo independiente del gobierno, según la Ley Orgánica del Consejo de Estado. </w:t>
      </w:r>
    </w:p>
    <w:p w:rsidR="007E438D" w:rsidRDefault="007E438D" w:rsidP="007E438D">
      <w:pPr>
        <w:spacing w:line="240" w:lineRule="auto"/>
        <w:jc w:val="both"/>
        <w:rPr>
          <w:rFonts w:ascii="Times New Roman" w:hAnsi="Times New Roman" w:cs="Times New Roman"/>
          <w:color w:val="000000"/>
          <w:sz w:val="24"/>
          <w:szCs w:val="24"/>
          <w:shd w:val="clear" w:color="auto" w:fill="FFFFFF"/>
        </w:rPr>
      </w:pPr>
      <w:r w:rsidRPr="00F1414E">
        <w:rPr>
          <w:rFonts w:ascii="Times New Roman" w:hAnsi="Times New Roman" w:cs="Times New Roman"/>
          <w:color w:val="000000"/>
          <w:sz w:val="24"/>
          <w:szCs w:val="24"/>
          <w:shd w:val="clear" w:color="auto" w:fill="FFFFFF"/>
        </w:rPr>
        <w:t>Su función principal es asesorar al gobierno en asuntos de interés público y resolver conflictos entre la administración y los ciudadanos, según el Consejo de Estado.</w:t>
      </w:r>
    </w:p>
    <w:p w:rsidR="007E438D" w:rsidRPr="00F1414E" w:rsidRDefault="007E438D" w:rsidP="007E438D">
      <w:pPr>
        <w:spacing w:line="240" w:lineRule="auto"/>
        <w:jc w:val="both"/>
        <w:rPr>
          <w:rFonts w:ascii="Times New Roman" w:hAnsi="Times New Roman" w:cs="Times New Roman"/>
          <w:color w:val="000000"/>
          <w:sz w:val="24"/>
          <w:szCs w:val="24"/>
          <w:shd w:val="clear" w:color="auto" w:fill="FFFFFF"/>
        </w:rPr>
      </w:pPr>
      <w:r w:rsidRPr="00F1414E">
        <w:rPr>
          <w:rFonts w:ascii="Times New Roman" w:hAnsi="Times New Roman" w:cs="Times New Roman"/>
          <w:color w:val="000000"/>
          <w:sz w:val="24"/>
          <w:szCs w:val="24"/>
          <w:shd w:val="clear" w:color="auto" w:fill="FFFFFF"/>
        </w:rPr>
        <w:t xml:space="preserve">El Consejo de Estado, como máximo órgano consultivo del Gobierno en España, tiene un presupuesto anual de 14,69 millones de euros. Además, sus miembros, como el presidente y los consejeros permanentes, tienen asignadas retribuciones anuales que varían según su cargo. Por ejemplo, el presidente percibe 82.579 euros brutos al año, mientras que los consejeros permanentes reciben 103.204 euros </w:t>
      </w:r>
      <w:r>
        <w:rPr>
          <w:rFonts w:ascii="Times New Roman" w:hAnsi="Times New Roman" w:cs="Times New Roman"/>
          <w:color w:val="000000"/>
          <w:sz w:val="24"/>
          <w:szCs w:val="24"/>
          <w:shd w:val="clear" w:color="auto" w:fill="FFFFFF"/>
        </w:rPr>
        <w:t xml:space="preserve">brutos anuales, según Newtral. </w:t>
      </w:r>
    </w:p>
    <w:p w:rsidR="007E438D" w:rsidRPr="00F1414E" w:rsidRDefault="007E438D" w:rsidP="007E438D">
      <w:pPr>
        <w:spacing w:line="240" w:lineRule="auto"/>
        <w:jc w:val="both"/>
        <w:rPr>
          <w:rFonts w:ascii="Times New Roman" w:hAnsi="Times New Roman" w:cs="Times New Roman"/>
          <w:color w:val="000000"/>
          <w:sz w:val="24"/>
          <w:szCs w:val="24"/>
          <w:shd w:val="clear" w:color="auto" w:fill="FFFFFF"/>
        </w:rPr>
      </w:pPr>
      <w:r w:rsidRPr="00F1414E">
        <w:rPr>
          <w:rFonts w:ascii="Times New Roman" w:hAnsi="Times New Roman" w:cs="Times New Roman"/>
          <w:color w:val="000000"/>
          <w:sz w:val="24"/>
          <w:szCs w:val="24"/>
          <w:shd w:val="clear" w:color="auto" w:fill="FFFFFF"/>
        </w:rPr>
        <w:t xml:space="preserve">Presupuesto anual: 14,69 millones de euros. </w:t>
      </w:r>
    </w:p>
    <w:p w:rsidR="007E438D" w:rsidRPr="00F1414E" w:rsidRDefault="007E438D" w:rsidP="007E438D">
      <w:pPr>
        <w:spacing w:line="240" w:lineRule="auto"/>
        <w:jc w:val="both"/>
        <w:rPr>
          <w:rFonts w:ascii="Times New Roman" w:hAnsi="Times New Roman" w:cs="Times New Roman"/>
          <w:color w:val="000000"/>
          <w:sz w:val="24"/>
          <w:szCs w:val="24"/>
          <w:shd w:val="clear" w:color="auto" w:fill="FFFFFF"/>
        </w:rPr>
      </w:pPr>
      <w:r w:rsidRPr="00F1414E">
        <w:rPr>
          <w:rFonts w:ascii="Times New Roman" w:hAnsi="Times New Roman" w:cs="Times New Roman"/>
          <w:color w:val="000000"/>
          <w:sz w:val="24"/>
          <w:szCs w:val="24"/>
          <w:shd w:val="clear" w:color="auto" w:fill="FFFFFF"/>
        </w:rPr>
        <w:t xml:space="preserve">Salario del Presidente: 82.579 euros brutos anuales. </w:t>
      </w:r>
    </w:p>
    <w:p w:rsidR="007E438D" w:rsidRPr="00F1414E" w:rsidRDefault="007E438D" w:rsidP="007E438D">
      <w:pPr>
        <w:spacing w:line="240" w:lineRule="auto"/>
        <w:jc w:val="both"/>
        <w:rPr>
          <w:rFonts w:ascii="Times New Roman" w:hAnsi="Times New Roman" w:cs="Times New Roman"/>
          <w:color w:val="000000"/>
          <w:sz w:val="24"/>
          <w:szCs w:val="24"/>
          <w:shd w:val="clear" w:color="auto" w:fill="FFFFFF"/>
        </w:rPr>
      </w:pPr>
      <w:r w:rsidRPr="00F1414E">
        <w:rPr>
          <w:rFonts w:ascii="Times New Roman" w:hAnsi="Times New Roman" w:cs="Times New Roman"/>
          <w:color w:val="000000"/>
          <w:sz w:val="24"/>
          <w:szCs w:val="24"/>
          <w:shd w:val="clear" w:color="auto" w:fill="FFFFFF"/>
        </w:rPr>
        <w:t xml:space="preserve">Salario de los Consejeros Permanentes: 103.204 euros brutos anuales. </w:t>
      </w:r>
    </w:p>
    <w:p w:rsidR="007E438D" w:rsidRPr="00F1414E" w:rsidRDefault="007E438D" w:rsidP="007E438D">
      <w:pPr>
        <w:spacing w:line="240" w:lineRule="auto"/>
        <w:jc w:val="both"/>
        <w:rPr>
          <w:rFonts w:ascii="Times New Roman" w:hAnsi="Times New Roman" w:cs="Times New Roman"/>
          <w:color w:val="000000"/>
          <w:sz w:val="24"/>
          <w:szCs w:val="24"/>
          <w:shd w:val="clear" w:color="auto" w:fill="FFFFFF"/>
        </w:rPr>
      </w:pPr>
      <w:r w:rsidRPr="00F1414E">
        <w:rPr>
          <w:rFonts w:ascii="Times New Roman" w:hAnsi="Times New Roman" w:cs="Times New Roman"/>
          <w:color w:val="000000"/>
          <w:sz w:val="24"/>
          <w:szCs w:val="24"/>
          <w:shd w:val="clear" w:color="auto" w:fill="FFFFFF"/>
        </w:rPr>
        <w:t xml:space="preserve">Retribuciones adicionales: Los consejeros natos y electivos reciben retribución por asistencia al Pleno, que puede alcanzar los 974,16€ mensuales, según el Consejo de Estado. </w:t>
      </w:r>
    </w:p>
    <w:p w:rsidR="007E438D" w:rsidRDefault="007E438D" w:rsidP="007E438D">
      <w:pPr>
        <w:spacing w:line="240" w:lineRule="auto"/>
        <w:jc w:val="both"/>
        <w:rPr>
          <w:rFonts w:ascii="Times New Roman" w:hAnsi="Times New Roman" w:cs="Times New Roman"/>
          <w:color w:val="000000"/>
          <w:sz w:val="24"/>
          <w:szCs w:val="24"/>
          <w:shd w:val="clear" w:color="auto" w:fill="FFFFFF"/>
        </w:rPr>
      </w:pPr>
      <w:r w:rsidRPr="00F1414E">
        <w:rPr>
          <w:rFonts w:ascii="Times New Roman" w:hAnsi="Times New Roman" w:cs="Times New Roman"/>
          <w:color w:val="000000"/>
          <w:sz w:val="24"/>
          <w:szCs w:val="24"/>
          <w:shd w:val="clear" w:color="auto" w:fill="FFFFFF"/>
        </w:rPr>
        <w:t xml:space="preserve">Gastos de funcionamiento: El presupuesto incluye también gastos de funcionamiento, como personal, material, servicios y viajes. </w:t>
      </w:r>
    </w:p>
    <w:p w:rsidR="007E438D" w:rsidRPr="00C560CA" w:rsidRDefault="007E438D" w:rsidP="007E438D">
      <w:pPr>
        <w:spacing w:line="240" w:lineRule="auto"/>
        <w:jc w:val="both"/>
        <w:rPr>
          <w:rFonts w:ascii="Times New Roman" w:hAnsi="Times New Roman" w:cs="Times New Roman"/>
          <w:color w:val="000000"/>
          <w:sz w:val="24"/>
          <w:szCs w:val="24"/>
          <w:shd w:val="clear" w:color="auto" w:fill="FFFFFF"/>
        </w:rPr>
      </w:pPr>
      <w:r w:rsidRPr="00C560CA">
        <w:rPr>
          <w:rFonts w:ascii="Times New Roman" w:hAnsi="Times New Roman" w:cs="Times New Roman"/>
          <w:color w:val="000000"/>
          <w:sz w:val="24"/>
          <w:szCs w:val="24"/>
          <w:shd w:val="clear" w:color="auto" w:fill="FFFFFF"/>
        </w:rPr>
        <w:t xml:space="preserve">En la actualidad ningún ex presidente está en el Consejo. Zapatero estuvo desde 2012 a 2015, cuando abandonó este órgano al ocupar la presidencia del Consejo Asesor de la fundación alemana Instituto para la Diplomacia Cultural. Lo mismo ocurrió con su antecesor en el Gobierno, José María Aznar, que se incorporó al Consejo de Estado 2005, pero renunció al año, para ser consejero del grupo de medios de News Corporation, según informó El País. En cambio, el último ex presidente, Mariano Rajoy, no ha solicitado por el momento entrar en este órgano. </w:t>
      </w:r>
      <w:r>
        <w:rPr>
          <w:rFonts w:ascii="Times New Roman" w:hAnsi="Times New Roman" w:cs="Times New Roman"/>
          <w:color w:val="000000"/>
          <w:sz w:val="24"/>
          <w:szCs w:val="24"/>
          <w:shd w:val="clear" w:color="auto" w:fill="FFFFFF"/>
        </w:rPr>
        <w:t>(newtral.es - 25/11/20)</w:t>
      </w:r>
    </w:p>
    <w:p w:rsidR="007E438D" w:rsidRPr="00C560CA" w:rsidRDefault="007E438D" w:rsidP="007E438D">
      <w:pPr>
        <w:spacing w:line="240" w:lineRule="auto"/>
        <w:jc w:val="both"/>
        <w:rPr>
          <w:rFonts w:ascii="Times New Roman" w:hAnsi="Times New Roman" w:cs="Times New Roman"/>
          <w:color w:val="000000"/>
          <w:sz w:val="24"/>
          <w:szCs w:val="24"/>
          <w:shd w:val="clear" w:color="auto" w:fill="FFFFFF"/>
        </w:rPr>
      </w:pPr>
      <w:r w:rsidRPr="00C560CA">
        <w:rPr>
          <w:rFonts w:ascii="Times New Roman" w:hAnsi="Times New Roman" w:cs="Times New Roman"/>
          <w:color w:val="000000"/>
          <w:sz w:val="24"/>
          <w:szCs w:val="24"/>
          <w:shd w:val="clear" w:color="auto" w:fill="FFFFFF"/>
        </w:rPr>
        <w:t>El resto de cargos que tienen asignado directamente el puesto de consejero nato son el director de la Real Academia Española (RAE), la Fiscal General del Estado y el Jefe del Estado Mayor de la Defensa, entre otros. En el momento en el que dejan de ocupar ese puesto abandonan también el cargo de consejero. En to</w:t>
      </w:r>
      <w:r>
        <w:rPr>
          <w:rFonts w:ascii="Times New Roman" w:hAnsi="Times New Roman" w:cs="Times New Roman"/>
          <w:color w:val="000000"/>
          <w:sz w:val="24"/>
          <w:szCs w:val="24"/>
          <w:shd w:val="clear" w:color="auto" w:fill="FFFFFF"/>
        </w:rPr>
        <w:t>tal hay nueve consejeros natos.</w:t>
      </w:r>
    </w:p>
    <w:p w:rsidR="007E438D" w:rsidRPr="00C560CA" w:rsidRDefault="007E438D" w:rsidP="007E438D">
      <w:pPr>
        <w:spacing w:line="240" w:lineRule="auto"/>
        <w:jc w:val="both"/>
        <w:rPr>
          <w:rFonts w:ascii="Times New Roman" w:hAnsi="Times New Roman" w:cs="Times New Roman"/>
          <w:color w:val="000000"/>
          <w:sz w:val="24"/>
          <w:szCs w:val="24"/>
          <w:shd w:val="clear" w:color="auto" w:fill="FFFFFF"/>
        </w:rPr>
      </w:pPr>
      <w:r w:rsidRPr="00C560CA">
        <w:rPr>
          <w:rFonts w:ascii="Times New Roman" w:hAnsi="Times New Roman" w:cs="Times New Roman"/>
          <w:color w:val="000000"/>
          <w:sz w:val="24"/>
          <w:szCs w:val="24"/>
          <w:shd w:val="clear" w:color="auto" w:fill="FFFFFF"/>
        </w:rPr>
        <w:t>En cuanto a los consejeros electivos, son diez y les nombra el Gobierno por un período de cuatro años, entre personas que hayan ocupado alguno de los siguientes puestos: diputado, senador, ministro, secretario de Estado, magistrado en el Tribunal Constitucional, Defensor del Pueblo, Presidente o vocal del CGPJ, alcalde de capital de provincia o rector de universidad. Por ejemplo, en la actualidad, Soraya Sáenz de Santamaría, ex vicepresidenta del Gobierno de Ra</w:t>
      </w:r>
      <w:r>
        <w:rPr>
          <w:rFonts w:ascii="Times New Roman" w:hAnsi="Times New Roman" w:cs="Times New Roman"/>
          <w:color w:val="000000"/>
          <w:sz w:val="24"/>
          <w:szCs w:val="24"/>
          <w:shd w:val="clear" w:color="auto" w:fill="FFFFFF"/>
        </w:rPr>
        <w:t xml:space="preserve">joy, es consejera.  </w:t>
      </w:r>
    </w:p>
    <w:p w:rsidR="007E438D" w:rsidRPr="00C560CA" w:rsidRDefault="007E438D" w:rsidP="007E438D">
      <w:pPr>
        <w:spacing w:line="240" w:lineRule="auto"/>
        <w:jc w:val="both"/>
        <w:rPr>
          <w:rFonts w:ascii="Times New Roman" w:hAnsi="Times New Roman" w:cs="Times New Roman"/>
          <w:color w:val="000000"/>
          <w:sz w:val="24"/>
          <w:szCs w:val="24"/>
          <w:shd w:val="clear" w:color="auto" w:fill="FFFFFF"/>
        </w:rPr>
      </w:pPr>
      <w:r w:rsidRPr="00C560CA">
        <w:rPr>
          <w:rFonts w:ascii="Times New Roman" w:hAnsi="Times New Roman" w:cs="Times New Roman"/>
          <w:color w:val="000000"/>
          <w:sz w:val="24"/>
          <w:szCs w:val="24"/>
          <w:shd w:val="clear" w:color="auto" w:fill="FFFFFF"/>
        </w:rPr>
        <w:t xml:space="preserve">Y por último, están los consejeros permanentes, son tantos como secciones tiene el Consejo, nueve en total. Éstos son nombrados, sin límite de tiempo, por real decreto entre personas que estén o hayan estado comprendidas en alguna de las categorías siguientes: ministro, consejero </w:t>
      </w:r>
      <w:r w:rsidRPr="00C560CA">
        <w:rPr>
          <w:rFonts w:ascii="Times New Roman" w:hAnsi="Times New Roman" w:cs="Times New Roman"/>
          <w:color w:val="000000"/>
          <w:sz w:val="24"/>
          <w:szCs w:val="24"/>
          <w:shd w:val="clear" w:color="auto" w:fill="FFFFFF"/>
        </w:rPr>
        <w:lastRenderedPageBreak/>
        <w:t>de Estado, ex gobernadores del Banco de España, miembros de los Consejos consultivos u órganos equivalentes de las Comunidades Autónomas, entre otros.</w:t>
      </w:r>
    </w:p>
    <w:p w:rsidR="007E438D" w:rsidRPr="00C560CA" w:rsidRDefault="007E438D" w:rsidP="007E438D">
      <w:pPr>
        <w:spacing w:line="240" w:lineRule="auto"/>
        <w:jc w:val="both"/>
        <w:rPr>
          <w:rFonts w:ascii="Times New Roman" w:hAnsi="Times New Roman" w:cs="Times New Roman"/>
          <w:color w:val="000000"/>
          <w:sz w:val="24"/>
          <w:szCs w:val="24"/>
          <w:shd w:val="clear" w:color="auto" w:fill="FFFFFF"/>
        </w:rPr>
      </w:pPr>
      <w:r w:rsidRPr="00C560CA">
        <w:rPr>
          <w:rFonts w:ascii="Times New Roman" w:hAnsi="Times New Roman" w:cs="Times New Roman"/>
          <w:color w:val="000000"/>
          <w:sz w:val="24"/>
          <w:szCs w:val="24"/>
          <w:shd w:val="clear" w:color="auto" w:fill="FFFFFF"/>
        </w:rPr>
        <w:t xml:space="preserve">El art. 107 de la Constitución Española califica al Consejo de Estado como “el supremo órgano consultivo del Gobierno”, que vela por la observancia de la Constitución y del resto del ordenamiento jurídico. También vela “por el correcto funcionamiento de la Administración Pública, contribuyendo así a salvaguardar los derechos de los ciudadanos”, explican desde el propio Consejo. </w:t>
      </w:r>
    </w:p>
    <w:p w:rsidR="007E438D" w:rsidRPr="00C560CA" w:rsidRDefault="007E438D" w:rsidP="007E438D">
      <w:pPr>
        <w:spacing w:line="240" w:lineRule="auto"/>
        <w:jc w:val="both"/>
        <w:rPr>
          <w:rFonts w:ascii="Times New Roman" w:hAnsi="Times New Roman" w:cs="Times New Roman"/>
          <w:color w:val="000000"/>
          <w:sz w:val="24"/>
          <w:szCs w:val="24"/>
          <w:shd w:val="clear" w:color="auto" w:fill="FFFFFF"/>
        </w:rPr>
      </w:pPr>
      <w:r w:rsidRPr="00C560CA">
        <w:rPr>
          <w:rFonts w:ascii="Times New Roman" w:hAnsi="Times New Roman" w:cs="Times New Roman"/>
          <w:color w:val="000000"/>
          <w:sz w:val="24"/>
          <w:szCs w:val="24"/>
          <w:shd w:val="clear" w:color="auto" w:fill="FFFFFF"/>
        </w:rPr>
        <w:t>Su función principal es exclusivamente consultiva, y se limita a emitir dictámenes a petición de la autoridad consultante. Es decir, en el dictamen, recoge su criterio u opinión sobre el asunto por el que ha sido consultado y puede proponer una solución más “adecuada”, pero no es vinculante. Según recoge en su web, estos documentos “contienen reflexiones serenas desde la objetividad e independencia y con sometimiento pleno a la Constitución y al re</w:t>
      </w:r>
      <w:r>
        <w:rPr>
          <w:rFonts w:ascii="Times New Roman" w:hAnsi="Times New Roman" w:cs="Times New Roman"/>
          <w:color w:val="000000"/>
          <w:sz w:val="24"/>
          <w:szCs w:val="24"/>
          <w:shd w:val="clear" w:color="auto" w:fill="FFFFFF"/>
        </w:rPr>
        <w:t>sto del ordenamiento jurídico”.</w:t>
      </w:r>
    </w:p>
    <w:p w:rsidR="007E438D" w:rsidRPr="00C560CA" w:rsidRDefault="007E438D" w:rsidP="007E438D">
      <w:pPr>
        <w:spacing w:line="240" w:lineRule="auto"/>
        <w:jc w:val="both"/>
        <w:rPr>
          <w:rFonts w:ascii="Times New Roman" w:hAnsi="Times New Roman" w:cs="Times New Roman"/>
          <w:color w:val="000000"/>
          <w:sz w:val="24"/>
          <w:szCs w:val="24"/>
          <w:shd w:val="clear" w:color="auto" w:fill="FFFFFF"/>
        </w:rPr>
      </w:pPr>
      <w:r w:rsidRPr="00C560CA">
        <w:rPr>
          <w:rFonts w:ascii="Times New Roman" w:hAnsi="Times New Roman" w:cs="Times New Roman"/>
          <w:color w:val="000000"/>
          <w:sz w:val="24"/>
          <w:szCs w:val="24"/>
          <w:shd w:val="clear" w:color="auto" w:fill="FFFFFF"/>
        </w:rPr>
        <w:t xml:space="preserve">¿Quién puede acudir al Consejo de Estado?: el Presidente del Gobierno, los Ministros, y los presidentes de las Comunidades Autónomas, u otros organismos, pueden enviar sus consultas a este organismo. </w:t>
      </w:r>
      <w:r>
        <w:rPr>
          <w:rFonts w:ascii="Times New Roman" w:hAnsi="Times New Roman" w:cs="Times New Roman"/>
          <w:color w:val="000000"/>
          <w:sz w:val="24"/>
          <w:szCs w:val="24"/>
          <w:shd w:val="clear" w:color="auto" w:fill="FFFFFF"/>
        </w:rPr>
        <w:t>Pero también, los particulares.</w:t>
      </w:r>
    </w:p>
    <w:p w:rsidR="007E438D" w:rsidRPr="00C560CA" w:rsidRDefault="007E438D" w:rsidP="007E438D">
      <w:pPr>
        <w:spacing w:line="240" w:lineRule="auto"/>
        <w:jc w:val="both"/>
        <w:rPr>
          <w:rFonts w:ascii="Times New Roman" w:hAnsi="Times New Roman" w:cs="Times New Roman"/>
          <w:color w:val="000000"/>
          <w:sz w:val="24"/>
          <w:szCs w:val="24"/>
          <w:shd w:val="clear" w:color="auto" w:fill="FFFFFF"/>
        </w:rPr>
      </w:pPr>
      <w:r w:rsidRPr="00C560CA">
        <w:rPr>
          <w:rFonts w:ascii="Times New Roman" w:hAnsi="Times New Roman" w:cs="Times New Roman"/>
          <w:color w:val="000000"/>
          <w:sz w:val="24"/>
          <w:szCs w:val="24"/>
          <w:shd w:val="clear" w:color="auto" w:fill="FFFFFF"/>
        </w:rPr>
        <w:t>Hay ciertas cuestiones que deben pasar directamente por la institución para que dé el visto bueno o malo, como son las directivas europeas o la reforma de la Constitución. Los dictámenes pueden ser de naturaleza normativa como sobre anteproyectos de ley; decretos legislativos, reales decretos, y de carácter administrativo como reclamaciones de responsabilidad patrimonial, cambios de nom</w:t>
      </w:r>
      <w:r>
        <w:rPr>
          <w:rFonts w:ascii="Times New Roman" w:hAnsi="Times New Roman" w:cs="Times New Roman"/>
          <w:color w:val="000000"/>
          <w:sz w:val="24"/>
          <w:szCs w:val="24"/>
          <w:shd w:val="clear" w:color="auto" w:fill="FFFFFF"/>
        </w:rPr>
        <w:t xml:space="preserve">bres y apellidos, entre otros. </w:t>
      </w:r>
    </w:p>
    <w:p w:rsidR="007E438D" w:rsidRPr="00C560CA" w:rsidRDefault="007E438D" w:rsidP="007E438D">
      <w:pPr>
        <w:spacing w:line="240" w:lineRule="auto"/>
        <w:jc w:val="both"/>
        <w:rPr>
          <w:rFonts w:ascii="Times New Roman" w:hAnsi="Times New Roman" w:cs="Times New Roman"/>
          <w:color w:val="000000"/>
          <w:sz w:val="24"/>
          <w:szCs w:val="24"/>
          <w:shd w:val="clear" w:color="auto" w:fill="FFFFFF"/>
        </w:rPr>
      </w:pPr>
      <w:r w:rsidRPr="00C560CA">
        <w:rPr>
          <w:rFonts w:ascii="Times New Roman" w:hAnsi="Times New Roman" w:cs="Times New Roman"/>
          <w:color w:val="000000"/>
          <w:sz w:val="24"/>
          <w:szCs w:val="24"/>
          <w:shd w:val="clear" w:color="auto" w:fill="FFFFFF"/>
        </w:rPr>
        <w:t>Por otra parte, el Consejo de Estado también puede elaborar estudios, informes o memorias a petición del Presidente del Gobierno o de un Ministro, así como las propuestas legislativas o de reforma constitucional que el Gobierno encomiende. Asimismo, está facultado para elevar al Gobierno mociones sobre cualquier asunto que la práctica y experienci</w:t>
      </w:r>
      <w:r>
        <w:rPr>
          <w:rFonts w:ascii="Times New Roman" w:hAnsi="Times New Roman" w:cs="Times New Roman"/>
          <w:color w:val="000000"/>
          <w:sz w:val="24"/>
          <w:szCs w:val="24"/>
          <w:shd w:val="clear" w:color="auto" w:fill="FFFFFF"/>
        </w:rPr>
        <w:t>a de sus funciones le permitan.</w:t>
      </w:r>
    </w:p>
    <w:p w:rsidR="007E438D" w:rsidRDefault="007E438D" w:rsidP="007E438D">
      <w:pPr>
        <w:spacing w:line="240" w:lineRule="auto"/>
        <w:jc w:val="both"/>
        <w:rPr>
          <w:rFonts w:ascii="Times New Roman" w:hAnsi="Times New Roman" w:cs="Times New Roman"/>
          <w:color w:val="000000"/>
          <w:sz w:val="24"/>
          <w:szCs w:val="24"/>
          <w:shd w:val="clear" w:color="auto" w:fill="FFFFFF"/>
        </w:rPr>
      </w:pPr>
      <w:r w:rsidRPr="00C560CA">
        <w:rPr>
          <w:rFonts w:ascii="Times New Roman" w:hAnsi="Times New Roman" w:cs="Times New Roman"/>
          <w:color w:val="000000"/>
          <w:sz w:val="24"/>
          <w:szCs w:val="24"/>
          <w:shd w:val="clear" w:color="auto" w:fill="FFFFFF"/>
        </w:rPr>
        <w:t xml:space="preserve">El Consejo de Estado ofrece información económica e institucional a través de su propio portal de transparencia. Hace públicas las retribuciones correspondientes a 2019, aunque no encontramos quién es la persona que ocupa cada cargo y cuánto le corresponde; se pueden consultar las funciones, la normativa reguladora, y los ingresos y gastos, los cuales tienen actualizados al tercer trimestre del 2020. Además, suben a su web la contratación que realizan, </w:t>
      </w:r>
      <w:r>
        <w:rPr>
          <w:rFonts w:ascii="Times New Roman" w:hAnsi="Times New Roman" w:cs="Times New Roman"/>
          <w:color w:val="000000"/>
          <w:sz w:val="24"/>
          <w:szCs w:val="24"/>
          <w:shd w:val="clear" w:color="auto" w:fill="FFFFFF"/>
        </w:rPr>
        <w:t xml:space="preserve">también actualizada a este año. </w:t>
      </w:r>
      <w:r w:rsidRPr="00C560CA">
        <w:rPr>
          <w:rFonts w:ascii="Times New Roman" w:hAnsi="Times New Roman" w:cs="Times New Roman"/>
          <w:color w:val="000000"/>
          <w:sz w:val="24"/>
          <w:szCs w:val="24"/>
          <w:shd w:val="clear" w:color="auto" w:fill="FFFFFF"/>
        </w:rPr>
        <w:t xml:space="preserve">En el mismo portal y en su web recogen los dictámenes publicados cada semana desde 2013. </w:t>
      </w:r>
    </w:p>
    <w:p w:rsidR="007E438D" w:rsidRPr="00046F57" w:rsidRDefault="007E438D" w:rsidP="007E438D">
      <w:pPr>
        <w:spacing w:line="240" w:lineRule="auto"/>
        <w:jc w:val="both"/>
        <w:rPr>
          <w:rFonts w:ascii="Times New Roman" w:hAnsi="Times New Roman" w:cs="Times New Roman"/>
          <w:color w:val="FF0000"/>
          <w:sz w:val="24"/>
          <w:szCs w:val="24"/>
          <w:shd w:val="clear" w:color="auto" w:fill="FFFFFF"/>
        </w:rPr>
      </w:pPr>
      <w:r w:rsidRPr="00046F57">
        <w:rPr>
          <w:rFonts w:ascii="Times New Roman" w:hAnsi="Times New Roman" w:cs="Times New Roman"/>
          <w:b/>
          <w:color w:val="FF0000"/>
          <w:sz w:val="24"/>
          <w:szCs w:val="24"/>
          <w:shd w:val="clear" w:color="auto" w:fill="FFFFFF"/>
        </w:rPr>
        <w:t>Nota</w:t>
      </w:r>
      <w:r w:rsidRPr="00046F57">
        <w:rPr>
          <w:rFonts w:ascii="Times New Roman" w:hAnsi="Times New Roman" w:cs="Times New Roman"/>
          <w:color w:val="FF0000"/>
          <w:sz w:val="24"/>
          <w:szCs w:val="24"/>
          <w:shd w:val="clear" w:color="auto" w:fill="FFFFFF"/>
        </w:rPr>
        <w:t>: en los más de 35 años que resido en España (aunque visito más de 12 periódicos nacionales y extranjeros por Internet a diario -los 7 días de la semana-, además de informes de organismos internacionales -Comisión Europea, Eurostat, FMI, OCDE, OIT, Banco Mundial…-, nunca (jamás) he leído algún dictamen presentado por el Consejo de Estado.</w:t>
      </w:r>
    </w:p>
    <w:p w:rsidR="007E438D" w:rsidRPr="00046F57" w:rsidRDefault="007E438D" w:rsidP="007E438D">
      <w:pPr>
        <w:spacing w:line="240" w:lineRule="auto"/>
        <w:jc w:val="both"/>
        <w:rPr>
          <w:rFonts w:ascii="Times New Roman" w:hAnsi="Times New Roman" w:cs="Times New Roman"/>
          <w:color w:val="FF0000"/>
          <w:sz w:val="24"/>
          <w:szCs w:val="24"/>
          <w:shd w:val="clear" w:color="auto" w:fill="FFFFFF"/>
        </w:rPr>
      </w:pPr>
      <w:r w:rsidRPr="00046F57">
        <w:rPr>
          <w:rFonts w:ascii="Times New Roman" w:hAnsi="Times New Roman" w:cs="Times New Roman"/>
          <w:color w:val="FF0000"/>
          <w:sz w:val="24"/>
          <w:szCs w:val="24"/>
          <w:shd w:val="clear" w:color="auto" w:fill="FFFFFF"/>
        </w:rPr>
        <w:t>En mi opinión (humildemente) es un “cementerio de elefantes” de la política, donde se aparcan los “jarrones chinos”, para que cobren una “paguita” y no molest</w:t>
      </w:r>
      <w:r>
        <w:rPr>
          <w:rFonts w:ascii="Times New Roman" w:hAnsi="Times New Roman" w:cs="Times New Roman"/>
          <w:color w:val="FF0000"/>
          <w:sz w:val="24"/>
          <w:szCs w:val="24"/>
          <w:shd w:val="clear" w:color="auto" w:fill="FFFFFF"/>
        </w:rPr>
        <w:t>en con sus historias de “abuelo</w:t>
      </w:r>
      <w:r w:rsidRPr="00046F57">
        <w:rPr>
          <w:rFonts w:ascii="Times New Roman" w:hAnsi="Times New Roman" w:cs="Times New Roman"/>
          <w:color w:val="FF0000"/>
          <w:sz w:val="24"/>
          <w:szCs w:val="24"/>
          <w:shd w:val="clear" w:color="auto" w:fill="FFFFFF"/>
        </w:rPr>
        <w:t xml:space="preserve"> cebolleta</w:t>
      </w:r>
      <w:r>
        <w:rPr>
          <w:rFonts w:ascii="Times New Roman" w:hAnsi="Times New Roman" w:cs="Times New Roman"/>
          <w:color w:val="FF0000"/>
          <w:sz w:val="24"/>
          <w:szCs w:val="24"/>
          <w:shd w:val="clear" w:color="auto" w:fill="FFFFFF"/>
        </w:rPr>
        <w:t>”</w:t>
      </w:r>
      <w:r w:rsidRPr="00046F57">
        <w:rPr>
          <w:rFonts w:ascii="Times New Roman" w:hAnsi="Times New Roman" w:cs="Times New Roman"/>
          <w:color w:val="FF0000"/>
          <w:sz w:val="24"/>
          <w:szCs w:val="24"/>
          <w:shd w:val="clear" w:color="auto" w:fill="FFFFFF"/>
        </w:rPr>
        <w:t>.</w:t>
      </w:r>
    </w:p>
    <w:p w:rsidR="007E438D" w:rsidRPr="00046F57" w:rsidRDefault="007E438D" w:rsidP="007E438D">
      <w:pPr>
        <w:spacing w:line="240" w:lineRule="auto"/>
        <w:jc w:val="both"/>
        <w:rPr>
          <w:rFonts w:ascii="Times New Roman" w:hAnsi="Times New Roman" w:cs="Times New Roman"/>
          <w:color w:val="FF0000"/>
          <w:sz w:val="24"/>
          <w:szCs w:val="24"/>
          <w:shd w:val="clear" w:color="auto" w:fill="FFFFFF"/>
        </w:rPr>
      </w:pPr>
      <w:r w:rsidRPr="00046F57">
        <w:rPr>
          <w:rFonts w:ascii="Times New Roman" w:hAnsi="Times New Roman" w:cs="Times New Roman"/>
          <w:color w:val="FF0000"/>
          <w:sz w:val="24"/>
          <w:szCs w:val="24"/>
          <w:shd w:val="clear" w:color="auto" w:fill="FFFFFF"/>
        </w:rPr>
        <w:t xml:space="preserve">Y para más inri, también hay Consejos Consultivos, en las autonomías, (que podríamos llamar “cementerios de elefantitos”) para no ser menos, y seguir chupando del bote. (Por ejemplo, el Consejo Consultivo de Canarias, que es el órgano consultivo superior de la comunidad autónoma, tiene un costo de aproximadamente 2.4 millones de euros anuales. Este </w:t>
      </w:r>
      <w:r w:rsidRPr="00046F57">
        <w:rPr>
          <w:rFonts w:ascii="Times New Roman" w:hAnsi="Times New Roman" w:cs="Times New Roman"/>
          <w:color w:val="FF0000"/>
          <w:sz w:val="24"/>
          <w:szCs w:val="24"/>
          <w:shd w:val="clear" w:color="auto" w:fill="FFFFFF"/>
        </w:rPr>
        <w:lastRenderedPageBreak/>
        <w:t>costo incluye las retribuciones de sus miembros y otros gastos relacionados con su funciona</w:t>
      </w:r>
      <w:r>
        <w:rPr>
          <w:rFonts w:ascii="Times New Roman" w:hAnsi="Times New Roman" w:cs="Times New Roman"/>
          <w:color w:val="FF0000"/>
          <w:sz w:val="24"/>
          <w:szCs w:val="24"/>
          <w:shd w:val="clear" w:color="auto" w:fill="FFFFFF"/>
        </w:rPr>
        <w:t xml:space="preserve">miento (eldiario.es - </w:t>
      </w:r>
      <w:r w:rsidRPr="008A7097">
        <w:rPr>
          <w:rFonts w:ascii="Times New Roman" w:hAnsi="Times New Roman" w:cs="Times New Roman"/>
          <w:b/>
          <w:color w:val="FF0000"/>
          <w:sz w:val="24"/>
          <w:szCs w:val="24"/>
          <w:shd w:val="clear" w:color="auto" w:fill="FFFFFF"/>
        </w:rPr>
        <w:t>24/10/24</w:t>
      </w:r>
      <w:r>
        <w:rPr>
          <w:rFonts w:ascii="Times New Roman" w:hAnsi="Times New Roman" w:cs="Times New Roman"/>
          <w:color w:val="FF0000"/>
          <w:sz w:val="24"/>
          <w:szCs w:val="24"/>
          <w:shd w:val="clear" w:color="auto" w:fill="FFFFFF"/>
        </w:rPr>
        <w:t>).</w:t>
      </w:r>
      <w:r w:rsidRPr="00046F57">
        <w:rPr>
          <w:rFonts w:ascii="Times New Roman" w:hAnsi="Times New Roman" w:cs="Times New Roman"/>
          <w:color w:val="FF0000"/>
          <w:sz w:val="24"/>
          <w:szCs w:val="24"/>
          <w:shd w:val="clear" w:color="auto" w:fill="FFFFFF"/>
        </w:rPr>
        <w:t xml:space="preserve"> </w:t>
      </w:r>
    </w:p>
    <w:p w:rsidR="007E438D" w:rsidRDefault="007E438D" w:rsidP="007E438D">
      <w:pPr>
        <w:spacing w:line="240" w:lineRule="auto"/>
        <w:jc w:val="both"/>
        <w:rPr>
          <w:rFonts w:ascii="Times New Roman" w:hAnsi="Times New Roman" w:cs="Times New Roman"/>
          <w:color w:val="FF0000"/>
          <w:sz w:val="24"/>
          <w:szCs w:val="24"/>
          <w:shd w:val="clear" w:color="auto" w:fill="FFFFFF"/>
        </w:rPr>
      </w:pPr>
      <w:r w:rsidRPr="00046F57">
        <w:rPr>
          <w:rFonts w:ascii="Times New Roman" w:hAnsi="Times New Roman" w:cs="Times New Roman"/>
          <w:color w:val="FF0000"/>
          <w:sz w:val="24"/>
          <w:szCs w:val="24"/>
          <w:shd w:val="clear" w:color="auto" w:fill="FFFFFF"/>
        </w:rPr>
        <w:t>Aunque el monto presupuestario asignado para estos Consejos (de Estado y Consultivos) “inanes”, no parece demasiado significativo, creo que tienen un valor simbólico del gasto público inútil, y endogámico.</w:t>
      </w:r>
    </w:p>
    <w:p w:rsidR="007E438D" w:rsidRDefault="007E438D" w:rsidP="007E438D">
      <w:pPr>
        <w:spacing w:line="240" w:lineRule="auto"/>
        <w:jc w:val="both"/>
        <w:rPr>
          <w:rFonts w:ascii="Times New Roman" w:hAnsi="Times New Roman" w:cs="Times New Roman"/>
          <w:color w:val="FF0000"/>
          <w:sz w:val="24"/>
          <w:szCs w:val="24"/>
          <w:shd w:val="clear" w:color="auto" w:fill="FFFFFF"/>
        </w:rPr>
      </w:pPr>
      <w:r w:rsidRPr="007A155D">
        <w:rPr>
          <w:rFonts w:ascii="Times New Roman" w:hAnsi="Times New Roman" w:cs="Times New Roman"/>
          <w:color w:val="FF0000"/>
          <w:sz w:val="24"/>
          <w:szCs w:val="24"/>
          <w:shd w:val="clear" w:color="auto" w:fill="FFFFFF"/>
        </w:rPr>
        <w:t>- Cerrar RTVE (fraccionar, vender, o liquidar)</w:t>
      </w:r>
    </w:p>
    <w:p w:rsidR="007E438D" w:rsidRDefault="007E438D" w:rsidP="007E438D">
      <w:pPr>
        <w:spacing w:line="240" w:lineRule="auto"/>
        <w:jc w:val="both"/>
        <w:rPr>
          <w:rFonts w:ascii="Times New Roman" w:hAnsi="Times New Roman" w:cs="Times New Roman"/>
          <w:sz w:val="24"/>
          <w:szCs w:val="24"/>
          <w:shd w:val="clear" w:color="auto" w:fill="FFFFFF"/>
        </w:rPr>
      </w:pPr>
      <w:r w:rsidRPr="007A155D">
        <w:rPr>
          <w:rFonts w:ascii="Times New Roman" w:hAnsi="Times New Roman" w:cs="Times New Roman"/>
          <w:sz w:val="24"/>
          <w:szCs w:val="24"/>
          <w:shd w:val="clear" w:color="auto" w:fill="FFFFFF"/>
        </w:rPr>
        <w:t>El coste de RTVE para cada ciudadano español se estima en unos 26 euros anuales, según El Economista. Este coste se deriva del presupuesto anual asignado a la Corporación RTVE, que se financia principalmente a través de impuestos y otros ingresos del Estado. Aunque el coste individual es relativamente bajo, el presupuesto total de RTVE supera los 1.000 millones de euros, lo que lo convierte en uno de los más altos de las televisiones públicas europeas.</w:t>
      </w:r>
    </w:p>
    <w:p w:rsidR="007E438D" w:rsidRPr="007A155D" w:rsidRDefault="007E438D" w:rsidP="007E438D">
      <w:pPr>
        <w:spacing w:line="240" w:lineRule="auto"/>
        <w:jc w:val="both"/>
        <w:rPr>
          <w:rFonts w:ascii="Times New Roman" w:hAnsi="Times New Roman" w:cs="Times New Roman"/>
          <w:sz w:val="24"/>
          <w:szCs w:val="24"/>
          <w:shd w:val="clear" w:color="auto" w:fill="FFFFFF"/>
        </w:rPr>
      </w:pPr>
      <w:r w:rsidRPr="007A155D">
        <w:rPr>
          <w:rFonts w:ascii="Times New Roman" w:hAnsi="Times New Roman" w:cs="Times New Roman"/>
          <w:sz w:val="24"/>
          <w:szCs w:val="24"/>
          <w:shd w:val="clear" w:color="auto" w:fill="FFFFFF"/>
        </w:rPr>
        <w:t xml:space="preserve">En RTVE trabajan aproximadamente 6.795 empleados. El salario medio anual de estos trabajadores ronda los 52.074 euros, aunque esta cifra puede variar según la categoría y la antigüedad. Para los empleados con más de 50 años, el salario medio asciende a unos 62.704 euros, según El Periódico. </w:t>
      </w:r>
    </w:p>
    <w:p w:rsidR="007E438D" w:rsidRDefault="007E438D" w:rsidP="007E438D">
      <w:pPr>
        <w:spacing w:line="240" w:lineRule="auto"/>
        <w:jc w:val="both"/>
        <w:rPr>
          <w:rFonts w:ascii="Times New Roman" w:hAnsi="Times New Roman" w:cs="Times New Roman"/>
          <w:sz w:val="24"/>
          <w:szCs w:val="24"/>
          <w:shd w:val="clear" w:color="auto" w:fill="FFFFFF"/>
        </w:rPr>
      </w:pPr>
      <w:r w:rsidRPr="007A155D">
        <w:rPr>
          <w:rFonts w:ascii="Times New Roman" w:hAnsi="Times New Roman" w:cs="Times New Roman"/>
          <w:sz w:val="24"/>
          <w:szCs w:val="24"/>
          <w:shd w:val="clear" w:color="auto" w:fill="FFFFFF"/>
        </w:rPr>
        <w:t>Aparte del salario base, los empleados de RTVE pueden recibir complementos y otros beneficios, especialmente aquellos con más años de servicio. La plantilla de RTVE está compuesta por profesionales de diversas áreas, incluyendo periodistas, técnicos, administrativos y otros perfiles necesarios para el funcionamiento de la radiotelevisión pública.</w:t>
      </w:r>
    </w:p>
    <w:p w:rsidR="007E438D" w:rsidRPr="007A155D"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A24F35">
        <w:rPr>
          <w:rFonts w:ascii="Times New Roman" w:hAnsi="Times New Roman" w:cs="Times New Roman"/>
          <w:sz w:val="24"/>
          <w:szCs w:val="24"/>
          <w:u w:val="single"/>
          <w:shd w:val="clear" w:color="auto" w:fill="FFFFFF"/>
        </w:rPr>
        <w:t>Los gastos de personal de RTVE superan en un 52% a los de Atresmedia y Mediaset juntos</w:t>
      </w:r>
      <w:r>
        <w:rPr>
          <w:rFonts w:ascii="Times New Roman" w:hAnsi="Times New Roman" w:cs="Times New Roman"/>
          <w:sz w:val="24"/>
          <w:szCs w:val="24"/>
          <w:shd w:val="clear" w:color="auto" w:fill="FFFFFF"/>
        </w:rPr>
        <w:t xml:space="preserve"> (The Objective - </w:t>
      </w:r>
      <w:r w:rsidRPr="00A24F35">
        <w:rPr>
          <w:rFonts w:ascii="Times New Roman" w:hAnsi="Times New Roman" w:cs="Times New Roman"/>
          <w:b/>
          <w:sz w:val="24"/>
          <w:szCs w:val="24"/>
          <w:shd w:val="clear" w:color="auto" w:fill="FFFFFF"/>
        </w:rPr>
        <w:t>1/10/24</w:t>
      </w:r>
      <w:r>
        <w:rPr>
          <w:rFonts w:ascii="Times New Roman" w:hAnsi="Times New Roman" w:cs="Times New Roman"/>
          <w:sz w:val="24"/>
          <w:szCs w:val="24"/>
          <w:shd w:val="clear" w:color="auto" w:fill="FFFFFF"/>
        </w:rPr>
        <w:t>)</w:t>
      </w:r>
    </w:p>
    <w:p w:rsidR="007E438D" w:rsidRPr="007A155D" w:rsidRDefault="007E438D" w:rsidP="007E438D">
      <w:pPr>
        <w:spacing w:line="240" w:lineRule="auto"/>
        <w:jc w:val="both"/>
        <w:rPr>
          <w:rFonts w:ascii="Times New Roman" w:hAnsi="Times New Roman" w:cs="Times New Roman"/>
          <w:sz w:val="24"/>
          <w:szCs w:val="24"/>
          <w:shd w:val="clear" w:color="auto" w:fill="FFFFFF"/>
        </w:rPr>
      </w:pPr>
      <w:r w:rsidRPr="007A155D">
        <w:rPr>
          <w:rFonts w:ascii="Times New Roman" w:hAnsi="Times New Roman" w:cs="Times New Roman"/>
          <w:sz w:val="24"/>
          <w:szCs w:val="24"/>
          <w:shd w:val="clear" w:color="auto" w:fill="FFFFFF"/>
        </w:rPr>
        <w:t>Los gastos de plantilla de RTVE superan en un 52% los que mantienen las dos privadas -Atresmedia y Mediaset- juntas. Los datos indican que mientras la Corporación de Radio y Televisión Española desembolsó 473 millones al cierre de 2023, sus dos principales rivales sumaron un pago de 311 millones, 162 millones menos que la pública. Una situación que, según las fuent</w:t>
      </w:r>
      <w:r>
        <w:rPr>
          <w:rFonts w:ascii="Times New Roman" w:hAnsi="Times New Roman" w:cs="Times New Roman"/>
          <w:sz w:val="24"/>
          <w:szCs w:val="24"/>
          <w:shd w:val="clear" w:color="auto" w:fill="FFFFFF"/>
        </w:rPr>
        <w:t>es consultadas por The Objective</w:t>
      </w:r>
      <w:r w:rsidRPr="007A155D">
        <w:rPr>
          <w:rFonts w:ascii="Times New Roman" w:hAnsi="Times New Roman" w:cs="Times New Roman"/>
          <w:sz w:val="24"/>
          <w:szCs w:val="24"/>
          <w:shd w:val="clear" w:color="auto" w:fill="FFFFFF"/>
        </w:rPr>
        <w:t>, refleja lo sobredimensionada que está la fuerza laboral de una cadena que lejos de amortizar puestos sigue convocando plazas para cubrir vacantes.</w:t>
      </w:r>
    </w:p>
    <w:p w:rsidR="007E438D" w:rsidRPr="007A155D" w:rsidRDefault="007E438D" w:rsidP="007E438D">
      <w:pPr>
        <w:spacing w:line="240" w:lineRule="auto"/>
        <w:jc w:val="both"/>
        <w:rPr>
          <w:rFonts w:ascii="Times New Roman" w:hAnsi="Times New Roman" w:cs="Times New Roman"/>
          <w:sz w:val="24"/>
          <w:szCs w:val="24"/>
          <w:shd w:val="clear" w:color="auto" w:fill="FFFFFF"/>
        </w:rPr>
      </w:pPr>
      <w:r w:rsidRPr="007A155D">
        <w:rPr>
          <w:rFonts w:ascii="Times New Roman" w:hAnsi="Times New Roman" w:cs="Times New Roman"/>
          <w:sz w:val="24"/>
          <w:szCs w:val="24"/>
          <w:shd w:val="clear" w:color="auto" w:fill="FFFFFF"/>
        </w:rPr>
        <w:t>Los datos contenidos en las últimas cuentas presentadas por RTVE indican que la cadena tiene al cierre del 31 de diciembre 6.904 personas contratadas, 446 empleados más que en 2018 y casi el doble de los cerca de 3.500 empleados que tienen entre los dos grandes grupos de comunicación privados, Atresmedia y Mediaset. La primera registró gastos de personal de 176 millones y la segunda de 135 millones en 2023.</w:t>
      </w:r>
    </w:p>
    <w:p w:rsidR="007E438D" w:rsidRPr="007A155D" w:rsidRDefault="007E438D" w:rsidP="007E438D">
      <w:pPr>
        <w:spacing w:line="240" w:lineRule="auto"/>
        <w:jc w:val="both"/>
        <w:rPr>
          <w:rFonts w:ascii="Times New Roman" w:hAnsi="Times New Roman" w:cs="Times New Roman"/>
          <w:sz w:val="24"/>
          <w:szCs w:val="24"/>
          <w:shd w:val="clear" w:color="auto" w:fill="FFFFFF"/>
        </w:rPr>
      </w:pPr>
      <w:r w:rsidRPr="007A155D">
        <w:rPr>
          <w:rFonts w:ascii="Times New Roman" w:hAnsi="Times New Roman" w:cs="Times New Roman"/>
          <w:sz w:val="24"/>
          <w:szCs w:val="24"/>
          <w:shd w:val="clear" w:color="auto" w:fill="FFFFFF"/>
        </w:rPr>
        <w:t>Estamos hablando de compañías con una audiencia muy similar (entre el 10% y el 13% de share), unos ingresos parecidos (mil millones, facturación en el caso de las dos privadas y dotación del Estado en el caso de la televisión pública) pero con estructuras muy ajustadas en Atresmedia y Mediaset y faraónica y altamente ineficiente en el caso de la pública. El gran problema histórico de RTVE es su elevado coste laboral, lo que le impide realizar elevadas inversiones y obliga al Estado a aumentar periódicamente su dotación presupuestaria para cubrir estas necesidades. La cadena además cuenta con una deuda de 689 millones de euros.</w:t>
      </w:r>
    </w:p>
    <w:p w:rsidR="007E438D" w:rsidRPr="007A155D" w:rsidRDefault="007E438D" w:rsidP="007E438D">
      <w:pPr>
        <w:spacing w:line="240" w:lineRule="auto"/>
        <w:jc w:val="both"/>
        <w:rPr>
          <w:rFonts w:ascii="Times New Roman" w:hAnsi="Times New Roman" w:cs="Times New Roman"/>
          <w:sz w:val="24"/>
          <w:szCs w:val="24"/>
          <w:shd w:val="clear" w:color="auto" w:fill="FFFFFF"/>
        </w:rPr>
      </w:pPr>
      <w:r w:rsidRPr="007A155D">
        <w:rPr>
          <w:rFonts w:ascii="Times New Roman" w:hAnsi="Times New Roman" w:cs="Times New Roman"/>
          <w:sz w:val="24"/>
          <w:szCs w:val="24"/>
          <w:shd w:val="clear" w:color="auto" w:fill="FFFFFF"/>
        </w:rPr>
        <w:t xml:space="preserve">Entonces, ¿por qué RTVE necesita más trabajadores si es de lejos el medio de comunicación con más plantilla y con el mayor gasto en esta partida del sector? La respuesta tiene que ver </w:t>
      </w:r>
      <w:r w:rsidRPr="007A155D">
        <w:rPr>
          <w:rFonts w:ascii="Times New Roman" w:hAnsi="Times New Roman" w:cs="Times New Roman"/>
          <w:sz w:val="24"/>
          <w:szCs w:val="24"/>
          <w:shd w:val="clear" w:color="auto" w:fill="FFFFFF"/>
        </w:rPr>
        <w:lastRenderedPageBreak/>
        <w:t>con los trabajadores temporales. Al ser una corporación pública, la cadena no puede hacer contratos fijos de manera masiva sin tener que pasar por un proceso de oposiciones, lo que les obliga a realizar fichajes a tiempo parcial (interinos, prácticas, eventuales o por obra) para poder seguir incorporando empleados.</w:t>
      </w:r>
    </w:p>
    <w:p w:rsidR="007E438D"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De hecho, </w:t>
      </w:r>
      <w:r w:rsidRPr="007A155D">
        <w:rPr>
          <w:rFonts w:ascii="Times New Roman" w:hAnsi="Times New Roman" w:cs="Times New Roman"/>
          <w:sz w:val="24"/>
          <w:szCs w:val="24"/>
          <w:shd w:val="clear" w:color="auto" w:fill="FFFFFF"/>
        </w:rPr>
        <w:t xml:space="preserve">la cadena ha disparado sus costes laborales al mismo tiempo que ha quintuplicado los contratos temporales en seis años. El gasto ha pasado desde los 397 a los 473 millones y los trabajadores eventuales desde los 475 que había al cerrar 2018 hasta los 2.339 trabajadores al finalizar el año 2023, un 392% más. </w:t>
      </w:r>
    </w:p>
    <w:p w:rsidR="007E438D" w:rsidRPr="007A155D" w:rsidRDefault="007E438D" w:rsidP="007E438D">
      <w:pPr>
        <w:spacing w:line="240" w:lineRule="auto"/>
        <w:jc w:val="both"/>
        <w:rPr>
          <w:rFonts w:ascii="Times New Roman" w:hAnsi="Times New Roman" w:cs="Times New Roman"/>
          <w:sz w:val="24"/>
          <w:szCs w:val="24"/>
          <w:shd w:val="clear" w:color="auto" w:fill="FFFFFF"/>
        </w:rPr>
      </w:pPr>
      <w:r w:rsidRPr="007A155D">
        <w:rPr>
          <w:rFonts w:ascii="Times New Roman" w:hAnsi="Times New Roman" w:cs="Times New Roman"/>
          <w:sz w:val="24"/>
          <w:szCs w:val="24"/>
          <w:shd w:val="clear" w:color="auto" w:fill="FFFFFF"/>
        </w:rPr>
        <w:t>En este punto la pregunta vuelve a ser la misma aunque con un matiz. ¿Por qué RTVE necesitó incorporar más de 1.500 empleados en los últimos ocho años, considerando que ya tiene la mayor plantilla de todos los medios de comunicación de España y que su producción de programas no ha aumentado sustancialmente en este periodo? Y es que sumando los fijos más los temporales, tenemos un total de 9.243 empleados, lo que supondría casi triplicar los 3.500 que tienen las cadenas privadas.</w:t>
      </w:r>
    </w:p>
    <w:p w:rsidR="007E438D" w:rsidRPr="007A155D" w:rsidRDefault="007E438D" w:rsidP="007E438D">
      <w:pPr>
        <w:spacing w:line="240" w:lineRule="auto"/>
        <w:jc w:val="both"/>
        <w:rPr>
          <w:rFonts w:ascii="Times New Roman" w:hAnsi="Times New Roman" w:cs="Times New Roman"/>
          <w:sz w:val="24"/>
          <w:szCs w:val="24"/>
          <w:shd w:val="clear" w:color="auto" w:fill="FFFFFF"/>
        </w:rPr>
      </w:pPr>
      <w:r w:rsidRPr="007A155D">
        <w:rPr>
          <w:rFonts w:ascii="Times New Roman" w:hAnsi="Times New Roman" w:cs="Times New Roman"/>
          <w:sz w:val="24"/>
          <w:szCs w:val="24"/>
          <w:shd w:val="clear" w:color="auto" w:fill="FFFFFF"/>
        </w:rPr>
        <w:t>Las fue</w:t>
      </w:r>
      <w:r>
        <w:rPr>
          <w:rFonts w:ascii="Times New Roman" w:hAnsi="Times New Roman" w:cs="Times New Roman"/>
          <w:sz w:val="24"/>
          <w:szCs w:val="24"/>
          <w:shd w:val="clear" w:color="auto" w:fill="FFFFFF"/>
        </w:rPr>
        <w:t>ntes consultadas por The Objective</w:t>
      </w:r>
      <w:r w:rsidRPr="007A155D">
        <w:rPr>
          <w:rFonts w:ascii="Times New Roman" w:hAnsi="Times New Roman" w:cs="Times New Roman"/>
          <w:sz w:val="24"/>
          <w:szCs w:val="24"/>
          <w:shd w:val="clear" w:color="auto" w:fill="FFFFFF"/>
        </w:rPr>
        <w:t xml:space="preserve"> explican que este exponencial crecimiento de temporales se ha disparado con Pedro Sánchez en La Moncloa. Pocos meses después de que nombrara a su primera directiva de confianza en la cadena pública, Rosa María Mateo, la cadena comenzó a engordar estas cifras, algo que en el sector interpretan como la necesidad de buscar una plantilla cercana ideológicamente a la nueva dirección y que además pudiese absorber la serie de acuerdos que se comenzaron a firmar con las productoras cercanas. Pactos firmados como coproducción que implican en muchos casos que el empleado generado por el socio externo se tr</w:t>
      </w:r>
      <w:r>
        <w:rPr>
          <w:rFonts w:ascii="Times New Roman" w:hAnsi="Times New Roman" w:cs="Times New Roman"/>
          <w:sz w:val="24"/>
          <w:szCs w:val="24"/>
          <w:shd w:val="clear" w:color="auto" w:fill="FFFFFF"/>
        </w:rPr>
        <w:t>ansforme en plantilla temporal.</w:t>
      </w:r>
    </w:p>
    <w:p w:rsidR="007E438D" w:rsidRDefault="007E438D" w:rsidP="007E438D">
      <w:pPr>
        <w:spacing w:line="240" w:lineRule="auto"/>
        <w:jc w:val="both"/>
        <w:rPr>
          <w:rFonts w:ascii="Times New Roman" w:hAnsi="Times New Roman" w:cs="Times New Roman"/>
          <w:sz w:val="24"/>
          <w:szCs w:val="24"/>
          <w:shd w:val="clear" w:color="auto" w:fill="FFFFFF"/>
        </w:rPr>
      </w:pPr>
      <w:r w:rsidRPr="007A155D">
        <w:rPr>
          <w:rFonts w:ascii="Times New Roman" w:hAnsi="Times New Roman" w:cs="Times New Roman"/>
          <w:sz w:val="24"/>
          <w:szCs w:val="24"/>
          <w:shd w:val="clear" w:color="auto" w:fill="FFFFFF"/>
        </w:rPr>
        <w:t>En el primero de los casos, los datos confirman que en el mismo periodo ha aumentado también exponencialmente el número de trabajadores temporales de inf</w:t>
      </w:r>
      <w:r>
        <w:rPr>
          <w:rFonts w:ascii="Times New Roman" w:hAnsi="Times New Roman" w:cs="Times New Roman"/>
          <w:sz w:val="24"/>
          <w:szCs w:val="24"/>
          <w:shd w:val="clear" w:color="auto" w:fill="FFFFFF"/>
        </w:rPr>
        <w:t>ormativos y contenidos</w:t>
      </w:r>
      <w:r w:rsidRPr="007A155D">
        <w:rPr>
          <w:rFonts w:ascii="Times New Roman" w:hAnsi="Times New Roman" w:cs="Times New Roman"/>
          <w:sz w:val="24"/>
          <w:szCs w:val="24"/>
          <w:shd w:val="clear" w:color="auto" w:fill="FFFFFF"/>
        </w:rPr>
        <w:t>. En esta área se ha pasado de los 211 trabajadores a los 755 empleados con contrato temporal, 544 más, y con un espectacular crecimiento del 258%. Este departamento nutre de plantilla a los Telediarios, pero también a los magazines de información que se emiten en la televisión pública. Y en el segundo caso, para nadie es un misterio que los contratos con productoras amigas se han multiplicado en los últimos años.</w:t>
      </w:r>
    </w:p>
    <w:p w:rsidR="007E438D" w:rsidRPr="00D31185" w:rsidRDefault="007E438D" w:rsidP="007E438D">
      <w:pPr>
        <w:spacing w:line="240" w:lineRule="auto"/>
        <w:jc w:val="both"/>
        <w:rPr>
          <w:rFonts w:ascii="Times New Roman" w:hAnsi="Times New Roman" w:cs="Times New Roman"/>
          <w:color w:val="FF0000"/>
          <w:sz w:val="24"/>
          <w:szCs w:val="24"/>
          <w:shd w:val="clear" w:color="auto" w:fill="FFFFFF"/>
        </w:rPr>
      </w:pPr>
      <w:r w:rsidRPr="00D31185">
        <w:rPr>
          <w:rFonts w:ascii="Times New Roman" w:hAnsi="Times New Roman" w:cs="Times New Roman"/>
          <w:b/>
          <w:color w:val="FF0000"/>
          <w:sz w:val="24"/>
          <w:szCs w:val="24"/>
          <w:shd w:val="clear" w:color="auto" w:fill="FFFFFF"/>
        </w:rPr>
        <w:t>Nota I</w:t>
      </w:r>
      <w:r w:rsidRPr="00D31185">
        <w:rPr>
          <w:rFonts w:ascii="Times New Roman" w:hAnsi="Times New Roman" w:cs="Times New Roman"/>
          <w:color w:val="FF0000"/>
          <w:sz w:val="24"/>
          <w:szCs w:val="24"/>
          <w:shd w:val="clear" w:color="auto" w:fill="FFFFFF"/>
        </w:rPr>
        <w:t xml:space="preserve">: RTVE, la Corporación de Radio y Televisión Española, no emite publicidad en sus canales principales, como TVE, desde el año 2010, debido a una ley que eliminó la publicidad comercial con el objetivo de reforzar el servicio público y la producción propia. </w:t>
      </w:r>
    </w:p>
    <w:p w:rsidR="007E438D" w:rsidRPr="00D31185" w:rsidRDefault="007E438D" w:rsidP="007E438D">
      <w:pPr>
        <w:spacing w:line="240" w:lineRule="auto"/>
        <w:jc w:val="both"/>
        <w:rPr>
          <w:rFonts w:ascii="Times New Roman" w:hAnsi="Times New Roman" w:cs="Times New Roman"/>
          <w:color w:val="FF0000"/>
          <w:sz w:val="24"/>
          <w:szCs w:val="24"/>
          <w:shd w:val="clear" w:color="auto" w:fill="FFFFFF"/>
        </w:rPr>
      </w:pPr>
      <w:r w:rsidRPr="00D31185">
        <w:rPr>
          <w:rFonts w:ascii="Times New Roman" w:hAnsi="Times New Roman" w:cs="Times New Roman"/>
          <w:color w:val="FF0000"/>
          <w:sz w:val="24"/>
          <w:szCs w:val="24"/>
          <w:shd w:val="clear" w:color="auto" w:fill="FFFFFF"/>
        </w:rPr>
        <w:t>La decisión de eliminar la publicidad de RTVE se tomó en 2009, con la aprobación de una ley que establecía una nueva forma de financiación para la corporación. Esta ley buscaba fortalecer la independencia y pluralidad de la televisión pública, así como aumentar la producción propia y los programas de servicio público.</w:t>
      </w:r>
    </w:p>
    <w:p w:rsidR="007E438D" w:rsidRPr="00D31185" w:rsidRDefault="007E438D" w:rsidP="007E438D">
      <w:pPr>
        <w:spacing w:line="240" w:lineRule="auto"/>
        <w:jc w:val="both"/>
        <w:rPr>
          <w:rFonts w:ascii="Times New Roman" w:hAnsi="Times New Roman" w:cs="Times New Roman"/>
          <w:color w:val="FF0000"/>
          <w:sz w:val="24"/>
          <w:szCs w:val="24"/>
          <w:shd w:val="clear" w:color="auto" w:fill="FFFFFF"/>
        </w:rPr>
      </w:pPr>
      <w:r w:rsidRPr="00D31185">
        <w:rPr>
          <w:rFonts w:ascii="Times New Roman" w:hAnsi="Times New Roman" w:cs="Times New Roman"/>
          <w:color w:val="FF0000"/>
          <w:sz w:val="24"/>
          <w:szCs w:val="24"/>
          <w:shd w:val="clear" w:color="auto" w:fill="FFFFFF"/>
        </w:rPr>
        <w:t>El gobierno de José Luis Rodríguez Zapatero fue el que tomó la decisión de eliminar la publicidad de RTVE, a partir de 2010.</w:t>
      </w:r>
    </w:p>
    <w:p w:rsidR="007E438D" w:rsidRPr="00D31185" w:rsidRDefault="007E438D" w:rsidP="007E438D">
      <w:pPr>
        <w:spacing w:line="240" w:lineRule="auto"/>
        <w:jc w:val="both"/>
        <w:rPr>
          <w:rFonts w:ascii="Times New Roman" w:hAnsi="Times New Roman" w:cs="Times New Roman"/>
          <w:color w:val="FF0000"/>
          <w:sz w:val="24"/>
          <w:szCs w:val="24"/>
          <w:shd w:val="clear" w:color="auto" w:fill="FFFFFF"/>
        </w:rPr>
      </w:pPr>
      <w:r w:rsidRPr="00D31185">
        <w:rPr>
          <w:rFonts w:ascii="Times New Roman" w:hAnsi="Times New Roman" w:cs="Times New Roman"/>
          <w:color w:val="FF0000"/>
          <w:sz w:val="24"/>
          <w:szCs w:val="24"/>
          <w:shd w:val="clear" w:color="auto" w:fill="FFFFFF"/>
        </w:rPr>
        <w:t>La eliminación de la publicidad en RTVE se consideró necesaria para crear un entorno más competitivo y equilibrado para las televisiones privadas.</w:t>
      </w:r>
    </w:p>
    <w:p w:rsidR="007E438D" w:rsidRPr="00D31185" w:rsidRDefault="007E438D" w:rsidP="007E438D">
      <w:pPr>
        <w:spacing w:line="240" w:lineRule="auto"/>
        <w:jc w:val="both"/>
        <w:rPr>
          <w:rFonts w:ascii="Times New Roman" w:hAnsi="Times New Roman" w:cs="Times New Roman"/>
          <w:color w:val="FF0000"/>
          <w:sz w:val="24"/>
          <w:szCs w:val="24"/>
          <w:shd w:val="clear" w:color="auto" w:fill="FFFFFF"/>
        </w:rPr>
      </w:pPr>
      <w:r w:rsidRPr="00D31185">
        <w:rPr>
          <w:rFonts w:ascii="Times New Roman" w:hAnsi="Times New Roman" w:cs="Times New Roman"/>
          <w:color w:val="FF0000"/>
          <w:sz w:val="24"/>
          <w:szCs w:val="24"/>
          <w:shd w:val="clear" w:color="auto" w:fill="FFFFFF"/>
        </w:rPr>
        <w:t xml:space="preserve">José Luis Rodríguez Zapatero quiso dar un vuelco al panorama televisivo español: cuando apenas llevaba un año en La Moncloa, permitió a Prisa utilizar la frecuencia de Canal Plus en abierto -Cuatro- y, poco después, concedió una nueva licencia al consorcio formado, fundamentalmente, por la mexicana Televisa, el Grupo Árbol (Globomedia) de Emilio </w:t>
      </w:r>
      <w:r w:rsidRPr="00D31185">
        <w:rPr>
          <w:rFonts w:ascii="Times New Roman" w:hAnsi="Times New Roman" w:cs="Times New Roman"/>
          <w:color w:val="FF0000"/>
          <w:sz w:val="24"/>
          <w:szCs w:val="24"/>
          <w:shd w:val="clear" w:color="auto" w:fill="FFFFFF"/>
        </w:rPr>
        <w:lastRenderedPageBreak/>
        <w:t>Aragón y el grupo catalán Mediapro -laSexta-. Con este movimiento, el leonés hacía un guiño al gigante alumbrado por Polanco y, al mismo tiempo, le lanzaba una advertencia muy clara: él no era Felipe González. Su nuevo socialismo necesitaba también un nuevo grupo mediático progresista y el elegido era Mediapro de Jaume Roures, amigo del primer secretario de Estado de Comunicación de Zapatero, Miguel Barroso, y de su pareja, Carme Chacón. (lagrietaonline.com - 2/2/15)</w:t>
      </w:r>
    </w:p>
    <w:p w:rsidR="007E438D" w:rsidRPr="00D31185" w:rsidRDefault="007E438D" w:rsidP="007E438D">
      <w:pPr>
        <w:spacing w:line="240" w:lineRule="auto"/>
        <w:jc w:val="both"/>
        <w:rPr>
          <w:rFonts w:ascii="Times New Roman" w:hAnsi="Times New Roman" w:cs="Times New Roman"/>
          <w:color w:val="FF0000"/>
          <w:sz w:val="24"/>
          <w:szCs w:val="24"/>
          <w:shd w:val="clear" w:color="auto" w:fill="FFFFFF"/>
        </w:rPr>
      </w:pPr>
      <w:r w:rsidRPr="00D31185">
        <w:rPr>
          <w:rFonts w:ascii="Times New Roman" w:hAnsi="Times New Roman" w:cs="Times New Roman"/>
          <w:b/>
          <w:color w:val="FF0000"/>
          <w:sz w:val="24"/>
          <w:szCs w:val="24"/>
          <w:shd w:val="clear" w:color="auto" w:fill="FFFFFF"/>
        </w:rPr>
        <w:t>Nota II</w:t>
      </w:r>
      <w:r w:rsidRPr="00D31185">
        <w:rPr>
          <w:rFonts w:ascii="Times New Roman" w:hAnsi="Times New Roman" w:cs="Times New Roman"/>
          <w:color w:val="FF0000"/>
          <w:sz w:val="24"/>
          <w:szCs w:val="24"/>
          <w:shd w:val="clear" w:color="auto" w:fill="FFFFFF"/>
        </w:rPr>
        <w:t xml:space="preserve">: RTVE tiene como objetivo producir internamente el 60% de su oferta generalista (actualidad, infantil, juvenil, educativo, etc.) y el 55% de la oferta generalista de géneros divulgativos, deportivos y de ficción. </w:t>
      </w:r>
    </w:p>
    <w:p w:rsidR="007E438D" w:rsidRPr="00D31185" w:rsidRDefault="007E438D" w:rsidP="007E438D">
      <w:pPr>
        <w:spacing w:line="240" w:lineRule="auto"/>
        <w:jc w:val="both"/>
        <w:rPr>
          <w:rFonts w:ascii="Times New Roman" w:hAnsi="Times New Roman" w:cs="Times New Roman"/>
          <w:color w:val="FF0000"/>
          <w:sz w:val="24"/>
          <w:szCs w:val="24"/>
          <w:shd w:val="clear" w:color="auto" w:fill="FFFFFF"/>
        </w:rPr>
      </w:pPr>
      <w:r w:rsidRPr="00D31185">
        <w:rPr>
          <w:rFonts w:ascii="Times New Roman" w:hAnsi="Times New Roman" w:cs="Times New Roman"/>
          <w:color w:val="FF0000"/>
          <w:sz w:val="24"/>
          <w:szCs w:val="24"/>
          <w:shd w:val="clear" w:color="auto" w:fill="FFFFFF"/>
        </w:rPr>
        <w:t xml:space="preserve">Sin embargo, un porcentaje importante de la programación, especialmente en géneros de entretenimiento y ficción, se realiza a través de productoras externas. </w:t>
      </w:r>
    </w:p>
    <w:p w:rsidR="007E438D" w:rsidRPr="00D31185" w:rsidRDefault="007E438D" w:rsidP="007E438D">
      <w:pPr>
        <w:spacing w:line="240" w:lineRule="auto"/>
        <w:jc w:val="both"/>
        <w:rPr>
          <w:rFonts w:ascii="Times New Roman" w:hAnsi="Times New Roman" w:cs="Times New Roman"/>
          <w:color w:val="FF0000"/>
          <w:sz w:val="24"/>
          <w:szCs w:val="24"/>
          <w:shd w:val="clear" w:color="auto" w:fill="FFFFFF"/>
        </w:rPr>
      </w:pPr>
      <w:r w:rsidRPr="00D31185">
        <w:rPr>
          <w:rFonts w:ascii="Times New Roman" w:hAnsi="Times New Roman" w:cs="Times New Roman"/>
          <w:color w:val="FF0000"/>
          <w:sz w:val="24"/>
          <w:szCs w:val="24"/>
          <w:shd w:val="clear" w:color="auto" w:fill="FFFFFF"/>
        </w:rPr>
        <w:t xml:space="preserve">Por ejemplo, cinco productoras externas acaparan el 50% del gasto en programas de RTVE, lo que demuestra la importancia de la producción externa en su parrilla. </w:t>
      </w:r>
    </w:p>
    <w:p w:rsidR="007E438D" w:rsidRPr="00D31185" w:rsidRDefault="007E438D" w:rsidP="007E438D">
      <w:pPr>
        <w:spacing w:line="240" w:lineRule="auto"/>
        <w:jc w:val="both"/>
        <w:rPr>
          <w:rFonts w:ascii="Times New Roman" w:hAnsi="Times New Roman" w:cs="Times New Roman"/>
          <w:color w:val="FF0000"/>
          <w:sz w:val="24"/>
          <w:szCs w:val="24"/>
          <w:shd w:val="clear" w:color="auto" w:fill="FFFFFF"/>
        </w:rPr>
      </w:pPr>
      <w:r w:rsidRPr="00D31185">
        <w:rPr>
          <w:rFonts w:ascii="Times New Roman" w:hAnsi="Times New Roman" w:cs="Times New Roman"/>
          <w:color w:val="FF0000"/>
          <w:sz w:val="24"/>
          <w:szCs w:val="24"/>
          <w:shd w:val="clear" w:color="auto" w:fill="FFFFFF"/>
        </w:rPr>
        <w:t>El 53% del coste total de producción de programas de RTVE corresponde a producción realizada por terceros. RTVE contrata la producción de programas a través de concursos públicos y contratos específicos con productoras, según las necesidades de su programación.</w:t>
      </w:r>
    </w:p>
    <w:p w:rsidR="007E438D" w:rsidRPr="00D31185" w:rsidRDefault="007E438D" w:rsidP="007E438D">
      <w:pPr>
        <w:spacing w:line="240" w:lineRule="auto"/>
        <w:jc w:val="both"/>
        <w:rPr>
          <w:rFonts w:ascii="Times New Roman" w:hAnsi="Times New Roman" w:cs="Times New Roman"/>
          <w:color w:val="FF0000"/>
          <w:sz w:val="24"/>
          <w:szCs w:val="24"/>
          <w:shd w:val="clear" w:color="auto" w:fill="FFFFFF"/>
        </w:rPr>
      </w:pPr>
      <w:r w:rsidRPr="00D31185">
        <w:rPr>
          <w:rFonts w:ascii="Times New Roman" w:hAnsi="Times New Roman" w:cs="Times New Roman"/>
          <w:color w:val="FF0000"/>
          <w:sz w:val="24"/>
          <w:szCs w:val="24"/>
          <w:shd w:val="clear" w:color="auto" w:fill="FFFFFF"/>
        </w:rPr>
        <w:t>Solo puedo agregar: “sic transit gloria mundi”, aunque en este caso la “gloria” la paguen los “mindundi”.</w:t>
      </w:r>
    </w:p>
    <w:p w:rsidR="007E438D" w:rsidRPr="00046F57" w:rsidRDefault="007E438D" w:rsidP="007E438D">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RTVE debe ser liquidada</w:t>
      </w:r>
      <w:r w:rsidRPr="00046F57">
        <w:rPr>
          <w:rFonts w:ascii="Times New Roman" w:hAnsi="Times New Roman" w:cs="Times New Roman"/>
          <w:color w:val="FF0000"/>
          <w:sz w:val="24"/>
          <w:szCs w:val="24"/>
          <w:shd w:val="clear" w:color="auto" w:fill="FFFFFF"/>
        </w:rPr>
        <w:t xml:space="preserve"> (vendida, fraccionada y privat</w:t>
      </w:r>
      <w:r>
        <w:rPr>
          <w:rFonts w:ascii="Times New Roman" w:hAnsi="Times New Roman" w:cs="Times New Roman"/>
          <w:color w:val="FF0000"/>
          <w:sz w:val="24"/>
          <w:szCs w:val="24"/>
          <w:shd w:val="clear" w:color="auto" w:fill="FFFFFF"/>
        </w:rPr>
        <w:t>izada, o directamente, cerrada</w:t>
      </w:r>
      <w:r w:rsidRPr="00046F57">
        <w:rPr>
          <w:rFonts w:ascii="Times New Roman" w:hAnsi="Times New Roman" w:cs="Times New Roman"/>
          <w:color w:val="FF0000"/>
          <w:sz w:val="24"/>
          <w:szCs w:val="24"/>
          <w:shd w:val="clear" w:color="auto" w:fill="FFFFFF"/>
        </w:rPr>
        <w:t xml:space="preserve">). </w:t>
      </w:r>
    </w:p>
    <w:p w:rsidR="007E438D" w:rsidRDefault="007E438D" w:rsidP="007E438D">
      <w:pPr>
        <w:spacing w:line="240" w:lineRule="auto"/>
        <w:jc w:val="both"/>
        <w:rPr>
          <w:rFonts w:ascii="Times New Roman" w:hAnsi="Times New Roman" w:cs="Times New Roman"/>
          <w:color w:val="FF0000"/>
          <w:sz w:val="24"/>
          <w:szCs w:val="24"/>
          <w:shd w:val="clear" w:color="auto" w:fill="FFFFFF"/>
        </w:rPr>
      </w:pPr>
      <w:r w:rsidRPr="008B4597">
        <w:rPr>
          <w:rFonts w:ascii="Times New Roman" w:hAnsi="Times New Roman" w:cs="Times New Roman"/>
          <w:color w:val="FF0000"/>
          <w:sz w:val="24"/>
          <w:szCs w:val="24"/>
          <w:shd w:val="clear" w:color="auto" w:fill="FFFFFF"/>
        </w:rPr>
        <w:t>- Cerrar todos los canales de televisión y radios autonómicas (vender, o liquidar)</w:t>
      </w:r>
    </w:p>
    <w:p w:rsidR="007E438D" w:rsidRPr="008B4597" w:rsidRDefault="007E438D" w:rsidP="007E438D">
      <w:pPr>
        <w:spacing w:line="240" w:lineRule="auto"/>
        <w:jc w:val="both"/>
        <w:rPr>
          <w:rFonts w:ascii="Times New Roman" w:hAnsi="Times New Roman" w:cs="Times New Roman"/>
          <w:sz w:val="24"/>
          <w:szCs w:val="24"/>
          <w:shd w:val="clear" w:color="auto" w:fill="FFFFFF"/>
        </w:rPr>
      </w:pPr>
      <w:r w:rsidRPr="008B4597">
        <w:rPr>
          <w:rFonts w:ascii="Times New Roman" w:hAnsi="Times New Roman" w:cs="Times New Roman"/>
          <w:sz w:val="24"/>
          <w:szCs w:val="24"/>
          <w:shd w:val="clear" w:color="auto" w:fill="FFFFFF"/>
        </w:rPr>
        <w:t xml:space="preserve">En España, existen 10 televisiones autonómicas. Estas son: Aragón TV, Canal Sur Televisión, ETB (Televisión Vasca), Radio Televisión Canaria, Radio Televisión del Principado de Asturias, RTV Castilla-La Mancha, Telemadrid, TVG (Televisión de Galicia), TV3 (Televisió de Catalunya) y 7RM (Televisión de Murcia). </w:t>
      </w:r>
    </w:p>
    <w:p w:rsidR="007E438D" w:rsidRDefault="007E438D" w:rsidP="007E438D">
      <w:pPr>
        <w:spacing w:line="240" w:lineRule="auto"/>
        <w:jc w:val="both"/>
        <w:rPr>
          <w:rFonts w:ascii="Times New Roman" w:hAnsi="Times New Roman" w:cs="Times New Roman"/>
          <w:sz w:val="24"/>
          <w:szCs w:val="24"/>
          <w:shd w:val="clear" w:color="auto" w:fill="FFFFFF"/>
        </w:rPr>
      </w:pPr>
      <w:r w:rsidRPr="008B4597">
        <w:rPr>
          <w:rFonts w:ascii="Times New Roman" w:hAnsi="Times New Roman" w:cs="Times New Roman"/>
          <w:sz w:val="24"/>
          <w:szCs w:val="24"/>
          <w:shd w:val="clear" w:color="auto" w:fill="FFFFFF"/>
        </w:rPr>
        <w:t xml:space="preserve">Además de estas, cada comunidad autónoma puede tener canales adicionales de ámbito local o regional. Por ejemplo, Cataluña cuenta con 10 canales autonómicos, incluyendo TV3 y otros canales temáticos. </w:t>
      </w:r>
    </w:p>
    <w:p w:rsidR="007E438D" w:rsidRPr="00292479" w:rsidRDefault="007E438D" w:rsidP="007E438D">
      <w:pPr>
        <w:spacing w:line="240" w:lineRule="auto"/>
        <w:jc w:val="both"/>
        <w:rPr>
          <w:rFonts w:ascii="Times New Roman" w:hAnsi="Times New Roman" w:cs="Times New Roman"/>
          <w:sz w:val="24"/>
          <w:szCs w:val="24"/>
          <w:shd w:val="clear" w:color="auto" w:fill="FFFFFF"/>
        </w:rPr>
      </w:pPr>
      <w:r w:rsidRPr="00292479">
        <w:rPr>
          <w:rFonts w:ascii="Times New Roman" w:hAnsi="Times New Roman" w:cs="Times New Roman"/>
          <w:sz w:val="24"/>
          <w:szCs w:val="24"/>
          <w:shd w:val="clear" w:color="auto" w:fill="FFFFFF"/>
        </w:rPr>
        <w:t xml:space="preserve">Los canales autonómicos en España, al ser públicos, se financian principalmente a través de fondos públicos, es decir, con el dinero de los impuestos de los ciudadanos. No se pagan directamente por suscripción como los canales privados de televisión de pago. </w:t>
      </w:r>
    </w:p>
    <w:p w:rsidR="007E438D" w:rsidRPr="00292479" w:rsidRDefault="007E438D" w:rsidP="007E438D">
      <w:pPr>
        <w:spacing w:line="240" w:lineRule="auto"/>
        <w:jc w:val="both"/>
        <w:rPr>
          <w:rFonts w:ascii="Times New Roman" w:hAnsi="Times New Roman" w:cs="Times New Roman"/>
          <w:sz w:val="24"/>
          <w:szCs w:val="24"/>
          <w:shd w:val="clear" w:color="auto" w:fill="FFFFFF"/>
        </w:rPr>
      </w:pPr>
      <w:r w:rsidRPr="00292479">
        <w:rPr>
          <w:rFonts w:ascii="Times New Roman" w:hAnsi="Times New Roman" w:cs="Times New Roman"/>
          <w:sz w:val="24"/>
          <w:szCs w:val="24"/>
          <w:shd w:val="clear" w:color="auto" w:fill="FFFFFF"/>
        </w:rPr>
        <w:t>El coste total de las televisiones autonómicas en España asciende a más de 1.099,93 millones de euros al año, lo que representa aproximadamente el 1% del gasto total de las comunidades autónomas, según Newtral. Esta cifra incluye la financiación de todas las televisiones autonómicas, como TV3, ETB, Canal Sur, etc. El gasto por habitante en televisión pública en España se sitúa en torno a los</w:t>
      </w:r>
      <w:r>
        <w:rPr>
          <w:rFonts w:ascii="Times New Roman" w:hAnsi="Times New Roman" w:cs="Times New Roman"/>
          <w:sz w:val="24"/>
          <w:szCs w:val="24"/>
          <w:shd w:val="clear" w:color="auto" w:fill="FFFFFF"/>
        </w:rPr>
        <w:t xml:space="preserve"> 39 euros anuales, según El País</w:t>
      </w:r>
      <w:r w:rsidRPr="00292479">
        <w:rPr>
          <w:rFonts w:ascii="Times New Roman" w:hAnsi="Times New Roman" w:cs="Times New Roman"/>
          <w:sz w:val="24"/>
          <w:szCs w:val="24"/>
          <w:shd w:val="clear" w:color="auto" w:fill="FFFFFF"/>
        </w:rPr>
        <w:t xml:space="preserve">. </w:t>
      </w:r>
    </w:p>
    <w:p w:rsidR="007E438D" w:rsidRDefault="007E438D" w:rsidP="007E438D">
      <w:pPr>
        <w:spacing w:line="240" w:lineRule="auto"/>
        <w:jc w:val="both"/>
        <w:rPr>
          <w:rFonts w:ascii="Times New Roman" w:hAnsi="Times New Roman" w:cs="Times New Roman"/>
          <w:sz w:val="24"/>
          <w:szCs w:val="24"/>
          <w:shd w:val="clear" w:color="auto" w:fill="FFFFFF"/>
        </w:rPr>
      </w:pPr>
      <w:r w:rsidRPr="00292479">
        <w:rPr>
          <w:rFonts w:ascii="Times New Roman" w:hAnsi="Times New Roman" w:cs="Times New Roman"/>
          <w:sz w:val="24"/>
          <w:szCs w:val="24"/>
          <w:shd w:val="clear" w:color="auto" w:fill="FFFFFF"/>
        </w:rPr>
        <w:t>En resumen, aunque no hay un coste directo de suscripción para acceder a estos canales, su funcionamiento y contenidos son financiados por los presupuestos públicos de las comunidades autónomas, lo que se traduce en un gasto para todos los ciudadanos a través de sus impuestos.</w:t>
      </w:r>
    </w:p>
    <w:p w:rsidR="007E438D" w:rsidRPr="00292479" w:rsidRDefault="007E438D" w:rsidP="007E438D">
      <w:pPr>
        <w:spacing w:line="240" w:lineRule="auto"/>
        <w:jc w:val="both"/>
        <w:rPr>
          <w:rFonts w:ascii="Times New Roman" w:hAnsi="Times New Roman" w:cs="Times New Roman"/>
          <w:sz w:val="24"/>
          <w:szCs w:val="24"/>
          <w:shd w:val="clear" w:color="auto" w:fill="FFFFFF"/>
        </w:rPr>
      </w:pPr>
      <w:r w:rsidRPr="00292479">
        <w:rPr>
          <w:rFonts w:ascii="Times New Roman" w:hAnsi="Times New Roman" w:cs="Times New Roman"/>
          <w:sz w:val="24"/>
          <w:szCs w:val="24"/>
          <w:shd w:val="clear" w:color="auto" w:fill="FFFFFF"/>
        </w:rPr>
        <w:lastRenderedPageBreak/>
        <w:t>Las trece televisiones autonómicas que existen en España cuentan con un presupuesto total para este año de 1.072,34 millones de euros, de los que 942,7 millones son aportados mediante las subvenciones públicas de los d</w:t>
      </w:r>
      <w:r>
        <w:rPr>
          <w:rFonts w:ascii="Times New Roman" w:hAnsi="Times New Roman" w:cs="Times New Roman"/>
          <w:sz w:val="24"/>
          <w:szCs w:val="24"/>
          <w:shd w:val="clear" w:color="auto" w:fill="FFFFFF"/>
        </w:rPr>
        <w:t>istintos gobiernos autonómicos.</w:t>
      </w:r>
    </w:p>
    <w:p w:rsidR="007E438D" w:rsidRDefault="007E438D" w:rsidP="007E438D">
      <w:pPr>
        <w:spacing w:line="240" w:lineRule="auto"/>
        <w:jc w:val="both"/>
        <w:rPr>
          <w:rFonts w:ascii="Times New Roman" w:hAnsi="Times New Roman" w:cs="Times New Roman"/>
          <w:sz w:val="24"/>
          <w:szCs w:val="24"/>
          <w:shd w:val="clear" w:color="auto" w:fill="FFFFFF"/>
        </w:rPr>
      </w:pPr>
      <w:r w:rsidRPr="00292479">
        <w:rPr>
          <w:rFonts w:ascii="Times New Roman" w:hAnsi="Times New Roman" w:cs="Times New Roman"/>
          <w:sz w:val="24"/>
          <w:szCs w:val="24"/>
          <w:shd w:val="clear" w:color="auto" w:fill="FFFFFF"/>
        </w:rPr>
        <w:t>Estas cadenas nacieron en los años ochenta para promocionar la cultura e identidad de sus regiones, y han sobrevivido a lo</w:t>
      </w:r>
      <w:r>
        <w:rPr>
          <w:rFonts w:ascii="Times New Roman" w:hAnsi="Times New Roman" w:cs="Times New Roman"/>
          <w:sz w:val="24"/>
          <w:szCs w:val="24"/>
          <w:shd w:val="clear" w:color="auto" w:fill="FFFFFF"/>
        </w:rPr>
        <w:t>s recortes económicos y los expedientes de regulación de empleo (ERE)</w:t>
      </w:r>
      <w:r w:rsidRPr="00292479">
        <w:rPr>
          <w:rFonts w:ascii="Times New Roman" w:hAnsi="Times New Roman" w:cs="Times New Roman"/>
          <w:sz w:val="24"/>
          <w:szCs w:val="24"/>
          <w:shd w:val="clear" w:color="auto" w:fill="FFFFFF"/>
        </w:rPr>
        <w:t xml:space="preserve"> que han golpeado du</w:t>
      </w:r>
      <w:r>
        <w:rPr>
          <w:rFonts w:ascii="Times New Roman" w:hAnsi="Times New Roman" w:cs="Times New Roman"/>
          <w:sz w:val="24"/>
          <w:szCs w:val="24"/>
          <w:shd w:val="clear" w:color="auto" w:fill="FFFFFF"/>
        </w:rPr>
        <w:t>ramente al sector periodístico.</w:t>
      </w:r>
    </w:p>
    <w:p w:rsidR="007E438D" w:rsidRPr="00292479" w:rsidRDefault="007E438D" w:rsidP="007E438D">
      <w:pPr>
        <w:spacing w:line="240" w:lineRule="auto"/>
        <w:jc w:val="both"/>
        <w:rPr>
          <w:rFonts w:ascii="Times New Roman" w:hAnsi="Times New Roman" w:cs="Times New Roman"/>
          <w:sz w:val="24"/>
          <w:szCs w:val="24"/>
          <w:shd w:val="clear" w:color="auto" w:fill="FFFFFF"/>
        </w:rPr>
      </w:pPr>
      <w:r w:rsidRPr="00292479">
        <w:rPr>
          <w:rFonts w:ascii="Times New Roman" w:hAnsi="Times New Roman" w:cs="Times New Roman"/>
          <w:sz w:val="24"/>
          <w:szCs w:val="24"/>
          <w:shd w:val="clear" w:color="auto" w:fill="FFFFFF"/>
        </w:rPr>
        <w:t>La Corporación de Radio y Televisión Española (CRTVE) es el único operador de televisión pública estatal, mientras que los gobiernos de Andalucía, Aragón, Asturias, Baleares, Canarias, Castilla-La Mancha, Cataluña, Extremadura, Galicia, Madrid, Murcia, País Vasco y Valencia ostentan la titularida</w:t>
      </w:r>
      <w:r>
        <w:rPr>
          <w:rFonts w:ascii="Times New Roman" w:hAnsi="Times New Roman" w:cs="Times New Roman"/>
          <w:sz w:val="24"/>
          <w:szCs w:val="24"/>
          <w:shd w:val="clear" w:color="auto" w:fill="FFFFFF"/>
        </w:rPr>
        <w:t>d de los operadores regionales.</w:t>
      </w:r>
    </w:p>
    <w:p w:rsidR="007E438D" w:rsidRPr="00292479" w:rsidRDefault="007E438D" w:rsidP="007E438D">
      <w:pPr>
        <w:spacing w:line="240" w:lineRule="auto"/>
        <w:jc w:val="both"/>
        <w:rPr>
          <w:rFonts w:ascii="Times New Roman" w:hAnsi="Times New Roman" w:cs="Times New Roman"/>
          <w:sz w:val="24"/>
          <w:szCs w:val="24"/>
          <w:shd w:val="clear" w:color="auto" w:fill="FFFFFF"/>
        </w:rPr>
      </w:pPr>
      <w:r w:rsidRPr="00292479">
        <w:rPr>
          <w:rFonts w:ascii="Times New Roman" w:hAnsi="Times New Roman" w:cs="Times New Roman"/>
          <w:sz w:val="24"/>
          <w:szCs w:val="24"/>
          <w:shd w:val="clear" w:color="auto" w:fill="FFFFFF"/>
        </w:rPr>
        <w:t>Cantabria, Navarra, Castilla y León y La Rioja son las cuatro únicas comunidades que no han desarrollado su propia televisión, mientras que la ciudad autónoma de Ceuta sí</w:t>
      </w:r>
      <w:r>
        <w:rPr>
          <w:rFonts w:ascii="Times New Roman" w:hAnsi="Times New Roman" w:cs="Times New Roman"/>
          <w:sz w:val="24"/>
          <w:szCs w:val="24"/>
          <w:shd w:val="clear" w:color="auto" w:fill="FFFFFF"/>
        </w:rPr>
        <w:t xml:space="preserve"> tiene radiotelevisión pública.</w:t>
      </w:r>
    </w:p>
    <w:p w:rsidR="007E438D" w:rsidRPr="00292479" w:rsidRDefault="007E438D" w:rsidP="007E438D">
      <w:pPr>
        <w:spacing w:line="240" w:lineRule="auto"/>
        <w:jc w:val="both"/>
        <w:rPr>
          <w:rFonts w:ascii="Times New Roman" w:hAnsi="Times New Roman" w:cs="Times New Roman"/>
          <w:sz w:val="24"/>
          <w:szCs w:val="24"/>
          <w:shd w:val="clear" w:color="auto" w:fill="FFFFFF"/>
        </w:rPr>
      </w:pPr>
      <w:r w:rsidRPr="00292479">
        <w:rPr>
          <w:rFonts w:ascii="Times New Roman" w:hAnsi="Times New Roman" w:cs="Times New Roman"/>
          <w:sz w:val="24"/>
          <w:szCs w:val="24"/>
          <w:shd w:val="clear" w:color="auto" w:fill="FFFFFF"/>
        </w:rPr>
        <w:t xml:space="preserve">Nacieron al amparo de la Ley del Tercer Canal (46/1983) y su desarrollo es muy diverso: algunas explotan varios canales, otras tienen una única cadena y otras son gestionadas por empresas externas seleccionadas por concurso; y en las comunidades en las que hay una lengua cooficial, emiten gran parte o todos </w:t>
      </w:r>
      <w:r>
        <w:rPr>
          <w:rFonts w:ascii="Times New Roman" w:hAnsi="Times New Roman" w:cs="Times New Roman"/>
          <w:sz w:val="24"/>
          <w:szCs w:val="24"/>
          <w:shd w:val="clear" w:color="auto" w:fill="FFFFFF"/>
        </w:rPr>
        <w:t>sus contenidos en esos idiomas.</w:t>
      </w:r>
    </w:p>
    <w:p w:rsidR="007E438D" w:rsidRDefault="007E438D" w:rsidP="007E438D">
      <w:pPr>
        <w:spacing w:line="240" w:lineRule="auto"/>
        <w:jc w:val="both"/>
        <w:rPr>
          <w:rFonts w:ascii="Times New Roman" w:hAnsi="Times New Roman" w:cs="Times New Roman"/>
          <w:sz w:val="24"/>
          <w:szCs w:val="24"/>
          <w:shd w:val="clear" w:color="auto" w:fill="FFFFFF"/>
        </w:rPr>
      </w:pPr>
      <w:r w:rsidRPr="00292479">
        <w:rPr>
          <w:rFonts w:ascii="Times New Roman" w:hAnsi="Times New Roman" w:cs="Times New Roman"/>
          <w:sz w:val="24"/>
          <w:szCs w:val="24"/>
          <w:shd w:val="clear" w:color="auto" w:fill="FFFFFF"/>
        </w:rPr>
        <w:t>Su modelo de financiación se basa en un sistema mixto que aúna inversión pública -subvención por función de servicio público otorgada por los gobiernos autonómicos y consignada en los presupuestos de cada autonomía- e ingresos publicitarios privados.</w:t>
      </w:r>
    </w:p>
    <w:p w:rsidR="007E438D" w:rsidRDefault="007E438D" w:rsidP="007E438D">
      <w:pPr>
        <w:spacing w:line="240" w:lineRule="auto"/>
        <w:jc w:val="both"/>
        <w:rPr>
          <w:rFonts w:ascii="Times New Roman" w:hAnsi="Times New Roman" w:cs="Times New Roman"/>
          <w:b/>
          <w:sz w:val="24"/>
          <w:szCs w:val="24"/>
          <w:shd w:val="clear" w:color="auto" w:fill="FFFFFF"/>
        </w:rPr>
      </w:pPr>
      <w:r w:rsidRPr="008B4597">
        <w:rPr>
          <w:rFonts w:ascii="Times New Roman" w:hAnsi="Times New Roman" w:cs="Times New Roman"/>
          <w:b/>
          <w:sz w:val="24"/>
          <w:szCs w:val="24"/>
          <w:shd w:val="clear" w:color="auto" w:fill="FFFFFF"/>
        </w:rPr>
        <w:t>Ranking de las cadenas autonómicas de televisión más vistas en España en 2023 y 2024</w:t>
      </w:r>
    </w:p>
    <w:p w:rsidR="007E438D" w:rsidRPr="008B4597" w:rsidRDefault="007E438D" w:rsidP="007E438D">
      <w:pPr>
        <w:spacing w:line="240" w:lineRule="auto"/>
        <w:jc w:val="both"/>
        <w:rPr>
          <w:rFonts w:ascii="Times New Roman" w:hAnsi="Times New Roman" w:cs="Times New Roman"/>
          <w:b/>
          <w:sz w:val="24"/>
          <w:szCs w:val="24"/>
          <w:shd w:val="clear" w:color="auto" w:fill="FFFFFF"/>
        </w:rPr>
      </w:pPr>
      <w:r w:rsidRPr="008B4597">
        <w:rPr>
          <w:rFonts w:ascii="Times New Roman" w:hAnsi="Times New Roman" w:cs="Times New Roman"/>
          <w:b/>
          <w:noProof/>
          <w:sz w:val="24"/>
          <w:szCs w:val="24"/>
          <w:shd w:val="clear" w:color="auto" w:fill="FFFFFF"/>
          <w:lang w:eastAsia="es-ES"/>
        </w:rPr>
        <w:drawing>
          <wp:inline distT="0" distB="0" distL="0" distR="0" wp14:anchorId="1DF0EA97" wp14:editId="3E64670A">
            <wp:extent cx="5727700" cy="4044950"/>
            <wp:effectExtent l="0" t="0" r="635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4047641"/>
                    </a:xfrm>
                    <a:prstGeom prst="rect">
                      <a:avLst/>
                    </a:prstGeom>
                  </pic:spPr>
                </pic:pic>
              </a:graphicData>
            </a:graphic>
          </wp:inline>
        </w:drawing>
      </w:r>
    </w:p>
    <w:p w:rsidR="007E438D" w:rsidRDefault="007E438D" w:rsidP="007E438D">
      <w:pPr>
        <w:spacing w:line="240" w:lineRule="auto"/>
        <w:jc w:val="both"/>
        <w:rPr>
          <w:rFonts w:ascii="Times New Roman" w:hAnsi="Times New Roman" w:cs="Times New Roman"/>
          <w:sz w:val="24"/>
          <w:szCs w:val="24"/>
          <w:shd w:val="clear" w:color="auto" w:fill="FFFFFF"/>
        </w:rPr>
      </w:pPr>
      <w:r w:rsidRPr="00292479">
        <w:rPr>
          <w:rFonts w:ascii="Times New Roman" w:hAnsi="Times New Roman" w:cs="Times New Roman"/>
          <w:sz w:val="24"/>
          <w:szCs w:val="24"/>
          <w:shd w:val="clear" w:color="auto" w:fill="FFFFFF"/>
        </w:rPr>
        <w:lastRenderedPageBreak/>
        <w:t>No se puede determinar con exactitud el número total de empleados en todos los canales autonómicos de España, ya que la información varía y no está centralizada. Sin embargo, se puede estimar qu</w:t>
      </w:r>
      <w:r>
        <w:rPr>
          <w:rFonts w:ascii="Times New Roman" w:hAnsi="Times New Roman" w:cs="Times New Roman"/>
          <w:sz w:val="24"/>
          <w:szCs w:val="24"/>
          <w:shd w:val="clear" w:color="auto" w:fill="FFFFFF"/>
        </w:rPr>
        <w:t>e la cifra global supera los 11.</w:t>
      </w:r>
      <w:r w:rsidRPr="00292479">
        <w:rPr>
          <w:rFonts w:ascii="Times New Roman" w:hAnsi="Times New Roman" w:cs="Times New Roman"/>
          <w:sz w:val="24"/>
          <w:szCs w:val="24"/>
          <w:shd w:val="clear" w:color="auto" w:fill="FFFFFF"/>
        </w:rPr>
        <w:t>000 empleados, considerando que algunos canales individuales tienen plantillas considerables.</w:t>
      </w:r>
      <w:r>
        <w:rPr>
          <w:rFonts w:ascii="Times New Roman" w:hAnsi="Times New Roman" w:cs="Times New Roman"/>
          <w:sz w:val="24"/>
          <w:szCs w:val="24"/>
          <w:shd w:val="clear" w:color="auto" w:fill="FFFFFF"/>
        </w:rPr>
        <w:t xml:space="preserve"> (Nota: esta cifra incluye -según la fuente- los 6.770 empleados de RTVE).</w:t>
      </w:r>
    </w:p>
    <w:p w:rsidR="007E438D"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Según Vozpópuli (</w:t>
      </w:r>
      <w:r w:rsidRPr="008A7097">
        <w:rPr>
          <w:rFonts w:ascii="Times New Roman" w:hAnsi="Times New Roman" w:cs="Times New Roman"/>
          <w:b/>
          <w:sz w:val="24"/>
          <w:szCs w:val="24"/>
          <w:shd w:val="clear" w:color="auto" w:fill="FFFFFF"/>
        </w:rPr>
        <w:t>15/8/23</w:t>
      </w:r>
      <w:r>
        <w:rPr>
          <w:rFonts w:ascii="Times New Roman" w:hAnsi="Times New Roman" w:cs="Times New Roman"/>
          <w:sz w:val="24"/>
          <w:szCs w:val="24"/>
          <w:shd w:val="clear" w:color="auto" w:fill="FFFFFF"/>
        </w:rPr>
        <w:t xml:space="preserve">), </w:t>
      </w:r>
      <w:r w:rsidRPr="00FE0AE3">
        <w:rPr>
          <w:rFonts w:ascii="Times New Roman" w:hAnsi="Times New Roman" w:cs="Times New Roman"/>
          <w:sz w:val="24"/>
          <w:szCs w:val="24"/>
          <w:shd w:val="clear" w:color="auto" w:fill="FFFFFF"/>
        </w:rPr>
        <w:t>la suma del dinero público que perciben estas empresas públicas</w:t>
      </w:r>
      <w:r>
        <w:rPr>
          <w:rFonts w:ascii="Times New Roman" w:hAnsi="Times New Roman" w:cs="Times New Roman"/>
          <w:sz w:val="24"/>
          <w:szCs w:val="24"/>
          <w:shd w:val="clear" w:color="auto" w:fill="FFFFFF"/>
        </w:rPr>
        <w:t xml:space="preserve"> </w:t>
      </w:r>
      <w:r w:rsidRPr="00FE0AE3">
        <w:rPr>
          <w:rFonts w:ascii="Times New Roman" w:hAnsi="Times New Roman" w:cs="Times New Roman"/>
          <w:sz w:val="24"/>
          <w:szCs w:val="24"/>
          <w:shd w:val="clear" w:color="auto" w:fill="FFFFFF"/>
        </w:rPr>
        <w:t xml:space="preserve"> audi</w:t>
      </w:r>
      <w:r>
        <w:rPr>
          <w:rFonts w:ascii="Times New Roman" w:hAnsi="Times New Roman" w:cs="Times New Roman"/>
          <w:sz w:val="24"/>
          <w:szCs w:val="24"/>
          <w:shd w:val="clear" w:color="auto" w:fill="FFFFFF"/>
        </w:rPr>
        <w:t>ovisuales ascendió el año en el año 2022</w:t>
      </w:r>
      <w:r w:rsidRPr="00FE0AE3">
        <w:rPr>
          <w:rFonts w:ascii="Times New Roman" w:hAnsi="Times New Roman" w:cs="Times New Roman"/>
          <w:sz w:val="24"/>
          <w:szCs w:val="24"/>
          <w:shd w:val="clear" w:color="auto" w:fill="FFFFFF"/>
        </w:rPr>
        <w:t xml:space="preserve"> a 1.780,5 millones.</w:t>
      </w:r>
    </w:p>
    <w:p w:rsidR="007E438D" w:rsidRPr="00046F57" w:rsidRDefault="007E438D" w:rsidP="007E438D">
      <w:pPr>
        <w:spacing w:line="240" w:lineRule="auto"/>
        <w:jc w:val="both"/>
        <w:rPr>
          <w:rFonts w:ascii="Times New Roman" w:hAnsi="Times New Roman" w:cs="Times New Roman"/>
          <w:color w:val="FF0000"/>
          <w:sz w:val="24"/>
          <w:szCs w:val="24"/>
          <w:shd w:val="clear" w:color="auto" w:fill="FFFFFF"/>
        </w:rPr>
      </w:pPr>
      <w:r w:rsidRPr="00046F57">
        <w:rPr>
          <w:rFonts w:ascii="Times New Roman" w:hAnsi="Times New Roman" w:cs="Times New Roman"/>
          <w:color w:val="FF0000"/>
          <w:sz w:val="24"/>
          <w:szCs w:val="24"/>
          <w:shd w:val="clear" w:color="auto" w:fill="FFFFFF"/>
        </w:rPr>
        <w:t>Los canales autonómicos deben ser cerrados (vendido</w:t>
      </w:r>
      <w:r>
        <w:rPr>
          <w:rFonts w:ascii="Times New Roman" w:hAnsi="Times New Roman" w:cs="Times New Roman"/>
          <w:color w:val="FF0000"/>
          <w:sz w:val="24"/>
          <w:szCs w:val="24"/>
          <w:shd w:val="clear" w:color="auto" w:fill="FFFFFF"/>
        </w:rPr>
        <w:t>s</w:t>
      </w:r>
      <w:r w:rsidRPr="00046F57">
        <w:rPr>
          <w:rFonts w:ascii="Times New Roman" w:hAnsi="Times New Roman" w:cs="Times New Roman"/>
          <w:color w:val="FF0000"/>
          <w:sz w:val="24"/>
          <w:szCs w:val="24"/>
          <w:shd w:val="clear" w:color="auto" w:fill="FFFFFF"/>
        </w:rPr>
        <w:t xml:space="preserve">, fraccionados y privatizados, o directamente, liquidados). </w:t>
      </w:r>
    </w:p>
    <w:p w:rsidR="007E438D" w:rsidRPr="007866F8" w:rsidRDefault="007E438D" w:rsidP="007E438D">
      <w:pPr>
        <w:spacing w:line="240" w:lineRule="auto"/>
        <w:jc w:val="both"/>
        <w:rPr>
          <w:rFonts w:ascii="Times New Roman" w:hAnsi="Times New Roman" w:cs="Times New Roman"/>
          <w:color w:val="FF0000"/>
          <w:sz w:val="24"/>
          <w:szCs w:val="24"/>
          <w:shd w:val="clear" w:color="auto" w:fill="FFFFFF"/>
        </w:rPr>
      </w:pPr>
      <w:r w:rsidRPr="00046F57">
        <w:rPr>
          <w:rFonts w:ascii="Times New Roman" w:hAnsi="Times New Roman" w:cs="Times New Roman"/>
          <w:b/>
          <w:color w:val="FF0000"/>
          <w:sz w:val="24"/>
          <w:szCs w:val="24"/>
          <w:shd w:val="clear" w:color="auto" w:fill="FFFFFF"/>
        </w:rPr>
        <w:t>Nota</w:t>
      </w:r>
      <w:r w:rsidRPr="00046F57">
        <w:rPr>
          <w:rFonts w:ascii="Times New Roman" w:hAnsi="Times New Roman" w:cs="Times New Roman"/>
          <w:color w:val="FF0000"/>
          <w:sz w:val="24"/>
          <w:szCs w:val="24"/>
          <w:shd w:val="clear" w:color="auto" w:fill="FFFFFF"/>
        </w:rPr>
        <w:t>: Si RTVE es utilizada como un aparato propagandismo del gobierno de turno, manipulación informativa, intoxicación, adoctrinamiento, entretenimiento frívolo, fuente de negocios particulares, favores personales, clientelismo… los canales autonómicos resultan ser unos “chiringuitos” regionales, dónde se reproduce la metodología del ente nacional, pero en un plan más aldeano, folklórico, y lingüístico.</w:t>
      </w:r>
      <w:r>
        <w:rPr>
          <w:rFonts w:ascii="Times New Roman" w:hAnsi="Times New Roman" w:cs="Times New Roman"/>
          <w:color w:val="FF0000"/>
          <w:sz w:val="24"/>
          <w:szCs w:val="24"/>
          <w:shd w:val="clear" w:color="auto" w:fill="FFFFFF"/>
        </w:rPr>
        <w:t xml:space="preserve"> </w:t>
      </w:r>
    </w:p>
    <w:p w:rsidR="007E438D" w:rsidRDefault="007E438D" w:rsidP="007E438D">
      <w:pPr>
        <w:spacing w:line="240" w:lineRule="auto"/>
        <w:jc w:val="both"/>
        <w:rPr>
          <w:rFonts w:ascii="Times New Roman" w:hAnsi="Times New Roman" w:cs="Times New Roman"/>
          <w:color w:val="FF0000"/>
          <w:sz w:val="24"/>
          <w:szCs w:val="24"/>
          <w:shd w:val="clear" w:color="auto" w:fill="FFFFFF"/>
        </w:rPr>
      </w:pPr>
      <w:r w:rsidRPr="0029632E">
        <w:rPr>
          <w:rFonts w:ascii="Times New Roman" w:hAnsi="Times New Roman" w:cs="Times New Roman"/>
          <w:color w:val="FF0000"/>
          <w:sz w:val="24"/>
          <w:szCs w:val="24"/>
          <w:shd w:val="clear" w:color="auto" w:fill="FFFFFF"/>
        </w:rPr>
        <w:t>- Cerrar la Agencia EFE</w:t>
      </w:r>
    </w:p>
    <w:p w:rsidR="007E438D" w:rsidRPr="005E7F66" w:rsidRDefault="007E438D" w:rsidP="007E438D">
      <w:pPr>
        <w:spacing w:line="240" w:lineRule="auto"/>
        <w:jc w:val="both"/>
        <w:rPr>
          <w:rFonts w:ascii="Times New Roman" w:hAnsi="Times New Roman" w:cs="Times New Roman"/>
          <w:sz w:val="24"/>
          <w:szCs w:val="24"/>
          <w:shd w:val="clear" w:color="auto" w:fill="FFFFFF"/>
        </w:rPr>
      </w:pPr>
      <w:r w:rsidRPr="005E7F66">
        <w:rPr>
          <w:rFonts w:ascii="Times New Roman" w:hAnsi="Times New Roman" w:cs="Times New Roman"/>
          <w:sz w:val="24"/>
          <w:szCs w:val="24"/>
          <w:shd w:val="clear" w:color="auto" w:fill="FFFFFF"/>
        </w:rPr>
        <w:t>La agencia EFE es la principal agencia de noticias en español y la cuarta a nivel mundial. Su función principal es obtener y distribuir información a nivel internacional, especialmente en áreas donde se habla español. Es una agencia multimedia que cubre noticias en diferentes formatos como texto, foto, audio y video, y opera en todo el mundo a través de una red de periodistas.</w:t>
      </w:r>
    </w:p>
    <w:p w:rsidR="007E438D" w:rsidRPr="0029632E"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Según el Informe SEPI 2023, EFE es </w:t>
      </w:r>
      <w:r w:rsidRPr="0029632E">
        <w:rPr>
          <w:rFonts w:ascii="Times New Roman" w:hAnsi="Times New Roman" w:cs="Times New Roman"/>
          <w:sz w:val="24"/>
          <w:szCs w:val="24"/>
          <w:shd w:val="clear" w:color="auto" w:fill="FFFFFF"/>
        </w:rPr>
        <w:t>la primera agencia de noticias en español y está presente en</w:t>
      </w:r>
      <w:r>
        <w:rPr>
          <w:rFonts w:ascii="Times New Roman" w:hAnsi="Times New Roman" w:cs="Times New Roman"/>
          <w:sz w:val="24"/>
          <w:szCs w:val="24"/>
          <w:shd w:val="clear" w:color="auto" w:fill="FFFFFF"/>
        </w:rPr>
        <w:t xml:space="preserve"> </w:t>
      </w:r>
      <w:r w:rsidRPr="0029632E">
        <w:rPr>
          <w:rFonts w:ascii="Times New Roman" w:hAnsi="Times New Roman" w:cs="Times New Roman"/>
          <w:sz w:val="24"/>
          <w:szCs w:val="24"/>
          <w:shd w:val="clear" w:color="auto" w:fill="FFFFFF"/>
        </w:rPr>
        <w:t>180 ciudades de 110 países. Más</w:t>
      </w:r>
      <w:r>
        <w:rPr>
          <w:rFonts w:ascii="Times New Roman" w:hAnsi="Times New Roman" w:cs="Times New Roman"/>
          <w:sz w:val="24"/>
          <w:szCs w:val="24"/>
          <w:shd w:val="clear" w:color="auto" w:fill="FFFFFF"/>
        </w:rPr>
        <w:t xml:space="preserve"> de 150 millones de personas en </w:t>
      </w:r>
      <w:r w:rsidRPr="0029632E">
        <w:rPr>
          <w:rFonts w:ascii="Times New Roman" w:hAnsi="Times New Roman" w:cs="Times New Roman"/>
          <w:sz w:val="24"/>
          <w:szCs w:val="24"/>
          <w:shd w:val="clear" w:color="auto" w:fill="FFFFFF"/>
        </w:rPr>
        <w:t xml:space="preserve">el mundo consumen contenidos informativos de EFE, </w:t>
      </w:r>
      <w:r>
        <w:rPr>
          <w:rFonts w:ascii="Times New Roman" w:hAnsi="Times New Roman" w:cs="Times New Roman"/>
          <w:sz w:val="24"/>
          <w:szCs w:val="24"/>
          <w:shd w:val="clear" w:color="auto" w:fill="FFFFFF"/>
        </w:rPr>
        <w:t xml:space="preserve">que cuenta </w:t>
      </w:r>
      <w:r w:rsidRPr="0029632E">
        <w:rPr>
          <w:rFonts w:ascii="Times New Roman" w:hAnsi="Times New Roman" w:cs="Times New Roman"/>
          <w:sz w:val="24"/>
          <w:szCs w:val="24"/>
          <w:shd w:val="clear" w:color="auto" w:fill="FFFFFF"/>
        </w:rPr>
        <w:t>con tres mesas de edición en Madri</w:t>
      </w:r>
      <w:r>
        <w:rPr>
          <w:rFonts w:ascii="Times New Roman" w:hAnsi="Times New Roman" w:cs="Times New Roman"/>
          <w:sz w:val="24"/>
          <w:szCs w:val="24"/>
          <w:shd w:val="clear" w:color="auto" w:fill="FFFFFF"/>
        </w:rPr>
        <w:t xml:space="preserve">d, Bogotá y Bangkok, ofreciendo </w:t>
      </w:r>
      <w:r w:rsidRPr="0029632E">
        <w:rPr>
          <w:rFonts w:ascii="Times New Roman" w:hAnsi="Times New Roman" w:cs="Times New Roman"/>
          <w:sz w:val="24"/>
          <w:szCs w:val="24"/>
          <w:shd w:val="clear" w:color="auto" w:fill="FFFFFF"/>
        </w:rPr>
        <w:t>una imagen renovada y p</w:t>
      </w:r>
      <w:r>
        <w:rPr>
          <w:rFonts w:ascii="Times New Roman" w:hAnsi="Times New Roman" w:cs="Times New Roman"/>
          <w:sz w:val="24"/>
          <w:szCs w:val="24"/>
          <w:shd w:val="clear" w:color="auto" w:fill="FFFFFF"/>
        </w:rPr>
        <w:t xml:space="preserve">roductos en diferentes formatos </w:t>
      </w:r>
      <w:r w:rsidRPr="0029632E">
        <w:rPr>
          <w:rFonts w:ascii="Times New Roman" w:hAnsi="Times New Roman" w:cs="Times New Roman"/>
          <w:sz w:val="24"/>
          <w:szCs w:val="24"/>
          <w:shd w:val="clear" w:color="auto" w:fill="FFFFFF"/>
        </w:rPr>
        <w:t>informativos, texto, foto, audio, vídeo</w:t>
      </w:r>
      <w:r>
        <w:rPr>
          <w:rFonts w:ascii="Times New Roman" w:hAnsi="Times New Roman" w:cs="Times New Roman"/>
          <w:sz w:val="24"/>
          <w:szCs w:val="24"/>
          <w:shd w:val="clear" w:color="auto" w:fill="FFFFFF"/>
        </w:rPr>
        <w:t xml:space="preserve"> y multimedia a sus clientes en </w:t>
      </w:r>
      <w:r w:rsidRPr="0029632E">
        <w:rPr>
          <w:rFonts w:ascii="Times New Roman" w:hAnsi="Times New Roman" w:cs="Times New Roman"/>
          <w:sz w:val="24"/>
          <w:szCs w:val="24"/>
          <w:shd w:val="clear" w:color="auto" w:fill="FFFFFF"/>
        </w:rPr>
        <w:t>los cinco continentes.</w:t>
      </w:r>
    </w:p>
    <w:p w:rsidR="007E438D"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2236A4">
        <w:rPr>
          <w:rFonts w:ascii="Times New Roman" w:hAnsi="Times New Roman" w:cs="Times New Roman"/>
          <w:noProof/>
          <w:sz w:val="24"/>
          <w:szCs w:val="24"/>
          <w:shd w:val="clear" w:color="auto" w:fill="FFFFFF"/>
          <w:lang w:eastAsia="es-ES"/>
        </w:rPr>
        <w:drawing>
          <wp:inline distT="0" distB="0" distL="0" distR="0" wp14:anchorId="647EC0EF" wp14:editId="6DBC70E1">
            <wp:extent cx="3953427" cy="1829055"/>
            <wp:effectExtent l="0" t="0" r="952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953427" cy="1829055"/>
                    </a:xfrm>
                    <a:prstGeom prst="rect">
                      <a:avLst/>
                    </a:prstGeom>
                  </pic:spPr>
                </pic:pic>
              </a:graphicData>
            </a:graphic>
          </wp:inline>
        </w:drawing>
      </w:r>
    </w:p>
    <w:p w:rsidR="007E438D" w:rsidRPr="00C45258"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C45258">
        <w:rPr>
          <w:rFonts w:ascii="Times New Roman" w:hAnsi="Times New Roman" w:cs="Times New Roman"/>
          <w:sz w:val="24"/>
          <w:szCs w:val="24"/>
          <w:shd w:val="clear" w:color="auto" w:fill="FFFFFF"/>
        </w:rPr>
        <w:t>En general y salvo excepciones, todos los Gobiernos han intentado controlar los medios de comunicación, sobre todos los públicos, y han estado más interesados en ese control que en permiti</w:t>
      </w:r>
      <w:r>
        <w:rPr>
          <w:rFonts w:ascii="Times New Roman" w:hAnsi="Times New Roman" w:cs="Times New Roman"/>
          <w:sz w:val="24"/>
          <w:szCs w:val="24"/>
          <w:shd w:val="clear" w:color="auto" w:fill="FFFFFF"/>
        </w:rPr>
        <w:t xml:space="preserve">rles trabajar con independencia”, </w:t>
      </w:r>
      <w:r w:rsidRPr="00C45258">
        <w:rPr>
          <w:rFonts w:ascii="Times New Roman" w:hAnsi="Times New Roman" w:cs="Times New Roman"/>
          <w:sz w:val="24"/>
          <w:szCs w:val="24"/>
          <w:shd w:val="clear" w:color="auto" w:fill="FFFFFF"/>
        </w:rPr>
        <w:t>recuerda Agustín Yanel, secretario general de la Federación de S</w:t>
      </w:r>
      <w:r>
        <w:rPr>
          <w:rFonts w:ascii="Times New Roman" w:hAnsi="Times New Roman" w:cs="Times New Roman"/>
          <w:sz w:val="24"/>
          <w:szCs w:val="24"/>
          <w:shd w:val="clear" w:color="auto" w:fill="FFFFFF"/>
        </w:rPr>
        <w:t xml:space="preserve">indicatos de Periodistas (FeSP) (Público - </w:t>
      </w:r>
      <w:r w:rsidRPr="008A7097">
        <w:rPr>
          <w:rFonts w:ascii="Times New Roman" w:hAnsi="Times New Roman" w:cs="Times New Roman"/>
          <w:b/>
          <w:sz w:val="24"/>
          <w:szCs w:val="24"/>
          <w:shd w:val="clear" w:color="auto" w:fill="FFFFFF"/>
        </w:rPr>
        <w:t>18/2/20</w:t>
      </w:r>
      <w:r>
        <w:rPr>
          <w:rFonts w:ascii="Times New Roman" w:hAnsi="Times New Roman" w:cs="Times New Roman"/>
          <w:sz w:val="24"/>
          <w:szCs w:val="24"/>
          <w:shd w:val="clear" w:color="auto" w:fill="FFFFFF"/>
        </w:rPr>
        <w:t>).</w:t>
      </w:r>
    </w:p>
    <w:p w:rsidR="007E438D" w:rsidRDefault="007E438D" w:rsidP="007E438D">
      <w:pPr>
        <w:spacing w:line="240" w:lineRule="auto"/>
        <w:jc w:val="both"/>
        <w:rPr>
          <w:rFonts w:ascii="Times New Roman" w:hAnsi="Times New Roman" w:cs="Times New Roman"/>
          <w:sz w:val="24"/>
          <w:szCs w:val="24"/>
          <w:shd w:val="clear" w:color="auto" w:fill="FFFFFF"/>
        </w:rPr>
      </w:pPr>
      <w:r w:rsidRPr="00C45258">
        <w:rPr>
          <w:rFonts w:ascii="Times New Roman" w:hAnsi="Times New Roman" w:cs="Times New Roman"/>
          <w:sz w:val="24"/>
          <w:szCs w:val="24"/>
          <w:shd w:val="clear" w:color="auto" w:fill="FFFFFF"/>
        </w:rPr>
        <w:t>Por ello, el secretario general de la FeSP considera que su dirección debería ser elegida por concurso público, algo que</w:t>
      </w:r>
      <w:r>
        <w:rPr>
          <w:rFonts w:ascii="Times New Roman" w:hAnsi="Times New Roman" w:cs="Times New Roman"/>
          <w:sz w:val="24"/>
          <w:szCs w:val="24"/>
          <w:shd w:val="clear" w:color="auto" w:fill="FFFFFF"/>
        </w:rPr>
        <w:t xml:space="preserve"> ya había pedido el propio Fernando Garea (Junio 2018</w:t>
      </w:r>
      <w:r w:rsidRPr="00C45258">
        <w:rPr>
          <w:rFonts w:ascii="Times New Roman" w:hAnsi="Times New Roman" w:cs="Times New Roman"/>
          <w:sz w:val="24"/>
          <w:szCs w:val="24"/>
          <w:shd w:val="clear" w:color="auto" w:fill="FFFFFF"/>
        </w:rPr>
        <w:t>) como presidente de Efe, como se ha enca</w:t>
      </w:r>
      <w:r>
        <w:rPr>
          <w:rFonts w:ascii="Times New Roman" w:hAnsi="Times New Roman" w:cs="Times New Roman"/>
          <w:sz w:val="24"/>
          <w:szCs w:val="24"/>
          <w:shd w:val="clear" w:color="auto" w:fill="FFFFFF"/>
        </w:rPr>
        <w:t>rgado de recordar en su adiós: “</w:t>
      </w:r>
      <w:r w:rsidRPr="00C45258">
        <w:rPr>
          <w:rFonts w:ascii="Times New Roman" w:hAnsi="Times New Roman" w:cs="Times New Roman"/>
          <w:sz w:val="24"/>
          <w:szCs w:val="24"/>
          <w:shd w:val="clear" w:color="auto" w:fill="FFFFFF"/>
        </w:rPr>
        <w:t xml:space="preserve">Logré que todos [los partidos] firmaran un documento comprometiéndose a promover la elección parlamentaria de </w:t>
      </w:r>
      <w:r w:rsidRPr="00C45258">
        <w:rPr>
          <w:rFonts w:ascii="Times New Roman" w:hAnsi="Times New Roman" w:cs="Times New Roman"/>
          <w:sz w:val="24"/>
          <w:szCs w:val="24"/>
          <w:shd w:val="clear" w:color="auto" w:fill="FFFFFF"/>
        </w:rPr>
        <w:lastRenderedPageBreak/>
        <w:t>los presidentes de Efe, porque considero que es imprescindible esa desgubernamentalización de la agencia. El PSOE no lo firmó, pero se remitió a un acuerdo de su direcció</w:t>
      </w:r>
      <w:r>
        <w:rPr>
          <w:rFonts w:ascii="Times New Roman" w:hAnsi="Times New Roman" w:cs="Times New Roman"/>
          <w:sz w:val="24"/>
          <w:szCs w:val="24"/>
          <w:shd w:val="clear" w:color="auto" w:fill="FFFFFF"/>
        </w:rPr>
        <w:t>n que no ha sido derogado nunca”</w:t>
      </w:r>
      <w:r w:rsidRPr="00C45258">
        <w:rPr>
          <w:rFonts w:ascii="Times New Roman" w:hAnsi="Times New Roman" w:cs="Times New Roman"/>
          <w:sz w:val="24"/>
          <w:szCs w:val="24"/>
          <w:shd w:val="clear" w:color="auto" w:fill="FFFFFF"/>
        </w:rPr>
        <w:t>.</w:t>
      </w:r>
    </w:p>
    <w:p w:rsidR="007E438D" w:rsidRDefault="007E438D" w:rsidP="007E438D">
      <w:pPr>
        <w:spacing w:line="240" w:lineRule="auto"/>
        <w:jc w:val="both"/>
        <w:rPr>
          <w:rFonts w:ascii="Times New Roman" w:hAnsi="Times New Roman" w:cs="Times New Roman"/>
          <w:sz w:val="24"/>
          <w:szCs w:val="24"/>
          <w:shd w:val="clear" w:color="auto" w:fill="FFFFFF"/>
        </w:rPr>
      </w:pPr>
      <w:r w:rsidRPr="00C45258">
        <w:rPr>
          <w:rFonts w:ascii="Times New Roman" w:hAnsi="Times New Roman" w:cs="Times New Roman"/>
          <w:sz w:val="24"/>
          <w:szCs w:val="24"/>
          <w:shd w:val="clear" w:color="auto" w:fill="FFFFFF"/>
        </w:rPr>
        <w:t xml:space="preserve">Yanel concuerda con las palabras que Garea ha dirigido a la </w:t>
      </w:r>
      <w:r>
        <w:rPr>
          <w:rFonts w:ascii="Times New Roman" w:hAnsi="Times New Roman" w:cs="Times New Roman"/>
          <w:sz w:val="24"/>
          <w:szCs w:val="24"/>
          <w:shd w:val="clear" w:color="auto" w:fill="FFFFFF"/>
        </w:rPr>
        <w:t>redacción tras su destitución. “</w:t>
      </w:r>
      <w:r w:rsidRPr="00C45258">
        <w:rPr>
          <w:rFonts w:ascii="Times New Roman" w:hAnsi="Times New Roman" w:cs="Times New Roman"/>
          <w:sz w:val="24"/>
          <w:szCs w:val="24"/>
          <w:shd w:val="clear" w:color="auto" w:fill="FFFFFF"/>
        </w:rPr>
        <w:t xml:space="preserve">Repito y subrayo porque es oportuno: una agencia pública de noticias no es una agencia de noticias del Gobierno, </w:t>
      </w:r>
      <w:r>
        <w:rPr>
          <w:rFonts w:ascii="Times New Roman" w:hAnsi="Times New Roman" w:cs="Times New Roman"/>
          <w:sz w:val="24"/>
          <w:szCs w:val="24"/>
          <w:shd w:val="clear" w:color="auto" w:fill="FFFFFF"/>
        </w:rPr>
        <w:t>ni siquiera una agencia oficial”</w:t>
      </w:r>
      <w:r w:rsidRPr="00C45258">
        <w:rPr>
          <w:rFonts w:ascii="Times New Roman" w:hAnsi="Times New Roman" w:cs="Times New Roman"/>
          <w:sz w:val="24"/>
          <w:szCs w:val="24"/>
          <w:shd w:val="clear" w:color="auto" w:fill="FFFFFF"/>
        </w:rPr>
        <w:t>, escribió en una carta el ya expresidente de la empresa, adscrita a la Sociedad Estatal de Participaciones Industriales (SEPI) y cuyo principal accionista es el Estado.</w:t>
      </w:r>
    </w:p>
    <w:p w:rsidR="007E438D"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C45258">
        <w:rPr>
          <w:rFonts w:ascii="Times New Roman" w:hAnsi="Times New Roman" w:cs="Times New Roman"/>
          <w:sz w:val="24"/>
          <w:szCs w:val="24"/>
          <w:shd w:val="clear" w:color="auto" w:fill="FFFFFF"/>
        </w:rPr>
        <w:t>Sin embargo, da la sensación de que en la Moncloa hay alguien que lamentablemente piensa que es la agencia oficial del Gob</w:t>
      </w:r>
      <w:r>
        <w:rPr>
          <w:rFonts w:ascii="Times New Roman" w:hAnsi="Times New Roman" w:cs="Times New Roman"/>
          <w:sz w:val="24"/>
          <w:szCs w:val="24"/>
          <w:shd w:val="clear" w:color="auto" w:fill="FFFFFF"/>
        </w:rPr>
        <w:t>ierno español, cuando no es así”</w:t>
      </w:r>
      <w:r w:rsidRPr="00C45258">
        <w:rPr>
          <w:rFonts w:ascii="Times New Roman" w:hAnsi="Times New Roman" w:cs="Times New Roman"/>
          <w:sz w:val="24"/>
          <w:szCs w:val="24"/>
          <w:shd w:val="clear" w:color="auto" w:fill="FFFFFF"/>
        </w:rPr>
        <w:t xml:space="preserve">, añade el </w:t>
      </w:r>
      <w:r>
        <w:rPr>
          <w:rFonts w:ascii="Times New Roman" w:hAnsi="Times New Roman" w:cs="Times New Roman"/>
          <w:sz w:val="24"/>
          <w:szCs w:val="24"/>
          <w:shd w:val="clear" w:color="auto" w:fill="FFFFFF"/>
        </w:rPr>
        <w:t>secretario general de la FeSP. “</w:t>
      </w:r>
      <w:r w:rsidRPr="00C45258">
        <w:rPr>
          <w:rFonts w:ascii="Times New Roman" w:hAnsi="Times New Roman" w:cs="Times New Roman"/>
          <w:sz w:val="24"/>
          <w:szCs w:val="24"/>
          <w:shd w:val="clear" w:color="auto" w:fill="FFFFFF"/>
        </w:rPr>
        <w:t xml:space="preserve">Es la agencia estatal, porque una agencia oficial está obligada, como sucede en otros países, a difundir todos los comunicados del Ejecutivo. Efe, en cambio, tiene obligaciones, pero no escribir al dictado ni publicar lo </w:t>
      </w:r>
      <w:r>
        <w:rPr>
          <w:rFonts w:ascii="Times New Roman" w:hAnsi="Times New Roman" w:cs="Times New Roman"/>
          <w:sz w:val="24"/>
          <w:szCs w:val="24"/>
          <w:shd w:val="clear" w:color="auto" w:fill="FFFFFF"/>
        </w:rPr>
        <w:t>que no sea noticia”</w:t>
      </w:r>
      <w:r w:rsidRPr="00C45258">
        <w:rPr>
          <w:rFonts w:ascii="Times New Roman" w:hAnsi="Times New Roman" w:cs="Times New Roman"/>
          <w:sz w:val="24"/>
          <w:szCs w:val="24"/>
          <w:shd w:val="clear" w:color="auto" w:fill="FFFFFF"/>
        </w:rPr>
        <w:t>.</w:t>
      </w:r>
    </w:p>
    <w:p w:rsidR="007E438D" w:rsidRPr="00C45258"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C45258">
        <w:rPr>
          <w:rFonts w:ascii="Times New Roman" w:hAnsi="Times New Roman" w:cs="Times New Roman"/>
          <w:sz w:val="24"/>
          <w:szCs w:val="24"/>
          <w:shd w:val="clear" w:color="auto" w:fill="FFFFFF"/>
        </w:rPr>
        <w:t xml:space="preserve">La dirección de Efe y otros medios públicos depende del poder político y frecuentemente responde al amiguismo, porque a ningún presidente del Gobierno le ha gustado no tener su control. Sin embargo, Garea era el único al que se </w:t>
      </w:r>
      <w:r>
        <w:rPr>
          <w:rFonts w:ascii="Times New Roman" w:hAnsi="Times New Roman" w:cs="Times New Roman"/>
          <w:sz w:val="24"/>
          <w:szCs w:val="24"/>
          <w:shd w:val="clear" w:color="auto" w:fill="FFFFFF"/>
        </w:rPr>
        <w:t>presuponía cierta independencia”</w:t>
      </w:r>
      <w:r w:rsidRPr="00C45258">
        <w:rPr>
          <w:rFonts w:ascii="Times New Roman" w:hAnsi="Times New Roman" w:cs="Times New Roman"/>
          <w:sz w:val="24"/>
          <w:szCs w:val="24"/>
          <w:shd w:val="clear" w:color="auto" w:fill="FFFFFF"/>
        </w:rPr>
        <w:t>, explican fuentes del sector de los medios de comunicación que conocen de cerca c</w:t>
      </w:r>
      <w:r>
        <w:rPr>
          <w:rFonts w:ascii="Times New Roman" w:hAnsi="Times New Roman" w:cs="Times New Roman"/>
          <w:sz w:val="24"/>
          <w:szCs w:val="24"/>
          <w:shd w:val="clear" w:color="auto" w:fill="FFFFFF"/>
        </w:rPr>
        <w:t>ómo se produjo la destitución. “</w:t>
      </w:r>
      <w:r w:rsidRPr="00C45258">
        <w:rPr>
          <w:rFonts w:ascii="Times New Roman" w:hAnsi="Times New Roman" w:cs="Times New Roman"/>
          <w:sz w:val="24"/>
          <w:szCs w:val="24"/>
          <w:shd w:val="clear" w:color="auto" w:fill="FFFFFF"/>
        </w:rPr>
        <w:t>Se lo han c</w:t>
      </w:r>
      <w:r>
        <w:rPr>
          <w:rFonts w:ascii="Times New Roman" w:hAnsi="Times New Roman" w:cs="Times New Roman"/>
          <w:sz w:val="24"/>
          <w:szCs w:val="24"/>
          <w:shd w:val="clear" w:color="auto" w:fill="FFFFFF"/>
        </w:rPr>
        <w:t>argado porque no entró al trapo”</w:t>
      </w:r>
      <w:r w:rsidRPr="00C45258">
        <w:rPr>
          <w:rFonts w:ascii="Times New Roman" w:hAnsi="Times New Roman" w:cs="Times New Roman"/>
          <w:sz w:val="24"/>
          <w:szCs w:val="24"/>
          <w:shd w:val="clear" w:color="auto" w:fill="FFFFFF"/>
        </w:rPr>
        <w:t>.</w:t>
      </w:r>
    </w:p>
    <w:p w:rsidR="007E438D" w:rsidRDefault="007E438D" w:rsidP="007E438D">
      <w:pPr>
        <w:spacing w:line="240" w:lineRule="auto"/>
        <w:jc w:val="both"/>
        <w:rPr>
          <w:rFonts w:ascii="Times New Roman" w:hAnsi="Times New Roman" w:cs="Times New Roman"/>
          <w:sz w:val="24"/>
          <w:szCs w:val="24"/>
          <w:shd w:val="clear" w:color="auto" w:fill="FFFFFF"/>
        </w:rPr>
      </w:pPr>
      <w:r w:rsidRPr="00C45258">
        <w:rPr>
          <w:rFonts w:ascii="Times New Roman" w:hAnsi="Times New Roman" w:cs="Times New Roman"/>
          <w:sz w:val="24"/>
          <w:szCs w:val="24"/>
          <w:shd w:val="clear" w:color="auto" w:fill="FFFFFF"/>
        </w:rPr>
        <w:t>Otras fuentes apuntan directamente al secretario de Estado de Comunicación, Miguel Ángel Oliver. Y, sobre todo, cargan las tintas contra Iván Redondo, jefe del Gabinete d</w:t>
      </w:r>
      <w:r>
        <w:rPr>
          <w:rFonts w:ascii="Times New Roman" w:hAnsi="Times New Roman" w:cs="Times New Roman"/>
          <w:sz w:val="24"/>
          <w:szCs w:val="24"/>
          <w:shd w:val="clear" w:color="auto" w:fill="FFFFFF"/>
        </w:rPr>
        <w:t>e la Presidencia del Gobierno. “Si no se le hace caso a él, fuera”, explican unas. “</w:t>
      </w:r>
      <w:r w:rsidRPr="00C45258">
        <w:rPr>
          <w:rFonts w:ascii="Times New Roman" w:hAnsi="Times New Roman" w:cs="Times New Roman"/>
          <w:sz w:val="24"/>
          <w:szCs w:val="24"/>
          <w:shd w:val="clear" w:color="auto" w:fill="FFFFFF"/>
        </w:rPr>
        <w:t>Re</w:t>
      </w:r>
      <w:r>
        <w:rPr>
          <w:rFonts w:ascii="Times New Roman" w:hAnsi="Times New Roman" w:cs="Times New Roman"/>
          <w:sz w:val="24"/>
          <w:szCs w:val="24"/>
          <w:shd w:val="clear" w:color="auto" w:fill="FFFFFF"/>
        </w:rPr>
        <w:t>dondo hace y deshace en Moncloa”, insisten otras. “</w:t>
      </w:r>
      <w:r w:rsidRPr="00C45258">
        <w:rPr>
          <w:rFonts w:ascii="Times New Roman" w:hAnsi="Times New Roman" w:cs="Times New Roman"/>
          <w:sz w:val="24"/>
          <w:szCs w:val="24"/>
          <w:shd w:val="clear" w:color="auto" w:fill="FFFFFF"/>
        </w:rPr>
        <w:t>Garea iba a desempeñar en Efe el trabajo más profesional posible y a ellos no les habrá gustado. Previamente, hubo</w:t>
      </w:r>
      <w:r>
        <w:rPr>
          <w:rFonts w:ascii="Times New Roman" w:hAnsi="Times New Roman" w:cs="Times New Roman"/>
          <w:sz w:val="24"/>
          <w:szCs w:val="24"/>
          <w:shd w:val="clear" w:color="auto" w:fill="FFFFFF"/>
        </w:rPr>
        <w:t xml:space="preserve"> algún encontronazo y desajuste”</w:t>
      </w:r>
      <w:r w:rsidRPr="00C45258">
        <w:rPr>
          <w:rFonts w:ascii="Times New Roman" w:hAnsi="Times New Roman" w:cs="Times New Roman"/>
          <w:sz w:val="24"/>
          <w:szCs w:val="24"/>
          <w:shd w:val="clear" w:color="auto" w:fill="FFFFFF"/>
        </w:rPr>
        <w:t>. Y luego llegó el desenlace conocido.</w:t>
      </w:r>
    </w:p>
    <w:p w:rsidR="007E438D"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Fin de la historia: </w:t>
      </w:r>
      <w:r w:rsidRPr="00F90005">
        <w:rPr>
          <w:rFonts w:ascii="Times New Roman" w:hAnsi="Times New Roman" w:cs="Times New Roman"/>
          <w:sz w:val="24"/>
          <w:szCs w:val="24"/>
          <w:shd w:val="clear" w:color="auto" w:fill="FFFFFF"/>
        </w:rPr>
        <w:t>El Congreso ha avalado este jueves el nombramiento del periodista Miguel Ángel Oliver como presidente de la Agencia EFE con el apoyo de la mayoría de los grupos parlamentarios, excepto el PP y Vox, que han votado en contra al considerar que no es imparcial por su vinculación con el Gobierno y con el PSOE.</w:t>
      </w:r>
      <w:r>
        <w:rPr>
          <w:rFonts w:ascii="Times New Roman" w:hAnsi="Times New Roman" w:cs="Times New Roman"/>
          <w:sz w:val="24"/>
          <w:szCs w:val="24"/>
          <w:shd w:val="clear" w:color="auto" w:fill="FFFFFF"/>
        </w:rPr>
        <w:t xml:space="preserve"> (EFE - </w:t>
      </w:r>
      <w:r w:rsidRPr="008A7097">
        <w:rPr>
          <w:rFonts w:ascii="Times New Roman" w:hAnsi="Times New Roman" w:cs="Times New Roman"/>
          <w:b/>
          <w:sz w:val="24"/>
          <w:szCs w:val="24"/>
          <w:shd w:val="clear" w:color="auto" w:fill="FFFFFF"/>
        </w:rPr>
        <w:t>21/12/23</w:t>
      </w:r>
      <w:r>
        <w:rPr>
          <w:rFonts w:ascii="Times New Roman" w:hAnsi="Times New Roman" w:cs="Times New Roman"/>
          <w:sz w:val="24"/>
          <w:szCs w:val="24"/>
          <w:shd w:val="clear" w:color="auto" w:fill="FFFFFF"/>
        </w:rPr>
        <w:t>)</w:t>
      </w:r>
    </w:p>
    <w:p w:rsidR="007E438D" w:rsidRPr="00046F57" w:rsidRDefault="007E438D" w:rsidP="007E438D">
      <w:pPr>
        <w:spacing w:line="240" w:lineRule="auto"/>
        <w:jc w:val="both"/>
        <w:rPr>
          <w:rFonts w:ascii="Times New Roman" w:hAnsi="Times New Roman" w:cs="Times New Roman"/>
          <w:color w:val="FF0000"/>
          <w:sz w:val="24"/>
          <w:szCs w:val="24"/>
          <w:shd w:val="clear" w:color="auto" w:fill="FFFFFF"/>
        </w:rPr>
      </w:pPr>
      <w:r w:rsidRPr="00046F57">
        <w:rPr>
          <w:rFonts w:ascii="Times New Roman" w:hAnsi="Times New Roman" w:cs="Times New Roman"/>
          <w:b/>
          <w:color w:val="FF0000"/>
          <w:sz w:val="24"/>
          <w:szCs w:val="24"/>
          <w:shd w:val="clear" w:color="auto" w:fill="FFFFFF"/>
        </w:rPr>
        <w:t>Nota</w:t>
      </w:r>
      <w:r w:rsidRPr="00046F57">
        <w:rPr>
          <w:rFonts w:ascii="Times New Roman" w:hAnsi="Times New Roman" w:cs="Times New Roman"/>
          <w:color w:val="FF0000"/>
          <w:sz w:val="24"/>
          <w:szCs w:val="24"/>
          <w:shd w:val="clear" w:color="auto" w:fill="FFFFFF"/>
        </w:rPr>
        <w:t>: la Agencia EFE no sirve a España para extender su “poder blando” sobre el mundo de habla hispana. Solo sirve para proteger el “poder duro” del gobierno de turno, allí donde se pueda, hacer favores a periodistas sumisos (empotrados, ensobrados, sectarios, partidarios). Toda esa “pirotecnia de desinformación” se realiza c</w:t>
      </w:r>
      <w:r w:rsidR="008A7097">
        <w:rPr>
          <w:rFonts w:ascii="Times New Roman" w:hAnsi="Times New Roman" w:cs="Times New Roman"/>
          <w:color w:val="FF0000"/>
          <w:sz w:val="24"/>
          <w:szCs w:val="24"/>
          <w:shd w:val="clear" w:color="auto" w:fill="FFFFFF"/>
        </w:rPr>
        <w:t>on el dinero de contribuyente, a</w:t>
      </w:r>
      <w:r w:rsidRPr="00046F57">
        <w:rPr>
          <w:rFonts w:ascii="Times New Roman" w:hAnsi="Times New Roman" w:cs="Times New Roman"/>
          <w:color w:val="FF0000"/>
          <w:sz w:val="24"/>
          <w:szCs w:val="24"/>
          <w:shd w:val="clear" w:color="auto" w:fill="FFFFFF"/>
        </w:rPr>
        <w:t xml:space="preserve">demás. </w:t>
      </w:r>
    </w:p>
    <w:p w:rsidR="007E438D" w:rsidRDefault="007E438D" w:rsidP="007E438D">
      <w:pPr>
        <w:spacing w:line="240" w:lineRule="auto"/>
        <w:jc w:val="both"/>
        <w:rPr>
          <w:rFonts w:ascii="Times New Roman" w:hAnsi="Times New Roman" w:cs="Times New Roman"/>
          <w:color w:val="FF0000"/>
          <w:sz w:val="24"/>
          <w:szCs w:val="24"/>
          <w:shd w:val="clear" w:color="auto" w:fill="FFFFFF"/>
        </w:rPr>
      </w:pPr>
      <w:r w:rsidRPr="00A97A07">
        <w:rPr>
          <w:rFonts w:ascii="Times New Roman" w:hAnsi="Times New Roman" w:cs="Times New Roman"/>
          <w:color w:val="FF0000"/>
          <w:sz w:val="24"/>
          <w:szCs w:val="24"/>
          <w:shd w:val="clear" w:color="auto" w:fill="FFFFFF"/>
        </w:rPr>
        <w:t>- Cerrar la SEPI (vender todas las acciones de empresas privadas en poder del Estado)</w:t>
      </w:r>
    </w:p>
    <w:p w:rsidR="007E438D" w:rsidRPr="00F90005" w:rsidRDefault="007E438D" w:rsidP="007E438D">
      <w:pPr>
        <w:spacing w:line="240" w:lineRule="auto"/>
        <w:jc w:val="both"/>
        <w:rPr>
          <w:rFonts w:ascii="Times New Roman" w:hAnsi="Times New Roman" w:cs="Times New Roman"/>
          <w:sz w:val="24"/>
          <w:szCs w:val="24"/>
          <w:shd w:val="clear" w:color="auto" w:fill="FFFFFF"/>
        </w:rPr>
      </w:pPr>
      <w:r w:rsidRPr="00F90005">
        <w:rPr>
          <w:rFonts w:ascii="Times New Roman" w:hAnsi="Times New Roman" w:cs="Times New Roman"/>
          <w:sz w:val="24"/>
          <w:szCs w:val="24"/>
          <w:shd w:val="clear" w:color="auto" w:fill="FFFFFF"/>
        </w:rPr>
        <w:t>La SEPI, o Sociedad Estatal de Participaciones Industriales, es una entidad pública empresarial adscrita al Ministerio de Hacienda de España. Su función principal es gestionar las participaciones industriales del Estado, buscando la rentabilidad de esas participaciones y actuando en interés público.</w:t>
      </w:r>
    </w:p>
    <w:p w:rsidR="007E438D" w:rsidRDefault="007E438D" w:rsidP="007E438D">
      <w:pPr>
        <w:spacing w:line="240" w:lineRule="auto"/>
        <w:jc w:val="both"/>
        <w:rPr>
          <w:rFonts w:ascii="Times New Roman" w:hAnsi="Times New Roman" w:cs="Times New Roman"/>
          <w:b/>
          <w:sz w:val="24"/>
          <w:szCs w:val="24"/>
          <w:shd w:val="clear" w:color="auto" w:fill="FFFFFF"/>
        </w:rPr>
      </w:pPr>
      <w:r w:rsidRPr="0029632E">
        <w:rPr>
          <w:rFonts w:ascii="Times New Roman" w:hAnsi="Times New Roman" w:cs="Times New Roman"/>
          <w:b/>
          <w:sz w:val="24"/>
          <w:szCs w:val="24"/>
          <w:shd w:val="clear" w:color="auto" w:fill="FFFFFF"/>
        </w:rPr>
        <w:t>Informe SEPI 2023</w:t>
      </w:r>
    </w:p>
    <w:p w:rsidR="007E438D" w:rsidRDefault="007E438D" w:rsidP="007E438D">
      <w:pPr>
        <w:spacing w:line="240" w:lineRule="auto"/>
        <w:jc w:val="both"/>
        <w:rPr>
          <w:rFonts w:ascii="Times New Roman" w:hAnsi="Times New Roman" w:cs="Times New Roman"/>
          <w:sz w:val="24"/>
          <w:szCs w:val="24"/>
          <w:shd w:val="clear" w:color="auto" w:fill="FFFFFF"/>
        </w:rPr>
      </w:pPr>
      <w:r w:rsidRPr="00D441E9">
        <w:rPr>
          <w:rFonts w:ascii="Times New Roman" w:hAnsi="Times New Roman" w:cs="Times New Roman"/>
          <w:sz w:val="24"/>
          <w:szCs w:val="24"/>
          <w:shd w:val="clear" w:color="auto" w:fill="FFFFFF"/>
        </w:rPr>
        <w:t>La Sociedad Estatal de Participaciones Industriales busca la máxima eficiencia empresarial en las sociedades públicas e instrumentales en sectores clave</w:t>
      </w:r>
      <w:r>
        <w:rPr>
          <w:rFonts w:ascii="Times New Roman" w:hAnsi="Times New Roman" w:cs="Times New Roman"/>
          <w:sz w:val="24"/>
          <w:szCs w:val="24"/>
          <w:shd w:val="clear" w:color="auto" w:fill="FFFFFF"/>
        </w:rPr>
        <w:t>.</w:t>
      </w:r>
    </w:p>
    <w:p w:rsidR="007E438D" w:rsidRPr="00D441E9" w:rsidRDefault="007E438D" w:rsidP="007E438D">
      <w:pPr>
        <w:shd w:val="clear" w:color="auto" w:fill="FFFFFF"/>
        <w:spacing w:before="100" w:beforeAutospacing="1" w:after="100" w:afterAutospacing="1" w:line="240" w:lineRule="auto"/>
        <w:rPr>
          <w:rFonts w:ascii="Times New Roman" w:eastAsia="Times New Roman" w:hAnsi="Times New Roman" w:cs="Times New Roman"/>
          <w:color w:val="202020"/>
          <w:sz w:val="24"/>
          <w:szCs w:val="24"/>
          <w:lang w:eastAsia="es-ES"/>
        </w:rPr>
      </w:pPr>
      <w:r w:rsidRPr="00D441E9">
        <w:rPr>
          <w:rFonts w:ascii="Times New Roman" w:eastAsia="Times New Roman" w:hAnsi="Times New Roman" w:cs="Times New Roman"/>
          <w:color w:val="202020"/>
          <w:sz w:val="24"/>
          <w:szCs w:val="24"/>
          <w:lang w:eastAsia="es-ES"/>
        </w:rPr>
        <w:t>En otras palabras, la SEPI es una suerte de holding que congrega el sector público empresarial, </w:t>
      </w:r>
      <w:r w:rsidRPr="00D441E9">
        <w:rPr>
          <w:rFonts w:ascii="Times New Roman" w:eastAsia="Times New Roman" w:hAnsi="Times New Roman" w:cs="Times New Roman"/>
          <w:bCs/>
          <w:color w:val="202020"/>
          <w:sz w:val="24"/>
          <w:szCs w:val="24"/>
          <w:lang w:eastAsia="es-ES"/>
        </w:rPr>
        <w:t>cuyos principales objetivos son</w:t>
      </w:r>
      <w:r w:rsidRPr="00D441E9">
        <w:rPr>
          <w:rFonts w:ascii="Times New Roman" w:eastAsia="Times New Roman" w:hAnsi="Times New Roman" w:cs="Times New Roman"/>
          <w:color w:val="202020"/>
          <w:sz w:val="24"/>
          <w:szCs w:val="24"/>
          <w:lang w:eastAsia="es-ES"/>
        </w:rPr>
        <w:t>:</w:t>
      </w:r>
    </w:p>
    <w:p w:rsidR="007E438D" w:rsidRPr="00D441E9" w:rsidRDefault="007E438D" w:rsidP="007E438D">
      <w:pPr>
        <w:numPr>
          <w:ilvl w:val="0"/>
          <w:numId w:val="3"/>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s-ES"/>
        </w:rPr>
      </w:pPr>
      <w:r w:rsidRPr="00D441E9">
        <w:rPr>
          <w:rFonts w:ascii="Times New Roman" w:eastAsia="Times New Roman" w:hAnsi="Times New Roman" w:cs="Times New Roman"/>
          <w:color w:val="000000"/>
          <w:sz w:val="24"/>
          <w:szCs w:val="24"/>
          <w:lang w:eastAsia="es-ES"/>
        </w:rPr>
        <w:lastRenderedPageBreak/>
        <w:t>Lograr la </w:t>
      </w:r>
      <w:r w:rsidRPr="00D441E9">
        <w:rPr>
          <w:rFonts w:ascii="Times New Roman" w:eastAsia="Times New Roman" w:hAnsi="Times New Roman" w:cs="Times New Roman"/>
          <w:bCs/>
          <w:color w:val="000000"/>
          <w:sz w:val="24"/>
          <w:szCs w:val="24"/>
          <w:lang w:eastAsia="es-ES"/>
        </w:rPr>
        <w:t>máxima eficiencia empresarial </w:t>
      </w:r>
      <w:r w:rsidRPr="00D441E9">
        <w:rPr>
          <w:rFonts w:ascii="Times New Roman" w:eastAsia="Times New Roman" w:hAnsi="Times New Roman" w:cs="Times New Roman"/>
          <w:color w:val="000000"/>
          <w:sz w:val="24"/>
          <w:szCs w:val="24"/>
          <w:lang w:eastAsia="es-ES"/>
        </w:rPr>
        <w:t>en las sociedades públicas.</w:t>
      </w:r>
    </w:p>
    <w:p w:rsidR="007E438D" w:rsidRDefault="007E438D" w:rsidP="007E438D">
      <w:pPr>
        <w:numPr>
          <w:ilvl w:val="0"/>
          <w:numId w:val="3"/>
        </w:numPr>
        <w:shd w:val="clear" w:color="auto" w:fill="FFFFFF"/>
        <w:spacing w:after="0" w:line="240" w:lineRule="auto"/>
        <w:rPr>
          <w:rFonts w:ascii="Times New Roman" w:eastAsia="Times New Roman" w:hAnsi="Times New Roman" w:cs="Times New Roman"/>
          <w:color w:val="000000"/>
          <w:sz w:val="24"/>
          <w:szCs w:val="24"/>
          <w:lang w:eastAsia="es-ES"/>
        </w:rPr>
      </w:pPr>
      <w:r w:rsidRPr="00D441E9">
        <w:rPr>
          <w:rFonts w:ascii="Times New Roman" w:eastAsia="Times New Roman" w:hAnsi="Times New Roman" w:cs="Times New Roman"/>
          <w:color w:val="000000"/>
          <w:sz w:val="24"/>
          <w:szCs w:val="24"/>
          <w:lang w:eastAsia="es-ES"/>
        </w:rPr>
        <w:t>Reforzar los mecanismos que permitan a las sociedades instrumentales conseguir los objetivos fijados.</w:t>
      </w:r>
    </w:p>
    <w:p w:rsidR="007E438D" w:rsidRPr="0029632E" w:rsidRDefault="007E438D" w:rsidP="007E438D">
      <w:pPr>
        <w:spacing w:line="240" w:lineRule="auto"/>
        <w:jc w:val="both"/>
        <w:rPr>
          <w:rFonts w:ascii="Times New Roman" w:hAnsi="Times New Roman" w:cs="Times New Roman"/>
          <w:b/>
          <w:sz w:val="24"/>
          <w:szCs w:val="24"/>
          <w:shd w:val="clear" w:color="auto" w:fill="FFFFFF"/>
        </w:rPr>
      </w:pPr>
    </w:p>
    <w:p w:rsidR="007E438D" w:rsidRPr="007E438D" w:rsidRDefault="007E438D" w:rsidP="007E438D">
      <w:pPr>
        <w:spacing w:line="240" w:lineRule="auto"/>
        <w:jc w:val="both"/>
        <w:rPr>
          <w:rFonts w:ascii="Times New Roman" w:hAnsi="Times New Roman" w:cs="Times New Roman"/>
          <w:color w:val="FF0000"/>
          <w:sz w:val="24"/>
          <w:szCs w:val="24"/>
          <w:shd w:val="clear" w:color="auto" w:fill="FFFFFF"/>
        </w:rPr>
      </w:pPr>
      <w:r w:rsidRPr="0029632E">
        <w:rPr>
          <w:rFonts w:ascii="Times New Roman" w:hAnsi="Times New Roman" w:cs="Times New Roman"/>
          <w:noProof/>
          <w:color w:val="FF0000"/>
          <w:sz w:val="24"/>
          <w:szCs w:val="24"/>
          <w:shd w:val="clear" w:color="auto" w:fill="FFFFFF"/>
          <w:lang w:eastAsia="es-ES"/>
        </w:rPr>
        <w:drawing>
          <wp:inline distT="0" distB="0" distL="0" distR="0" wp14:anchorId="62614858" wp14:editId="49214092">
            <wp:extent cx="5734049" cy="2584450"/>
            <wp:effectExtent l="0" t="0" r="635"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583306"/>
                    </a:xfrm>
                    <a:prstGeom prst="rect">
                      <a:avLst/>
                    </a:prstGeom>
                  </pic:spPr>
                </pic:pic>
              </a:graphicData>
            </a:graphic>
          </wp:inline>
        </w:drawing>
      </w:r>
      <w:r w:rsidRPr="0029632E">
        <w:rPr>
          <w:rFonts w:ascii="Times New Roman" w:hAnsi="Times New Roman" w:cs="Times New Roman"/>
          <w:noProof/>
          <w:color w:val="FF0000"/>
          <w:sz w:val="24"/>
          <w:szCs w:val="24"/>
          <w:shd w:val="clear" w:color="auto" w:fill="FFFFFF"/>
          <w:lang w:eastAsia="es-ES"/>
        </w:rPr>
        <w:drawing>
          <wp:inline distT="0" distB="0" distL="0" distR="0" wp14:anchorId="1BB6EA65" wp14:editId="534AF7DC">
            <wp:extent cx="5734047" cy="1524000"/>
            <wp:effectExtent l="0" t="0" r="63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1523326"/>
                    </a:xfrm>
                    <a:prstGeom prst="rect">
                      <a:avLst/>
                    </a:prstGeom>
                  </pic:spPr>
                </pic:pic>
              </a:graphicData>
            </a:graphic>
          </wp:inline>
        </w:drawing>
      </w:r>
    </w:p>
    <w:p w:rsidR="007E438D" w:rsidRPr="00854E72" w:rsidRDefault="007E438D" w:rsidP="007E438D">
      <w:pPr>
        <w:shd w:val="clear" w:color="auto" w:fill="FFFFFF"/>
        <w:spacing w:after="0" w:line="240" w:lineRule="auto"/>
        <w:ind w:left="720"/>
        <w:rPr>
          <w:rFonts w:ascii="Times New Roman" w:eastAsia="Times New Roman" w:hAnsi="Times New Roman" w:cs="Times New Roman"/>
          <w:color w:val="000000"/>
          <w:sz w:val="24"/>
          <w:szCs w:val="24"/>
          <w:lang w:eastAsia="es-ES"/>
        </w:rPr>
      </w:pPr>
    </w:p>
    <w:p w:rsidR="007E438D" w:rsidRPr="0029632E" w:rsidRDefault="007E438D" w:rsidP="007E438D">
      <w:pPr>
        <w:spacing w:line="240" w:lineRule="auto"/>
        <w:jc w:val="both"/>
        <w:rPr>
          <w:rFonts w:ascii="Times New Roman" w:hAnsi="Times New Roman" w:cs="Times New Roman"/>
          <w:sz w:val="24"/>
          <w:szCs w:val="24"/>
          <w:shd w:val="clear" w:color="auto" w:fill="FFFFFF"/>
        </w:rPr>
      </w:pPr>
      <w:r w:rsidRPr="0029632E">
        <w:rPr>
          <w:rFonts w:ascii="Times New Roman" w:hAnsi="Times New Roman" w:cs="Times New Roman"/>
          <w:sz w:val="24"/>
          <w:szCs w:val="24"/>
          <w:shd w:val="clear" w:color="auto" w:fill="FFFFFF"/>
        </w:rPr>
        <w:t>Otras participaciones</w:t>
      </w:r>
    </w:p>
    <w:p w:rsidR="007E438D" w:rsidRDefault="007E438D" w:rsidP="007E438D">
      <w:pPr>
        <w:spacing w:line="240" w:lineRule="auto"/>
        <w:jc w:val="both"/>
        <w:rPr>
          <w:rFonts w:ascii="Times New Roman" w:hAnsi="Times New Roman" w:cs="Times New Roman"/>
          <w:color w:val="FF0000"/>
          <w:sz w:val="24"/>
          <w:szCs w:val="24"/>
          <w:shd w:val="clear" w:color="auto" w:fill="FFFFFF"/>
        </w:rPr>
      </w:pPr>
      <w:r w:rsidRPr="0029632E">
        <w:rPr>
          <w:rFonts w:ascii="Times New Roman" w:hAnsi="Times New Roman" w:cs="Times New Roman"/>
          <w:noProof/>
          <w:color w:val="FF0000"/>
          <w:sz w:val="24"/>
          <w:szCs w:val="24"/>
          <w:shd w:val="clear" w:color="auto" w:fill="FFFFFF"/>
          <w:lang w:eastAsia="es-ES"/>
        </w:rPr>
        <w:drawing>
          <wp:inline distT="0" distB="0" distL="0" distR="0" wp14:anchorId="2D1C4699" wp14:editId="30CD3173">
            <wp:extent cx="5732330" cy="1930400"/>
            <wp:effectExtent l="0" t="0" r="190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1930124"/>
                    </a:xfrm>
                    <a:prstGeom prst="rect">
                      <a:avLst/>
                    </a:prstGeom>
                  </pic:spPr>
                </pic:pic>
              </a:graphicData>
            </a:graphic>
          </wp:inline>
        </w:drawing>
      </w:r>
    </w:p>
    <w:p w:rsidR="007E438D" w:rsidRDefault="007E438D" w:rsidP="007E438D">
      <w:pPr>
        <w:spacing w:line="240" w:lineRule="auto"/>
        <w:jc w:val="both"/>
        <w:rPr>
          <w:rFonts w:ascii="Times New Roman" w:hAnsi="Times New Roman" w:cs="Times New Roman"/>
          <w:color w:val="FF0000"/>
          <w:sz w:val="24"/>
          <w:szCs w:val="24"/>
          <w:shd w:val="clear" w:color="auto" w:fill="FFFFFF"/>
        </w:rPr>
      </w:pPr>
    </w:p>
    <w:p w:rsidR="007E438D" w:rsidRDefault="007E438D" w:rsidP="007E438D">
      <w:pPr>
        <w:spacing w:line="240" w:lineRule="auto"/>
        <w:jc w:val="both"/>
        <w:rPr>
          <w:rFonts w:ascii="Times New Roman" w:hAnsi="Times New Roman" w:cs="Times New Roman"/>
          <w:color w:val="FF0000"/>
          <w:sz w:val="24"/>
          <w:szCs w:val="24"/>
          <w:shd w:val="clear" w:color="auto" w:fill="FFFFFF"/>
        </w:rPr>
      </w:pPr>
      <w:r w:rsidRPr="0029632E">
        <w:rPr>
          <w:rFonts w:ascii="Times New Roman" w:hAnsi="Times New Roman" w:cs="Times New Roman"/>
          <w:noProof/>
          <w:color w:val="FF0000"/>
          <w:sz w:val="24"/>
          <w:szCs w:val="24"/>
          <w:shd w:val="clear" w:color="auto" w:fill="FFFFFF"/>
          <w:lang w:eastAsia="es-ES"/>
        </w:rPr>
        <w:lastRenderedPageBreak/>
        <w:drawing>
          <wp:inline distT="0" distB="0" distL="0" distR="0" wp14:anchorId="05230BF8" wp14:editId="2C8EC950">
            <wp:extent cx="5731871" cy="2432050"/>
            <wp:effectExtent l="0" t="0" r="254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2431897"/>
                    </a:xfrm>
                    <a:prstGeom prst="rect">
                      <a:avLst/>
                    </a:prstGeom>
                  </pic:spPr>
                </pic:pic>
              </a:graphicData>
            </a:graphic>
          </wp:inline>
        </w:drawing>
      </w:r>
    </w:p>
    <w:p w:rsidR="007E438D" w:rsidRDefault="007E438D" w:rsidP="007E438D">
      <w:pPr>
        <w:spacing w:line="240" w:lineRule="auto"/>
        <w:jc w:val="both"/>
        <w:rPr>
          <w:rFonts w:ascii="Times New Roman" w:hAnsi="Times New Roman" w:cs="Times New Roman"/>
          <w:color w:val="FF0000"/>
          <w:sz w:val="24"/>
          <w:szCs w:val="24"/>
          <w:shd w:val="clear" w:color="auto" w:fill="FFFFFF"/>
        </w:rPr>
      </w:pPr>
    </w:p>
    <w:p w:rsidR="007E438D" w:rsidRPr="0029632E" w:rsidRDefault="007E438D" w:rsidP="007E438D">
      <w:pPr>
        <w:spacing w:line="240" w:lineRule="auto"/>
        <w:jc w:val="both"/>
        <w:rPr>
          <w:rFonts w:ascii="Times New Roman" w:hAnsi="Times New Roman" w:cs="Times New Roman"/>
          <w:sz w:val="24"/>
          <w:szCs w:val="24"/>
          <w:shd w:val="clear" w:color="auto" w:fill="FFFFFF"/>
        </w:rPr>
      </w:pPr>
      <w:r w:rsidRPr="0029632E">
        <w:rPr>
          <w:rFonts w:ascii="Times New Roman" w:hAnsi="Times New Roman" w:cs="Times New Roman"/>
          <w:sz w:val="24"/>
          <w:szCs w:val="24"/>
          <w:shd w:val="clear" w:color="auto" w:fill="FFFFFF"/>
        </w:rPr>
        <w:t>Participaciones cotizadas</w:t>
      </w:r>
    </w:p>
    <w:p w:rsidR="007E438D" w:rsidRDefault="007E438D" w:rsidP="007E438D">
      <w:pPr>
        <w:spacing w:line="240" w:lineRule="auto"/>
        <w:jc w:val="both"/>
        <w:rPr>
          <w:rFonts w:ascii="Times New Roman" w:hAnsi="Times New Roman" w:cs="Times New Roman"/>
          <w:color w:val="FF0000"/>
          <w:sz w:val="24"/>
          <w:szCs w:val="24"/>
          <w:shd w:val="clear" w:color="auto" w:fill="FFFFFF"/>
        </w:rPr>
      </w:pPr>
      <w:r w:rsidRPr="0029632E">
        <w:rPr>
          <w:rFonts w:ascii="Times New Roman" w:hAnsi="Times New Roman" w:cs="Times New Roman"/>
          <w:noProof/>
          <w:color w:val="FF0000"/>
          <w:sz w:val="24"/>
          <w:szCs w:val="24"/>
          <w:shd w:val="clear" w:color="auto" w:fill="FFFFFF"/>
          <w:lang w:eastAsia="es-ES"/>
        </w:rPr>
        <w:drawing>
          <wp:inline distT="0" distB="0" distL="0" distR="0" wp14:anchorId="5F7CEA10" wp14:editId="562C40B7">
            <wp:extent cx="5731510" cy="1721290"/>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1721290"/>
                    </a:xfrm>
                    <a:prstGeom prst="rect">
                      <a:avLst/>
                    </a:prstGeom>
                  </pic:spPr>
                </pic:pic>
              </a:graphicData>
            </a:graphic>
          </wp:inline>
        </w:drawing>
      </w:r>
    </w:p>
    <w:p w:rsidR="007E438D" w:rsidRDefault="007E438D" w:rsidP="007E438D">
      <w:pPr>
        <w:spacing w:line="240" w:lineRule="auto"/>
        <w:jc w:val="both"/>
        <w:rPr>
          <w:rFonts w:ascii="Times New Roman" w:hAnsi="Times New Roman" w:cs="Times New Roman"/>
          <w:color w:val="FF0000"/>
          <w:sz w:val="24"/>
          <w:szCs w:val="24"/>
          <w:shd w:val="clear" w:color="auto" w:fill="FFFFFF"/>
        </w:rPr>
      </w:pPr>
      <w:r w:rsidRPr="0029632E">
        <w:rPr>
          <w:rFonts w:ascii="Times New Roman" w:hAnsi="Times New Roman" w:cs="Times New Roman"/>
          <w:noProof/>
          <w:color w:val="FF0000"/>
          <w:sz w:val="24"/>
          <w:szCs w:val="24"/>
          <w:shd w:val="clear" w:color="auto" w:fill="FFFFFF"/>
          <w:lang w:eastAsia="es-ES"/>
        </w:rPr>
        <w:drawing>
          <wp:inline distT="0" distB="0" distL="0" distR="0" wp14:anchorId="0736A84D" wp14:editId="56E34659">
            <wp:extent cx="5731510" cy="3562599"/>
            <wp:effectExtent l="0" t="0" r="254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3562599"/>
                    </a:xfrm>
                    <a:prstGeom prst="rect">
                      <a:avLst/>
                    </a:prstGeom>
                  </pic:spPr>
                </pic:pic>
              </a:graphicData>
            </a:graphic>
          </wp:inline>
        </w:drawing>
      </w:r>
    </w:p>
    <w:p w:rsidR="007E438D"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A24F35">
        <w:rPr>
          <w:rFonts w:ascii="Times New Roman" w:hAnsi="Times New Roman" w:cs="Times New Roman"/>
          <w:sz w:val="24"/>
          <w:szCs w:val="24"/>
          <w:u w:val="single"/>
          <w:shd w:val="clear" w:color="auto" w:fill="FFFFFF"/>
        </w:rPr>
        <w:t>Las inversiones de la SEPI: de Telefónica a Indra pasando por el arroz Brillante</w:t>
      </w:r>
      <w:r>
        <w:rPr>
          <w:rFonts w:ascii="Times New Roman" w:hAnsi="Times New Roman" w:cs="Times New Roman"/>
          <w:sz w:val="24"/>
          <w:szCs w:val="24"/>
          <w:shd w:val="clear" w:color="auto" w:fill="FFFFFF"/>
        </w:rPr>
        <w:t xml:space="preserve"> (lamarea.com - </w:t>
      </w:r>
      <w:r w:rsidRPr="00A24F35">
        <w:rPr>
          <w:rFonts w:ascii="Times New Roman" w:hAnsi="Times New Roman" w:cs="Times New Roman"/>
          <w:b/>
          <w:sz w:val="24"/>
          <w:szCs w:val="24"/>
          <w:shd w:val="clear" w:color="auto" w:fill="FFFFFF"/>
        </w:rPr>
        <w:t>3/4/24</w:t>
      </w:r>
      <w:r>
        <w:rPr>
          <w:rFonts w:ascii="Times New Roman" w:hAnsi="Times New Roman" w:cs="Times New Roman"/>
          <w:sz w:val="24"/>
          <w:szCs w:val="24"/>
          <w:shd w:val="clear" w:color="auto" w:fill="FFFFFF"/>
        </w:rPr>
        <w:t>)</w:t>
      </w:r>
    </w:p>
    <w:p w:rsidR="007E438D" w:rsidRPr="002236A4" w:rsidRDefault="007E438D" w:rsidP="007E438D">
      <w:pPr>
        <w:spacing w:line="240" w:lineRule="auto"/>
        <w:jc w:val="both"/>
        <w:rPr>
          <w:rFonts w:ascii="Times New Roman" w:hAnsi="Times New Roman" w:cs="Times New Roman"/>
          <w:sz w:val="24"/>
          <w:szCs w:val="24"/>
          <w:shd w:val="clear" w:color="auto" w:fill="FFFFFF"/>
        </w:rPr>
      </w:pPr>
      <w:r w:rsidRPr="002236A4">
        <w:rPr>
          <w:rFonts w:ascii="Times New Roman" w:hAnsi="Times New Roman" w:cs="Times New Roman"/>
          <w:sz w:val="24"/>
          <w:szCs w:val="24"/>
          <w:shd w:val="clear" w:color="auto" w:fill="FFFFFF"/>
        </w:rPr>
        <w:t>La SEPI cuenta con una inversión mayoritaria en 14 empresas y minoritaria en otras 9 sociedades.</w:t>
      </w:r>
    </w:p>
    <w:p w:rsidR="007E438D" w:rsidRDefault="007E438D" w:rsidP="007E438D">
      <w:pPr>
        <w:spacing w:line="240" w:lineRule="auto"/>
        <w:jc w:val="both"/>
        <w:rPr>
          <w:rFonts w:ascii="Times New Roman" w:hAnsi="Times New Roman" w:cs="Times New Roman"/>
          <w:sz w:val="24"/>
          <w:szCs w:val="24"/>
          <w:shd w:val="clear" w:color="auto" w:fill="FFFFFF"/>
        </w:rPr>
      </w:pPr>
      <w:r w:rsidRPr="002236A4">
        <w:rPr>
          <w:rFonts w:ascii="Times New Roman" w:hAnsi="Times New Roman" w:cs="Times New Roman"/>
          <w:sz w:val="24"/>
          <w:szCs w:val="24"/>
          <w:shd w:val="clear" w:color="auto" w:fill="FFFFFF"/>
        </w:rPr>
        <w:t>El Estado vuelve al accionariado de Telefónica. Más de dos décadas después de la venta de la empresa pública, España renacionaliza de manera parcial la teleco tras la adquisición de un 3% de la compañía. El objetivo es llegar hasta el 10% y pugnar así con el operador de Arabia Saudí, STC Group, que pretendía hacerse con el 9,9% de su accionariado. Una operación de calado que busca responder a la potente llegada de capital extranjero a una de las multinacionales estratégicas del país, lo que podría poner en jaque los intereses nacionales españoles.</w:t>
      </w:r>
    </w:p>
    <w:p w:rsidR="007E438D" w:rsidRPr="002236A4"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w:t>
      </w:r>
      <w:r w:rsidRPr="002236A4">
        <w:rPr>
          <w:rFonts w:ascii="Times New Roman" w:hAnsi="Times New Roman" w:cs="Times New Roman"/>
          <w:sz w:val="24"/>
          <w:szCs w:val="24"/>
          <w:shd w:val="clear" w:color="auto" w:fill="FFFFFF"/>
        </w:rPr>
        <w:t>uera del ámbito público, la SEPI invierte asimismo en empresas estrictamente privadas, como es el caso de Telefónica. Y lo ha hecho históricamente en otras importantes multinacionales cotizadas del IBEX 35 como Enagás (5%), Red Eléctrica (20%), Indra (27,99%) o IAG (2,52%). Las dos primeras, pertenecientes al sector energético, son las encargadas del transporte de gas y electricidad, re</w:t>
      </w:r>
      <w:r>
        <w:rPr>
          <w:rFonts w:ascii="Times New Roman" w:hAnsi="Times New Roman" w:cs="Times New Roman"/>
          <w:sz w:val="24"/>
          <w:szCs w:val="24"/>
          <w:shd w:val="clear" w:color="auto" w:fill="FFFFFF"/>
        </w:rPr>
        <w:t>spectivamente, por toda España.</w:t>
      </w:r>
    </w:p>
    <w:p w:rsidR="007E438D" w:rsidRPr="002236A4" w:rsidRDefault="007E438D" w:rsidP="007E438D">
      <w:pPr>
        <w:spacing w:line="240" w:lineRule="auto"/>
        <w:jc w:val="both"/>
        <w:rPr>
          <w:rFonts w:ascii="Times New Roman" w:hAnsi="Times New Roman" w:cs="Times New Roman"/>
          <w:sz w:val="24"/>
          <w:szCs w:val="24"/>
          <w:shd w:val="clear" w:color="auto" w:fill="FFFFFF"/>
        </w:rPr>
      </w:pPr>
      <w:r w:rsidRPr="002236A4">
        <w:rPr>
          <w:rFonts w:ascii="Times New Roman" w:hAnsi="Times New Roman" w:cs="Times New Roman"/>
          <w:sz w:val="24"/>
          <w:szCs w:val="24"/>
          <w:shd w:val="clear" w:color="auto" w:fill="FFFFFF"/>
        </w:rPr>
        <w:t>En el caso de Indra, se trata también de una empresa estratégica del sector de la tecnología y la defensa, así como del tráfico aéreo y los transportes. En IAG, por su parte, el Estado conserva su participación como accionista de la aerolínea Iberia, otrora empresa pública. Además, la SEPI cuenta con el 4,12% del accionariado del gigante de la industria aeroespacial Airbus o del grupo de s</w:t>
      </w:r>
      <w:r>
        <w:rPr>
          <w:rFonts w:ascii="Times New Roman" w:hAnsi="Times New Roman" w:cs="Times New Roman"/>
          <w:sz w:val="24"/>
          <w:szCs w:val="24"/>
          <w:shd w:val="clear" w:color="auto" w:fill="FFFFFF"/>
        </w:rPr>
        <w:t>ervicios por satélite Hispasat.</w:t>
      </w:r>
    </w:p>
    <w:p w:rsidR="007E438D" w:rsidRDefault="007E438D" w:rsidP="007E438D">
      <w:pPr>
        <w:spacing w:line="240" w:lineRule="auto"/>
        <w:jc w:val="both"/>
        <w:rPr>
          <w:rFonts w:ascii="Times New Roman" w:hAnsi="Times New Roman" w:cs="Times New Roman"/>
          <w:sz w:val="24"/>
          <w:szCs w:val="24"/>
          <w:shd w:val="clear" w:color="auto" w:fill="FFFFFF"/>
        </w:rPr>
      </w:pPr>
      <w:r w:rsidRPr="002236A4">
        <w:rPr>
          <w:rFonts w:ascii="Times New Roman" w:hAnsi="Times New Roman" w:cs="Times New Roman"/>
          <w:sz w:val="24"/>
          <w:szCs w:val="24"/>
          <w:shd w:val="clear" w:color="auto" w:fill="FFFFFF"/>
        </w:rPr>
        <w:t>Aparte de grandes empresas cotizadas, el Estado también posee acciones de Ebro Foods (10,36%), una de las principales empresas de alimentación de España, propietaria de conocidas marcas de arroz como SOS, Brillante o La Fallera o de pasta como Garofalo, entre otras.</w:t>
      </w:r>
    </w:p>
    <w:p w:rsidR="007E438D" w:rsidRPr="002236A4" w:rsidRDefault="007E438D" w:rsidP="007E438D">
      <w:pPr>
        <w:spacing w:line="240" w:lineRule="auto"/>
        <w:jc w:val="both"/>
        <w:rPr>
          <w:rFonts w:ascii="Times New Roman" w:hAnsi="Times New Roman" w:cs="Times New Roman"/>
          <w:sz w:val="24"/>
          <w:szCs w:val="24"/>
          <w:shd w:val="clear" w:color="auto" w:fill="FFFFFF"/>
        </w:rPr>
      </w:pPr>
      <w:r w:rsidRPr="002236A4">
        <w:rPr>
          <w:rFonts w:ascii="Times New Roman" w:hAnsi="Times New Roman" w:cs="Times New Roman"/>
          <w:sz w:val="24"/>
          <w:szCs w:val="24"/>
          <w:shd w:val="clear" w:color="auto" w:fill="FFFFFF"/>
        </w:rPr>
        <w:t>Sin embargo, la SEPI no es el único organismo público que participa en el accionariado de importantes sociedades privadas. El Fondo de Reestructuración Ordenada Bancaria (FROB) fue creado durante la pasada crisis financiera con el objetivo de otorgar liquidez a las entidades financieras. En última instancia fue el</w:t>
      </w:r>
      <w:r>
        <w:rPr>
          <w:rFonts w:ascii="Times New Roman" w:hAnsi="Times New Roman" w:cs="Times New Roman"/>
          <w:sz w:val="24"/>
          <w:szCs w:val="24"/>
          <w:shd w:val="clear" w:color="auto" w:fill="FFFFFF"/>
        </w:rPr>
        <w:t xml:space="preserve"> encargado, a través de la SAREB</w:t>
      </w:r>
      <w:r w:rsidRPr="002236A4">
        <w:rPr>
          <w:rFonts w:ascii="Times New Roman" w:hAnsi="Times New Roman" w:cs="Times New Roman"/>
          <w:sz w:val="24"/>
          <w:szCs w:val="24"/>
          <w:shd w:val="clear" w:color="auto" w:fill="FFFFFF"/>
        </w:rPr>
        <w:t xml:space="preserve">, de llevar a cabo el rescate bancario a través de la compra de aquellos activos tóxicos (inmuebles) que los bancos habían acumulado durante la crisis debido </w:t>
      </w:r>
      <w:r>
        <w:rPr>
          <w:rFonts w:ascii="Times New Roman" w:hAnsi="Times New Roman" w:cs="Times New Roman"/>
          <w:sz w:val="24"/>
          <w:szCs w:val="24"/>
          <w:shd w:val="clear" w:color="auto" w:fill="FFFFFF"/>
        </w:rPr>
        <w:t>a los impagos de las hipotecas.</w:t>
      </w:r>
    </w:p>
    <w:p w:rsidR="007E438D" w:rsidRPr="002236A4" w:rsidRDefault="007E438D" w:rsidP="007E438D">
      <w:pPr>
        <w:spacing w:line="240" w:lineRule="auto"/>
        <w:jc w:val="both"/>
        <w:rPr>
          <w:rFonts w:ascii="Times New Roman" w:hAnsi="Times New Roman" w:cs="Times New Roman"/>
          <w:sz w:val="24"/>
          <w:szCs w:val="24"/>
          <w:shd w:val="clear" w:color="auto" w:fill="FFFFFF"/>
        </w:rPr>
      </w:pPr>
      <w:r w:rsidRPr="002236A4">
        <w:rPr>
          <w:rFonts w:ascii="Times New Roman" w:hAnsi="Times New Roman" w:cs="Times New Roman"/>
          <w:sz w:val="24"/>
          <w:szCs w:val="24"/>
          <w:shd w:val="clear" w:color="auto" w:fill="FFFFFF"/>
        </w:rPr>
        <w:t xml:space="preserve">El FROB fue también el accionista mayoritario de la ya extinta Bankia (antes CajaMadrid). Tras su fusión con CaixaBank, la participación del Estado se diluyó en la nueva entidad, aunque todavía conserva más </w:t>
      </w:r>
      <w:r>
        <w:rPr>
          <w:rFonts w:ascii="Times New Roman" w:hAnsi="Times New Roman" w:cs="Times New Roman"/>
          <w:sz w:val="24"/>
          <w:szCs w:val="24"/>
          <w:shd w:val="clear" w:color="auto" w:fill="FFFFFF"/>
        </w:rPr>
        <w:t>del 16% de la actual CaixaBank.</w:t>
      </w:r>
    </w:p>
    <w:p w:rsidR="007E438D" w:rsidRPr="002236A4" w:rsidRDefault="007E438D" w:rsidP="007E438D">
      <w:pPr>
        <w:spacing w:line="240" w:lineRule="auto"/>
        <w:jc w:val="both"/>
        <w:rPr>
          <w:rFonts w:ascii="Times New Roman" w:hAnsi="Times New Roman" w:cs="Times New Roman"/>
          <w:sz w:val="24"/>
          <w:szCs w:val="24"/>
          <w:shd w:val="clear" w:color="auto" w:fill="FFFFFF"/>
        </w:rPr>
      </w:pPr>
      <w:r w:rsidRPr="002236A4">
        <w:rPr>
          <w:rFonts w:ascii="Times New Roman" w:hAnsi="Times New Roman" w:cs="Times New Roman"/>
          <w:sz w:val="24"/>
          <w:szCs w:val="24"/>
          <w:shd w:val="clear" w:color="auto" w:fill="FFFFFF"/>
        </w:rPr>
        <w:t>Pero no ha servido de nada, asegura Ramiro</w:t>
      </w:r>
      <w:r>
        <w:rPr>
          <w:rFonts w:ascii="Times New Roman" w:hAnsi="Times New Roman" w:cs="Times New Roman"/>
          <w:sz w:val="24"/>
          <w:szCs w:val="24"/>
          <w:shd w:val="clear" w:color="auto" w:fill="FFFFFF"/>
        </w:rPr>
        <w:t xml:space="preserve"> </w:t>
      </w:r>
      <w:r w:rsidRPr="00E22770">
        <w:rPr>
          <w:rFonts w:ascii="Times New Roman" w:hAnsi="Times New Roman" w:cs="Times New Roman"/>
          <w:sz w:val="24"/>
          <w:szCs w:val="24"/>
          <w:shd w:val="clear" w:color="auto" w:fill="FFFFFF"/>
        </w:rPr>
        <w:t>Pedro Ramiro, investigador del Observatorio de Multinaci</w:t>
      </w:r>
      <w:r>
        <w:rPr>
          <w:rFonts w:ascii="Times New Roman" w:hAnsi="Times New Roman" w:cs="Times New Roman"/>
          <w:sz w:val="24"/>
          <w:szCs w:val="24"/>
          <w:shd w:val="clear" w:color="auto" w:fill="FFFFFF"/>
        </w:rPr>
        <w:t>onales en América Latina (OMAL): “</w:t>
      </w:r>
      <w:r w:rsidRPr="002236A4">
        <w:rPr>
          <w:rFonts w:ascii="Times New Roman" w:hAnsi="Times New Roman" w:cs="Times New Roman"/>
          <w:sz w:val="24"/>
          <w:szCs w:val="24"/>
          <w:shd w:val="clear" w:color="auto" w:fill="FFFFFF"/>
        </w:rPr>
        <w:t>Hay gente que dice que la entrada en Telefónica podría conllevar un cambio de modelo, hacia una especie de capitalismo de Estado y con una cierta recuperación de la soberanía estatal en sectores estratégicos. El ejemplo de CaixaBank nos permite ver que no hay ningún in</w:t>
      </w:r>
      <w:r>
        <w:rPr>
          <w:rFonts w:ascii="Times New Roman" w:hAnsi="Times New Roman" w:cs="Times New Roman"/>
          <w:sz w:val="24"/>
          <w:szCs w:val="24"/>
          <w:shd w:val="clear" w:color="auto" w:fill="FFFFFF"/>
        </w:rPr>
        <w:t>dicio de que eso vaya a ser así”.</w:t>
      </w:r>
    </w:p>
    <w:p w:rsidR="007E438D"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Sostiene que nada ha cambiado, “</w:t>
      </w:r>
      <w:r w:rsidRPr="002236A4">
        <w:rPr>
          <w:rFonts w:ascii="Times New Roman" w:hAnsi="Times New Roman" w:cs="Times New Roman"/>
          <w:sz w:val="24"/>
          <w:szCs w:val="24"/>
          <w:shd w:val="clear" w:color="auto" w:fill="FFFFFF"/>
        </w:rPr>
        <w:t>ni siquiera con los tipos de interés tan elevados y las dificultades para obtener crédito. Tampoco con los ERE o el reparto de beneficios. Eso sí, el Estado recibe cada año los</w:t>
      </w:r>
      <w:r>
        <w:rPr>
          <w:rFonts w:ascii="Times New Roman" w:hAnsi="Times New Roman" w:cs="Times New Roman"/>
          <w:sz w:val="24"/>
          <w:szCs w:val="24"/>
          <w:shd w:val="clear" w:color="auto" w:fill="FFFFFF"/>
        </w:rPr>
        <w:t xml:space="preserve"> dividendos que le corresponden”</w:t>
      </w:r>
      <w:r w:rsidRPr="002236A4">
        <w:rPr>
          <w:rFonts w:ascii="Times New Roman" w:hAnsi="Times New Roman" w:cs="Times New Roman"/>
          <w:sz w:val="24"/>
          <w:szCs w:val="24"/>
          <w:shd w:val="clear" w:color="auto" w:fill="FFFFFF"/>
        </w:rPr>
        <w:t>.</w:t>
      </w:r>
    </w:p>
    <w:p w:rsidR="007E438D" w:rsidRPr="00E22770" w:rsidRDefault="007E438D" w:rsidP="007E438D">
      <w:pPr>
        <w:spacing w:line="240" w:lineRule="auto"/>
        <w:jc w:val="both"/>
        <w:rPr>
          <w:rFonts w:ascii="Times New Roman" w:hAnsi="Times New Roman" w:cs="Times New Roman"/>
          <w:sz w:val="24"/>
          <w:szCs w:val="24"/>
          <w:shd w:val="clear" w:color="auto" w:fill="FFFFFF"/>
        </w:rPr>
      </w:pPr>
      <w:r w:rsidRPr="00E22770">
        <w:rPr>
          <w:rFonts w:ascii="Times New Roman" w:hAnsi="Times New Roman" w:cs="Times New Roman"/>
          <w:sz w:val="24"/>
          <w:szCs w:val="24"/>
          <w:shd w:val="clear" w:color="auto" w:fill="FFFFFF"/>
        </w:rPr>
        <w:lastRenderedPageBreak/>
        <w:t>Según Ramiro, por tanto, el origen del fondo tiene mu</w:t>
      </w:r>
      <w:r>
        <w:rPr>
          <w:rFonts w:ascii="Times New Roman" w:hAnsi="Times New Roman" w:cs="Times New Roman"/>
          <w:sz w:val="24"/>
          <w:szCs w:val="24"/>
          <w:shd w:val="clear" w:color="auto" w:fill="FFFFFF"/>
        </w:rPr>
        <w:t>cho que ver con esta decisión. “</w:t>
      </w:r>
      <w:r w:rsidRPr="00E22770">
        <w:rPr>
          <w:rFonts w:ascii="Times New Roman" w:hAnsi="Times New Roman" w:cs="Times New Roman"/>
          <w:sz w:val="24"/>
          <w:szCs w:val="24"/>
          <w:shd w:val="clear" w:color="auto" w:fill="FFFFFF"/>
        </w:rPr>
        <w:t>Hasta ahora no había habido problema con la e</w:t>
      </w:r>
      <w:r>
        <w:rPr>
          <w:rFonts w:ascii="Times New Roman" w:hAnsi="Times New Roman" w:cs="Times New Roman"/>
          <w:sz w:val="24"/>
          <w:szCs w:val="24"/>
          <w:shd w:val="clear" w:color="auto" w:fill="FFFFFF"/>
        </w:rPr>
        <w:t>ntrada de fondos como BlackRock”</w:t>
      </w:r>
      <w:r w:rsidRPr="00E22770">
        <w:rPr>
          <w:rFonts w:ascii="Times New Roman" w:hAnsi="Times New Roman" w:cs="Times New Roman"/>
          <w:sz w:val="24"/>
          <w:szCs w:val="24"/>
          <w:shd w:val="clear" w:color="auto" w:fill="FFFFFF"/>
        </w:rPr>
        <w:t>, subraya.</w:t>
      </w:r>
    </w:p>
    <w:p w:rsidR="007E438D" w:rsidRPr="00E22770" w:rsidRDefault="007E438D" w:rsidP="007E438D">
      <w:pPr>
        <w:spacing w:line="240" w:lineRule="auto"/>
        <w:jc w:val="both"/>
        <w:rPr>
          <w:rFonts w:ascii="Times New Roman" w:hAnsi="Times New Roman" w:cs="Times New Roman"/>
          <w:sz w:val="24"/>
          <w:szCs w:val="24"/>
          <w:shd w:val="clear" w:color="auto" w:fill="FFFFFF"/>
        </w:rPr>
      </w:pPr>
      <w:r w:rsidRPr="00E22770">
        <w:rPr>
          <w:rFonts w:ascii="Times New Roman" w:hAnsi="Times New Roman" w:cs="Times New Roman"/>
          <w:sz w:val="24"/>
          <w:szCs w:val="24"/>
          <w:shd w:val="clear" w:color="auto" w:fill="FFFFFF"/>
        </w:rPr>
        <w:t>El profesor de Economía Aplicada en la Universidad Complutense de Madrid y responsable de políticas económicas de Izquierda Unida, Carlos Sánchez Mato, también apunta a esa estrecha relación de Telefónica co</w:t>
      </w:r>
      <w:r>
        <w:rPr>
          <w:rFonts w:ascii="Times New Roman" w:hAnsi="Times New Roman" w:cs="Times New Roman"/>
          <w:sz w:val="24"/>
          <w:szCs w:val="24"/>
          <w:shd w:val="clear" w:color="auto" w:fill="FFFFFF"/>
        </w:rPr>
        <w:t>n la industria armamentística. “</w:t>
      </w:r>
      <w:r w:rsidRPr="00E22770">
        <w:rPr>
          <w:rFonts w:ascii="Times New Roman" w:hAnsi="Times New Roman" w:cs="Times New Roman"/>
          <w:sz w:val="24"/>
          <w:szCs w:val="24"/>
          <w:shd w:val="clear" w:color="auto" w:fill="FFFFFF"/>
        </w:rPr>
        <w:t>Paso lo mismo con</w:t>
      </w:r>
      <w:r>
        <w:rPr>
          <w:rFonts w:ascii="Times New Roman" w:hAnsi="Times New Roman" w:cs="Times New Roman"/>
          <w:sz w:val="24"/>
          <w:szCs w:val="24"/>
          <w:shd w:val="clear" w:color="auto" w:fill="FFFFFF"/>
        </w:rPr>
        <w:t xml:space="preserve"> la entrada en Indra”, enfatiza.</w:t>
      </w:r>
    </w:p>
    <w:p w:rsidR="007E438D" w:rsidRPr="00E22770" w:rsidRDefault="007E438D" w:rsidP="007E438D">
      <w:pPr>
        <w:spacing w:line="240" w:lineRule="auto"/>
        <w:jc w:val="both"/>
        <w:rPr>
          <w:rFonts w:ascii="Times New Roman" w:hAnsi="Times New Roman" w:cs="Times New Roman"/>
          <w:sz w:val="24"/>
          <w:szCs w:val="24"/>
          <w:shd w:val="clear" w:color="auto" w:fill="FFFFFF"/>
        </w:rPr>
      </w:pPr>
      <w:r w:rsidRPr="00E22770">
        <w:rPr>
          <w:rFonts w:ascii="Times New Roman" w:hAnsi="Times New Roman" w:cs="Times New Roman"/>
          <w:sz w:val="24"/>
          <w:szCs w:val="24"/>
          <w:shd w:val="clear" w:color="auto" w:fill="FFFFFF"/>
        </w:rPr>
        <w:t>Recuerda que la SEPI sólo ha entrado en Telefónica e Indra, y en el resto de los casos (por ejemplo, las comentadas empresas alimenticias) se ha limi</w:t>
      </w:r>
      <w:r>
        <w:rPr>
          <w:rFonts w:ascii="Times New Roman" w:hAnsi="Times New Roman" w:cs="Times New Roman"/>
          <w:sz w:val="24"/>
          <w:szCs w:val="24"/>
          <w:shd w:val="clear" w:color="auto" w:fill="FFFFFF"/>
        </w:rPr>
        <w:t>tado a gestionar lo que heredó.</w:t>
      </w:r>
    </w:p>
    <w:p w:rsidR="007E438D" w:rsidRPr="002236A4" w:rsidRDefault="007E438D" w:rsidP="007E438D">
      <w:pPr>
        <w:spacing w:line="240" w:lineRule="auto"/>
        <w:jc w:val="both"/>
        <w:rPr>
          <w:rFonts w:ascii="Times New Roman" w:hAnsi="Times New Roman" w:cs="Times New Roman"/>
          <w:sz w:val="24"/>
          <w:szCs w:val="24"/>
          <w:shd w:val="clear" w:color="auto" w:fill="FFFFFF"/>
        </w:rPr>
      </w:pPr>
      <w:r w:rsidRPr="00E22770">
        <w:rPr>
          <w:rFonts w:ascii="Times New Roman" w:hAnsi="Times New Roman" w:cs="Times New Roman"/>
          <w:sz w:val="24"/>
          <w:szCs w:val="24"/>
          <w:shd w:val="clear" w:color="auto" w:fill="FFFFFF"/>
        </w:rPr>
        <w:t xml:space="preserve">Lo que, </w:t>
      </w:r>
      <w:r>
        <w:rPr>
          <w:rFonts w:ascii="Times New Roman" w:hAnsi="Times New Roman" w:cs="Times New Roman"/>
          <w:sz w:val="24"/>
          <w:szCs w:val="24"/>
          <w:shd w:val="clear" w:color="auto" w:fill="FFFFFF"/>
        </w:rPr>
        <w:t>en sus palabras, demuestra que “</w:t>
      </w:r>
      <w:r w:rsidRPr="00E22770">
        <w:rPr>
          <w:rFonts w:ascii="Times New Roman" w:hAnsi="Times New Roman" w:cs="Times New Roman"/>
          <w:sz w:val="24"/>
          <w:szCs w:val="24"/>
          <w:shd w:val="clear" w:color="auto" w:fill="FFFFFF"/>
        </w:rPr>
        <w:t>no hay un plan definido de intervención en empresas estratégicas, con un objetivo claro</w:t>
      </w:r>
      <w:r>
        <w:rPr>
          <w:rFonts w:ascii="Times New Roman" w:hAnsi="Times New Roman" w:cs="Times New Roman"/>
          <w:sz w:val="24"/>
          <w:szCs w:val="24"/>
          <w:shd w:val="clear" w:color="auto" w:fill="FFFFFF"/>
        </w:rPr>
        <w:t xml:space="preserve"> de para qué y por qué se entra”</w:t>
      </w:r>
      <w:r w:rsidRPr="00E22770">
        <w:rPr>
          <w:rFonts w:ascii="Times New Roman" w:hAnsi="Times New Roman" w:cs="Times New Roman"/>
          <w:sz w:val="24"/>
          <w:szCs w:val="24"/>
          <w:shd w:val="clear" w:color="auto" w:fill="FFFFFF"/>
        </w:rPr>
        <w:t>. Ahor</w:t>
      </w:r>
      <w:r>
        <w:rPr>
          <w:rFonts w:ascii="Times New Roman" w:hAnsi="Times New Roman" w:cs="Times New Roman"/>
          <w:sz w:val="24"/>
          <w:szCs w:val="24"/>
          <w:shd w:val="clear" w:color="auto" w:fill="FFFFFF"/>
        </w:rPr>
        <w:t>a llegan los saudíes, comenta, “</w:t>
      </w:r>
      <w:r w:rsidRPr="00E22770">
        <w:rPr>
          <w:rFonts w:ascii="Times New Roman" w:hAnsi="Times New Roman" w:cs="Times New Roman"/>
          <w:sz w:val="24"/>
          <w:szCs w:val="24"/>
          <w:shd w:val="clear" w:color="auto" w:fill="FFFFFF"/>
        </w:rPr>
        <w:t>y contestamos de esta manera. Es improvisación. No es una estrategia de país. No va en la línea de lo que debería hace</w:t>
      </w:r>
      <w:r>
        <w:rPr>
          <w:rFonts w:ascii="Times New Roman" w:hAnsi="Times New Roman" w:cs="Times New Roman"/>
          <w:sz w:val="24"/>
          <w:szCs w:val="24"/>
          <w:shd w:val="clear" w:color="auto" w:fill="FFFFFF"/>
        </w:rPr>
        <w:t>r un Estado social y de derecho”</w:t>
      </w:r>
      <w:r w:rsidRPr="00E22770">
        <w:rPr>
          <w:rFonts w:ascii="Times New Roman" w:hAnsi="Times New Roman" w:cs="Times New Roman"/>
          <w:sz w:val="24"/>
          <w:szCs w:val="24"/>
          <w:shd w:val="clear" w:color="auto" w:fill="FFFFFF"/>
        </w:rPr>
        <w:t>.</w:t>
      </w:r>
    </w:p>
    <w:p w:rsidR="007E438D" w:rsidRPr="002236A4"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 comparte Sánchez Mato: “</w:t>
      </w:r>
      <w:r w:rsidRPr="002236A4">
        <w:rPr>
          <w:rFonts w:ascii="Times New Roman" w:hAnsi="Times New Roman" w:cs="Times New Roman"/>
          <w:sz w:val="24"/>
          <w:szCs w:val="24"/>
          <w:shd w:val="clear" w:color="auto" w:fill="FFFFFF"/>
        </w:rPr>
        <w:t>Se espera que la política industrial de un gobierno progresista no sea únicamente cobrar el dividendo, sino desplegar una estrategia en línea con el p</w:t>
      </w:r>
      <w:r>
        <w:rPr>
          <w:rFonts w:ascii="Times New Roman" w:hAnsi="Times New Roman" w:cs="Times New Roman"/>
          <w:sz w:val="24"/>
          <w:szCs w:val="24"/>
          <w:shd w:val="clear" w:color="auto" w:fill="FFFFFF"/>
        </w:rPr>
        <w:t>aís, y que no sea cortoplacista”</w:t>
      </w:r>
      <w:r w:rsidRPr="002236A4">
        <w:rPr>
          <w:rFonts w:ascii="Times New Roman" w:hAnsi="Times New Roman" w:cs="Times New Roman"/>
          <w:sz w:val="24"/>
          <w:szCs w:val="24"/>
          <w:shd w:val="clear" w:color="auto" w:fill="FFFFFF"/>
        </w:rPr>
        <w:t>.</w:t>
      </w:r>
    </w:p>
    <w:p w:rsidR="007E438D" w:rsidRDefault="007E438D" w:rsidP="007E438D">
      <w:pPr>
        <w:spacing w:line="240" w:lineRule="auto"/>
        <w:jc w:val="both"/>
        <w:rPr>
          <w:rFonts w:ascii="Times New Roman" w:hAnsi="Times New Roman" w:cs="Times New Roman"/>
          <w:sz w:val="24"/>
          <w:szCs w:val="24"/>
          <w:shd w:val="clear" w:color="auto" w:fill="FFFFFF"/>
        </w:rPr>
      </w:pPr>
      <w:r w:rsidRPr="002236A4">
        <w:rPr>
          <w:rFonts w:ascii="Times New Roman" w:hAnsi="Times New Roman" w:cs="Times New Roman"/>
          <w:sz w:val="24"/>
          <w:szCs w:val="24"/>
          <w:shd w:val="clear" w:color="auto" w:fill="FFFFFF"/>
        </w:rPr>
        <w:t xml:space="preserve">El FROB, agrega </w:t>
      </w:r>
      <w:r>
        <w:rPr>
          <w:rFonts w:ascii="Times New Roman" w:hAnsi="Times New Roman" w:cs="Times New Roman"/>
          <w:sz w:val="24"/>
          <w:szCs w:val="24"/>
          <w:shd w:val="clear" w:color="auto" w:fill="FFFFFF"/>
        </w:rPr>
        <w:t>el profesor de la Complutense, “</w:t>
      </w:r>
      <w:r w:rsidRPr="002236A4">
        <w:rPr>
          <w:rFonts w:ascii="Times New Roman" w:hAnsi="Times New Roman" w:cs="Times New Roman"/>
          <w:sz w:val="24"/>
          <w:szCs w:val="24"/>
          <w:shd w:val="clear" w:color="auto" w:fill="FFFFFF"/>
        </w:rPr>
        <w:t>tiene mandato de venta, aunque, de momento, ha ido prorrogando la suspensión de dicha orden. Lo que habría que hacer es eliminar ese mandato y con</w:t>
      </w:r>
      <w:r>
        <w:rPr>
          <w:rFonts w:ascii="Times New Roman" w:hAnsi="Times New Roman" w:cs="Times New Roman"/>
          <w:sz w:val="24"/>
          <w:szCs w:val="24"/>
          <w:shd w:val="clear" w:color="auto" w:fill="FFFFFF"/>
        </w:rPr>
        <w:t>servar la participación estatal”</w:t>
      </w:r>
      <w:r w:rsidRPr="002236A4">
        <w:rPr>
          <w:rFonts w:ascii="Times New Roman" w:hAnsi="Times New Roman" w:cs="Times New Roman"/>
          <w:sz w:val="24"/>
          <w:szCs w:val="24"/>
          <w:shd w:val="clear" w:color="auto" w:fill="FFFFFF"/>
        </w:rPr>
        <w:t>.</w:t>
      </w:r>
    </w:p>
    <w:p w:rsidR="007E438D" w:rsidRPr="00E22770"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A24F35">
        <w:rPr>
          <w:rFonts w:ascii="Times New Roman" w:hAnsi="Times New Roman" w:cs="Times New Roman"/>
          <w:sz w:val="24"/>
          <w:szCs w:val="24"/>
          <w:u w:val="single"/>
          <w:shd w:val="clear" w:color="auto" w:fill="FFFFFF"/>
        </w:rPr>
        <w:t>El caso de Escribano en Indra o cómo jugarse 400 millones de su bolsillo en una empresa de la órbita de Moncloa</w:t>
      </w:r>
      <w:r>
        <w:rPr>
          <w:rFonts w:ascii="Times New Roman" w:hAnsi="Times New Roman" w:cs="Times New Roman"/>
          <w:sz w:val="24"/>
          <w:szCs w:val="24"/>
          <w:shd w:val="clear" w:color="auto" w:fill="FFFFFF"/>
        </w:rPr>
        <w:t xml:space="preserve"> (El Mundo - </w:t>
      </w:r>
      <w:r w:rsidRPr="00FA0099">
        <w:rPr>
          <w:rFonts w:ascii="Times New Roman" w:hAnsi="Times New Roman" w:cs="Times New Roman"/>
          <w:b/>
          <w:sz w:val="24"/>
          <w:szCs w:val="24"/>
          <w:shd w:val="clear" w:color="auto" w:fill="FFFFFF"/>
        </w:rPr>
        <w:t>6/2/25</w:t>
      </w:r>
      <w:r>
        <w:rPr>
          <w:rFonts w:ascii="Times New Roman" w:hAnsi="Times New Roman" w:cs="Times New Roman"/>
          <w:sz w:val="24"/>
          <w:szCs w:val="24"/>
          <w:shd w:val="clear" w:color="auto" w:fill="FFFFFF"/>
        </w:rPr>
        <w:t>)</w:t>
      </w:r>
    </w:p>
    <w:p w:rsidR="007E438D" w:rsidRPr="00E22770" w:rsidRDefault="007E438D" w:rsidP="007E438D">
      <w:pPr>
        <w:spacing w:line="240" w:lineRule="auto"/>
        <w:jc w:val="both"/>
        <w:rPr>
          <w:rFonts w:ascii="Times New Roman" w:hAnsi="Times New Roman" w:cs="Times New Roman"/>
          <w:sz w:val="24"/>
          <w:szCs w:val="24"/>
          <w:shd w:val="clear" w:color="auto" w:fill="FFFFFF"/>
        </w:rPr>
      </w:pPr>
      <w:r w:rsidRPr="00E22770">
        <w:rPr>
          <w:rFonts w:ascii="Times New Roman" w:hAnsi="Times New Roman" w:cs="Times New Roman"/>
          <w:sz w:val="24"/>
          <w:szCs w:val="24"/>
          <w:shd w:val="clear" w:color="auto" w:fill="FFFFFF"/>
        </w:rPr>
        <w:t>El presidente de Indra, Ángel Escribano, es un caso extraño en el Ibex. Tiene un sueldo asignado de 600.000 euros en una empresa en la que el Estado es el primer accionista, pero se juega 400 millones de su propio bolsillo en la aventura. Esta combinación de cifras, insólita en empresas de la órbita de Moncloa, se explica porque, por un lado, Escribano hereda en Indra el sueldo de Marc Murtra, que ha sido reenviado por el Gobierno a Telefónica. Pero, por otro, Escribano Mechanical &amp; Engineering, la empresa de defensa que posee este empresario junto a su hermano Javier, tiene el 14% del capital de Indra con un valor superior a los 400 mi</w:t>
      </w:r>
      <w:r>
        <w:rPr>
          <w:rFonts w:ascii="Times New Roman" w:hAnsi="Times New Roman" w:cs="Times New Roman"/>
          <w:sz w:val="24"/>
          <w:szCs w:val="24"/>
          <w:shd w:val="clear" w:color="auto" w:fill="FFFFFF"/>
        </w:rPr>
        <w:t>llones. El Estado posee el 28%.</w:t>
      </w:r>
    </w:p>
    <w:p w:rsidR="007E438D" w:rsidRDefault="007E438D" w:rsidP="007E438D">
      <w:pPr>
        <w:spacing w:line="240" w:lineRule="auto"/>
        <w:jc w:val="both"/>
        <w:rPr>
          <w:rFonts w:ascii="Times New Roman" w:hAnsi="Times New Roman" w:cs="Times New Roman"/>
          <w:sz w:val="24"/>
          <w:szCs w:val="24"/>
          <w:shd w:val="clear" w:color="auto" w:fill="FFFFFF"/>
        </w:rPr>
      </w:pPr>
      <w:r w:rsidRPr="00E22770">
        <w:rPr>
          <w:rFonts w:ascii="Times New Roman" w:hAnsi="Times New Roman" w:cs="Times New Roman"/>
          <w:sz w:val="24"/>
          <w:szCs w:val="24"/>
          <w:shd w:val="clear" w:color="auto" w:fill="FFFFFF"/>
        </w:rPr>
        <w:t>Arriesgar patrimonio en una empresa en la que el Gobierno tiene permanente tentación de enredar puede salir bien o muy mal y en sus primeras semanas en el cargo, Ángel Escribano ha degustado ya ambos sabores. El primero, dulce. Indra subió el 20 de enero un 2,98% en Bolsa al ver los inversores cómo un empresario como él sustituía a Murtra en una señal de rebaja de la politización. Buen arranque mientras, por cierto, Telefónica bajaba otro tanto por Murtra.</w:t>
      </w:r>
    </w:p>
    <w:p w:rsidR="007E438D" w:rsidRPr="00FA0099" w:rsidRDefault="007E438D" w:rsidP="007E438D">
      <w:pPr>
        <w:spacing w:line="240" w:lineRule="auto"/>
        <w:jc w:val="both"/>
        <w:rPr>
          <w:rFonts w:ascii="Times New Roman" w:hAnsi="Times New Roman" w:cs="Times New Roman"/>
          <w:sz w:val="24"/>
          <w:szCs w:val="24"/>
          <w:shd w:val="clear" w:color="auto" w:fill="FFFFFF"/>
        </w:rPr>
      </w:pPr>
      <w:r w:rsidRPr="00FA0099">
        <w:rPr>
          <w:rFonts w:ascii="Times New Roman" w:hAnsi="Times New Roman" w:cs="Times New Roman"/>
          <w:sz w:val="24"/>
          <w:szCs w:val="24"/>
          <w:shd w:val="clear" w:color="auto" w:fill="FFFFFF"/>
        </w:rPr>
        <w:t xml:space="preserve">Moncloa no suele perder ni un sillón en empresas de su órbita, pero su prioridad ese día era asegurar que Murtra se hiciera con la presidencia de Telefónica y aceptó una improvisada solución para Indra. ¿Improvisada? En la mañana de autos del sábado 18 de enero este millonario de personalidad austera no estaba en yate, ni esquiando en los Alpes. Disfrutaba en áreas rurales de Soria y sin cobertura. Por eso no lo localizaba ni Jokin Aperribay, el CEO del grupo Sapa (8% de Indra) ni otros en busca de solución no </w:t>
      </w:r>
      <w:r>
        <w:rPr>
          <w:rFonts w:ascii="Times New Roman" w:hAnsi="Times New Roman" w:cs="Times New Roman"/>
          <w:sz w:val="24"/>
          <w:szCs w:val="24"/>
          <w:shd w:val="clear" w:color="auto" w:fill="FFFFFF"/>
        </w:rPr>
        <w:t>política para relevar a Murtra.</w:t>
      </w:r>
    </w:p>
    <w:p w:rsidR="007E438D" w:rsidRDefault="007E438D" w:rsidP="007E438D">
      <w:pPr>
        <w:spacing w:line="240" w:lineRule="auto"/>
        <w:jc w:val="both"/>
        <w:rPr>
          <w:rFonts w:ascii="Times New Roman" w:hAnsi="Times New Roman" w:cs="Times New Roman"/>
          <w:sz w:val="24"/>
          <w:szCs w:val="24"/>
          <w:shd w:val="clear" w:color="auto" w:fill="FFFFFF"/>
        </w:rPr>
      </w:pPr>
      <w:r w:rsidRPr="00FA0099">
        <w:rPr>
          <w:rFonts w:ascii="Times New Roman" w:hAnsi="Times New Roman" w:cs="Times New Roman"/>
          <w:sz w:val="24"/>
          <w:szCs w:val="24"/>
          <w:shd w:val="clear" w:color="auto" w:fill="FFFFFF"/>
        </w:rPr>
        <w:t>Ya en carretera pudo ser localizado y tuvo que volver a Madrid sin recoger ese día ni la maleta del hotel para hacerse con la presidencia. El propio Ángel lo explicó así a</w:t>
      </w:r>
      <w:r>
        <w:rPr>
          <w:rFonts w:ascii="Times New Roman" w:hAnsi="Times New Roman" w:cs="Times New Roman"/>
          <w:sz w:val="24"/>
          <w:szCs w:val="24"/>
          <w:shd w:val="clear" w:color="auto" w:fill="FFFFFF"/>
        </w:rPr>
        <w:t xml:space="preserve"> este diario el pasado martes: “</w:t>
      </w:r>
      <w:r w:rsidRPr="00FA0099">
        <w:rPr>
          <w:rFonts w:ascii="Times New Roman" w:hAnsi="Times New Roman" w:cs="Times New Roman"/>
          <w:sz w:val="24"/>
          <w:szCs w:val="24"/>
          <w:shd w:val="clear" w:color="auto" w:fill="FFFFFF"/>
        </w:rPr>
        <w:t xml:space="preserve">Me presenté cuando Marc Murtra dimitió. Escribano somos el segundo </w:t>
      </w:r>
      <w:r w:rsidRPr="00FA0099">
        <w:rPr>
          <w:rFonts w:ascii="Times New Roman" w:hAnsi="Times New Roman" w:cs="Times New Roman"/>
          <w:sz w:val="24"/>
          <w:szCs w:val="24"/>
          <w:shd w:val="clear" w:color="auto" w:fill="FFFFFF"/>
        </w:rPr>
        <w:lastRenderedPageBreak/>
        <w:t>mayor accionista de esta compañía y tenía todo el sentido que por primera vez en la historia de Indra hubiera un presidente que se jueg</w:t>
      </w:r>
      <w:r>
        <w:rPr>
          <w:rFonts w:ascii="Times New Roman" w:hAnsi="Times New Roman" w:cs="Times New Roman"/>
          <w:sz w:val="24"/>
          <w:szCs w:val="24"/>
          <w:shd w:val="clear" w:color="auto" w:fill="FFFFFF"/>
        </w:rPr>
        <w:t>a su capital. Yo soy el primero”</w:t>
      </w:r>
      <w:r w:rsidRPr="00FA0099">
        <w:rPr>
          <w:rFonts w:ascii="Times New Roman" w:hAnsi="Times New Roman" w:cs="Times New Roman"/>
          <w:sz w:val="24"/>
          <w:szCs w:val="24"/>
          <w:shd w:val="clear" w:color="auto" w:fill="FFFFFF"/>
        </w:rPr>
        <w:t>.</w:t>
      </w:r>
    </w:p>
    <w:p w:rsidR="007E438D" w:rsidRPr="00FA0099" w:rsidRDefault="007E438D" w:rsidP="007E43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A0099">
        <w:rPr>
          <w:rFonts w:ascii="Times New Roman" w:hAnsi="Times New Roman" w:cs="Times New Roman"/>
          <w:sz w:val="24"/>
          <w:szCs w:val="24"/>
          <w:shd w:val="clear" w:color="auto" w:fill="FFFFFF"/>
        </w:rPr>
        <w:t>¿</w:t>
      </w:r>
      <w:r w:rsidRPr="00A24F35">
        <w:rPr>
          <w:rFonts w:ascii="Times New Roman" w:hAnsi="Times New Roman" w:cs="Times New Roman"/>
          <w:sz w:val="24"/>
          <w:szCs w:val="24"/>
          <w:u w:val="single"/>
          <w:shd w:val="clear" w:color="auto" w:fill="FFFFFF"/>
        </w:rPr>
        <w:t>Cuánto puede pagar Indra por Escribano</w:t>
      </w:r>
      <w:r>
        <w:rPr>
          <w:rFonts w:ascii="Times New Roman" w:hAnsi="Times New Roman" w:cs="Times New Roman"/>
          <w:sz w:val="24"/>
          <w:szCs w:val="24"/>
          <w:shd w:val="clear" w:color="auto" w:fill="FFFFFF"/>
        </w:rPr>
        <w:t xml:space="preserve">? (El Confidencial - </w:t>
      </w:r>
      <w:r w:rsidRPr="00FA0099">
        <w:rPr>
          <w:rFonts w:ascii="Times New Roman" w:hAnsi="Times New Roman" w:cs="Times New Roman"/>
          <w:b/>
          <w:sz w:val="24"/>
          <w:szCs w:val="24"/>
          <w:shd w:val="clear" w:color="auto" w:fill="FFFFFF"/>
        </w:rPr>
        <w:t>10/7/25</w:t>
      </w:r>
      <w:r>
        <w:rPr>
          <w:rFonts w:ascii="Times New Roman" w:hAnsi="Times New Roman" w:cs="Times New Roman"/>
          <w:sz w:val="24"/>
          <w:szCs w:val="24"/>
          <w:shd w:val="clear" w:color="auto" w:fill="FFFFFF"/>
        </w:rPr>
        <w:t>)</w:t>
      </w:r>
    </w:p>
    <w:p w:rsidR="007E438D" w:rsidRPr="00FA0099" w:rsidRDefault="007E438D" w:rsidP="007E438D">
      <w:pPr>
        <w:spacing w:line="240" w:lineRule="auto"/>
        <w:jc w:val="both"/>
        <w:rPr>
          <w:rFonts w:ascii="Times New Roman" w:hAnsi="Times New Roman" w:cs="Times New Roman"/>
          <w:sz w:val="24"/>
          <w:szCs w:val="24"/>
          <w:shd w:val="clear" w:color="auto" w:fill="FFFFFF"/>
        </w:rPr>
      </w:pPr>
      <w:r w:rsidRPr="00FA0099">
        <w:rPr>
          <w:rFonts w:ascii="Times New Roman" w:hAnsi="Times New Roman" w:cs="Times New Roman"/>
          <w:sz w:val="24"/>
          <w:szCs w:val="24"/>
          <w:shd w:val="clear" w:color="auto" w:fill="FFFFFF"/>
        </w:rPr>
        <w:t>La adquisición de Escribano por Indra, valorada en 1.500 millones de euros, plantea dudas sobre la transparencia y el conflicto de intereses en el sector de defensa español, afectando la confianza pública</w:t>
      </w:r>
    </w:p>
    <w:p w:rsidR="007E438D" w:rsidRDefault="007E438D" w:rsidP="007E438D">
      <w:pPr>
        <w:spacing w:line="240" w:lineRule="auto"/>
        <w:jc w:val="both"/>
        <w:rPr>
          <w:rFonts w:ascii="Times New Roman" w:hAnsi="Times New Roman" w:cs="Times New Roman"/>
          <w:sz w:val="24"/>
          <w:szCs w:val="24"/>
          <w:shd w:val="clear" w:color="auto" w:fill="FFFFFF"/>
        </w:rPr>
      </w:pPr>
      <w:r w:rsidRPr="00FA0099">
        <w:rPr>
          <w:rFonts w:ascii="Times New Roman" w:hAnsi="Times New Roman" w:cs="Times New Roman"/>
          <w:sz w:val="24"/>
          <w:szCs w:val="24"/>
          <w:shd w:val="clear" w:color="auto" w:fill="FFFFFF"/>
        </w:rPr>
        <w:t xml:space="preserve">¿Qué vale una empresa si quien la compra depende de ti, y tú dependes de los contratos que tú mismo le adjudicas? Esta pregunta, tan incómoda como esencial, está en el centro de una </w:t>
      </w:r>
      <w:r>
        <w:rPr>
          <w:rFonts w:ascii="Times New Roman" w:hAnsi="Times New Roman" w:cs="Times New Roman"/>
          <w:sz w:val="24"/>
          <w:szCs w:val="24"/>
          <w:shd w:val="clear" w:color="auto" w:fill="FFFFFF"/>
        </w:rPr>
        <w:t>operación que puede ­redefinir -o distorsionar-</w:t>
      </w:r>
      <w:r w:rsidRPr="00FA0099">
        <w:rPr>
          <w:rFonts w:ascii="Times New Roman" w:hAnsi="Times New Roman" w:cs="Times New Roman"/>
          <w:sz w:val="24"/>
          <w:szCs w:val="24"/>
          <w:shd w:val="clear" w:color="auto" w:fill="FFFFFF"/>
        </w:rPr>
        <w:t xml:space="preserve"> el mapa industrial español de la defensa. Indra ha encargado a la boutique financiera AZ Capital la valoración de Escribano Mechanical &amp; Engineering (EM&amp;E), propiedad de la familia Escribano, antes de someter su posible adquisición al consejo de administración. Sobre la mesa: una cifra que ronda los 1.500 millones de euros y una ecuación de canje entre partes íntimamente ligadas política, financiera y personalmente.</w:t>
      </w:r>
    </w:p>
    <w:p w:rsidR="007E438D" w:rsidRDefault="007E438D" w:rsidP="007E438D">
      <w:pPr>
        <w:spacing w:line="240" w:lineRule="auto"/>
        <w:jc w:val="both"/>
        <w:rPr>
          <w:rFonts w:ascii="Times New Roman" w:hAnsi="Times New Roman" w:cs="Times New Roman"/>
          <w:sz w:val="24"/>
          <w:szCs w:val="24"/>
          <w:shd w:val="clear" w:color="auto" w:fill="FFFFFF"/>
        </w:rPr>
      </w:pPr>
      <w:r w:rsidRPr="00FA0099">
        <w:rPr>
          <w:rFonts w:ascii="Times New Roman" w:hAnsi="Times New Roman" w:cs="Times New Roman"/>
          <w:sz w:val="24"/>
          <w:szCs w:val="24"/>
          <w:shd w:val="clear" w:color="auto" w:fill="FFFFFF"/>
        </w:rPr>
        <w:t>Lo que está en juego no es menor: la credibilidad del Gobierno como árbitro industrial, la independencia de una empresa estratégica y la transparencia de una operación que, si no se explica con total transparencia, puede erosionar la confianza en el ya delicado ecosistema empresarial público-privado español.</w:t>
      </w:r>
    </w:p>
    <w:p w:rsidR="007E438D" w:rsidRPr="00FA0099" w:rsidRDefault="007E438D" w:rsidP="007E438D">
      <w:pPr>
        <w:spacing w:line="240" w:lineRule="auto"/>
        <w:jc w:val="both"/>
        <w:rPr>
          <w:rFonts w:ascii="Times New Roman" w:hAnsi="Times New Roman" w:cs="Times New Roman"/>
          <w:sz w:val="24"/>
          <w:szCs w:val="24"/>
          <w:shd w:val="clear" w:color="auto" w:fill="FFFFFF"/>
        </w:rPr>
      </w:pPr>
      <w:r w:rsidRPr="00FA0099">
        <w:rPr>
          <w:rFonts w:ascii="Times New Roman" w:hAnsi="Times New Roman" w:cs="Times New Roman"/>
          <w:sz w:val="24"/>
          <w:szCs w:val="24"/>
          <w:shd w:val="clear" w:color="auto" w:fill="FFFFFF"/>
        </w:rPr>
        <w:t>El resultado de la gran mutación</w:t>
      </w:r>
    </w:p>
    <w:p w:rsidR="007E438D" w:rsidRDefault="007E438D" w:rsidP="007E438D">
      <w:pPr>
        <w:spacing w:line="240" w:lineRule="auto"/>
        <w:jc w:val="both"/>
        <w:rPr>
          <w:rFonts w:ascii="Times New Roman" w:hAnsi="Times New Roman" w:cs="Times New Roman"/>
          <w:sz w:val="24"/>
          <w:szCs w:val="24"/>
          <w:shd w:val="clear" w:color="auto" w:fill="FFFFFF"/>
        </w:rPr>
      </w:pPr>
      <w:r w:rsidRPr="00FA0099">
        <w:rPr>
          <w:rFonts w:ascii="Times New Roman" w:hAnsi="Times New Roman" w:cs="Times New Roman"/>
          <w:sz w:val="24"/>
          <w:szCs w:val="24"/>
          <w:shd w:val="clear" w:color="auto" w:fill="FFFFFF"/>
        </w:rPr>
        <w:t>En apenas cuatro años, el Grupo Escribano ha pasado de ser una empresa familiar que facturaba 87 millones en 2021, con poco más de 1,5 millones de beneficios reales, a superar los 355 millones de ingresos y 112 millones de beneficio neto en 2024. De ellos, 40 millones provienen exclusivamente de plusvalías financieras generadas por su inversión en Indra. Tal y como se ha publicado, AZ Capital ha sido contratada para elaborar la valoración financiera, mientras PwC realiza la due diligence del grupo familiar. El objetivo: cerrar el análisis antes del 23 de julio, fecha en la que está prevista la aprobación de resultados semestrales por parte del consejo de administración.</w:t>
      </w:r>
    </w:p>
    <w:p w:rsidR="007E438D" w:rsidRDefault="007E438D" w:rsidP="007E438D">
      <w:pPr>
        <w:spacing w:line="240" w:lineRule="auto"/>
        <w:jc w:val="both"/>
        <w:rPr>
          <w:rFonts w:ascii="Times New Roman" w:hAnsi="Times New Roman" w:cs="Times New Roman"/>
          <w:sz w:val="24"/>
          <w:szCs w:val="24"/>
          <w:shd w:val="clear" w:color="auto" w:fill="FFFFFF"/>
        </w:rPr>
      </w:pPr>
      <w:r w:rsidRPr="00FA0099">
        <w:rPr>
          <w:rFonts w:ascii="Times New Roman" w:hAnsi="Times New Roman" w:cs="Times New Roman"/>
          <w:sz w:val="24"/>
          <w:szCs w:val="24"/>
          <w:shd w:val="clear" w:color="auto" w:fill="FFFFFF"/>
        </w:rPr>
        <w:t xml:space="preserve">De completarse, la operación se convertiría en uno de los episodios más fulgurantes de creación de valor corporativo en España: de proveedor especializado a presidente del comprador; de accionista financiado a ser adquirido por la empresa que él mismo dirige. La arquitectura financiera es impecable: se apalanca el crecimiento con deuda, se minimiza el riesgo mediante derivados, se diversifica la titularidad entre sociedades del grupo y se accede al consejo como paso final. Todo ello respaldado por el contexto: una Indra en expansión, un Gobierno volcado en reforzar la soberanía militar y tecnológica y un mercado que premia la narrativa de integración industrial. </w:t>
      </w:r>
    </w:p>
    <w:p w:rsidR="007E438D" w:rsidRDefault="007E438D" w:rsidP="007E438D">
      <w:pPr>
        <w:spacing w:line="240" w:lineRule="auto"/>
        <w:jc w:val="both"/>
        <w:rPr>
          <w:rFonts w:ascii="Times New Roman" w:hAnsi="Times New Roman" w:cs="Times New Roman"/>
          <w:sz w:val="24"/>
          <w:szCs w:val="24"/>
          <w:shd w:val="clear" w:color="auto" w:fill="FFFFFF"/>
        </w:rPr>
      </w:pPr>
      <w:r w:rsidRPr="00FA0099">
        <w:rPr>
          <w:rFonts w:ascii="Times New Roman" w:hAnsi="Times New Roman" w:cs="Times New Roman"/>
          <w:sz w:val="24"/>
          <w:szCs w:val="24"/>
          <w:shd w:val="clear" w:color="auto" w:fill="FFFFFF"/>
        </w:rPr>
        <w:t>Pero más allá del éxito técnico, el caso plantea preguntas incómodas de gobernanza. Escribano no solo ha comprado barato y revalorizado su participación sin venderla, sino que ha logrado convertir esa revalorización en beneficios contables, sin perder el control ni diluir su posición.</w:t>
      </w:r>
    </w:p>
    <w:p w:rsidR="007E438D" w:rsidRDefault="007E438D" w:rsidP="007E438D">
      <w:pPr>
        <w:spacing w:line="240" w:lineRule="auto"/>
        <w:jc w:val="both"/>
        <w:rPr>
          <w:rFonts w:ascii="Times New Roman" w:hAnsi="Times New Roman" w:cs="Times New Roman"/>
          <w:sz w:val="24"/>
          <w:szCs w:val="24"/>
          <w:shd w:val="clear" w:color="auto" w:fill="FFFFFF"/>
        </w:rPr>
      </w:pPr>
      <w:r w:rsidRPr="00FA0099">
        <w:rPr>
          <w:rFonts w:ascii="Times New Roman" w:hAnsi="Times New Roman" w:cs="Times New Roman"/>
          <w:sz w:val="24"/>
          <w:szCs w:val="24"/>
          <w:shd w:val="clear" w:color="auto" w:fill="FFFFFF"/>
        </w:rPr>
        <w:t xml:space="preserve">Desde el punto de vista financiero, es una operación brillante. Desde el punto de vista institucional, genera cuestiones críticas sobre la transparencia, el conflicto de intereses y la valoración objetiva de una fusión entre el cliente comprador y el proveedor presidido por el propio vendedor. En definitiva, el resultado no es neutro: el proveedor se convierte en </w:t>
      </w:r>
      <w:r w:rsidRPr="00FA0099">
        <w:rPr>
          <w:rFonts w:ascii="Times New Roman" w:hAnsi="Times New Roman" w:cs="Times New Roman"/>
          <w:sz w:val="24"/>
          <w:szCs w:val="24"/>
          <w:shd w:val="clear" w:color="auto" w:fill="FFFFFF"/>
        </w:rPr>
        <w:lastRenderedPageBreak/>
        <w:t>comprador, y el accionista, en presidente. Y ahora, el cliente va a comprar al proveedor… a un precio que suscita muchas dudas. ¿Qué dudas?</w:t>
      </w:r>
    </w:p>
    <w:p w:rsidR="007E438D" w:rsidRPr="009E287B" w:rsidRDefault="007E438D" w:rsidP="007E438D">
      <w:pPr>
        <w:spacing w:line="240" w:lineRule="auto"/>
        <w:jc w:val="both"/>
        <w:rPr>
          <w:rFonts w:ascii="Times New Roman" w:hAnsi="Times New Roman" w:cs="Times New Roman"/>
          <w:sz w:val="24"/>
          <w:szCs w:val="24"/>
          <w:shd w:val="clear" w:color="auto" w:fill="FFFFFF"/>
        </w:rPr>
      </w:pPr>
      <w:r w:rsidRPr="009E287B">
        <w:rPr>
          <w:rFonts w:ascii="Times New Roman" w:hAnsi="Times New Roman" w:cs="Times New Roman"/>
          <w:sz w:val="24"/>
          <w:szCs w:val="24"/>
          <w:shd w:val="clear" w:color="auto" w:fill="FFFFFF"/>
        </w:rPr>
        <w:t>La pregunta incómoda</w:t>
      </w:r>
    </w:p>
    <w:p w:rsidR="007E438D" w:rsidRDefault="007E438D" w:rsidP="007E438D">
      <w:pPr>
        <w:spacing w:line="240" w:lineRule="auto"/>
        <w:jc w:val="both"/>
        <w:rPr>
          <w:rFonts w:ascii="Times New Roman" w:hAnsi="Times New Roman" w:cs="Times New Roman"/>
          <w:sz w:val="24"/>
          <w:szCs w:val="24"/>
          <w:shd w:val="clear" w:color="auto" w:fill="FFFFFF"/>
        </w:rPr>
      </w:pPr>
      <w:r w:rsidRPr="009E287B">
        <w:rPr>
          <w:rFonts w:ascii="Times New Roman" w:hAnsi="Times New Roman" w:cs="Times New Roman"/>
          <w:sz w:val="24"/>
          <w:szCs w:val="24"/>
          <w:shd w:val="clear" w:color="auto" w:fill="FFFFFF"/>
        </w:rPr>
        <w:t>Aquí aparece la primera pregunta incómoda: ¿puede valer 1.500 millones de euros una empresa que, sin ajustes contables, estaba en pérdidas hace solo un año? Y al tratar de responder a la pregunta aflora una gran paradoja: parte del v</w:t>
      </w:r>
      <w:r>
        <w:rPr>
          <w:rFonts w:ascii="Times New Roman" w:hAnsi="Times New Roman" w:cs="Times New Roman"/>
          <w:sz w:val="24"/>
          <w:szCs w:val="24"/>
          <w:shd w:val="clear" w:color="auto" w:fill="FFFFFF"/>
        </w:rPr>
        <w:t>alor atribuido hoy a Escribano -esos 1.500 millones de euros-</w:t>
      </w:r>
      <w:r w:rsidRPr="009E287B">
        <w:rPr>
          <w:rFonts w:ascii="Times New Roman" w:hAnsi="Times New Roman" w:cs="Times New Roman"/>
          <w:sz w:val="24"/>
          <w:szCs w:val="24"/>
          <w:shd w:val="clear" w:color="auto" w:fill="FFFFFF"/>
        </w:rPr>
        <w:t xml:space="preserve"> se apoya en plusvalías generadas por su papel como accionista de Indra. Es decir: una empresa que crece gracias a contratos públicos canalizados por Indra, que luego entra en su capital, y que acaba registrando beneficios extraordinarios al venderse a sí misma acciones de Indra. </w:t>
      </w:r>
    </w:p>
    <w:p w:rsidR="007E438D" w:rsidRDefault="007E438D" w:rsidP="007E438D">
      <w:pPr>
        <w:spacing w:line="240" w:lineRule="auto"/>
        <w:jc w:val="both"/>
        <w:rPr>
          <w:rFonts w:ascii="Times New Roman" w:hAnsi="Times New Roman" w:cs="Times New Roman"/>
          <w:sz w:val="24"/>
          <w:szCs w:val="24"/>
          <w:shd w:val="clear" w:color="auto" w:fill="FFFFFF"/>
        </w:rPr>
      </w:pPr>
      <w:r w:rsidRPr="009E287B">
        <w:rPr>
          <w:rFonts w:ascii="Times New Roman" w:hAnsi="Times New Roman" w:cs="Times New Roman"/>
          <w:sz w:val="24"/>
          <w:szCs w:val="24"/>
          <w:shd w:val="clear" w:color="auto" w:fill="FFFFFF"/>
        </w:rPr>
        <w:t xml:space="preserve">Por tanto ¿deben los accionistas de Indra pagar ahora por unas plusvalías que la propia compañía ha contribuido a generar? Si el círculo se cierra, la operación pierde fundamento industrial y se convierte en un caso de retroalimentación contable con gran impacto financiero para el vendedor. </w:t>
      </w:r>
    </w:p>
    <w:p w:rsidR="007E438D" w:rsidRDefault="007E438D" w:rsidP="007E438D">
      <w:pPr>
        <w:spacing w:line="240" w:lineRule="auto"/>
        <w:jc w:val="both"/>
        <w:rPr>
          <w:rFonts w:ascii="Times New Roman" w:hAnsi="Times New Roman" w:cs="Times New Roman"/>
          <w:sz w:val="24"/>
          <w:szCs w:val="24"/>
          <w:shd w:val="clear" w:color="auto" w:fill="FFFFFF"/>
        </w:rPr>
      </w:pPr>
      <w:r w:rsidRPr="009E287B">
        <w:rPr>
          <w:rFonts w:ascii="Times New Roman" w:hAnsi="Times New Roman" w:cs="Times New Roman"/>
          <w:sz w:val="24"/>
          <w:szCs w:val="24"/>
          <w:shd w:val="clear" w:color="auto" w:fill="FFFFFF"/>
        </w:rPr>
        <w:t xml:space="preserve">Las grandes operaciones corporativas se valoran habitualmente con múltiplos de caja libre. Por ejemplo, Thales, referente europeo en defensa, cotiza </w:t>
      </w:r>
      <w:r>
        <w:rPr>
          <w:rFonts w:ascii="Times New Roman" w:hAnsi="Times New Roman" w:cs="Times New Roman"/>
          <w:sz w:val="24"/>
          <w:szCs w:val="24"/>
          <w:shd w:val="clear" w:color="auto" w:fill="FFFFFF"/>
        </w:rPr>
        <w:t>con un múltiplo de 15 veces su “</w:t>
      </w:r>
      <w:r w:rsidR="000B6997">
        <w:rPr>
          <w:rFonts w:ascii="Times New Roman" w:hAnsi="Times New Roman" w:cs="Times New Roman"/>
          <w:sz w:val="24"/>
          <w:szCs w:val="24"/>
          <w:shd w:val="clear" w:color="auto" w:fill="FFFFFF"/>
        </w:rPr>
        <w:t>free cash flow”</w:t>
      </w:r>
      <w:r w:rsidRPr="009E287B">
        <w:rPr>
          <w:rFonts w:ascii="Times New Roman" w:hAnsi="Times New Roman" w:cs="Times New Roman"/>
          <w:sz w:val="24"/>
          <w:szCs w:val="24"/>
          <w:shd w:val="clear" w:color="auto" w:fill="FFFFFF"/>
        </w:rPr>
        <w:t xml:space="preserve"> (FCF) anual. </w:t>
      </w:r>
    </w:p>
    <w:p w:rsidR="007E438D" w:rsidRDefault="007E438D" w:rsidP="007E438D">
      <w:pPr>
        <w:spacing w:line="240" w:lineRule="auto"/>
        <w:jc w:val="both"/>
        <w:rPr>
          <w:rFonts w:ascii="Times New Roman" w:hAnsi="Times New Roman" w:cs="Times New Roman"/>
          <w:sz w:val="24"/>
          <w:szCs w:val="24"/>
          <w:shd w:val="clear" w:color="auto" w:fill="FFFFFF"/>
        </w:rPr>
      </w:pPr>
      <w:r w:rsidRPr="009E287B">
        <w:rPr>
          <w:rFonts w:ascii="Times New Roman" w:hAnsi="Times New Roman" w:cs="Times New Roman"/>
          <w:sz w:val="24"/>
          <w:szCs w:val="24"/>
          <w:shd w:val="clear" w:color="auto" w:fill="FFFFFF"/>
        </w:rPr>
        <w:t>A primera vista, Escribano podría parecer comparable. Según sus cuentas de 2024, habría generado 214 millones de euros de caja libre, lo que justificaría, en teoría, una valoración de 1.500 millones o incluso más. Pero basta rascar un poco para ver que el</w:t>
      </w:r>
      <w:r>
        <w:rPr>
          <w:rFonts w:ascii="Times New Roman" w:hAnsi="Times New Roman" w:cs="Times New Roman"/>
          <w:sz w:val="24"/>
          <w:szCs w:val="24"/>
          <w:shd w:val="clear" w:color="auto" w:fill="FFFFFF"/>
        </w:rPr>
        <w:t xml:space="preserve"> número no se sostiene. </w:t>
      </w:r>
    </w:p>
    <w:p w:rsidR="007E438D" w:rsidRDefault="007E438D" w:rsidP="007E438D">
      <w:pPr>
        <w:spacing w:line="240" w:lineRule="auto"/>
        <w:jc w:val="both"/>
        <w:rPr>
          <w:rFonts w:ascii="Times New Roman" w:hAnsi="Times New Roman" w:cs="Times New Roman"/>
          <w:sz w:val="24"/>
          <w:szCs w:val="24"/>
          <w:shd w:val="clear" w:color="auto" w:fill="FFFFFF"/>
        </w:rPr>
      </w:pPr>
      <w:r w:rsidRPr="009E287B">
        <w:rPr>
          <w:rFonts w:ascii="Times New Roman" w:hAnsi="Times New Roman" w:cs="Times New Roman"/>
          <w:sz w:val="24"/>
          <w:szCs w:val="24"/>
          <w:shd w:val="clear" w:color="auto" w:fill="FFFFFF"/>
        </w:rPr>
        <w:t xml:space="preserve">El FCF (flujo de caja libre) es el dinero que le queda a una empresa después de pagar sus gastos e invertir lo necesario para seguir operando. Es la caja real disponible para crecer, pagar deuda o repartir dividendos. Por eso es una métrica clave en cualquier valoración. </w:t>
      </w:r>
    </w:p>
    <w:p w:rsidR="007E438D" w:rsidRDefault="007E438D" w:rsidP="007E438D">
      <w:pPr>
        <w:spacing w:line="240" w:lineRule="auto"/>
        <w:jc w:val="both"/>
        <w:rPr>
          <w:rFonts w:ascii="Times New Roman" w:hAnsi="Times New Roman" w:cs="Times New Roman"/>
          <w:sz w:val="24"/>
          <w:szCs w:val="24"/>
          <w:shd w:val="clear" w:color="auto" w:fill="FFFFFF"/>
        </w:rPr>
      </w:pPr>
      <w:r w:rsidRPr="009E287B">
        <w:rPr>
          <w:rFonts w:ascii="Times New Roman" w:hAnsi="Times New Roman" w:cs="Times New Roman"/>
          <w:sz w:val="24"/>
          <w:szCs w:val="24"/>
          <w:shd w:val="clear" w:color="auto" w:fill="FFFFFF"/>
        </w:rPr>
        <w:t xml:space="preserve">En el caso de Escribano, hay dos alertas críticas. La primera es que 39 millones del flujo de caja provienen de plusvalías financieras por acciones de Indra, no de fabricar torretas ni vender sensores. La segunda es que una parte importante del resto proviene de anticipos de clientes y retrasos en pagos a proveedores. Eso infla la caja a corto plazo, pero no es sostenible. </w:t>
      </w:r>
    </w:p>
    <w:p w:rsidR="007E438D" w:rsidRDefault="007E438D" w:rsidP="007E438D">
      <w:pPr>
        <w:spacing w:line="240" w:lineRule="auto"/>
        <w:jc w:val="both"/>
        <w:rPr>
          <w:rFonts w:ascii="Times New Roman" w:hAnsi="Times New Roman" w:cs="Times New Roman"/>
          <w:sz w:val="24"/>
          <w:szCs w:val="24"/>
          <w:shd w:val="clear" w:color="auto" w:fill="FFFFFF"/>
        </w:rPr>
      </w:pPr>
      <w:r w:rsidRPr="009E287B">
        <w:rPr>
          <w:rFonts w:ascii="Times New Roman" w:hAnsi="Times New Roman" w:cs="Times New Roman"/>
          <w:sz w:val="24"/>
          <w:szCs w:val="24"/>
          <w:shd w:val="clear" w:color="auto" w:fill="FFFFFF"/>
        </w:rPr>
        <w:t xml:space="preserve">Un dato clave: en 2024, Escribano recibió anticipos de clientes por 122,4 millones de euros, frente a unos ingresos totales de 355 millones. Es decir, más de un tercio de su facturación llegó por adelantado, probablemente de Indra. Pero, al cierre de año, también debía 135 millones a proveedores y acumulaba una deuda financiera de más de 68 millones. </w:t>
      </w:r>
    </w:p>
    <w:p w:rsidR="007E438D" w:rsidRDefault="007E438D" w:rsidP="007E438D">
      <w:pPr>
        <w:spacing w:line="240" w:lineRule="auto"/>
        <w:jc w:val="both"/>
        <w:rPr>
          <w:rFonts w:ascii="Times New Roman" w:hAnsi="Times New Roman" w:cs="Times New Roman"/>
          <w:sz w:val="24"/>
          <w:szCs w:val="24"/>
          <w:shd w:val="clear" w:color="auto" w:fill="FFFFFF"/>
        </w:rPr>
      </w:pPr>
      <w:r w:rsidRPr="009E287B">
        <w:rPr>
          <w:rFonts w:ascii="Times New Roman" w:hAnsi="Times New Roman" w:cs="Times New Roman"/>
          <w:sz w:val="24"/>
          <w:szCs w:val="24"/>
          <w:shd w:val="clear" w:color="auto" w:fill="FFFFFF"/>
        </w:rPr>
        <w:t>El oxígeno financiero de Escribano, en definitiva, no proviene solo de su actividad industrial, sino de una combinación de anticipos, deuda y movimientos contables internos. Esto pone en duda que su flujo de caja libre refleje un valor estructural real.</w:t>
      </w:r>
    </w:p>
    <w:p w:rsidR="007E438D" w:rsidRPr="009E287B" w:rsidRDefault="007E438D" w:rsidP="007E438D">
      <w:pPr>
        <w:pStyle w:val="Ttulo2"/>
        <w:spacing w:before="240" w:after="240" w:line="240" w:lineRule="auto"/>
        <w:jc w:val="both"/>
        <w:rPr>
          <w:rFonts w:ascii="Times New Roman" w:hAnsi="Times New Roman" w:cs="Times New Roman"/>
          <w:b w:val="0"/>
          <w:color w:val="auto"/>
          <w:sz w:val="24"/>
          <w:szCs w:val="24"/>
        </w:rPr>
      </w:pPr>
      <w:r w:rsidRPr="009E287B">
        <w:rPr>
          <w:rFonts w:ascii="Times New Roman" w:hAnsi="Times New Roman" w:cs="Times New Roman"/>
          <w:b w:val="0"/>
          <w:color w:val="auto"/>
          <w:sz w:val="24"/>
          <w:szCs w:val="24"/>
        </w:rPr>
        <w:t>El precio, el poder y la pregunta final</w:t>
      </w:r>
    </w:p>
    <w:p w:rsidR="007E438D" w:rsidRPr="000B6997" w:rsidRDefault="007E438D" w:rsidP="007E438D">
      <w:pPr>
        <w:pStyle w:val="NormalWeb"/>
        <w:spacing w:before="0" w:beforeAutospacing="0" w:after="360" w:afterAutospacing="0"/>
        <w:jc w:val="both"/>
      </w:pPr>
      <w:r w:rsidRPr="000B6997">
        <w:t>En poco más de dos años, la </w:t>
      </w:r>
      <w:r w:rsidRPr="000B6997">
        <w:rPr>
          <w:rStyle w:val="Textoennegrita"/>
          <w:b w:val="0"/>
        </w:rPr>
        <w:t>familia Escribano invirtió 366,5 millones de euros</w:t>
      </w:r>
      <w:r w:rsidRPr="000B6997">
        <w:t> para alcanzar el </w:t>
      </w:r>
      <w:r w:rsidRPr="000B6997">
        <w:rPr>
          <w:rStyle w:val="Textoennegrita"/>
          <w:b w:val="0"/>
        </w:rPr>
        <w:t>14,3 % del capital de Indra</w:t>
      </w:r>
      <w:r w:rsidRPr="000B6997">
        <w:t>. Esa participación ya tiene un valor de unos </w:t>
      </w:r>
      <w:r w:rsidRPr="000B6997">
        <w:rPr>
          <w:rStyle w:val="Textoennegrita"/>
          <w:b w:val="0"/>
        </w:rPr>
        <w:t>926 millones</w:t>
      </w:r>
      <w:r w:rsidRPr="000B6997">
        <w:t>. Una </w:t>
      </w:r>
      <w:r w:rsidRPr="000B6997">
        <w:rPr>
          <w:rStyle w:val="Textoennegrita"/>
          <w:b w:val="0"/>
        </w:rPr>
        <w:t>plusvalía latente de más de 560 millones</w:t>
      </w:r>
      <w:r w:rsidRPr="000B6997">
        <w:t>, sin haber vendido una sola acción. </w:t>
      </w:r>
    </w:p>
    <w:p w:rsidR="007E438D" w:rsidRPr="000B6997" w:rsidRDefault="007E438D" w:rsidP="007E438D">
      <w:pPr>
        <w:pStyle w:val="NormalWeb"/>
        <w:spacing w:before="0" w:beforeAutospacing="0" w:after="360" w:afterAutospacing="0"/>
        <w:jc w:val="both"/>
      </w:pPr>
      <w:r w:rsidRPr="000B6997">
        <w:lastRenderedPageBreak/>
        <w:t>Pero el </w:t>
      </w:r>
      <w:r w:rsidRPr="000B6997">
        <w:rPr>
          <w:rStyle w:val="Textoennegrita"/>
          <w:b w:val="0"/>
        </w:rPr>
        <w:t>verdadero salto patrimonial</w:t>
      </w:r>
      <w:r w:rsidRPr="000B6997">
        <w:t> llegaría si se consuma la operación que hoy se estudia en los despachos: la </w:t>
      </w:r>
      <w:hyperlink r:id="rId30" w:tgtFrame="_self" w:history="1">
        <w:r w:rsidRPr="000B6997">
          <w:rPr>
            <w:rStyle w:val="Hipervnculo"/>
            <w:rFonts w:eastAsiaTheme="majorEastAsia"/>
            <w:color w:val="auto"/>
            <w:u w:val="none"/>
          </w:rPr>
          <w:t>integración de Escribano en Indra</w:t>
        </w:r>
      </w:hyperlink>
      <w:r w:rsidRPr="000B6997">
        <w:t>, valorada en hasta </w:t>
      </w:r>
      <w:r w:rsidRPr="000B6997">
        <w:rPr>
          <w:rStyle w:val="Textoennegrita"/>
          <w:b w:val="0"/>
        </w:rPr>
        <w:t>1.500 millones de euros</w:t>
      </w:r>
      <w:r w:rsidRPr="000B6997">
        <w:t>. Si el pago se articula mediante </w:t>
      </w:r>
      <w:r w:rsidRPr="000B6997">
        <w:rPr>
          <w:rStyle w:val="Textoennegrita"/>
          <w:b w:val="0"/>
        </w:rPr>
        <w:t>canje de acciones</w:t>
      </w:r>
      <w:r w:rsidRPr="000B6997">
        <w:t> -como todo indica-, la familia pasaría a controlar en torno al </w:t>
      </w:r>
      <w:r w:rsidRPr="000B6997">
        <w:rPr>
          <w:rStyle w:val="Textoennegrita"/>
          <w:b w:val="0"/>
        </w:rPr>
        <w:t>30 % del capital de la Indra fusionada</w:t>
      </w:r>
      <w:r w:rsidRPr="000B6997">
        <w:t>. Es decir, tendría un </w:t>
      </w:r>
      <w:r w:rsidRPr="000B6997">
        <w:rPr>
          <w:rStyle w:val="Textoennegrita"/>
          <w:b w:val="0"/>
        </w:rPr>
        <w:t>patrimonio bursátil superior a los 2.400 millones de euros</w:t>
      </w:r>
      <w:r w:rsidRPr="000B6997">
        <w:t>. </w:t>
      </w:r>
    </w:p>
    <w:p w:rsidR="007E438D" w:rsidRPr="000B6997" w:rsidRDefault="007E438D" w:rsidP="007E438D">
      <w:pPr>
        <w:pStyle w:val="NormalWeb"/>
        <w:spacing w:before="0" w:beforeAutospacing="0" w:after="360" w:afterAutospacing="0"/>
        <w:jc w:val="both"/>
      </w:pPr>
      <w:r w:rsidRPr="000B6997">
        <w:t>Este crecimiento patrimonial </w:t>
      </w:r>
      <w:r w:rsidRPr="000B6997">
        <w:rPr>
          <w:rStyle w:val="Textoennegrita"/>
          <w:b w:val="0"/>
        </w:rPr>
        <w:t>no se cuestiona</w:t>
      </w:r>
      <w:r w:rsidRPr="000B6997">
        <w:t>: está en los números. Lo que sí merece atención es </w:t>
      </w:r>
      <w:r w:rsidRPr="000B6997">
        <w:rPr>
          <w:rStyle w:val="Textoennegrita"/>
          <w:b w:val="0"/>
        </w:rPr>
        <w:t>cómo se ha construido ese valor</w:t>
      </w:r>
      <w:r w:rsidRPr="000B6997">
        <w:t>. Por tres motivos: </w:t>
      </w:r>
      <w:r w:rsidRPr="000B6997">
        <w:rPr>
          <w:rStyle w:val="Textoennegrita"/>
          <w:b w:val="0"/>
        </w:rPr>
        <w:t>Indra no es un comprador externo,</w:t>
      </w:r>
      <w:r w:rsidRPr="000B6997">
        <w:t> es el </w:t>
      </w:r>
      <w:r w:rsidRPr="000B6997">
        <w:rPr>
          <w:rStyle w:val="Textoennegrita"/>
          <w:b w:val="0"/>
        </w:rPr>
        <w:t>principal cliente</w:t>
      </w:r>
      <w:r w:rsidRPr="000B6997">
        <w:t> de Escribano; </w:t>
      </w:r>
      <w:r w:rsidRPr="000B6997">
        <w:rPr>
          <w:rStyle w:val="Textoennegrita"/>
          <w:b w:val="0"/>
        </w:rPr>
        <w:t>buena parte del valor atribuido a Escribano</w:t>
      </w:r>
      <w:r w:rsidRPr="000B6997">
        <w:t> -ingresos, márgenes, dividendos- </w:t>
      </w:r>
      <w:r w:rsidRPr="000B6997">
        <w:rPr>
          <w:rStyle w:val="Textoennegrita"/>
          <w:b w:val="0"/>
        </w:rPr>
        <w:t>se genera dentro del perímetro de Indra y</w:t>
      </w:r>
      <w:r w:rsidRPr="000B6997">
        <w:t> la operación daría un control estratégico sobre una empresa crítica para la industria de defensa nacional a </w:t>
      </w:r>
      <w:r w:rsidRPr="000B6997">
        <w:rPr>
          <w:rStyle w:val="Textoennegrita"/>
          <w:b w:val="0"/>
        </w:rPr>
        <w:t>una familia </w:t>
      </w:r>
      <w:r w:rsidRPr="000B6997">
        <w:t>con experiencia industrial, pero en magnitudes más modestas que los grandes referentes europeos del sector.</w:t>
      </w:r>
    </w:p>
    <w:p w:rsidR="007E438D" w:rsidRPr="000B6997" w:rsidRDefault="007E438D" w:rsidP="007E438D">
      <w:pPr>
        <w:pStyle w:val="NormalWeb"/>
        <w:spacing w:before="0" w:beforeAutospacing="0" w:after="360" w:afterAutospacing="0"/>
        <w:jc w:val="both"/>
      </w:pPr>
      <w:r w:rsidRPr="000B6997">
        <w:t>La pregunta ya no es </w:t>
      </w:r>
      <w:r w:rsidRPr="000B6997">
        <w:rPr>
          <w:rStyle w:val="Textoennegrita"/>
          <w:b w:val="0"/>
        </w:rPr>
        <w:t>cuánto vale Escribano sobre el papel</w:t>
      </w:r>
      <w:r w:rsidRPr="000B6997">
        <w:t>, sino </w:t>
      </w:r>
      <w:r w:rsidRPr="000B6997">
        <w:rPr>
          <w:rStyle w:val="Textoennegrita"/>
          <w:b w:val="0"/>
        </w:rPr>
        <w:t>cuánto de ese valor proviene realmente de su negocio</w:t>
      </w:r>
      <w:r w:rsidRPr="000B6997">
        <w:t>, y cuánto ha sido </w:t>
      </w:r>
      <w:r w:rsidRPr="000B6997">
        <w:rPr>
          <w:rStyle w:val="Textoennegrita"/>
          <w:b w:val="0"/>
        </w:rPr>
        <w:t>impulsado -directa o indirectamente- por decisiones institucionales y recursos públicos</w:t>
      </w:r>
      <w:r w:rsidRPr="000B6997">
        <w:t>. </w:t>
      </w:r>
    </w:p>
    <w:p w:rsidR="007E438D" w:rsidRPr="000B6997" w:rsidRDefault="007E438D" w:rsidP="007E438D">
      <w:pPr>
        <w:pStyle w:val="NormalWeb"/>
        <w:spacing w:before="0" w:beforeAutospacing="0" w:after="0" w:afterAutospacing="0"/>
        <w:jc w:val="both"/>
        <w:rPr>
          <w:rStyle w:val="Textoennegrita"/>
          <w:b w:val="0"/>
        </w:rPr>
      </w:pPr>
      <w:r w:rsidRPr="000B6997">
        <w:t>Porque si en </w:t>
      </w:r>
      <w:r w:rsidRPr="000B6997">
        <w:rPr>
          <w:rStyle w:val="Textoennegrita"/>
          <w:b w:val="0"/>
        </w:rPr>
        <w:t>2023</w:t>
      </w:r>
      <w:r w:rsidRPr="000B6997">
        <w:t> Escribano era una empresa con </w:t>
      </w:r>
      <w:r w:rsidRPr="000B6997">
        <w:rPr>
          <w:rStyle w:val="Textoennegrita"/>
          <w:b w:val="0"/>
        </w:rPr>
        <w:t>resultados negativos (sin ajustes contables)</w:t>
      </w:r>
      <w:r w:rsidRPr="000B6997">
        <w:t>, y en </w:t>
      </w:r>
      <w:r w:rsidRPr="000B6997">
        <w:rPr>
          <w:rStyle w:val="Textoennegrita"/>
          <w:b w:val="0"/>
        </w:rPr>
        <w:t>2025</w:t>
      </w:r>
      <w:r w:rsidRPr="000B6997">
        <w:t> puede convertirse en </w:t>
      </w:r>
      <w:r w:rsidRPr="000B6997">
        <w:rPr>
          <w:rStyle w:val="Textoennegrita"/>
          <w:b w:val="0"/>
        </w:rPr>
        <w:t>una de las familias más ricas de España</w:t>
      </w:r>
      <w:r w:rsidRPr="000B6997">
        <w:t> gracias a su posición en una </w:t>
      </w:r>
      <w:r w:rsidRPr="000B6997">
        <w:rPr>
          <w:rStyle w:val="Textoennegrita"/>
          <w:b w:val="0"/>
        </w:rPr>
        <w:t>empresa pública</w:t>
      </w:r>
      <w:r w:rsidRPr="000B6997">
        <w:t>, entonces la </w:t>
      </w:r>
      <w:r w:rsidRPr="000B6997">
        <w:rPr>
          <w:rStyle w:val="Textoennegrita"/>
          <w:b w:val="0"/>
        </w:rPr>
        <w:t>valoración importa</w:t>
      </w:r>
      <w:r w:rsidRPr="000B6997">
        <w:t>. Por </w:t>
      </w:r>
      <w:r w:rsidRPr="000B6997">
        <w:rPr>
          <w:rStyle w:val="Textoennegrita"/>
          <w:b w:val="0"/>
        </w:rPr>
        <w:t>lo que se paga</w:t>
      </w:r>
      <w:r w:rsidRPr="000B6997">
        <w:t>, por </w:t>
      </w:r>
      <w:r w:rsidRPr="000B6997">
        <w:rPr>
          <w:rStyle w:val="Textoennegrita"/>
          <w:b w:val="0"/>
        </w:rPr>
        <w:t>quién lo paga y </w:t>
      </w:r>
      <w:r w:rsidRPr="000B6997">
        <w:t>por </w:t>
      </w:r>
      <w:r w:rsidRPr="000B6997">
        <w:rPr>
          <w:rStyle w:val="Textoennegrita"/>
          <w:b w:val="0"/>
        </w:rPr>
        <w:t>quién sale beneficiado.</w:t>
      </w:r>
    </w:p>
    <w:p w:rsidR="007E438D" w:rsidRPr="000B6997" w:rsidRDefault="007E438D" w:rsidP="007E438D">
      <w:pPr>
        <w:pStyle w:val="NormalWeb"/>
        <w:spacing w:before="0" w:beforeAutospacing="0" w:after="0" w:afterAutospacing="0"/>
        <w:jc w:val="both"/>
        <w:rPr>
          <w:rStyle w:val="Textoennegrita"/>
          <w:b w:val="0"/>
        </w:rPr>
      </w:pPr>
    </w:p>
    <w:p w:rsidR="007E438D" w:rsidRPr="000B6997" w:rsidRDefault="007E438D" w:rsidP="007E438D">
      <w:pPr>
        <w:pStyle w:val="NormalWeb"/>
        <w:spacing w:before="0" w:beforeAutospacing="0" w:after="0" w:afterAutospacing="0"/>
        <w:jc w:val="both"/>
        <w:rPr>
          <w:rStyle w:val="Textoennegrita"/>
          <w:b w:val="0"/>
          <w:color w:val="FF0000"/>
        </w:rPr>
      </w:pPr>
      <w:r w:rsidRPr="007B2683">
        <w:rPr>
          <w:rStyle w:val="Textoennegrita"/>
          <w:color w:val="FF0000"/>
        </w:rPr>
        <w:t xml:space="preserve">Nota I: </w:t>
      </w:r>
      <w:r w:rsidR="000B6997">
        <w:rPr>
          <w:rStyle w:val="Textoennegrita"/>
          <w:b w:val="0"/>
          <w:color w:val="FF0000"/>
        </w:rPr>
        <w:t>U</w:t>
      </w:r>
      <w:r w:rsidRPr="000B6997">
        <w:rPr>
          <w:rStyle w:val="Textoennegrita"/>
          <w:b w:val="0"/>
          <w:color w:val="FF0000"/>
        </w:rPr>
        <w:t>n “monopoly” muy complejo, bastante sospechoso, con manos invisibles que mecen la cuna, con posibles intereses ocultos de altas personalidades políticas… donde lo único cierto es que se está poniendo dinero del contribuyente (SEPI), para animar la fiesta.</w:t>
      </w:r>
    </w:p>
    <w:p w:rsidR="007E438D" w:rsidRPr="000B6997" w:rsidRDefault="007E438D" w:rsidP="007E438D">
      <w:pPr>
        <w:pStyle w:val="NormalWeb"/>
        <w:spacing w:before="0" w:beforeAutospacing="0" w:after="0" w:afterAutospacing="0"/>
        <w:jc w:val="both"/>
        <w:rPr>
          <w:rStyle w:val="Textoennegrita"/>
          <w:b w:val="0"/>
          <w:color w:val="FF0000"/>
        </w:rPr>
      </w:pPr>
    </w:p>
    <w:p w:rsidR="007E438D" w:rsidRPr="000B6997" w:rsidRDefault="007E438D" w:rsidP="007E438D">
      <w:pPr>
        <w:pStyle w:val="NormalWeb"/>
        <w:spacing w:before="0" w:beforeAutospacing="0" w:after="0" w:afterAutospacing="0"/>
        <w:jc w:val="both"/>
        <w:rPr>
          <w:rStyle w:val="Textoennegrita"/>
          <w:b w:val="0"/>
          <w:color w:val="FF0000"/>
        </w:rPr>
      </w:pPr>
      <w:r w:rsidRPr="000B6997">
        <w:rPr>
          <w:rStyle w:val="Textoennegrita"/>
          <w:b w:val="0"/>
          <w:color w:val="FF0000"/>
        </w:rPr>
        <w:t>Es solo un ejemplo, el más reciente, de la larga mano del Estado, entrando en negocios del sector privado, sin oficio (evidente), pero con beneficio (de las partes interesadas).</w:t>
      </w:r>
    </w:p>
    <w:p w:rsidR="007E438D" w:rsidRPr="000B6997" w:rsidRDefault="007E438D" w:rsidP="007E438D">
      <w:pPr>
        <w:pStyle w:val="NormalWeb"/>
        <w:spacing w:after="0"/>
        <w:jc w:val="both"/>
        <w:rPr>
          <w:rStyle w:val="Textoennegrita"/>
          <w:b w:val="0"/>
          <w:color w:val="FF0000"/>
        </w:rPr>
      </w:pPr>
      <w:r w:rsidRPr="00046F57">
        <w:rPr>
          <w:rStyle w:val="Textoennegrita"/>
          <w:color w:val="FF0000"/>
        </w:rPr>
        <w:t xml:space="preserve">Nota II: </w:t>
      </w:r>
      <w:r w:rsidRPr="000B6997">
        <w:rPr>
          <w:rStyle w:val="Textoennegrita"/>
          <w:b w:val="0"/>
          <w:color w:val="FF0000"/>
        </w:rPr>
        <w:t xml:space="preserve">No es lo mismo hacer política industrial por el interés general, que hacer política industrial a cualquier precio por el interés particular. La SEPI está sirviendo, lamentablemente, para crear o mantener redes clientelares, abonar cálculos de poder, o facilitar una corrupción extraordinaria, con la que se enriquecen tanto los dirigentes políticos, como los empresarios sin escrúpulos, a los que se une una tropa inacabable de oportunistas, intermediarios, conseguidores, entretenedores, y lameculos (que animan el cotarro). </w:t>
      </w:r>
    </w:p>
    <w:p w:rsidR="007E438D" w:rsidRDefault="007E438D" w:rsidP="007E438D">
      <w:pPr>
        <w:pStyle w:val="NormalWeb"/>
        <w:spacing w:before="0" w:beforeAutospacing="0" w:after="0" w:afterAutospacing="0"/>
        <w:jc w:val="both"/>
        <w:rPr>
          <w:rStyle w:val="Textoennegrita"/>
          <w:b w:val="0"/>
          <w:color w:val="FF0000"/>
        </w:rPr>
      </w:pPr>
      <w:r w:rsidRPr="000B6997">
        <w:rPr>
          <w:rStyle w:val="Textoennegrita"/>
          <w:b w:val="0"/>
          <w:color w:val="FF0000"/>
        </w:rPr>
        <w:t>En definitiva: la SEPI debe vender todas sus participaciones en empresas públicas (más pronto que tarde), y en empresas privadas (dónde nunca debería haber entrado).</w:t>
      </w:r>
    </w:p>
    <w:p w:rsidR="000B6997" w:rsidRDefault="000B6997" w:rsidP="007E438D">
      <w:pPr>
        <w:pStyle w:val="NormalWeb"/>
        <w:spacing w:before="0" w:beforeAutospacing="0" w:after="0" w:afterAutospacing="0"/>
        <w:jc w:val="both"/>
        <w:rPr>
          <w:rStyle w:val="Textoennegrita"/>
          <w:b w:val="0"/>
          <w:color w:val="FF0000"/>
        </w:rPr>
      </w:pPr>
    </w:p>
    <w:p w:rsidR="000B6997" w:rsidRDefault="000B6997" w:rsidP="000B6997">
      <w:pPr>
        <w:spacing w:line="240" w:lineRule="auto"/>
        <w:jc w:val="both"/>
        <w:rPr>
          <w:rFonts w:ascii="Times New Roman" w:hAnsi="Times New Roman" w:cs="Times New Roman"/>
          <w:color w:val="FF0000"/>
          <w:sz w:val="24"/>
          <w:szCs w:val="24"/>
          <w:shd w:val="clear" w:color="auto" w:fill="FFFFFF"/>
        </w:rPr>
      </w:pPr>
      <w:r w:rsidRPr="00D441E9">
        <w:rPr>
          <w:rFonts w:ascii="Times New Roman" w:hAnsi="Times New Roman" w:cs="Times New Roman"/>
          <w:color w:val="FF0000"/>
          <w:sz w:val="24"/>
          <w:szCs w:val="24"/>
          <w:shd w:val="clear" w:color="auto" w:fill="FFFFFF"/>
        </w:rPr>
        <w:t>- Cerrar el ICO</w:t>
      </w:r>
    </w:p>
    <w:p w:rsidR="000B6997" w:rsidRPr="00CB74F9" w:rsidRDefault="000B6997" w:rsidP="000B6997">
      <w:pPr>
        <w:spacing w:line="240" w:lineRule="auto"/>
        <w:jc w:val="both"/>
        <w:rPr>
          <w:rFonts w:ascii="Times New Roman" w:hAnsi="Times New Roman" w:cs="Times New Roman"/>
          <w:sz w:val="24"/>
          <w:szCs w:val="24"/>
          <w:shd w:val="clear" w:color="auto" w:fill="FFFFFF"/>
        </w:rPr>
      </w:pPr>
      <w:r w:rsidRPr="00CB74F9">
        <w:rPr>
          <w:rFonts w:ascii="Times New Roman" w:hAnsi="Times New Roman" w:cs="Times New Roman"/>
          <w:sz w:val="24"/>
          <w:szCs w:val="24"/>
          <w:shd w:val="clear" w:color="auto" w:fill="FFFFFF"/>
        </w:rPr>
        <w:t xml:space="preserve">El ICO, o Instituto de Crédito Oficial, es una entidad pública empresarial española adscrita al Ministerio de Asuntos Económicos y Transformación Digital. Su función principal es promover el crecimiento económico de España a través de la financiación de proyectos empresariales y la concesión de préstamos a empresas y autónomos. El ICO no opera directamente con los usuarios finales, sino que canaliza sus líneas de financiación a través de entidades de crédito colaboradoras. </w:t>
      </w:r>
    </w:p>
    <w:p w:rsidR="000B6997" w:rsidRPr="00CB74F9" w:rsidRDefault="000B6997" w:rsidP="000B6997">
      <w:pPr>
        <w:spacing w:line="240" w:lineRule="auto"/>
        <w:jc w:val="both"/>
        <w:rPr>
          <w:rFonts w:ascii="Times New Roman" w:hAnsi="Times New Roman" w:cs="Times New Roman"/>
          <w:sz w:val="24"/>
          <w:szCs w:val="24"/>
          <w:shd w:val="clear" w:color="auto" w:fill="FFFFFF"/>
        </w:rPr>
      </w:pPr>
      <w:r w:rsidRPr="00CB74F9">
        <w:rPr>
          <w:rFonts w:ascii="Times New Roman" w:hAnsi="Times New Roman" w:cs="Times New Roman"/>
          <w:sz w:val="24"/>
          <w:szCs w:val="24"/>
          <w:shd w:val="clear" w:color="auto" w:fill="FFFFFF"/>
        </w:rPr>
        <w:lastRenderedPageBreak/>
        <w:t xml:space="preserve">En resumen, el ICO es un banco público que actúa como agencia financiera del Estado, facilitando el acceso a financiación para el desarrollo económico y la creación de empleo. </w:t>
      </w:r>
    </w:p>
    <w:p w:rsidR="000B6997" w:rsidRPr="00CB74F9" w:rsidRDefault="000B6997" w:rsidP="000B6997">
      <w:pPr>
        <w:spacing w:line="240" w:lineRule="auto"/>
        <w:jc w:val="both"/>
        <w:rPr>
          <w:rFonts w:ascii="Times New Roman" w:hAnsi="Times New Roman" w:cs="Times New Roman"/>
          <w:sz w:val="24"/>
          <w:szCs w:val="24"/>
          <w:shd w:val="clear" w:color="auto" w:fill="FFFFFF"/>
        </w:rPr>
      </w:pPr>
      <w:r w:rsidRPr="00CB74F9">
        <w:rPr>
          <w:rFonts w:ascii="Times New Roman" w:hAnsi="Times New Roman" w:cs="Times New Roman"/>
          <w:sz w:val="24"/>
          <w:szCs w:val="24"/>
          <w:shd w:val="clear" w:color="auto" w:fill="FFFFFF"/>
        </w:rPr>
        <w:t xml:space="preserve">El ICO facilita el acceso a financiación a través de líneas de crédito específicas para diferentes tipos de proyectos y necesidades empresariales, como inversiones productivas, liquidez, digitalización, sostenibilidad, etc. </w:t>
      </w:r>
    </w:p>
    <w:p w:rsidR="000B6997" w:rsidRPr="00CB74F9" w:rsidRDefault="000B6997" w:rsidP="000B6997">
      <w:pPr>
        <w:spacing w:line="240" w:lineRule="auto"/>
        <w:jc w:val="both"/>
        <w:rPr>
          <w:rFonts w:ascii="Times New Roman" w:hAnsi="Times New Roman" w:cs="Times New Roman"/>
          <w:sz w:val="24"/>
          <w:szCs w:val="24"/>
          <w:shd w:val="clear" w:color="auto" w:fill="FFFFFF"/>
        </w:rPr>
      </w:pPr>
      <w:r w:rsidRPr="00CB74F9">
        <w:rPr>
          <w:rFonts w:ascii="Times New Roman" w:hAnsi="Times New Roman" w:cs="Times New Roman"/>
          <w:sz w:val="24"/>
          <w:szCs w:val="24"/>
          <w:shd w:val="clear" w:color="auto" w:fill="FFFFFF"/>
        </w:rPr>
        <w:t xml:space="preserve">El ICO trabaja en colaboración con entidades financieras (bancos, cajas de ahorro, cooperativas de crédito, etc.) para la tramitación, estudio y aprobación de las operaciones de financiación. </w:t>
      </w:r>
    </w:p>
    <w:p w:rsidR="000B6997" w:rsidRPr="00CB74F9"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Líneas de Mediación: </w:t>
      </w:r>
      <w:r w:rsidRPr="00CB74F9">
        <w:rPr>
          <w:rFonts w:ascii="Times New Roman" w:hAnsi="Times New Roman" w:cs="Times New Roman"/>
          <w:sz w:val="24"/>
          <w:szCs w:val="24"/>
          <w:shd w:val="clear" w:color="auto" w:fill="FFFFFF"/>
        </w:rPr>
        <w:t xml:space="preserve">Son préstamos que el ICO concede a través de entidades financieras colaboradoras a empresas y autónomos para financiar inversiones productivas y necesidades de liquidez. </w:t>
      </w:r>
    </w:p>
    <w:p w:rsidR="000B6997" w:rsidRPr="00CB74F9"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Préstamos ICO: </w:t>
      </w:r>
      <w:r w:rsidRPr="00CB74F9">
        <w:rPr>
          <w:rFonts w:ascii="Times New Roman" w:hAnsi="Times New Roman" w:cs="Times New Roman"/>
          <w:sz w:val="24"/>
          <w:szCs w:val="24"/>
          <w:shd w:val="clear" w:color="auto" w:fill="FFFFFF"/>
        </w:rPr>
        <w:t xml:space="preserve">Son préstamos directos del ICO para proyectos específicos, como la digitalización de empresas o la movilidad sostenible. </w:t>
      </w:r>
    </w:p>
    <w:p w:rsidR="000B6997" w:rsidRPr="00CB74F9"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Fondos de financiación: </w:t>
      </w:r>
      <w:r w:rsidRPr="00CB74F9">
        <w:rPr>
          <w:rFonts w:ascii="Times New Roman" w:hAnsi="Times New Roman" w:cs="Times New Roman"/>
          <w:sz w:val="24"/>
          <w:szCs w:val="24"/>
          <w:shd w:val="clear" w:color="auto" w:fill="FFFFFF"/>
        </w:rPr>
        <w:t xml:space="preserve">El ICO también gestiona fondos específicos para proyectos de desarrollo, como el Fondo de Internacionalización de la Empresa Española (FIEM) o el Fondo de Cooperación para el Agua y Saneamiento (FAS). </w:t>
      </w:r>
    </w:p>
    <w:p w:rsidR="000B6997" w:rsidRPr="00D5287E" w:rsidRDefault="000B6997" w:rsidP="000B6997">
      <w:pPr>
        <w:spacing w:line="240" w:lineRule="auto"/>
        <w:jc w:val="both"/>
        <w:rPr>
          <w:rFonts w:ascii="Times New Roman" w:hAnsi="Times New Roman" w:cs="Times New Roman"/>
          <w:color w:val="FF0000"/>
          <w:sz w:val="24"/>
          <w:szCs w:val="24"/>
          <w:shd w:val="clear" w:color="auto" w:fill="FFFFFF"/>
        </w:rPr>
      </w:pPr>
      <w:r w:rsidRPr="00D5287E">
        <w:rPr>
          <w:rFonts w:ascii="Times New Roman" w:hAnsi="Times New Roman" w:cs="Times New Roman"/>
          <w:b/>
          <w:color w:val="FF0000"/>
          <w:sz w:val="24"/>
          <w:szCs w:val="24"/>
          <w:shd w:val="clear" w:color="auto" w:fill="FFFFFF"/>
        </w:rPr>
        <w:t>Nota</w:t>
      </w:r>
      <w:r w:rsidRPr="00D5287E">
        <w:rPr>
          <w:rFonts w:ascii="Times New Roman" w:hAnsi="Times New Roman" w:cs="Times New Roman"/>
          <w:color w:val="FF0000"/>
          <w:sz w:val="24"/>
          <w:szCs w:val="24"/>
          <w:shd w:val="clear" w:color="auto" w:fill="FFFFFF"/>
        </w:rPr>
        <w:t>: El Instituto de Crédito Oficial (ICO) moviliza una cantidad significativa de dinero, principalmente a través de líneas de financiación y avales para empresas y autónomos. En 2020, gestionó más de 302.000 millones de euros, incluyendo la gestión de las Líneas de Avales COVID-19. Además, el ICO administra 40.000 millones de euros de préstamos del Plan de Recuperación.</w:t>
      </w:r>
    </w:p>
    <w:p w:rsidR="000B6997" w:rsidRDefault="000B6997" w:rsidP="000B6997">
      <w:pPr>
        <w:spacing w:line="240" w:lineRule="auto"/>
        <w:jc w:val="both"/>
        <w:rPr>
          <w:rFonts w:ascii="Times New Roman" w:hAnsi="Times New Roman" w:cs="Times New Roman"/>
          <w:sz w:val="24"/>
          <w:szCs w:val="24"/>
          <w:shd w:val="clear" w:color="auto" w:fill="FFFFFF"/>
        </w:rPr>
      </w:pPr>
      <w:r w:rsidRPr="000B6997">
        <w:rPr>
          <w:rFonts w:ascii="Times New Roman" w:hAnsi="Times New Roman" w:cs="Times New Roman"/>
          <w:sz w:val="24"/>
          <w:szCs w:val="24"/>
          <w:shd w:val="clear" w:color="auto" w:fill="FFFFFF"/>
        </w:rPr>
        <w:t>Misión y Funciones (Fuente: ico.es/web)</w:t>
      </w:r>
    </w:p>
    <w:p w:rsidR="000B6997" w:rsidRPr="00B22373" w:rsidRDefault="000B6997" w:rsidP="000B6997">
      <w:pPr>
        <w:pStyle w:val="NormalWeb"/>
        <w:shd w:val="clear" w:color="auto" w:fill="FFFFFF"/>
        <w:jc w:val="both"/>
      </w:pPr>
      <w:r w:rsidRPr="00B22373">
        <w:t>Impulsar el crecimiento económico sostenible</w:t>
      </w:r>
    </w:p>
    <w:p w:rsidR="000B6997" w:rsidRPr="00B22373" w:rsidRDefault="000B6997" w:rsidP="000B6997">
      <w:pPr>
        <w:pStyle w:val="NormalWeb"/>
        <w:jc w:val="both"/>
      </w:pPr>
      <w:r w:rsidRPr="00B22373">
        <w:t>El objetivo principal del ICO es promover actividades económicas que contribuyan al crecimiento sostenible, la generación de empleo y la distribución de la riqueza, para lo cual desarrolla su actividad en torno a dos funciones principales:</w:t>
      </w:r>
    </w:p>
    <w:p w:rsidR="000B6997" w:rsidRPr="00B22373" w:rsidRDefault="000B6997" w:rsidP="000B6997">
      <w:pPr>
        <w:pStyle w:val="NormalWeb"/>
        <w:jc w:val="both"/>
      </w:pPr>
      <w:r w:rsidRPr="00B22373">
        <w:rPr>
          <w:rStyle w:val="Textoennegrita"/>
        </w:rPr>
        <w:t>1. Entidad de crédito</w:t>
      </w:r>
      <w:r w:rsidRPr="00B22373">
        <w:t>: cuenta con una oferta integral de financiación para empresas y entidades de la economía social, de todos los sectores y tamaños, destinada a impulsar su actividad en España y en mercados internacionales, con especial énfasis en PYME, autónomos y emprendedores.</w:t>
      </w:r>
    </w:p>
    <w:p w:rsidR="000B6997" w:rsidRPr="00B22373" w:rsidRDefault="000B6997" w:rsidP="000B6997">
      <w:pPr>
        <w:pStyle w:val="NormalWeb"/>
        <w:jc w:val="both"/>
      </w:pPr>
      <w:r w:rsidRPr="00B22373">
        <w:t>Las modalidades principales de financiación son las Líneas ICO de Mediación, los productos de financiación directa y los fondos de capital riesgo:</w:t>
      </w:r>
    </w:p>
    <w:p w:rsidR="000B6997" w:rsidRPr="000B6997" w:rsidRDefault="000335E9" w:rsidP="000B6997">
      <w:pPr>
        <w:numPr>
          <w:ilvl w:val="0"/>
          <w:numId w:val="4"/>
        </w:numPr>
        <w:spacing w:before="100" w:beforeAutospacing="1" w:after="100" w:afterAutospacing="1" w:line="240" w:lineRule="auto"/>
        <w:jc w:val="both"/>
        <w:rPr>
          <w:rFonts w:ascii="Times New Roman" w:hAnsi="Times New Roman" w:cs="Times New Roman"/>
          <w:sz w:val="24"/>
          <w:szCs w:val="24"/>
        </w:rPr>
      </w:pPr>
      <w:hyperlink r:id="rId31" w:tooltip="Ampliar información Líneas ICO " w:history="1">
        <w:r w:rsidR="000B6997" w:rsidRPr="000B6997">
          <w:rPr>
            <w:rStyle w:val="Hipervnculo"/>
            <w:rFonts w:ascii="Times New Roman" w:hAnsi="Times New Roman" w:cs="Times New Roman"/>
            <w:color w:val="auto"/>
            <w:sz w:val="24"/>
            <w:szCs w:val="24"/>
            <w:u w:val="none"/>
          </w:rPr>
          <w:t>Líneas ICO de Mediación:</w:t>
        </w:r>
      </w:hyperlink>
      <w:r w:rsidR="000B6997" w:rsidRPr="000B6997">
        <w:rPr>
          <w:rFonts w:ascii="Times New Roman" w:hAnsi="Times New Roman" w:cs="Times New Roman"/>
          <w:sz w:val="24"/>
          <w:szCs w:val="24"/>
        </w:rPr>
        <w:t> canalizando financiación en colaboración público-privada a través de las entidades de crédito, actuando el ICO como un banco de segundo piso fondeando a los bancos que, en base a la capilaridad de su red comercial, llevan a cabo la identificación y análisis de riesgo de las empresas, determinando la concesión de la financiación. Estas Líneas ICO se caracterizan por aportar valor añadido en términos de plazos más largos a la financiación de las necesidades de liquidez para la actividad e inversiones de las empresas.  </w:t>
      </w:r>
    </w:p>
    <w:p w:rsidR="000B6997" w:rsidRPr="000B6997" w:rsidRDefault="000335E9" w:rsidP="000B6997">
      <w:pPr>
        <w:numPr>
          <w:ilvl w:val="0"/>
          <w:numId w:val="4"/>
        </w:numPr>
        <w:spacing w:before="100" w:beforeAutospacing="1" w:after="100" w:afterAutospacing="1" w:line="240" w:lineRule="auto"/>
        <w:jc w:val="both"/>
        <w:rPr>
          <w:rFonts w:ascii="Times New Roman" w:hAnsi="Times New Roman" w:cs="Times New Roman"/>
          <w:sz w:val="24"/>
          <w:szCs w:val="24"/>
        </w:rPr>
      </w:pPr>
      <w:hyperlink r:id="rId32" w:tooltip="Ampliar información sobre financiación directa" w:history="1">
        <w:r w:rsidR="000B6997" w:rsidRPr="000B6997">
          <w:rPr>
            <w:rStyle w:val="Hipervnculo"/>
            <w:rFonts w:ascii="Times New Roman" w:hAnsi="Times New Roman" w:cs="Times New Roman"/>
            <w:color w:val="auto"/>
            <w:sz w:val="24"/>
            <w:szCs w:val="24"/>
            <w:u w:val="none"/>
          </w:rPr>
          <w:t>Productos de financiación directa</w:t>
        </w:r>
      </w:hyperlink>
      <w:r w:rsidR="000B6997" w:rsidRPr="000B6997">
        <w:rPr>
          <w:rFonts w:ascii="Times New Roman" w:hAnsi="Times New Roman" w:cs="Times New Roman"/>
          <w:sz w:val="24"/>
          <w:szCs w:val="24"/>
        </w:rPr>
        <w:t> a empresas mediante estructuraciones en distintas modalidades: préstamos corporativos bilaterales; sindicados; club deal; project finance, garantías nacionales e internacionales o emisiones en mercado primario de bonos, pagarés corporativos, titulizaciones.  Este tipo de operaciones se realizan para importes normalmente superiores a 10 millones € al año, cofinanciando junto a otros operadores del sector financiero, con efecto tractor sobre toda la cadena de valor formada por PYMEs, proveedores y suministradores de bienes y servicios. </w:t>
      </w:r>
    </w:p>
    <w:p w:rsidR="000B6997" w:rsidRPr="000B6997" w:rsidRDefault="000B6997" w:rsidP="000B6997">
      <w:pPr>
        <w:numPr>
          <w:ilvl w:val="0"/>
          <w:numId w:val="4"/>
        </w:numPr>
        <w:spacing w:before="100" w:beforeAutospacing="1" w:after="100" w:afterAutospacing="1" w:line="240" w:lineRule="auto"/>
        <w:jc w:val="both"/>
        <w:rPr>
          <w:rFonts w:ascii="Times New Roman" w:hAnsi="Times New Roman" w:cs="Times New Roman"/>
          <w:sz w:val="24"/>
          <w:szCs w:val="24"/>
        </w:rPr>
      </w:pPr>
      <w:r w:rsidRPr="000B6997">
        <w:rPr>
          <w:rFonts w:ascii="Times New Roman" w:hAnsi="Times New Roman" w:cs="Times New Roman"/>
          <w:sz w:val="24"/>
          <w:szCs w:val="24"/>
        </w:rPr>
        <w:t>Financiación a través de </w:t>
      </w:r>
      <w:hyperlink r:id="rId33" w:tooltip="Ampliar información sobre AXIS" w:history="1">
        <w:r w:rsidRPr="000B6997">
          <w:rPr>
            <w:rStyle w:val="Hipervnculo"/>
            <w:rFonts w:ascii="Times New Roman" w:hAnsi="Times New Roman" w:cs="Times New Roman"/>
            <w:color w:val="auto"/>
            <w:sz w:val="24"/>
            <w:szCs w:val="24"/>
            <w:u w:val="none"/>
          </w:rPr>
          <w:t>fondos de capital riesgo</w:t>
        </w:r>
      </w:hyperlink>
      <w:r w:rsidRPr="000B6997">
        <w:rPr>
          <w:rFonts w:ascii="Times New Roman" w:hAnsi="Times New Roman" w:cs="Times New Roman"/>
          <w:sz w:val="24"/>
          <w:szCs w:val="24"/>
        </w:rPr>
        <w:t> que gestiona AXIS, la filial de capital riesgo del grupo ICO,  destinados a impulsar mediante coinversiones minoritarias en proyectos y fondos junto al sector de capital riesgo español, la creación y el crecimiento de empresas a lo largo de todo el ciclo de vida de la inversión</w:t>
      </w:r>
    </w:p>
    <w:p w:rsidR="000B6997" w:rsidRPr="000B6997" w:rsidRDefault="000B6997" w:rsidP="000B6997">
      <w:pPr>
        <w:pStyle w:val="NormalWeb"/>
        <w:jc w:val="both"/>
      </w:pPr>
      <w:r w:rsidRPr="000B6997">
        <w:t>Además, el ICO actúa como </w:t>
      </w:r>
      <w:r w:rsidRPr="000B6997">
        <w:rPr>
          <w:rStyle w:val="Textoennegrita"/>
          <w:b w:val="0"/>
        </w:rPr>
        <w:t>instrumento financiero de política económica</w:t>
      </w:r>
      <w:r w:rsidRPr="000B6997">
        <w:t>, el ICO desarrollando esta actividad en base a dos vertientes: </w:t>
      </w:r>
    </w:p>
    <w:p w:rsidR="000B6997" w:rsidRPr="000B6997" w:rsidRDefault="000B6997" w:rsidP="000B6997">
      <w:pPr>
        <w:numPr>
          <w:ilvl w:val="0"/>
          <w:numId w:val="5"/>
        </w:numPr>
        <w:spacing w:before="100" w:beforeAutospacing="1" w:after="100" w:afterAutospacing="1" w:line="240" w:lineRule="auto"/>
        <w:jc w:val="both"/>
        <w:rPr>
          <w:rFonts w:ascii="Times New Roman" w:hAnsi="Times New Roman" w:cs="Times New Roman"/>
          <w:sz w:val="24"/>
          <w:szCs w:val="24"/>
        </w:rPr>
      </w:pPr>
      <w:r w:rsidRPr="000B6997">
        <w:rPr>
          <w:rFonts w:ascii="Times New Roman" w:hAnsi="Times New Roman" w:cs="Times New Roman"/>
          <w:sz w:val="24"/>
          <w:szCs w:val="24"/>
        </w:rPr>
        <w:t>A nivel nacional, colaborando con Ministerios, CCAA, CCLL y sus organismos dependientes para canalizar fondos hacia proyectos de empresa españolas con iniciativas como la </w:t>
      </w:r>
      <w:hyperlink r:id="rId34" w:history="1">
        <w:r w:rsidRPr="000B6997">
          <w:rPr>
            <w:rStyle w:val="Hipervnculo"/>
            <w:rFonts w:ascii="Times New Roman" w:hAnsi="Times New Roman" w:cs="Times New Roman"/>
            <w:color w:val="auto"/>
            <w:sz w:val="24"/>
            <w:szCs w:val="24"/>
            <w:u w:val="none"/>
          </w:rPr>
          <w:t>Línea ICO Red.es acelera</w:t>
        </w:r>
      </w:hyperlink>
      <w:r w:rsidRPr="000B6997">
        <w:rPr>
          <w:rFonts w:ascii="Times New Roman" w:hAnsi="Times New Roman" w:cs="Times New Roman"/>
          <w:sz w:val="24"/>
          <w:szCs w:val="24"/>
        </w:rPr>
        <w:t> para promover la digitalización en las pymes o el </w:t>
      </w:r>
      <w:hyperlink r:id="rId35" w:history="1">
        <w:r w:rsidRPr="000B6997">
          <w:rPr>
            <w:rStyle w:val="Hipervnculo"/>
            <w:rFonts w:ascii="Times New Roman" w:hAnsi="Times New Roman" w:cs="Times New Roman"/>
            <w:color w:val="auto"/>
            <w:sz w:val="24"/>
            <w:szCs w:val="24"/>
            <w:u w:val="none"/>
          </w:rPr>
          <w:t>convenio con RTVE </w:t>
        </w:r>
      </w:hyperlink>
      <w:r w:rsidRPr="000B6997">
        <w:rPr>
          <w:rFonts w:ascii="Times New Roman" w:hAnsi="Times New Roman" w:cs="Times New Roman"/>
          <w:sz w:val="24"/>
          <w:szCs w:val="24"/>
        </w:rPr>
        <w:t>para financiar producciones de cine españolas. En este ámbito también se encuadraría la financiación que el ICO concede de forma conjunta con otras entidades para impulsar la vivienda social, como la financiación acordada en febrero de 2020 junto al BEI de vivienda públicas de alquiler social promovidas por el Ayuntamiento de Sevilla. </w:t>
      </w:r>
    </w:p>
    <w:p w:rsidR="000B6997" w:rsidRPr="000B6997" w:rsidRDefault="000B6997" w:rsidP="000B6997">
      <w:pPr>
        <w:numPr>
          <w:ilvl w:val="0"/>
          <w:numId w:val="5"/>
        </w:numPr>
        <w:spacing w:before="100" w:beforeAutospacing="1" w:after="100" w:afterAutospacing="1" w:line="240" w:lineRule="auto"/>
        <w:jc w:val="both"/>
        <w:rPr>
          <w:rFonts w:ascii="Times New Roman" w:hAnsi="Times New Roman" w:cs="Times New Roman"/>
          <w:sz w:val="24"/>
          <w:szCs w:val="24"/>
        </w:rPr>
      </w:pPr>
      <w:r w:rsidRPr="000B6997">
        <w:rPr>
          <w:rFonts w:ascii="Times New Roman" w:hAnsi="Times New Roman" w:cs="Times New Roman"/>
          <w:sz w:val="24"/>
          <w:szCs w:val="24"/>
        </w:rPr>
        <w:t>A nivel europeo, el ICO trabaja canalizando y gestionando recursos comunitarios en colaboración con la Comisión Europea, el BEI o el FEI, procedentes de programas del marco financiero plurianual de la UE (como el Plan Juncker en el periodo 2016-2020 o Invest EU y </w:t>
      </w:r>
      <w:hyperlink r:id="rId36" w:tooltip="Más información sobre convocatorias CEF" w:history="1">
        <w:r w:rsidRPr="000B6997">
          <w:rPr>
            <w:rStyle w:val="Hipervnculo"/>
            <w:rFonts w:ascii="Times New Roman" w:hAnsi="Times New Roman" w:cs="Times New Roman"/>
            <w:color w:val="auto"/>
            <w:sz w:val="24"/>
            <w:szCs w:val="24"/>
            <w:u w:val="none"/>
          </w:rPr>
          <w:t>Connecting Europe Facility</w:t>
        </w:r>
      </w:hyperlink>
      <w:r w:rsidRPr="000B6997">
        <w:rPr>
          <w:rFonts w:ascii="Times New Roman" w:hAnsi="Times New Roman" w:cs="Times New Roman"/>
          <w:sz w:val="24"/>
          <w:szCs w:val="24"/>
        </w:rPr>
        <w:t> en el Marco Financiero Plurianual 2021-2027), el Fondo Europeo de Garantías o el Programa Next Generation EU. </w:t>
      </w:r>
    </w:p>
    <w:p w:rsidR="000B6997" w:rsidRDefault="000B6997" w:rsidP="000B6997">
      <w:pPr>
        <w:pStyle w:val="NormalWeb"/>
        <w:jc w:val="both"/>
      </w:pPr>
      <w:r w:rsidRPr="00B22373">
        <w:rPr>
          <w:rStyle w:val="Textoennegrita"/>
        </w:rPr>
        <w:t>2. Como agente financiero del Estado</w:t>
      </w:r>
      <w:r w:rsidRPr="00B22373">
        <w:t>, el ICO gestiona por cuenta de diversos Ministerios fondos e instrumentos como el FIEM y CARI destinados a promover la internacionalización (Ministerio de Industria, Comercio y Turismo), FONPRODE y Fondo del Agua destinados a proyectos de cooperación al desarrollo (Ministerio de Asuntos Exteriores y Cooperación) o los Fondos de Financiación Territoriales de CCAA y CCLL (Ministerio de Hacienda). Dentro de esta función se incluiría igualmente la gestión de las Líneas de Avales COVID por cuenta del Ministerio de Asuntos Económicos y Transformación Digital. </w:t>
      </w:r>
    </w:p>
    <w:p w:rsidR="000B6997" w:rsidRPr="00B22373" w:rsidRDefault="000B6997" w:rsidP="000B6997">
      <w:pPr>
        <w:pStyle w:val="NormalWeb"/>
        <w:jc w:val="both"/>
      </w:pPr>
      <w:r>
        <w:t>Estrategia ICO 2022-2027</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B22373">
        <w:rPr>
          <w:rFonts w:ascii="Times New Roman" w:eastAsia="Times New Roman" w:hAnsi="Times New Roman" w:cs="Times New Roman"/>
          <w:color w:val="212529"/>
          <w:sz w:val="24"/>
          <w:szCs w:val="24"/>
          <w:lang w:eastAsia="es-ES"/>
        </w:rPr>
        <w:t>La Estrategia del Grupo ICO 2022-2027 está alineada con la transformación del modelo de crecimiento de la economía española hacia un modelo más sostenible y digital y con mayor capacidad de generación de empleo de calidad.</w:t>
      </w:r>
    </w:p>
    <w:p w:rsidR="000B6997"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B22373">
        <w:rPr>
          <w:rFonts w:ascii="Times New Roman" w:eastAsia="Times New Roman" w:hAnsi="Times New Roman" w:cs="Times New Roman"/>
          <w:color w:val="212529"/>
          <w:sz w:val="24"/>
          <w:szCs w:val="24"/>
          <w:lang w:eastAsia="es-ES"/>
        </w:rPr>
        <w:t>Durante los próximos años el ICO dará respuesta eficaz a las necesidades de las empresas españolas, para colaborar en el impulso del proceso de recuperación, transformación y fortalecimiento del modelo de crecimiento de España, de acuerdo con las prioridades definidas en el Plan de Recuperación, Transformación y Resiliencia aprobado por el Gobierno, y en línea con el Programa Next Generation EU y el Marco Financiero Plurianual 2021-2027 de la Unión Europea.</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B22373">
        <w:rPr>
          <w:rFonts w:ascii="Times New Roman" w:eastAsia="Times New Roman" w:hAnsi="Times New Roman" w:cs="Times New Roman"/>
          <w:color w:val="212529"/>
          <w:sz w:val="24"/>
          <w:szCs w:val="24"/>
          <w:lang w:eastAsia="es-ES"/>
        </w:rPr>
        <w:lastRenderedPageBreak/>
        <w:t>En línea con las prioridades de la economía española y los objetivos transversales establecidos en el Plan de Recuperación, Transformación y R</w:t>
      </w:r>
      <w:r>
        <w:rPr>
          <w:rFonts w:ascii="Times New Roman" w:eastAsia="Times New Roman" w:hAnsi="Times New Roman" w:cs="Times New Roman"/>
          <w:color w:val="212529"/>
          <w:sz w:val="24"/>
          <w:szCs w:val="24"/>
          <w:lang w:eastAsia="es-ES"/>
        </w:rPr>
        <w:t>esiliencia -</w:t>
      </w:r>
      <w:r w:rsidRPr="00B22373">
        <w:rPr>
          <w:rFonts w:ascii="Times New Roman" w:eastAsia="Times New Roman" w:hAnsi="Times New Roman" w:cs="Times New Roman"/>
          <w:color w:val="212529"/>
          <w:sz w:val="24"/>
          <w:szCs w:val="24"/>
          <w:lang w:eastAsia="es-ES"/>
        </w:rPr>
        <w:t xml:space="preserve">avanzar hacia una España más verde, digital y cohesionada desde el punto de vista social y </w:t>
      </w:r>
      <w:r>
        <w:rPr>
          <w:rFonts w:ascii="Times New Roman" w:eastAsia="Times New Roman" w:hAnsi="Times New Roman" w:cs="Times New Roman"/>
          <w:color w:val="212529"/>
          <w:sz w:val="24"/>
          <w:szCs w:val="24"/>
          <w:lang w:eastAsia="es-ES"/>
        </w:rPr>
        <w:t>territorial, y más igualitaria-</w:t>
      </w:r>
      <w:r w:rsidRPr="00B22373">
        <w:rPr>
          <w:rFonts w:ascii="Times New Roman" w:eastAsia="Times New Roman" w:hAnsi="Times New Roman" w:cs="Times New Roman"/>
          <w:color w:val="212529"/>
          <w:sz w:val="24"/>
          <w:szCs w:val="24"/>
          <w:lang w:eastAsia="es-ES"/>
        </w:rPr>
        <w:t xml:space="preserve"> la estrategia del ICO está basada en </w:t>
      </w:r>
      <w:r w:rsidRPr="00B22373">
        <w:rPr>
          <w:rFonts w:ascii="Times New Roman" w:eastAsia="Times New Roman" w:hAnsi="Times New Roman" w:cs="Times New Roman"/>
          <w:bCs/>
          <w:color w:val="212529"/>
          <w:sz w:val="24"/>
          <w:szCs w:val="24"/>
          <w:lang w:eastAsia="es-ES"/>
        </w:rPr>
        <w:t>4 Ejes estratégicos</w:t>
      </w:r>
      <w:r w:rsidRPr="00B22373">
        <w:rPr>
          <w:rFonts w:ascii="Times New Roman" w:eastAsia="Times New Roman" w:hAnsi="Times New Roman" w:cs="Times New Roman"/>
          <w:color w:val="212529"/>
          <w:sz w:val="24"/>
          <w:szCs w:val="24"/>
          <w:lang w:eastAsia="es-ES"/>
        </w:rPr>
        <w:t> que se trasladan en </w:t>
      </w:r>
      <w:r w:rsidRPr="00B22373">
        <w:rPr>
          <w:rFonts w:ascii="Times New Roman" w:eastAsia="Times New Roman" w:hAnsi="Times New Roman" w:cs="Times New Roman"/>
          <w:bCs/>
          <w:color w:val="212529"/>
          <w:sz w:val="24"/>
          <w:szCs w:val="24"/>
          <w:lang w:eastAsia="es-ES"/>
        </w:rPr>
        <w:t>20 planes de actuación</w:t>
      </w:r>
      <w:r w:rsidRPr="00B22373">
        <w:rPr>
          <w:rFonts w:ascii="Times New Roman" w:eastAsia="Times New Roman" w:hAnsi="Times New Roman" w:cs="Times New Roman"/>
          <w:color w:val="212529"/>
          <w:sz w:val="24"/>
          <w:szCs w:val="24"/>
          <w:lang w:eastAsia="es-ES"/>
        </w:rPr>
        <w:t> para poner en marcha a corto y medio plazo.</w:t>
      </w:r>
    </w:p>
    <w:p w:rsidR="000B6997" w:rsidRPr="00B22373" w:rsidRDefault="000B6997" w:rsidP="000B6997">
      <w:pPr>
        <w:numPr>
          <w:ilvl w:val="0"/>
          <w:numId w:val="6"/>
        </w:num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B22373">
        <w:rPr>
          <w:rFonts w:ascii="Times New Roman" w:eastAsia="Times New Roman" w:hAnsi="Times New Roman" w:cs="Times New Roman"/>
          <w:bCs/>
          <w:color w:val="212529"/>
          <w:sz w:val="24"/>
          <w:szCs w:val="24"/>
          <w:lang w:eastAsia="es-ES"/>
        </w:rPr>
        <w:t>Crecimiento empresarial.</w:t>
      </w:r>
      <w:r w:rsidRPr="00B22373">
        <w:rPr>
          <w:rFonts w:ascii="Times New Roman" w:eastAsia="Times New Roman" w:hAnsi="Times New Roman" w:cs="Times New Roman"/>
          <w:color w:val="212529"/>
          <w:sz w:val="24"/>
          <w:szCs w:val="24"/>
          <w:lang w:eastAsia="es-ES"/>
        </w:rPr>
        <w:t> Impulsar el crecimiento empresarial, la competitividad y la resiliencia de la economía española y la generación de empleo. </w:t>
      </w:r>
    </w:p>
    <w:p w:rsidR="000B6997" w:rsidRPr="00B22373" w:rsidRDefault="000B6997" w:rsidP="000B6997">
      <w:pPr>
        <w:numPr>
          <w:ilvl w:val="0"/>
          <w:numId w:val="6"/>
        </w:num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B22373">
        <w:rPr>
          <w:rFonts w:ascii="Times New Roman" w:eastAsia="Times New Roman" w:hAnsi="Times New Roman" w:cs="Times New Roman"/>
          <w:bCs/>
          <w:color w:val="212529"/>
          <w:sz w:val="24"/>
          <w:szCs w:val="24"/>
          <w:lang w:eastAsia="es-ES"/>
        </w:rPr>
        <w:t>Transformación digital. </w:t>
      </w:r>
      <w:r w:rsidRPr="00B22373">
        <w:rPr>
          <w:rFonts w:ascii="Times New Roman" w:eastAsia="Times New Roman" w:hAnsi="Times New Roman" w:cs="Times New Roman"/>
          <w:color w:val="212529"/>
          <w:sz w:val="24"/>
          <w:szCs w:val="24"/>
          <w:lang w:eastAsia="es-ES"/>
        </w:rPr>
        <w:t>Impulsar la transformación digital del tejido productivo español. </w:t>
      </w:r>
    </w:p>
    <w:p w:rsidR="000B6997" w:rsidRPr="00B22373" w:rsidRDefault="000B6997" w:rsidP="000B6997">
      <w:pPr>
        <w:numPr>
          <w:ilvl w:val="0"/>
          <w:numId w:val="6"/>
        </w:num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B22373">
        <w:rPr>
          <w:rFonts w:ascii="Times New Roman" w:eastAsia="Times New Roman" w:hAnsi="Times New Roman" w:cs="Times New Roman"/>
          <w:bCs/>
          <w:color w:val="212529"/>
          <w:sz w:val="24"/>
          <w:szCs w:val="24"/>
          <w:lang w:eastAsia="es-ES"/>
        </w:rPr>
        <w:t>Finanzas sostenibles. </w:t>
      </w:r>
      <w:r w:rsidRPr="00B22373">
        <w:rPr>
          <w:rFonts w:ascii="Times New Roman" w:eastAsia="Times New Roman" w:hAnsi="Times New Roman" w:cs="Times New Roman"/>
          <w:color w:val="212529"/>
          <w:sz w:val="24"/>
          <w:szCs w:val="24"/>
          <w:lang w:eastAsia="es-ES"/>
        </w:rPr>
        <w:t>Promover la transición ecológica y la sostenibilidad medioambiental, social y de gobernanza (ESG) del tejido empresarial español. </w:t>
      </w:r>
    </w:p>
    <w:p w:rsidR="000B6997" w:rsidRDefault="000B6997" w:rsidP="000B6997">
      <w:pPr>
        <w:numPr>
          <w:ilvl w:val="0"/>
          <w:numId w:val="6"/>
        </w:num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B22373">
        <w:rPr>
          <w:rFonts w:ascii="Times New Roman" w:eastAsia="Times New Roman" w:hAnsi="Times New Roman" w:cs="Times New Roman"/>
          <w:bCs/>
          <w:color w:val="212529"/>
          <w:sz w:val="24"/>
          <w:szCs w:val="24"/>
          <w:lang w:eastAsia="es-ES"/>
        </w:rPr>
        <w:t>Gobernanza Corporativa.</w:t>
      </w:r>
      <w:r w:rsidRPr="00B22373">
        <w:rPr>
          <w:rFonts w:ascii="Times New Roman" w:eastAsia="Times New Roman" w:hAnsi="Times New Roman" w:cs="Times New Roman"/>
          <w:color w:val="212529"/>
          <w:sz w:val="24"/>
          <w:szCs w:val="24"/>
          <w:lang w:eastAsia="es-ES"/>
        </w:rPr>
        <w:t> Fortalecer la gobernanza y recursos digitales/tecnológicos, impulsar la transformación organizativa y ampliar la actividad institucional, de comunicación y RSE.</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u w:val="single"/>
          <w:lang w:eastAsia="es-ES"/>
        </w:rPr>
      </w:pPr>
      <w:r w:rsidRPr="00B22373">
        <w:rPr>
          <w:rFonts w:ascii="Times New Roman" w:eastAsia="Times New Roman" w:hAnsi="Times New Roman" w:cs="Times New Roman"/>
          <w:color w:val="212529"/>
          <w:sz w:val="24"/>
          <w:szCs w:val="24"/>
          <w:u w:val="single"/>
          <w:lang w:eastAsia="es-ES"/>
        </w:rPr>
        <w:t>La politización del ICO</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B22373">
        <w:rPr>
          <w:rFonts w:ascii="Times New Roman" w:eastAsia="Times New Roman" w:hAnsi="Times New Roman" w:cs="Times New Roman"/>
          <w:color w:val="212529"/>
          <w:sz w:val="24"/>
          <w:szCs w:val="24"/>
          <w:lang w:eastAsia="es-ES"/>
        </w:rPr>
        <w:t>La politización del ICO (Instituto de Crédito Oficial) se refiere a la percepción o acusación de que sus decisiones y acciones están influenciadas por consideraciones políticas, en lugar de criterios puramente técnicos o económicos. Esto puede manifestarse en la selección de beneficiarios de sus líneas de financiación, en la priorización de ciertos sectores o proyectos, o en la forma en que se gestionan sus recursos. Algunas críticas señalan que el ICO podría estar actuando como un instrumento al servicio de intereses políticos partidistas, en lugar de cumplir su función de promover el desarrollo económico de manera objetiva.</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B22373">
        <w:rPr>
          <w:rFonts w:ascii="Times New Roman" w:eastAsia="Times New Roman" w:hAnsi="Times New Roman" w:cs="Times New Roman"/>
          <w:color w:val="212529"/>
          <w:sz w:val="24"/>
          <w:szCs w:val="24"/>
          <w:lang w:eastAsia="es-ES"/>
        </w:rPr>
        <w:t>Posibles implicaciones de la politización:</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Distorsión de la economía: </w:t>
      </w:r>
      <w:r w:rsidRPr="00B22373">
        <w:rPr>
          <w:rFonts w:ascii="Times New Roman" w:eastAsia="Times New Roman" w:hAnsi="Times New Roman" w:cs="Times New Roman"/>
          <w:color w:val="212529"/>
          <w:sz w:val="24"/>
          <w:szCs w:val="24"/>
          <w:lang w:eastAsia="es-ES"/>
        </w:rPr>
        <w:t>La asignación de recursos basada en criterios políticos, en lugar de criterios de eficiencia y viabilidad, puede llevar a una mala asignación de recursos y a la financiación de proyectos que no son económicamente sostenibles, afectando negativamente al crecimiento económico.</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B22373">
        <w:rPr>
          <w:rFonts w:ascii="Times New Roman" w:eastAsia="Times New Roman" w:hAnsi="Times New Roman" w:cs="Times New Roman"/>
          <w:color w:val="212529"/>
          <w:sz w:val="24"/>
          <w:szCs w:val="24"/>
          <w:lang w:eastAsia="es-ES"/>
        </w:rPr>
        <w:t>Falta de transp</w:t>
      </w:r>
      <w:r>
        <w:rPr>
          <w:rFonts w:ascii="Times New Roman" w:eastAsia="Times New Roman" w:hAnsi="Times New Roman" w:cs="Times New Roman"/>
          <w:color w:val="212529"/>
          <w:sz w:val="24"/>
          <w:szCs w:val="24"/>
          <w:lang w:eastAsia="es-ES"/>
        </w:rPr>
        <w:t xml:space="preserve">arencia y rendición de cuentas: </w:t>
      </w:r>
      <w:r w:rsidRPr="00B22373">
        <w:rPr>
          <w:rFonts w:ascii="Times New Roman" w:eastAsia="Times New Roman" w:hAnsi="Times New Roman" w:cs="Times New Roman"/>
          <w:color w:val="212529"/>
          <w:sz w:val="24"/>
          <w:szCs w:val="24"/>
          <w:lang w:eastAsia="es-ES"/>
        </w:rPr>
        <w:t>La influencia política puede dificultar la transparencia en la gestión del ICO y limitar la capacidad de rendir cuentas por sus acciones.</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B22373">
        <w:rPr>
          <w:rFonts w:ascii="Times New Roman" w:eastAsia="Times New Roman" w:hAnsi="Times New Roman" w:cs="Times New Roman"/>
          <w:color w:val="212529"/>
          <w:sz w:val="24"/>
          <w:szCs w:val="24"/>
          <w:lang w:eastAsia="es-ES"/>
        </w:rPr>
        <w:t>Desconfianza en las instituciones:</w:t>
      </w:r>
      <w:r>
        <w:rPr>
          <w:rFonts w:ascii="Times New Roman" w:eastAsia="Times New Roman" w:hAnsi="Times New Roman" w:cs="Times New Roman"/>
          <w:color w:val="212529"/>
          <w:sz w:val="24"/>
          <w:szCs w:val="24"/>
          <w:lang w:eastAsia="es-ES"/>
        </w:rPr>
        <w:t xml:space="preserve"> </w:t>
      </w:r>
      <w:r w:rsidRPr="00B22373">
        <w:rPr>
          <w:rFonts w:ascii="Times New Roman" w:eastAsia="Times New Roman" w:hAnsi="Times New Roman" w:cs="Times New Roman"/>
          <w:color w:val="212529"/>
          <w:sz w:val="24"/>
          <w:szCs w:val="24"/>
          <w:lang w:eastAsia="es-ES"/>
        </w:rPr>
        <w:t>Si la ciudadanía percibe que el ICO está politizado, puede generar desconfianza en la institución y en otras entidades públicas.</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Injusticia y desigualdad: </w:t>
      </w:r>
      <w:r w:rsidRPr="00B22373">
        <w:rPr>
          <w:rFonts w:ascii="Times New Roman" w:eastAsia="Times New Roman" w:hAnsi="Times New Roman" w:cs="Times New Roman"/>
          <w:color w:val="212529"/>
          <w:sz w:val="24"/>
          <w:szCs w:val="24"/>
          <w:lang w:eastAsia="es-ES"/>
        </w:rPr>
        <w:t>La politización puede llevar a que ciertos grupos o sectores sean favorecidos sobre otros, generando desigualdades en el acceso a la financiación y a las oportunidades económicas.</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Pérdida de credibilidad: </w:t>
      </w:r>
      <w:r w:rsidRPr="00B22373">
        <w:rPr>
          <w:rFonts w:ascii="Times New Roman" w:eastAsia="Times New Roman" w:hAnsi="Times New Roman" w:cs="Times New Roman"/>
          <w:color w:val="212529"/>
          <w:sz w:val="24"/>
          <w:szCs w:val="24"/>
          <w:lang w:eastAsia="es-ES"/>
        </w:rPr>
        <w:t>La politización puede dañar la reputación del ICO y afectar su capacidad para atraer inversiones y financiación en los mercados internacionales.</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B22373">
        <w:rPr>
          <w:rFonts w:ascii="Times New Roman" w:eastAsia="Times New Roman" w:hAnsi="Times New Roman" w:cs="Times New Roman"/>
          <w:color w:val="212529"/>
          <w:sz w:val="24"/>
          <w:szCs w:val="24"/>
          <w:lang w:eastAsia="es-ES"/>
        </w:rPr>
        <w:t>Ejemplos de acusaciones de politización:</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 </w:t>
      </w:r>
      <w:r w:rsidRPr="00B22373">
        <w:rPr>
          <w:rFonts w:ascii="Times New Roman" w:eastAsia="Times New Roman" w:hAnsi="Times New Roman" w:cs="Times New Roman"/>
          <w:color w:val="212529"/>
          <w:sz w:val="24"/>
          <w:szCs w:val="24"/>
          <w:lang w:eastAsia="es-ES"/>
        </w:rPr>
        <w:t>La concesión de avales o créditos a empresas o proyectos con vínculos políticos.</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lastRenderedPageBreak/>
        <w:t xml:space="preserve">- </w:t>
      </w:r>
      <w:r w:rsidRPr="00B22373">
        <w:rPr>
          <w:rFonts w:ascii="Times New Roman" w:eastAsia="Times New Roman" w:hAnsi="Times New Roman" w:cs="Times New Roman"/>
          <w:color w:val="212529"/>
          <w:sz w:val="24"/>
          <w:szCs w:val="24"/>
          <w:lang w:eastAsia="es-ES"/>
        </w:rPr>
        <w:t>La priorización de sectores o proyectos impulsados por el gobierno de turno.</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 </w:t>
      </w:r>
      <w:r w:rsidRPr="00B22373">
        <w:rPr>
          <w:rFonts w:ascii="Times New Roman" w:eastAsia="Times New Roman" w:hAnsi="Times New Roman" w:cs="Times New Roman"/>
          <w:color w:val="212529"/>
          <w:sz w:val="24"/>
          <w:szCs w:val="24"/>
          <w:lang w:eastAsia="es-ES"/>
        </w:rPr>
        <w:t>La utilización del ICO para implementar políticas públicas sin un análisis riguroso de su impacto económico.</w:t>
      </w:r>
    </w:p>
    <w:p w:rsidR="000B6997"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 </w:t>
      </w:r>
      <w:r w:rsidRPr="00B22373">
        <w:rPr>
          <w:rFonts w:ascii="Times New Roman" w:eastAsia="Times New Roman" w:hAnsi="Times New Roman" w:cs="Times New Roman"/>
          <w:color w:val="212529"/>
          <w:sz w:val="24"/>
          <w:szCs w:val="24"/>
          <w:lang w:eastAsia="es-ES"/>
        </w:rPr>
        <w:t>La designación de cargos directivos en función de criterios partidistas.</w:t>
      </w:r>
    </w:p>
    <w:p w:rsidR="000B6997" w:rsidRPr="00B22373"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Ejemplos, de la “politización” de los préstamos ICO (demagogia, hipocresía, e impagos):</w:t>
      </w:r>
    </w:p>
    <w:p w:rsidR="000B6997" w:rsidRPr="00FF74DD"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 </w:t>
      </w:r>
      <w:r w:rsidRPr="00CD659C">
        <w:rPr>
          <w:rFonts w:ascii="Times New Roman" w:eastAsia="Times New Roman" w:hAnsi="Times New Roman" w:cs="Times New Roman"/>
          <w:color w:val="212529"/>
          <w:sz w:val="24"/>
          <w:szCs w:val="24"/>
          <w:u w:val="single"/>
          <w:lang w:eastAsia="es-ES"/>
        </w:rPr>
        <w:t>La polémica de los préstamos ICO de Sánchez: se multiplican por cuatro las solicitudes en despachos de abogados en Madrid</w:t>
      </w:r>
      <w:r>
        <w:rPr>
          <w:rFonts w:ascii="Times New Roman" w:eastAsia="Times New Roman" w:hAnsi="Times New Roman" w:cs="Times New Roman"/>
          <w:color w:val="212529"/>
          <w:sz w:val="24"/>
          <w:szCs w:val="24"/>
          <w:lang w:eastAsia="es-ES"/>
        </w:rPr>
        <w:t xml:space="preserve"> (eldebate.com - </w:t>
      </w:r>
      <w:r w:rsidRPr="00CD659C">
        <w:rPr>
          <w:rFonts w:ascii="Times New Roman" w:eastAsia="Times New Roman" w:hAnsi="Times New Roman" w:cs="Times New Roman"/>
          <w:b/>
          <w:color w:val="212529"/>
          <w:sz w:val="24"/>
          <w:szCs w:val="24"/>
          <w:lang w:eastAsia="es-ES"/>
        </w:rPr>
        <w:t>5/8/24</w:t>
      </w:r>
      <w:r>
        <w:rPr>
          <w:rFonts w:ascii="Times New Roman" w:eastAsia="Times New Roman" w:hAnsi="Times New Roman" w:cs="Times New Roman"/>
          <w:color w:val="212529"/>
          <w:sz w:val="24"/>
          <w:szCs w:val="24"/>
          <w:lang w:eastAsia="es-ES"/>
        </w:rPr>
        <w:t>)</w:t>
      </w:r>
    </w:p>
    <w:p w:rsidR="000B6997" w:rsidRPr="00FF74DD"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L</w:t>
      </w:r>
      <w:r w:rsidRPr="00FF74DD">
        <w:rPr>
          <w:rFonts w:ascii="Times New Roman" w:eastAsia="Times New Roman" w:hAnsi="Times New Roman" w:cs="Times New Roman"/>
          <w:color w:val="212529"/>
          <w:sz w:val="24"/>
          <w:szCs w:val="24"/>
          <w:lang w:eastAsia="es-ES"/>
        </w:rPr>
        <w:t xml:space="preserve">a polémica de los préstamos ICO se remonta a la época de la pandemia, cuando el Gobierno de Pedro Sánchez lanzó esta medida con el objetivo de mantener a flote a los autónomos, pymes, y empresas que atravesaban momentos económicos delicados ante el cierre de la mayoría de los negocios. En Madrid existen numerosos negocios centenarios y de solera que durante este periodo </w:t>
      </w:r>
      <w:r>
        <w:rPr>
          <w:rFonts w:ascii="Times New Roman" w:eastAsia="Times New Roman" w:hAnsi="Times New Roman" w:cs="Times New Roman"/>
          <w:color w:val="212529"/>
          <w:sz w:val="24"/>
          <w:szCs w:val="24"/>
          <w:lang w:eastAsia="es-ES"/>
        </w:rPr>
        <w:t>tuvieron el agua por el cuello.</w:t>
      </w:r>
    </w:p>
    <w:p w:rsidR="000B6997" w:rsidRPr="00FF74DD"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FF74DD">
        <w:rPr>
          <w:rFonts w:ascii="Times New Roman" w:eastAsia="Times New Roman" w:hAnsi="Times New Roman" w:cs="Times New Roman"/>
          <w:color w:val="212529"/>
          <w:sz w:val="24"/>
          <w:szCs w:val="24"/>
          <w:lang w:eastAsia="es-ES"/>
        </w:rPr>
        <w:t xml:space="preserve">El despacho de abogados Asoban explica que se comercializó a través de entidades bancarias bajo la premisa de que el Estado respondería del 80 % del principal de la operación en caso de impago, mientras el resto de garantes personales </w:t>
      </w:r>
      <w:r>
        <w:rPr>
          <w:rFonts w:ascii="Times New Roman" w:eastAsia="Times New Roman" w:hAnsi="Times New Roman" w:cs="Times New Roman"/>
          <w:color w:val="212529"/>
          <w:sz w:val="24"/>
          <w:szCs w:val="24"/>
          <w:lang w:eastAsia="es-ES"/>
        </w:rPr>
        <w:t>responderían del 20 % restante.</w:t>
      </w:r>
    </w:p>
    <w:p w:rsidR="000B6997" w:rsidRPr="00FF74DD"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FF74DD">
        <w:rPr>
          <w:rFonts w:ascii="Times New Roman" w:eastAsia="Times New Roman" w:hAnsi="Times New Roman" w:cs="Times New Roman"/>
          <w:color w:val="212529"/>
          <w:sz w:val="24"/>
          <w:szCs w:val="24"/>
          <w:lang w:eastAsia="es-ES"/>
        </w:rPr>
        <w:t>Años más tarde, las entidades bancarias comenzaron a exigir a los avalistas el 100 % del importe del préstamo ICO, muy lejos de la promesa inicial</w:t>
      </w:r>
      <w:r>
        <w:rPr>
          <w:rFonts w:ascii="Times New Roman" w:eastAsia="Times New Roman" w:hAnsi="Times New Roman" w:cs="Times New Roman"/>
          <w:color w:val="212529"/>
          <w:sz w:val="24"/>
          <w:szCs w:val="24"/>
          <w:lang w:eastAsia="es-ES"/>
        </w:rPr>
        <w:t xml:space="preserve"> del Gobierno de Pedro Sánchez.</w:t>
      </w:r>
    </w:p>
    <w:p w:rsidR="000B6997" w:rsidRPr="00FF74DD"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FF74DD">
        <w:rPr>
          <w:rFonts w:ascii="Times New Roman" w:eastAsia="Times New Roman" w:hAnsi="Times New Roman" w:cs="Times New Roman"/>
          <w:color w:val="212529"/>
          <w:sz w:val="24"/>
          <w:szCs w:val="24"/>
          <w:lang w:eastAsia="es-ES"/>
        </w:rPr>
        <w:t>Desde el despacho señalan que esta situación ha generado una gran incertidumbre y carga financiera a los pequeños empresarios y particulares que esperaban una responsabilidad</w:t>
      </w:r>
      <w:r>
        <w:rPr>
          <w:rFonts w:ascii="Times New Roman" w:eastAsia="Times New Roman" w:hAnsi="Times New Roman" w:cs="Times New Roman"/>
          <w:color w:val="212529"/>
          <w:sz w:val="24"/>
          <w:szCs w:val="24"/>
          <w:lang w:eastAsia="es-ES"/>
        </w:rPr>
        <w:t xml:space="preserve"> mucho menor en caso de impago.</w:t>
      </w:r>
    </w:p>
    <w:p w:rsidR="000B6997" w:rsidRPr="00FF74DD"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Además, subrayan que “</w:t>
      </w:r>
      <w:r w:rsidRPr="00FF74DD">
        <w:rPr>
          <w:rFonts w:ascii="Times New Roman" w:eastAsia="Times New Roman" w:hAnsi="Times New Roman" w:cs="Times New Roman"/>
          <w:color w:val="212529"/>
          <w:sz w:val="24"/>
          <w:szCs w:val="24"/>
          <w:lang w:eastAsia="es-ES"/>
        </w:rPr>
        <w:t>el número de solicitudes se ha multiplicado por cuatro en los últimos meses viendo que la Justicia les ha dado la</w:t>
      </w:r>
      <w:r>
        <w:rPr>
          <w:rFonts w:ascii="Times New Roman" w:eastAsia="Times New Roman" w:hAnsi="Times New Roman" w:cs="Times New Roman"/>
          <w:color w:val="212529"/>
          <w:sz w:val="24"/>
          <w:szCs w:val="24"/>
          <w:lang w:eastAsia="es-ES"/>
        </w:rPr>
        <w:t xml:space="preserve"> razón en más de alguna ocasión”</w:t>
      </w:r>
      <w:r w:rsidRPr="00FF74DD">
        <w:rPr>
          <w:rFonts w:ascii="Times New Roman" w:eastAsia="Times New Roman" w:hAnsi="Times New Roman" w:cs="Times New Roman"/>
          <w:color w:val="212529"/>
          <w:sz w:val="24"/>
          <w:szCs w:val="24"/>
          <w:lang w:eastAsia="es-ES"/>
        </w:rPr>
        <w:t>.</w:t>
      </w:r>
    </w:p>
    <w:p w:rsidR="000B6997" w:rsidRPr="00FF74DD"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FF74DD">
        <w:rPr>
          <w:rFonts w:ascii="Times New Roman" w:eastAsia="Times New Roman" w:hAnsi="Times New Roman" w:cs="Times New Roman"/>
          <w:color w:val="212529"/>
          <w:sz w:val="24"/>
          <w:szCs w:val="24"/>
          <w:lang w:eastAsia="es-ES"/>
        </w:rPr>
        <w:t>En esta línea, hace unos días un juzgado ha vuelto a posicionarse a favor de los ciudadanos que garantizaron personalmente su préstamo ICO, reduciendo su responsabilidad al 20 % en línea con la información que se venía trasladando durante la pandemia.</w:t>
      </w:r>
    </w:p>
    <w:p w:rsidR="000B6997" w:rsidRPr="00FF74DD"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FF74DD">
        <w:rPr>
          <w:rFonts w:ascii="Times New Roman" w:eastAsia="Times New Roman" w:hAnsi="Times New Roman" w:cs="Times New Roman"/>
          <w:color w:val="212529"/>
          <w:sz w:val="24"/>
          <w:szCs w:val="24"/>
          <w:lang w:eastAsia="es-ES"/>
        </w:rPr>
        <w:t>Los tribunales han reconocido que los avalistas firmaron los contratos bajo la falsa creencia de que sólo responderían por el 20 % en caso de impag</w:t>
      </w:r>
      <w:r>
        <w:rPr>
          <w:rFonts w:ascii="Times New Roman" w:eastAsia="Times New Roman" w:hAnsi="Times New Roman" w:cs="Times New Roman"/>
          <w:color w:val="212529"/>
          <w:sz w:val="24"/>
          <w:szCs w:val="24"/>
          <w:lang w:eastAsia="es-ES"/>
        </w:rPr>
        <w:t>o de la operación ICO covid-19.</w:t>
      </w:r>
    </w:p>
    <w:p w:rsidR="000B6997"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FF74DD">
        <w:rPr>
          <w:rFonts w:ascii="Times New Roman" w:eastAsia="Times New Roman" w:hAnsi="Times New Roman" w:cs="Times New Roman"/>
          <w:color w:val="212529"/>
          <w:sz w:val="24"/>
          <w:szCs w:val="24"/>
          <w:lang w:eastAsia="es-ES"/>
        </w:rPr>
        <w:t>Los magistrados han reducido la responsabilidad de los avalistas al 20 %, lo que abre una gran oportunidad para todos aquellos pequeños empresarios que todavía se preguntan si podrían solucionar la deuda personal con sus respectivas entidades bancarias.</w:t>
      </w:r>
    </w:p>
    <w:p w:rsidR="000B6997" w:rsidRPr="00CD659C"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 </w:t>
      </w:r>
      <w:r w:rsidRPr="003870D7">
        <w:rPr>
          <w:rFonts w:ascii="Times New Roman" w:eastAsia="Times New Roman" w:hAnsi="Times New Roman" w:cs="Times New Roman"/>
          <w:color w:val="212529"/>
          <w:sz w:val="24"/>
          <w:szCs w:val="24"/>
          <w:u w:val="single"/>
          <w:lang w:eastAsia="es-ES"/>
        </w:rPr>
        <w:t>La “trampa” de los créditos ICO se come la mitad de las ayudas anunciadas por Sánchez por la DANA</w:t>
      </w:r>
      <w:r>
        <w:rPr>
          <w:rFonts w:ascii="Times New Roman" w:eastAsia="Times New Roman" w:hAnsi="Times New Roman" w:cs="Times New Roman"/>
          <w:color w:val="212529"/>
          <w:sz w:val="24"/>
          <w:szCs w:val="24"/>
          <w:lang w:eastAsia="es-ES"/>
        </w:rPr>
        <w:t xml:space="preserve"> (La Razón - </w:t>
      </w:r>
      <w:r w:rsidRPr="00CD659C">
        <w:rPr>
          <w:rFonts w:ascii="Times New Roman" w:eastAsia="Times New Roman" w:hAnsi="Times New Roman" w:cs="Times New Roman"/>
          <w:b/>
          <w:color w:val="212529"/>
          <w:sz w:val="24"/>
          <w:szCs w:val="24"/>
          <w:lang w:eastAsia="es-ES"/>
        </w:rPr>
        <w:t>7/11/24</w:t>
      </w:r>
      <w:r>
        <w:rPr>
          <w:rFonts w:ascii="Times New Roman" w:eastAsia="Times New Roman" w:hAnsi="Times New Roman" w:cs="Times New Roman"/>
          <w:color w:val="212529"/>
          <w:sz w:val="24"/>
          <w:szCs w:val="24"/>
          <w:lang w:eastAsia="es-ES"/>
        </w:rPr>
        <w:t>)</w:t>
      </w:r>
    </w:p>
    <w:p w:rsidR="000B6997" w:rsidRPr="00CD659C"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CD659C">
        <w:rPr>
          <w:rFonts w:ascii="Times New Roman" w:eastAsia="Times New Roman" w:hAnsi="Times New Roman" w:cs="Times New Roman"/>
          <w:color w:val="212529"/>
          <w:sz w:val="24"/>
          <w:szCs w:val="24"/>
          <w:lang w:eastAsia="es-ES"/>
        </w:rPr>
        <w:t>De los 10.600 millones anunciados por el Gobierno, 5.000 no son ayudas, sino créditos a devolver. Reedita el modelo que usó en pandemia, cuando el Estado avaló los 140.000 millones que prestó la banca y que generó una morosidad que supera el 3,5% entre pymes y autónomos</w:t>
      </w:r>
    </w:p>
    <w:p w:rsidR="000B6997" w:rsidRPr="00CD659C"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CD659C">
        <w:rPr>
          <w:rFonts w:ascii="Times New Roman" w:eastAsia="Times New Roman" w:hAnsi="Times New Roman" w:cs="Times New Roman"/>
          <w:color w:val="212529"/>
          <w:sz w:val="24"/>
          <w:szCs w:val="24"/>
          <w:lang w:eastAsia="es-ES"/>
        </w:rPr>
        <w:lastRenderedPageBreak/>
        <w:t>La letra pequeña del paquete de ayudas de 10.600 millones revela que el 47% de esta cuantía, hasta 5.000 millones de euros, son créditos avalados por el Estado a través del ICO. Mediante esta línea, ciudadanos y empresas podrán adelantar la percepción de las indemnizaciones que deba abonar el Consorcio de Compensación de Seguros, pero deberán devolver las cantidades percibidas con un interés que oscila entre el 5% y el 6,7%.</w:t>
      </w:r>
    </w:p>
    <w:p w:rsidR="000B6997" w:rsidRPr="00CD659C"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CD659C">
        <w:rPr>
          <w:rFonts w:ascii="Times New Roman" w:eastAsia="Times New Roman" w:hAnsi="Times New Roman" w:cs="Times New Roman"/>
          <w:color w:val="212529"/>
          <w:sz w:val="24"/>
          <w:szCs w:val="24"/>
          <w:lang w:eastAsia="es-ES"/>
        </w:rPr>
        <w:t>El Gobierno reedita así la polémica línea de avales puesta en marcha durante la pandemia, que ha dejado un reguero de litigios y un sinfín de problemas para las empresas que los solicitaron, con una morosidad que supera el 3,5% entre pymes y autónomos, y que alcanza el 4,16% en los negocios más pequeños.</w:t>
      </w:r>
    </w:p>
    <w:p w:rsidR="000B6997" w:rsidRPr="00CD659C"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CD659C">
        <w:rPr>
          <w:rFonts w:ascii="Times New Roman" w:eastAsia="Times New Roman" w:hAnsi="Times New Roman" w:cs="Times New Roman"/>
          <w:color w:val="212529"/>
          <w:sz w:val="24"/>
          <w:szCs w:val="24"/>
          <w:lang w:eastAsia="es-ES"/>
        </w:rPr>
        <w:t>El 17 de marzo de 2020, el Gobierno de Pedro Sánchez aprobaba por real decreto-ley una línea de avales del Estado de hasta 100.000 millones de euros para facilitar el mantenimiento del empleo y paliar los efectos económicos de la crisis sanitaria, pero el dinero lo ponían las entidades financieras. Posteriormente, en julio de 2020, el Gobierno aprobó otra línea de 40.000 millones (ICO-Inversión) y en 2022 otra de 10.000 millones para hacer frente a la crisis generada p</w:t>
      </w:r>
      <w:r>
        <w:rPr>
          <w:rFonts w:ascii="Times New Roman" w:eastAsia="Times New Roman" w:hAnsi="Times New Roman" w:cs="Times New Roman"/>
          <w:color w:val="212529"/>
          <w:sz w:val="24"/>
          <w:szCs w:val="24"/>
          <w:lang w:eastAsia="es-ES"/>
        </w:rPr>
        <w:t>or la invasión rusa de Ucrania.</w:t>
      </w:r>
    </w:p>
    <w:p w:rsidR="000B6997" w:rsidRPr="00CD659C"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CD659C">
        <w:rPr>
          <w:rFonts w:ascii="Times New Roman" w:eastAsia="Times New Roman" w:hAnsi="Times New Roman" w:cs="Times New Roman"/>
          <w:color w:val="212529"/>
          <w:sz w:val="24"/>
          <w:szCs w:val="24"/>
          <w:lang w:eastAsia="es-ES"/>
        </w:rPr>
        <w:t>Hoy, esas líneas de avales han desatado un aluvión de problemas judiciales para muchas empresas y autónomos que suscribieron los préstamos en el convencimiento de que el Instituto de Crédito Oficial respondería del 80% de la deuda en caso de no poder hacer frente a la misma y ante la exigencia de la totalidad de la deuda por parte de las entidades prestamistas, algunas de las cuales trataron de cubrirse las espaldas ante esta event</w:t>
      </w:r>
      <w:r>
        <w:rPr>
          <w:rFonts w:ascii="Times New Roman" w:eastAsia="Times New Roman" w:hAnsi="Times New Roman" w:cs="Times New Roman"/>
          <w:color w:val="212529"/>
          <w:sz w:val="24"/>
          <w:szCs w:val="24"/>
          <w:lang w:eastAsia="es-ES"/>
        </w:rPr>
        <w:t>ualidad.</w:t>
      </w:r>
    </w:p>
    <w:p w:rsidR="000B6997" w:rsidRPr="00CD659C"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CD659C">
        <w:rPr>
          <w:rFonts w:ascii="Times New Roman" w:eastAsia="Times New Roman" w:hAnsi="Times New Roman" w:cs="Times New Roman"/>
          <w:color w:val="212529"/>
          <w:sz w:val="24"/>
          <w:szCs w:val="24"/>
          <w:lang w:eastAsia="es-ES"/>
        </w:rPr>
        <w:t>La propia Agencia Tributaria reconoce en una nota de</w:t>
      </w:r>
      <w:r>
        <w:rPr>
          <w:rFonts w:ascii="Times New Roman" w:eastAsia="Times New Roman" w:hAnsi="Times New Roman" w:cs="Times New Roman"/>
          <w:color w:val="212529"/>
          <w:sz w:val="24"/>
          <w:szCs w:val="24"/>
          <w:lang w:eastAsia="es-ES"/>
        </w:rPr>
        <w:t>l pasado abril con el epígrafe “</w:t>
      </w:r>
      <w:r w:rsidRPr="00CD659C">
        <w:rPr>
          <w:rFonts w:ascii="Times New Roman" w:eastAsia="Times New Roman" w:hAnsi="Times New Roman" w:cs="Times New Roman"/>
          <w:color w:val="212529"/>
          <w:sz w:val="24"/>
          <w:szCs w:val="24"/>
          <w:lang w:eastAsia="es-ES"/>
        </w:rPr>
        <w:t>La AEAT y</w:t>
      </w:r>
      <w:r>
        <w:rPr>
          <w:rFonts w:ascii="Times New Roman" w:eastAsia="Times New Roman" w:hAnsi="Times New Roman" w:cs="Times New Roman"/>
          <w:color w:val="212529"/>
          <w:sz w:val="24"/>
          <w:szCs w:val="24"/>
          <w:lang w:eastAsia="es-ES"/>
        </w:rPr>
        <w:t xml:space="preserve"> los Avales ICO Covid y Ucrania”</w:t>
      </w:r>
      <w:r w:rsidRPr="00CD659C">
        <w:rPr>
          <w:rFonts w:ascii="Times New Roman" w:eastAsia="Times New Roman" w:hAnsi="Times New Roman" w:cs="Times New Roman"/>
          <w:color w:val="212529"/>
          <w:sz w:val="24"/>
          <w:szCs w:val="24"/>
          <w:lang w:eastAsia="es-ES"/>
        </w:rPr>
        <w:t xml:space="preserve"> q</w:t>
      </w:r>
      <w:r>
        <w:rPr>
          <w:rFonts w:ascii="Times New Roman" w:eastAsia="Times New Roman" w:hAnsi="Times New Roman" w:cs="Times New Roman"/>
          <w:color w:val="212529"/>
          <w:sz w:val="24"/>
          <w:szCs w:val="24"/>
          <w:lang w:eastAsia="es-ES"/>
        </w:rPr>
        <w:t>ue estos préstamos constituyen “un régimen ciertamente complejo” y se explica: “</w:t>
      </w:r>
      <w:r w:rsidRPr="00CD659C">
        <w:rPr>
          <w:rFonts w:ascii="Times New Roman" w:eastAsia="Times New Roman" w:hAnsi="Times New Roman" w:cs="Times New Roman"/>
          <w:color w:val="212529"/>
          <w:sz w:val="24"/>
          <w:szCs w:val="24"/>
          <w:lang w:eastAsia="es-ES"/>
        </w:rPr>
        <w:t xml:space="preserve">Nos encontramos con avales en los que se comparte riesgo con las entidades financieras en igualdad de condiciones y sin las prerrogativas propias del crédito público. Es un crédito público “sui generis” muy desnaturalizado. Es la entidad financiera la encargada de la reclamación del crédito, si bien la AEAT interviene en la tramitación de los expedientes de deudores que sean titulares </w:t>
      </w:r>
      <w:r>
        <w:rPr>
          <w:rFonts w:ascii="Times New Roman" w:eastAsia="Times New Roman" w:hAnsi="Times New Roman" w:cs="Times New Roman"/>
          <w:color w:val="212529"/>
          <w:sz w:val="24"/>
          <w:szCs w:val="24"/>
          <w:lang w:eastAsia="es-ES"/>
        </w:rPr>
        <w:t>de créditos avalados por el ICO”</w:t>
      </w:r>
      <w:r w:rsidRPr="00CD659C">
        <w:rPr>
          <w:rFonts w:ascii="Times New Roman" w:eastAsia="Times New Roman" w:hAnsi="Times New Roman" w:cs="Times New Roman"/>
          <w:color w:val="212529"/>
          <w:sz w:val="24"/>
          <w:szCs w:val="24"/>
          <w:lang w:eastAsia="es-ES"/>
        </w:rPr>
        <w:t xml:space="preserve"> en los casos más extremos, cuando se soliciten aplazamientos, fraccionamientos o quitas, cuando el deudor esté en una situación preconcursal o cuando el deudor esté en concurso de acreedores.</w:t>
      </w:r>
    </w:p>
    <w:p w:rsidR="000B6997" w:rsidRPr="00CD659C"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CD659C">
        <w:rPr>
          <w:rFonts w:ascii="Times New Roman" w:eastAsia="Times New Roman" w:hAnsi="Times New Roman" w:cs="Times New Roman"/>
          <w:color w:val="212529"/>
          <w:sz w:val="24"/>
          <w:szCs w:val="24"/>
          <w:lang w:eastAsia="es-ES"/>
        </w:rPr>
        <w:t>Las consecuencias de no pagar un préstamo ICO incluyen la acumulación de intereses de demora, inclusión en registros de morosos, demandas judiciales y la ejecución de garantías. En casos extremos, el impago puede llevar a un procedimiento concursa</w:t>
      </w:r>
      <w:r>
        <w:rPr>
          <w:rFonts w:ascii="Times New Roman" w:eastAsia="Times New Roman" w:hAnsi="Times New Roman" w:cs="Times New Roman"/>
          <w:color w:val="212529"/>
          <w:sz w:val="24"/>
          <w:szCs w:val="24"/>
          <w:lang w:eastAsia="es-ES"/>
        </w:rPr>
        <w:t>l y poner en riesgo los bienes.</w:t>
      </w:r>
    </w:p>
    <w:p w:rsidR="000B6997" w:rsidRDefault="000B6997" w:rsidP="000B6997">
      <w:pPr>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CD659C">
        <w:rPr>
          <w:rFonts w:ascii="Times New Roman" w:eastAsia="Times New Roman" w:hAnsi="Times New Roman" w:cs="Times New Roman"/>
          <w:color w:val="212529"/>
          <w:sz w:val="24"/>
          <w:szCs w:val="24"/>
          <w:lang w:eastAsia="es-ES"/>
        </w:rPr>
        <w:t>Según un informe de la Cámara de Comercio de Valencia, los 68 municipios impactados por la DANA albergan a más de 48.700 empresas, de las cuales más de tres cuartas partes pertenecen al sector servicios. En términos de PIB y empleo, estas empresas generan 21.819 millones de euros y emplean a 264.883 personas.</w:t>
      </w:r>
    </w:p>
    <w:p w:rsidR="000B6997" w:rsidRDefault="000B6997" w:rsidP="000B6997">
      <w:pPr>
        <w:spacing w:line="240" w:lineRule="auto"/>
        <w:jc w:val="both"/>
        <w:rPr>
          <w:rFonts w:ascii="Times New Roman" w:hAnsi="Times New Roman" w:cs="Times New Roman"/>
          <w:color w:val="FF0000"/>
          <w:sz w:val="24"/>
          <w:szCs w:val="24"/>
          <w:shd w:val="clear" w:color="auto" w:fill="FFFFFF"/>
        </w:rPr>
      </w:pPr>
      <w:r w:rsidRPr="00CD659C">
        <w:rPr>
          <w:rFonts w:ascii="Times New Roman" w:eastAsia="Times New Roman" w:hAnsi="Times New Roman" w:cs="Times New Roman"/>
          <w:color w:val="FF0000"/>
          <w:sz w:val="24"/>
          <w:szCs w:val="24"/>
          <w:lang w:eastAsia="es-ES"/>
        </w:rPr>
        <w:t xml:space="preserve">- </w:t>
      </w:r>
      <w:r w:rsidRPr="00CD659C">
        <w:rPr>
          <w:rFonts w:ascii="Times New Roman" w:hAnsi="Times New Roman" w:cs="Times New Roman"/>
          <w:color w:val="FF0000"/>
          <w:sz w:val="24"/>
          <w:szCs w:val="24"/>
          <w:shd w:val="clear" w:color="auto" w:fill="FFFFFF"/>
        </w:rPr>
        <w:t>Cerrar el ICEX</w:t>
      </w:r>
    </w:p>
    <w:p w:rsidR="000B6997" w:rsidRPr="00CD659C" w:rsidRDefault="000B6997" w:rsidP="000B6997">
      <w:pPr>
        <w:spacing w:line="240" w:lineRule="auto"/>
        <w:jc w:val="both"/>
        <w:rPr>
          <w:rFonts w:ascii="Times New Roman" w:hAnsi="Times New Roman" w:cs="Times New Roman"/>
          <w:sz w:val="24"/>
          <w:szCs w:val="24"/>
          <w:shd w:val="clear" w:color="auto" w:fill="FFFFFF"/>
        </w:rPr>
      </w:pPr>
      <w:r w:rsidRPr="00CD659C">
        <w:rPr>
          <w:rFonts w:ascii="Times New Roman" w:hAnsi="Times New Roman" w:cs="Times New Roman"/>
          <w:sz w:val="24"/>
          <w:szCs w:val="24"/>
          <w:shd w:val="clear" w:color="auto" w:fill="FFFFFF"/>
        </w:rPr>
        <w:t xml:space="preserve">ICEX, o ICEX España Exportación e Inversiones, es una entidad pública empresarial española cuya misión es promover la internacionalización de las empresas españolas. Su objetivo principal es mejorar la competitividad de las empresas españolas en el extranjero y </w:t>
      </w:r>
      <w:r w:rsidRPr="00CD659C">
        <w:rPr>
          <w:rFonts w:ascii="Times New Roman" w:hAnsi="Times New Roman" w:cs="Times New Roman"/>
          <w:sz w:val="24"/>
          <w:szCs w:val="24"/>
          <w:shd w:val="clear" w:color="auto" w:fill="FFFFFF"/>
        </w:rPr>
        <w:lastRenderedPageBreak/>
        <w:t xml:space="preserve">atraer inversiones extranjeras a España. ICEX ofrece una amplia gama de servicios y programas para apoyar a las empresas en su proceso de internacionalización, incluyendo asesoramiento, formación, financiación y acceso a mercados internacionales. </w:t>
      </w:r>
    </w:p>
    <w:p w:rsidR="000B6997" w:rsidRPr="00CD659C"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Funciones principales de ICEX</w:t>
      </w:r>
      <w:r w:rsidRPr="00CD659C">
        <w:rPr>
          <w:rFonts w:ascii="Times New Roman" w:hAnsi="Times New Roman" w:cs="Times New Roman"/>
          <w:sz w:val="24"/>
          <w:szCs w:val="24"/>
          <w:shd w:val="clear" w:color="auto" w:fill="FFFFFF"/>
        </w:rPr>
        <w:t xml:space="preserve"> </w:t>
      </w:r>
    </w:p>
    <w:p w:rsidR="000B6997" w:rsidRPr="00CD659C" w:rsidRDefault="000B6997" w:rsidP="000B6997">
      <w:pPr>
        <w:spacing w:line="240" w:lineRule="auto"/>
        <w:jc w:val="both"/>
        <w:rPr>
          <w:rFonts w:ascii="Times New Roman" w:hAnsi="Times New Roman" w:cs="Times New Roman"/>
          <w:sz w:val="24"/>
          <w:szCs w:val="24"/>
          <w:shd w:val="clear" w:color="auto" w:fill="FFFFFF"/>
        </w:rPr>
      </w:pPr>
      <w:r w:rsidRPr="00CD659C">
        <w:rPr>
          <w:rFonts w:ascii="Times New Roman" w:hAnsi="Times New Roman" w:cs="Times New Roman"/>
          <w:sz w:val="24"/>
          <w:szCs w:val="24"/>
          <w:shd w:val="clear" w:color="auto" w:fill="FFFFFF"/>
        </w:rPr>
        <w:t>Promoc</w:t>
      </w:r>
      <w:r>
        <w:rPr>
          <w:rFonts w:ascii="Times New Roman" w:hAnsi="Times New Roman" w:cs="Times New Roman"/>
          <w:sz w:val="24"/>
          <w:szCs w:val="24"/>
          <w:shd w:val="clear" w:color="auto" w:fill="FFFFFF"/>
        </w:rPr>
        <w:t xml:space="preserve">ión de la internacionalización: </w:t>
      </w:r>
      <w:r w:rsidRPr="00CD659C">
        <w:rPr>
          <w:rFonts w:ascii="Times New Roman" w:hAnsi="Times New Roman" w:cs="Times New Roman"/>
          <w:sz w:val="24"/>
          <w:szCs w:val="24"/>
          <w:shd w:val="clear" w:color="auto" w:fill="FFFFFF"/>
        </w:rPr>
        <w:t xml:space="preserve">ICEX ayuda a las empresas españolas a expandirse a mercados extranjeros, ofreciendo información, asesoramiento y apoyo en diferentes etapas del proceso de internacionalización. </w:t>
      </w:r>
    </w:p>
    <w:p w:rsidR="000B6997" w:rsidRPr="00CD659C"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Atraer inversiones extranjeras: </w:t>
      </w:r>
      <w:r w:rsidRPr="00CD659C">
        <w:rPr>
          <w:rFonts w:ascii="Times New Roman" w:hAnsi="Times New Roman" w:cs="Times New Roman"/>
          <w:sz w:val="24"/>
          <w:szCs w:val="24"/>
          <w:shd w:val="clear" w:color="auto" w:fill="FFFFFF"/>
        </w:rPr>
        <w:t xml:space="preserve">ICEX también trabaja para atraer inversiones extranjeras directas a España, facilitando la llegada de empresas de otros países que buscan establecerse en el mercado español. </w:t>
      </w:r>
    </w:p>
    <w:p w:rsidR="000B6997" w:rsidRPr="00CD659C"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Servicios de apoyo: </w:t>
      </w:r>
      <w:r w:rsidRPr="00CD659C">
        <w:rPr>
          <w:rFonts w:ascii="Times New Roman" w:hAnsi="Times New Roman" w:cs="Times New Roman"/>
          <w:sz w:val="24"/>
          <w:szCs w:val="24"/>
          <w:shd w:val="clear" w:color="auto" w:fill="FFFFFF"/>
        </w:rPr>
        <w:t xml:space="preserve">ICEX ofrece una variedad de servicios a medida para empresas, incluyendo orientación y asesoramiento, simulación de costes de establecimiento, estudios de mercado, actividades de formación, financiación y apoyo logístico. </w:t>
      </w:r>
    </w:p>
    <w:p w:rsidR="000B6997" w:rsidRPr="00CD659C"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Red de oficinas: </w:t>
      </w:r>
      <w:r w:rsidRPr="00CD659C">
        <w:rPr>
          <w:rFonts w:ascii="Times New Roman" w:hAnsi="Times New Roman" w:cs="Times New Roman"/>
          <w:sz w:val="24"/>
          <w:szCs w:val="24"/>
          <w:shd w:val="clear" w:color="auto" w:fill="FFFFFF"/>
        </w:rPr>
        <w:t>ICEX cuenta con una amplia red de oficinas en España y en el extranjero, incluyendo 31 Direcciones Provinciales y Territori</w:t>
      </w:r>
      <w:r>
        <w:rPr>
          <w:rFonts w:ascii="Times New Roman" w:hAnsi="Times New Roman" w:cs="Times New Roman"/>
          <w:sz w:val="24"/>
          <w:szCs w:val="24"/>
          <w:shd w:val="clear" w:color="auto" w:fill="FFFFFF"/>
        </w:rPr>
        <w:t>ales de Comercio en España y 105</w:t>
      </w:r>
      <w:r w:rsidRPr="00CD659C">
        <w:rPr>
          <w:rFonts w:ascii="Times New Roman" w:hAnsi="Times New Roman" w:cs="Times New Roman"/>
          <w:sz w:val="24"/>
          <w:szCs w:val="24"/>
          <w:shd w:val="clear" w:color="auto" w:fill="FFFFFF"/>
        </w:rPr>
        <w:t xml:space="preserve"> Oficinas Económicas y Comerciales en el exterior, además de 30 Centros de Negocios en el extranjero, que brindan apoyo a las empresas en diferentes ubicaciones. </w:t>
      </w:r>
    </w:p>
    <w:p w:rsidR="000B6997" w:rsidRPr="00CD659C"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Formación y becas: </w:t>
      </w:r>
      <w:r w:rsidRPr="00CD659C">
        <w:rPr>
          <w:rFonts w:ascii="Times New Roman" w:hAnsi="Times New Roman" w:cs="Times New Roman"/>
          <w:sz w:val="24"/>
          <w:szCs w:val="24"/>
          <w:shd w:val="clear" w:color="auto" w:fill="FFFFFF"/>
        </w:rPr>
        <w:t xml:space="preserve">ICEX también ofrece programas de formación en internacionalización, como ICEX Vives, que ofrece prácticas en empresas internacionalizadas, y las Becas ICEX, que permiten a los jóvenes ampliar su formación en gestión internacional de la empresa. </w:t>
      </w:r>
    </w:p>
    <w:p w:rsidR="000B6997"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Apoyo a pymes: </w:t>
      </w:r>
      <w:r w:rsidRPr="00CD659C">
        <w:rPr>
          <w:rFonts w:ascii="Times New Roman" w:hAnsi="Times New Roman" w:cs="Times New Roman"/>
          <w:sz w:val="24"/>
          <w:szCs w:val="24"/>
          <w:shd w:val="clear" w:color="auto" w:fill="FFFFFF"/>
        </w:rPr>
        <w:t xml:space="preserve">ICEX cuenta con el programa ICEX Next, específicamente diseñado para apoyar a las pequeñas y medianas empresas en su proceso de internacionalización. </w:t>
      </w:r>
    </w:p>
    <w:p w:rsidR="000B6997"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Información general sobre ICEX (Fuente: icex.es)</w:t>
      </w:r>
    </w:p>
    <w:p w:rsidR="000B6997" w:rsidRPr="00D5287E" w:rsidRDefault="000B6997" w:rsidP="000B6997">
      <w:pPr>
        <w:spacing w:line="240" w:lineRule="auto"/>
        <w:jc w:val="both"/>
        <w:rPr>
          <w:rFonts w:ascii="Times New Roman" w:hAnsi="Times New Roman" w:cs="Times New Roman"/>
          <w:bCs/>
          <w:sz w:val="24"/>
          <w:szCs w:val="24"/>
        </w:rPr>
      </w:pPr>
      <w:r w:rsidRPr="00D5287E">
        <w:rPr>
          <w:rFonts w:ascii="Times New Roman" w:hAnsi="Times New Roman" w:cs="Times New Roman"/>
          <w:bCs/>
          <w:sz w:val="24"/>
          <w:szCs w:val="24"/>
        </w:rPr>
        <w:t>En el ámbito nacional, ICEX presta sus servicios a través de una Red de </w:t>
      </w:r>
      <w:hyperlink r:id="rId37" w:tgtFrame="_self" w:history="1">
        <w:r w:rsidRPr="00D5287E">
          <w:rPr>
            <w:rStyle w:val="Hipervnculo"/>
            <w:rFonts w:ascii="Times New Roman" w:hAnsi="Times New Roman" w:cs="Times New Roman"/>
            <w:color w:val="auto"/>
            <w:sz w:val="24"/>
            <w:szCs w:val="24"/>
            <w:u w:val="none"/>
          </w:rPr>
          <w:t>31 Direcciones</w:t>
        </w:r>
      </w:hyperlink>
      <w:r w:rsidRPr="00D5287E">
        <w:rPr>
          <w:rFonts w:ascii="Times New Roman" w:hAnsi="Times New Roman" w:cs="Times New Roman"/>
          <w:bCs/>
          <w:sz w:val="24"/>
          <w:szCs w:val="24"/>
        </w:rPr>
        <w:t xml:space="preserve"> Provinciales y Territoriales de Comercio, repartidas por todas las comunidades autónomas. </w:t>
      </w:r>
      <w:r w:rsidRPr="00D5287E">
        <w:rPr>
          <w:rFonts w:ascii="Times New Roman" w:hAnsi="Times New Roman" w:cs="Times New Roman"/>
          <w:sz w:val="24"/>
          <w:szCs w:val="24"/>
        </w:rPr>
        <w:t>Internacionalmente, ICEX desarrolla su actividad de apoyo a las empresas españolas en </w:t>
      </w:r>
      <w:hyperlink r:id="rId38" w:tgtFrame="_self" w:history="1">
        <w:r w:rsidRPr="00D5287E">
          <w:rPr>
            <w:rStyle w:val="Hipervnculo"/>
            <w:rFonts w:ascii="Times New Roman" w:hAnsi="Times New Roman" w:cs="Times New Roman"/>
            <w:color w:val="auto"/>
            <w:sz w:val="24"/>
            <w:szCs w:val="24"/>
            <w:u w:val="none"/>
          </w:rPr>
          <w:t>105 Oficinas Económicas y Comerciales</w:t>
        </w:r>
      </w:hyperlink>
      <w:r w:rsidRPr="00D5287E">
        <w:rPr>
          <w:rFonts w:ascii="Times New Roman" w:hAnsi="Times New Roman" w:cs="Times New Roman"/>
          <w:sz w:val="24"/>
          <w:szCs w:val="24"/>
        </w:rPr>
        <w:t> de la Secretaría de Estado de Comercio,</w:t>
      </w:r>
      <w:r w:rsidRPr="00D5287E">
        <w:rPr>
          <w:rFonts w:ascii="Times New Roman" w:hAnsi="Times New Roman" w:cs="Times New Roman"/>
          <w:bCs/>
          <w:sz w:val="24"/>
          <w:szCs w:val="24"/>
        </w:rPr>
        <w:t xml:space="preserve"> repartidas por todo el mudo. </w:t>
      </w:r>
      <w:r w:rsidRPr="00D5287E">
        <w:rPr>
          <w:rFonts w:ascii="Times New Roman" w:hAnsi="Times New Roman" w:cs="Times New Roman"/>
          <w:sz w:val="24"/>
          <w:szCs w:val="24"/>
        </w:rPr>
        <w:t>Dispone además de </w:t>
      </w:r>
      <w:r w:rsidRPr="00D5287E">
        <w:rPr>
          <w:rFonts w:ascii="Times New Roman" w:hAnsi="Times New Roman" w:cs="Times New Roman"/>
          <w:bCs/>
          <w:sz w:val="24"/>
          <w:szCs w:val="24"/>
        </w:rPr>
        <w:t>27 centros de negocio en el extranjero</w:t>
      </w:r>
      <w:r w:rsidRPr="00D5287E">
        <w:rPr>
          <w:rFonts w:ascii="Times New Roman" w:hAnsi="Times New Roman" w:cs="Times New Roman"/>
          <w:sz w:val="24"/>
          <w:szCs w:val="24"/>
        </w:rPr>
        <w:t>, que ofrecen a las empresas españolas infraestructura temporal a modo de incubadoras de la internacionalización.</w:t>
      </w:r>
    </w:p>
    <w:p w:rsidR="000B6997" w:rsidRDefault="000B6997" w:rsidP="000B6997">
      <w:pPr>
        <w:spacing w:line="240" w:lineRule="auto"/>
        <w:jc w:val="both"/>
        <w:rPr>
          <w:rFonts w:ascii="Times New Roman" w:hAnsi="Times New Roman" w:cs="Times New Roman"/>
          <w:sz w:val="24"/>
          <w:szCs w:val="24"/>
          <w:shd w:val="clear" w:color="auto" w:fill="FFFFFF"/>
        </w:rPr>
      </w:pPr>
      <w:r w:rsidRPr="00CD659C">
        <w:rPr>
          <w:rFonts w:ascii="Times New Roman" w:hAnsi="Times New Roman" w:cs="Times New Roman"/>
          <w:noProof/>
          <w:sz w:val="24"/>
          <w:szCs w:val="24"/>
          <w:shd w:val="clear" w:color="auto" w:fill="FFFFFF"/>
          <w:lang w:eastAsia="es-ES"/>
        </w:rPr>
        <w:drawing>
          <wp:inline distT="0" distB="0" distL="0" distR="0" wp14:anchorId="5EB59FDA" wp14:editId="78C25A77">
            <wp:extent cx="5729891" cy="2101850"/>
            <wp:effectExtent l="0" t="0" r="444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2102444"/>
                    </a:xfrm>
                    <a:prstGeom prst="rect">
                      <a:avLst/>
                    </a:prstGeom>
                  </pic:spPr>
                </pic:pic>
              </a:graphicData>
            </a:graphic>
          </wp:inline>
        </w:drawing>
      </w:r>
    </w:p>
    <w:p w:rsidR="000B6997"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E43880">
        <w:rPr>
          <w:rFonts w:ascii="Times New Roman" w:hAnsi="Times New Roman" w:cs="Times New Roman"/>
          <w:noProof/>
          <w:sz w:val="24"/>
          <w:szCs w:val="24"/>
          <w:shd w:val="clear" w:color="auto" w:fill="FFFFFF"/>
          <w:lang w:eastAsia="es-ES"/>
        </w:rPr>
        <w:drawing>
          <wp:inline distT="0" distB="0" distL="0" distR="0" wp14:anchorId="53157320" wp14:editId="78EE820A">
            <wp:extent cx="4673600" cy="43878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677428" cy="4391444"/>
                    </a:xfrm>
                    <a:prstGeom prst="rect">
                      <a:avLst/>
                    </a:prstGeom>
                  </pic:spPr>
                </pic:pic>
              </a:graphicData>
            </a:graphic>
          </wp:inline>
        </w:drawing>
      </w:r>
    </w:p>
    <w:p w:rsidR="000B6997" w:rsidRDefault="000B6997" w:rsidP="000B6997">
      <w:pPr>
        <w:spacing w:line="240" w:lineRule="auto"/>
        <w:jc w:val="both"/>
        <w:rPr>
          <w:rFonts w:ascii="Times New Roman" w:hAnsi="Times New Roman" w:cs="Times New Roman"/>
          <w:sz w:val="24"/>
          <w:szCs w:val="24"/>
          <w:shd w:val="clear" w:color="auto" w:fill="FFFFFF"/>
        </w:rPr>
      </w:pPr>
      <w:r w:rsidRPr="00E43880">
        <w:rPr>
          <w:rFonts w:ascii="Times New Roman" w:hAnsi="Times New Roman" w:cs="Times New Roman"/>
          <w:noProof/>
          <w:sz w:val="24"/>
          <w:szCs w:val="24"/>
          <w:shd w:val="clear" w:color="auto" w:fill="FFFFFF"/>
          <w:lang w:eastAsia="es-ES"/>
        </w:rPr>
        <w:drawing>
          <wp:inline distT="0" distB="0" distL="0" distR="0" wp14:anchorId="70FFBDA7" wp14:editId="1E1BB1F8">
            <wp:extent cx="5731510" cy="3638529"/>
            <wp:effectExtent l="0" t="0" r="2540" b="63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3638529"/>
                    </a:xfrm>
                    <a:prstGeom prst="rect">
                      <a:avLst/>
                    </a:prstGeom>
                  </pic:spPr>
                </pic:pic>
              </a:graphicData>
            </a:graphic>
          </wp:inline>
        </w:drawing>
      </w:r>
    </w:p>
    <w:p w:rsidR="000B6997" w:rsidRDefault="000B6997" w:rsidP="000B6997">
      <w:pPr>
        <w:spacing w:line="240" w:lineRule="auto"/>
        <w:jc w:val="both"/>
        <w:rPr>
          <w:rFonts w:ascii="Times New Roman" w:hAnsi="Times New Roman" w:cs="Times New Roman"/>
          <w:sz w:val="24"/>
          <w:szCs w:val="24"/>
          <w:shd w:val="clear" w:color="auto" w:fill="FFFFFF"/>
        </w:rPr>
      </w:pPr>
      <w:r w:rsidRPr="00E43880">
        <w:rPr>
          <w:rFonts w:ascii="Times New Roman" w:hAnsi="Times New Roman" w:cs="Times New Roman"/>
          <w:noProof/>
          <w:sz w:val="24"/>
          <w:szCs w:val="24"/>
          <w:shd w:val="clear" w:color="auto" w:fill="FFFFFF"/>
          <w:lang w:eastAsia="es-ES"/>
        </w:rPr>
        <w:lastRenderedPageBreak/>
        <w:drawing>
          <wp:inline distT="0" distB="0" distL="0" distR="0" wp14:anchorId="27874C24" wp14:editId="0C80BAC7">
            <wp:extent cx="5733586" cy="4394200"/>
            <wp:effectExtent l="0" t="0" r="635"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4392609"/>
                    </a:xfrm>
                    <a:prstGeom prst="rect">
                      <a:avLst/>
                    </a:prstGeom>
                  </pic:spPr>
                </pic:pic>
              </a:graphicData>
            </a:graphic>
          </wp:inline>
        </w:drawing>
      </w:r>
    </w:p>
    <w:p w:rsidR="000B6997" w:rsidRDefault="000B6997" w:rsidP="000B6997">
      <w:pPr>
        <w:spacing w:line="240" w:lineRule="auto"/>
        <w:jc w:val="both"/>
        <w:rPr>
          <w:rFonts w:ascii="Times New Roman" w:hAnsi="Times New Roman" w:cs="Times New Roman"/>
          <w:sz w:val="24"/>
          <w:szCs w:val="24"/>
          <w:shd w:val="clear" w:color="auto" w:fill="FFFFFF"/>
        </w:rPr>
      </w:pPr>
      <w:r w:rsidRPr="00E43880">
        <w:rPr>
          <w:rFonts w:ascii="Times New Roman" w:hAnsi="Times New Roman" w:cs="Times New Roman"/>
          <w:noProof/>
          <w:sz w:val="24"/>
          <w:szCs w:val="24"/>
          <w:shd w:val="clear" w:color="auto" w:fill="FFFFFF"/>
          <w:lang w:eastAsia="es-ES"/>
        </w:rPr>
        <w:drawing>
          <wp:inline distT="0" distB="0" distL="0" distR="0" wp14:anchorId="418A1286" wp14:editId="68F57B4A">
            <wp:extent cx="5556250" cy="4222750"/>
            <wp:effectExtent l="0" t="0" r="635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563377" cy="4228167"/>
                    </a:xfrm>
                    <a:prstGeom prst="rect">
                      <a:avLst/>
                    </a:prstGeom>
                  </pic:spPr>
                </pic:pic>
              </a:graphicData>
            </a:graphic>
          </wp:inline>
        </w:drawing>
      </w:r>
    </w:p>
    <w:p w:rsidR="000B6997" w:rsidRPr="00532A9D" w:rsidRDefault="000B6997" w:rsidP="000B6997">
      <w:pPr>
        <w:spacing w:line="240" w:lineRule="auto"/>
        <w:jc w:val="both"/>
        <w:rPr>
          <w:rFonts w:ascii="Times New Roman" w:hAnsi="Times New Roman" w:cs="Times New Roman"/>
          <w:sz w:val="24"/>
          <w:szCs w:val="24"/>
          <w:u w:val="single"/>
          <w:shd w:val="clear" w:color="auto" w:fill="FFFFFF"/>
        </w:rPr>
      </w:pPr>
      <w:r w:rsidRPr="00532A9D">
        <w:rPr>
          <w:rFonts w:ascii="Times New Roman" w:hAnsi="Times New Roman" w:cs="Times New Roman"/>
          <w:sz w:val="24"/>
          <w:szCs w:val="24"/>
          <w:u w:val="single"/>
          <w:shd w:val="clear" w:color="auto" w:fill="FFFFFF"/>
        </w:rPr>
        <w:lastRenderedPageBreak/>
        <w:t>Críticas a la función del ICEX</w:t>
      </w:r>
    </w:p>
    <w:p w:rsidR="000B6997" w:rsidRPr="00E43880" w:rsidRDefault="000B6997" w:rsidP="000B6997">
      <w:pPr>
        <w:spacing w:line="240" w:lineRule="auto"/>
        <w:jc w:val="both"/>
        <w:rPr>
          <w:rFonts w:ascii="Times New Roman" w:hAnsi="Times New Roman" w:cs="Times New Roman"/>
          <w:sz w:val="24"/>
          <w:szCs w:val="24"/>
          <w:shd w:val="clear" w:color="auto" w:fill="FFFFFF"/>
        </w:rPr>
      </w:pPr>
      <w:r w:rsidRPr="00E43880">
        <w:rPr>
          <w:rFonts w:ascii="Times New Roman" w:hAnsi="Times New Roman" w:cs="Times New Roman"/>
          <w:sz w:val="24"/>
          <w:szCs w:val="24"/>
          <w:shd w:val="clear" w:color="auto" w:fill="FFFFFF"/>
        </w:rPr>
        <w:t xml:space="preserve">Las críticas a la función del ICEX, entidad española de promoción de la internacionalización empresarial y atracción de inversiones, se centran principalmente en la eficacia de sus servicios y en la gestión de sus recursos. Algunas críticas señalan la falta de adaptación de sus programas a las necesidades específicas de las empresas, la lentitud en la tramitación de ayudas, y la opacidad en la asignación de recursos. </w:t>
      </w:r>
    </w:p>
    <w:p w:rsidR="000B6997" w:rsidRPr="00E43880" w:rsidRDefault="000B6997" w:rsidP="000B6997">
      <w:pPr>
        <w:spacing w:line="240" w:lineRule="auto"/>
        <w:jc w:val="both"/>
        <w:rPr>
          <w:rFonts w:ascii="Times New Roman" w:hAnsi="Times New Roman" w:cs="Times New Roman"/>
          <w:sz w:val="24"/>
          <w:szCs w:val="24"/>
          <w:shd w:val="clear" w:color="auto" w:fill="FFFFFF"/>
        </w:rPr>
      </w:pPr>
      <w:r w:rsidRPr="00E43880">
        <w:rPr>
          <w:rFonts w:ascii="Times New Roman" w:hAnsi="Times New Roman" w:cs="Times New Roman"/>
          <w:sz w:val="24"/>
          <w:szCs w:val="24"/>
          <w:shd w:val="clear" w:color="auto" w:fill="FFFFFF"/>
        </w:rPr>
        <w:t>Críticas específicas:</w:t>
      </w:r>
    </w:p>
    <w:p w:rsidR="000B6997" w:rsidRPr="00E43880"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Eficacia de los servicios: </w:t>
      </w:r>
      <w:r w:rsidRPr="00E43880">
        <w:rPr>
          <w:rFonts w:ascii="Times New Roman" w:hAnsi="Times New Roman" w:cs="Times New Roman"/>
          <w:sz w:val="24"/>
          <w:szCs w:val="24"/>
          <w:shd w:val="clear" w:color="auto" w:fill="FFFFFF"/>
        </w:rPr>
        <w:t>Se cuestiona si los servicios del ICEX realmente benefician a todas las empresas, especialmente a las pymes, o si favorecen a las grandes corporaciones.</w:t>
      </w:r>
    </w:p>
    <w:p w:rsidR="000B6997" w:rsidRPr="00E43880" w:rsidRDefault="000B6997" w:rsidP="000B6997">
      <w:pPr>
        <w:spacing w:line="240" w:lineRule="auto"/>
        <w:jc w:val="both"/>
        <w:rPr>
          <w:rFonts w:ascii="Times New Roman" w:hAnsi="Times New Roman" w:cs="Times New Roman"/>
          <w:sz w:val="24"/>
          <w:szCs w:val="24"/>
          <w:shd w:val="clear" w:color="auto" w:fill="FFFFFF"/>
        </w:rPr>
      </w:pPr>
      <w:r w:rsidRPr="00E43880">
        <w:rPr>
          <w:rFonts w:ascii="Times New Roman" w:hAnsi="Times New Roman" w:cs="Times New Roman"/>
          <w:sz w:val="24"/>
          <w:szCs w:val="24"/>
          <w:shd w:val="clear" w:color="auto" w:fill="FFFFFF"/>
        </w:rPr>
        <w:t>Adaptación a</w:t>
      </w:r>
      <w:r>
        <w:rPr>
          <w:rFonts w:ascii="Times New Roman" w:hAnsi="Times New Roman" w:cs="Times New Roman"/>
          <w:sz w:val="24"/>
          <w:szCs w:val="24"/>
          <w:shd w:val="clear" w:color="auto" w:fill="FFFFFF"/>
        </w:rPr>
        <w:t xml:space="preserve"> las necesidades empresariales: </w:t>
      </w:r>
      <w:r w:rsidRPr="00E43880">
        <w:rPr>
          <w:rFonts w:ascii="Times New Roman" w:hAnsi="Times New Roman" w:cs="Times New Roman"/>
          <w:sz w:val="24"/>
          <w:szCs w:val="24"/>
          <w:shd w:val="clear" w:color="auto" w:fill="FFFFFF"/>
        </w:rPr>
        <w:t>Algunos críticos argumentan que los programas del ICEX no siempre responden a las necesidades específicas de cada sector o empresa, y que se necesita mayor flexibilidad y personalización.</w:t>
      </w:r>
    </w:p>
    <w:p w:rsidR="000B6997" w:rsidRPr="00E43880"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Tramitación de ayudas: </w:t>
      </w:r>
      <w:r w:rsidRPr="00E43880">
        <w:rPr>
          <w:rFonts w:ascii="Times New Roman" w:hAnsi="Times New Roman" w:cs="Times New Roman"/>
          <w:sz w:val="24"/>
          <w:szCs w:val="24"/>
          <w:shd w:val="clear" w:color="auto" w:fill="FFFFFF"/>
        </w:rPr>
        <w:t>Se critica la lentitud y complejidad en la tramitación de las ayudas y subvenciones, lo que puede desincentivar a las empresas a solicitarlas.</w:t>
      </w:r>
    </w:p>
    <w:p w:rsidR="000B6997" w:rsidRPr="00E43880" w:rsidRDefault="000B6997" w:rsidP="000B6997">
      <w:pPr>
        <w:spacing w:line="240" w:lineRule="auto"/>
        <w:jc w:val="both"/>
        <w:rPr>
          <w:rFonts w:ascii="Times New Roman" w:hAnsi="Times New Roman" w:cs="Times New Roman"/>
          <w:sz w:val="24"/>
          <w:szCs w:val="24"/>
          <w:shd w:val="clear" w:color="auto" w:fill="FFFFFF"/>
        </w:rPr>
      </w:pPr>
      <w:r w:rsidRPr="00E43880">
        <w:rPr>
          <w:rFonts w:ascii="Times New Roman" w:hAnsi="Times New Roman" w:cs="Times New Roman"/>
          <w:sz w:val="24"/>
          <w:szCs w:val="24"/>
          <w:shd w:val="clear" w:color="auto" w:fill="FFFFFF"/>
        </w:rPr>
        <w:t>Ge</w:t>
      </w:r>
      <w:r>
        <w:rPr>
          <w:rFonts w:ascii="Times New Roman" w:hAnsi="Times New Roman" w:cs="Times New Roman"/>
          <w:sz w:val="24"/>
          <w:szCs w:val="24"/>
          <w:shd w:val="clear" w:color="auto" w:fill="FFFFFF"/>
        </w:rPr>
        <w:t xml:space="preserve">stión de recursos: </w:t>
      </w:r>
      <w:r w:rsidRPr="00E43880">
        <w:rPr>
          <w:rFonts w:ascii="Times New Roman" w:hAnsi="Times New Roman" w:cs="Times New Roman"/>
          <w:sz w:val="24"/>
          <w:szCs w:val="24"/>
          <w:shd w:val="clear" w:color="auto" w:fill="FFFFFF"/>
        </w:rPr>
        <w:t>Se ha señalado la falta de transparencia en la asignación de recursos y en la evaluación del impacto de las acciones del ICEX.</w:t>
      </w:r>
    </w:p>
    <w:p w:rsidR="000B6997" w:rsidRPr="00E43880" w:rsidRDefault="000B6997" w:rsidP="000B6997">
      <w:pPr>
        <w:spacing w:line="240" w:lineRule="auto"/>
        <w:jc w:val="both"/>
        <w:rPr>
          <w:rFonts w:ascii="Times New Roman" w:hAnsi="Times New Roman" w:cs="Times New Roman"/>
          <w:sz w:val="24"/>
          <w:szCs w:val="24"/>
          <w:shd w:val="clear" w:color="auto" w:fill="FFFFFF"/>
        </w:rPr>
      </w:pPr>
      <w:r w:rsidRPr="00E43880">
        <w:rPr>
          <w:rFonts w:ascii="Times New Roman" w:hAnsi="Times New Roman" w:cs="Times New Roman"/>
          <w:sz w:val="24"/>
          <w:szCs w:val="24"/>
          <w:shd w:val="clear" w:color="auto" w:fill="FFFFFF"/>
        </w:rPr>
        <w:t>Presencia y alcance:</w:t>
      </w:r>
      <w:r>
        <w:rPr>
          <w:rFonts w:ascii="Times New Roman" w:hAnsi="Times New Roman" w:cs="Times New Roman"/>
          <w:sz w:val="24"/>
          <w:szCs w:val="24"/>
          <w:shd w:val="clear" w:color="auto" w:fill="FFFFFF"/>
        </w:rPr>
        <w:t xml:space="preserve"> </w:t>
      </w:r>
      <w:r w:rsidRPr="00E43880">
        <w:rPr>
          <w:rFonts w:ascii="Times New Roman" w:hAnsi="Times New Roman" w:cs="Times New Roman"/>
          <w:sz w:val="24"/>
          <w:szCs w:val="24"/>
          <w:shd w:val="clear" w:color="auto" w:fill="FFFFFF"/>
        </w:rPr>
        <w:t>Si bien el ICEX tiene presencia internacional, algunas voces señalan que esta presencia podría ser más efectiva en determinados mercados clave, o que la cobertura en zonas rurales podría mejorar.</w:t>
      </w:r>
    </w:p>
    <w:p w:rsidR="000B6997" w:rsidRPr="00E43880" w:rsidRDefault="000B6997" w:rsidP="000B699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Digitalización: </w:t>
      </w:r>
      <w:r w:rsidRPr="00E43880">
        <w:rPr>
          <w:rFonts w:ascii="Times New Roman" w:hAnsi="Times New Roman" w:cs="Times New Roman"/>
          <w:sz w:val="24"/>
          <w:szCs w:val="24"/>
          <w:shd w:val="clear" w:color="auto" w:fill="FFFFFF"/>
        </w:rPr>
        <w:t xml:space="preserve">Se critica que el ICEX no aprovecha suficientemente las herramientas digitales para llegar a un mayor número de empresas y ofrecer servicios más ágiles. </w:t>
      </w:r>
    </w:p>
    <w:p w:rsidR="000B6997" w:rsidRPr="00CD659C" w:rsidRDefault="000B6997" w:rsidP="000B6997">
      <w:pPr>
        <w:spacing w:line="240" w:lineRule="auto"/>
        <w:jc w:val="both"/>
        <w:rPr>
          <w:rFonts w:ascii="Times New Roman" w:hAnsi="Times New Roman" w:cs="Times New Roman"/>
          <w:sz w:val="24"/>
          <w:szCs w:val="24"/>
          <w:shd w:val="clear" w:color="auto" w:fill="FFFFFF"/>
        </w:rPr>
      </w:pPr>
      <w:r w:rsidRPr="00E43880">
        <w:rPr>
          <w:rFonts w:ascii="Times New Roman" w:hAnsi="Times New Roman" w:cs="Times New Roman"/>
          <w:sz w:val="24"/>
          <w:szCs w:val="24"/>
          <w:shd w:val="clear" w:color="auto" w:fill="FFFFFF"/>
        </w:rPr>
        <w:t>En resumen, las críticas se dirigen a la necesidad de mejorar la eficacia, adaptabilidad, transparencia y agilidad de los servicios del ICEX, así como a una mayor eficiencia en la gestión de sus recursos para asegurar un mayor impacto en la internacionalización de las empresas españolas.</w:t>
      </w:r>
    </w:p>
    <w:p w:rsidR="000B6997" w:rsidRPr="00532A9D" w:rsidRDefault="000B6997" w:rsidP="000B6997">
      <w:pPr>
        <w:spacing w:line="240" w:lineRule="auto"/>
        <w:jc w:val="both"/>
        <w:rPr>
          <w:rFonts w:ascii="Times New Roman" w:hAnsi="Times New Roman" w:cs="Times New Roman"/>
          <w:color w:val="FF0000"/>
          <w:sz w:val="24"/>
          <w:szCs w:val="24"/>
          <w:shd w:val="clear" w:color="auto" w:fill="FFFFFF"/>
        </w:rPr>
      </w:pPr>
      <w:r w:rsidRPr="00532A9D">
        <w:rPr>
          <w:rFonts w:ascii="Times New Roman" w:hAnsi="Times New Roman" w:cs="Times New Roman"/>
          <w:color w:val="FF0000"/>
          <w:sz w:val="24"/>
          <w:szCs w:val="24"/>
          <w:shd w:val="clear" w:color="auto" w:fill="FFFFFF"/>
        </w:rPr>
        <w:t>- Cerrar la SAREB (vender todos los inmuebles que posee)</w:t>
      </w:r>
    </w:p>
    <w:p w:rsidR="000B6997" w:rsidRPr="00532A9D" w:rsidRDefault="000B6997" w:rsidP="000B6997">
      <w:pPr>
        <w:spacing w:line="240" w:lineRule="auto"/>
        <w:jc w:val="both"/>
        <w:rPr>
          <w:rFonts w:ascii="Times New Roman" w:hAnsi="Times New Roman" w:cs="Times New Roman"/>
          <w:color w:val="000000"/>
          <w:sz w:val="24"/>
          <w:szCs w:val="24"/>
          <w:shd w:val="clear" w:color="auto" w:fill="FFFFFF"/>
        </w:rPr>
      </w:pPr>
      <w:r w:rsidRPr="00532A9D">
        <w:rPr>
          <w:rFonts w:ascii="Times New Roman" w:hAnsi="Times New Roman" w:cs="Times New Roman"/>
          <w:color w:val="000000"/>
          <w:sz w:val="24"/>
          <w:szCs w:val="24"/>
          <w:shd w:val="clear" w:color="auto" w:fill="FFFFFF"/>
        </w:rPr>
        <w:t>La Sareb, o Sociedad de Gestión de Activos Procedentes de la Reestructuración Bancaria, es una entidad española creada en 2012 para gestionar y liquidar activos inmobiliarios y préstamos vinculados a la promoción inmobiliaria, provenientes de entidades financieras que recibieron ayudas públicas durante la crisis financiera. En</w:t>
      </w:r>
      <w:r>
        <w:rPr>
          <w:rFonts w:ascii="Times New Roman" w:hAnsi="Times New Roman" w:cs="Times New Roman"/>
          <w:color w:val="000000"/>
          <w:sz w:val="24"/>
          <w:szCs w:val="24"/>
          <w:shd w:val="clear" w:color="auto" w:fill="FFFFFF"/>
        </w:rPr>
        <w:t xml:space="preserve"> esencia, se le conoce como el “banco malo”</w:t>
      </w:r>
      <w:r w:rsidRPr="00532A9D">
        <w:rPr>
          <w:rFonts w:ascii="Times New Roman" w:hAnsi="Times New Roman" w:cs="Times New Roman"/>
          <w:color w:val="000000"/>
          <w:sz w:val="24"/>
          <w:szCs w:val="24"/>
          <w:shd w:val="clear" w:color="auto" w:fill="FFFFFF"/>
        </w:rPr>
        <w:t xml:space="preserve"> encargado de sanear lo</w:t>
      </w:r>
      <w:r>
        <w:rPr>
          <w:rFonts w:ascii="Times New Roman" w:hAnsi="Times New Roman" w:cs="Times New Roman"/>
          <w:color w:val="000000"/>
          <w:sz w:val="24"/>
          <w:szCs w:val="24"/>
          <w:shd w:val="clear" w:color="auto" w:fill="FFFFFF"/>
        </w:rPr>
        <w:t xml:space="preserve">s balances de estas entidades. </w:t>
      </w:r>
    </w:p>
    <w:p w:rsidR="000B6997" w:rsidRPr="00532A9D" w:rsidRDefault="000B6997" w:rsidP="000B699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Origen: </w:t>
      </w:r>
      <w:r w:rsidRPr="00532A9D">
        <w:rPr>
          <w:rFonts w:ascii="Times New Roman" w:hAnsi="Times New Roman" w:cs="Times New Roman"/>
          <w:color w:val="000000"/>
          <w:sz w:val="24"/>
          <w:szCs w:val="24"/>
          <w:shd w:val="clear" w:color="auto" w:fill="FFFFFF"/>
        </w:rPr>
        <w:t xml:space="preserve">La Sareb surgió como resultado de un acuerdo entre autoridades españolas y europeas para hacer frente a la crisis financiera e inmobiliaria de 2008. </w:t>
      </w:r>
    </w:p>
    <w:p w:rsidR="000B6997" w:rsidRPr="00532A9D" w:rsidRDefault="000B6997" w:rsidP="000B699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Propósito: </w:t>
      </w:r>
      <w:r w:rsidRPr="00532A9D">
        <w:rPr>
          <w:rFonts w:ascii="Times New Roman" w:hAnsi="Times New Roman" w:cs="Times New Roman"/>
          <w:color w:val="000000"/>
          <w:sz w:val="24"/>
          <w:szCs w:val="24"/>
          <w:shd w:val="clear" w:color="auto" w:fill="FFFFFF"/>
        </w:rPr>
        <w:t xml:space="preserve">Su objetivo principal es gestionar y vender o alquilar los activos problemáticos (inmuebles y préstamos) que recibió de las entidades financieras rescatadas, con el fin de repagar la deuda que la Sareb emitió para su adquisición, avalada por el Estado. </w:t>
      </w:r>
    </w:p>
    <w:p w:rsidR="000B6997" w:rsidRPr="00532A9D" w:rsidRDefault="000B6997" w:rsidP="000B699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Activos: </w:t>
      </w:r>
      <w:r w:rsidRPr="00532A9D">
        <w:rPr>
          <w:rFonts w:ascii="Times New Roman" w:hAnsi="Times New Roman" w:cs="Times New Roman"/>
          <w:color w:val="000000"/>
          <w:sz w:val="24"/>
          <w:szCs w:val="24"/>
          <w:shd w:val="clear" w:color="auto" w:fill="FFFFFF"/>
        </w:rPr>
        <w:t xml:space="preserve">La Sareb gestiona una amplia cartera de activos, que incluyen préstamos a promotores, inmuebles terminados y solares, entre otros. </w:t>
      </w:r>
    </w:p>
    <w:p w:rsidR="000B6997" w:rsidRPr="00532A9D" w:rsidRDefault="000B6997" w:rsidP="000B699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Participación: </w:t>
      </w:r>
      <w:r w:rsidRPr="00532A9D">
        <w:rPr>
          <w:rFonts w:ascii="Times New Roman" w:hAnsi="Times New Roman" w:cs="Times New Roman"/>
          <w:color w:val="000000"/>
          <w:sz w:val="24"/>
          <w:szCs w:val="24"/>
          <w:shd w:val="clear" w:color="auto" w:fill="FFFFFF"/>
        </w:rPr>
        <w:t xml:space="preserve">La Sareb es una sociedad anónima participada por capital privado (55%) y capital público a través del FROB (45%). </w:t>
      </w:r>
    </w:p>
    <w:p w:rsidR="000B6997" w:rsidRDefault="000B6997" w:rsidP="000B699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Función Social: </w:t>
      </w:r>
      <w:r w:rsidRPr="00532A9D">
        <w:rPr>
          <w:rFonts w:ascii="Times New Roman" w:hAnsi="Times New Roman" w:cs="Times New Roman"/>
          <w:color w:val="000000"/>
          <w:sz w:val="24"/>
          <w:szCs w:val="24"/>
          <w:shd w:val="clear" w:color="auto" w:fill="FFFFFF"/>
        </w:rPr>
        <w:t>Además de su función de gestión y venta de activos, la Sareb también tiene un papel en la promoción de la vivienda asequible y el alquiler social.</w:t>
      </w:r>
    </w:p>
    <w:p w:rsidR="000B6997" w:rsidRPr="00F622C2" w:rsidRDefault="000B6997" w:rsidP="000B6997">
      <w:pPr>
        <w:spacing w:line="240" w:lineRule="auto"/>
        <w:jc w:val="both"/>
        <w:rPr>
          <w:rFonts w:ascii="Times New Roman" w:hAnsi="Times New Roman" w:cs="Times New Roman"/>
          <w:color w:val="000000"/>
          <w:sz w:val="24"/>
          <w:szCs w:val="24"/>
          <w:shd w:val="clear" w:color="auto" w:fill="FFFFFF"/>
        </w:rPr>
      </w:pPr>
      <w:r w:rsidRPr="00532A9D">
        <w:rPr>
          <w:rFonts w:ascii="Times New Roman" w:hAnsi="Times New Roman" w:cs="Times New Roman"/>
          <w:color w:val="000000"/>
          <w:sz w:val="24"/>
          <w:szCs w:val="24"/>
          <w:u w:val="single"/>
          <w:shd w:val="clear" w:color="auto" w:fill="FFFFFF"/>
        </w:rPr>
        <w:t>Historia de Sareb: De la Crisis a la Recuperación</w:t>
      </w:r>
      <w:r>
        <w:rPr>
          <w:rFonts w:ascii="Times New Roman" w:hAnsi="Times New Roman" w:cs="Times New Roman"/>
          <w:color w:val="000000"/>
          <w:sz w:val="24"/>
          <w:szCs w:val="24"/>
          <w:shd w:val="clear" w:color="auto" w:fill="FFFFFF"/>
        </w:rPr>
        <w:t xml:space="preserve"> (</w:t>
      </w:r>
      <w:r w:rsidR="00D5287E">
        <w:rPr>
          <w:rFonts w:ascii="Times New Roman" w:hAnsi="Times New Roman" w:cs="Times New Roman"/>
          <w:color w:val="000000"/>
          <w:sz w:val="24"/>
          <w:szCs w:val="24"/>
          <w:shd w:val="clear" w:color="auto" w:fill="FFFFFF"/>
        </w:rPr>
        <w:t xml:space="preserve">Fuente: </w:t>
      </w:r>
      <w:r>
        <w:rPr>
          <w:rFonts w:ascii="Times New Roman" w:hAnsi="Times New Roman" w:cs="Times New Roman"/>
          <w:color w:val="000000"/>
          <w:sz w:val="24"/>
          <w:szCs w:val="24"/>
          <w:shd w:val="clear" w:color="auto" w:fill="FFFFFF"/>
        </w:rPr>
        <w:t>sareb.es)</w:t>
      </w:r>
    </w:p>
    <w:p w:rsidR="000B6997" w:rsidRPr="00532A9D" w:rsidRDefault="000B6997" w:rsidP="000B6997">
      <w:pPr>
        <w:spacing w:line="240" w:lineRule="auto"/>
        <w:jc w:val="both"/>
        <w:rPr>
          <w:rFonts w:ascii="Times New Roman" w:hAnsi="Times New Roman" w:cs="Times New Roman"/>
          <w:color w:val="000000"/>
          <w:sz w:val="24"/>
          <w:szCs w:val="24"/>
          <w:shd w:val="clear" w:color="auto" w:fill="FFFFFF"/>
        </w:rPr>
      </w:pPr>
      <w:r w:rsidRPr="00532A9D">
        <w:rPr>
          <w:rFonts w:ascii="Times New Roman" w:hAnsi="Times New Roman" w:cs="Times New Roman"/>
          <w:color w:val="000000"/>
          <w:sz w:val="24"/>
          <w:szCs w:val="24"/>
          <w:shd w:val="clear" w:color="auto" w:fill="FFFFFF"/>
        </w:rPr>
        <w:t>Sareb nació como respuesta a la urgente necesidad de estabilizar el sector financiero español, particularmente afectado por la gestión de un grupo de entidades sucesoras de 24 cajas de ahorro y sus filiales.</w:t>
      </w:r>
    </w:p>
    <w:p w:rsidR="000B6997" w:rsidRPr="00532A9D" w:rsidRDefault="000B6997" w:rsidP="000B6997">
      <w:pPr>
        <w:spacing w:line="240" w:lineRule="auto"/>
        <w:jc w:val="both"/>
        <w:rPr>
          <w:rFonts w:ascii="Times New Roman" w:hAnsi="Times New Roman" w:cs="Times New Roman"/>
          <w:color w:val="000000"/>
          <w:sz w:val="24"/>
          <w:szCs w:val="24"/>
          <w:shd w:val="clear" w:color="auto" w:fill="FFFFFF"/>
        </w:rPr>
      </w:pPr>
      <w:r w:rsidRPr="00532A9D">
        <w:rPr>
          <w:rFonts w:ascii="Times New Roman" w:hAnsi="Times New Roman" w:cs="Times New Roman"/>
          <w:color w:val="000000"/>
          <w:sz w:val="24"/>
          <w:szCs w:val="24"/>
          <w:shd w:val="clear" w:color="auto" w:fill="FFFFFF"/>
        </w:rPr>
        <w:t>Durante 2012 y 2013, la compañía recibió 198.211 activos problemáticos procedentes de esas entidades con el objetivo de sanear sus balances.</w:t>
      </w:r>
    </w:p>
    <w:p w:rsidR="000B6997" w:rsidRPr="00532A9D" w:rsidRDefault="000B6997" w:rsidP="000B6997">
      <w:pPr>
        <w:spacing w:line="240" w:lineRule="auto"/>
        <w:jc w:val="both"/>
        <w:rPr>
          <w:rFonts w:ascii="Times New Roman" w:hAnsi="Times New Roman" w:cs="Times New Roman"/>
          <w:color w:val="000000"/>
          <w:sz w:val="24"/>
          <w:szCs w:val="24"/>
          <w:shd w:val="clear" w:color="auto" w:fill="FFFFFF"/>
        </w:rPr>
      </w:pPr>
      <w:r w:rsidRPr="00532A9D">
        <w:rPr>
          <w:rFonts w:ascii="Times New Roman" w:hAnsi="Times New Roman" w:cs="Times New Roman"/>
          <w:color w:val="000000"/>
          <w:sz w:val="24"/>
          <w:szCs w:val="24"/>
          <w:shd w:val="clear" w:color="auto" w:fill="FFFFFF"/>
        </w:rPr>
        <w:t>Entidades participantes</w:t>
      </w:r>
    </w:p>
    <w:p w:rsidR="000B6997" w:rsidRDefault="000B6997" w:rsidP="000B6997">
      <w:pPr>
        <w:spacing w:line="240" w:lineRule="auto"/>
        <w:jc w:val="both"/>
        <w:rPr>
          <w:rFonts w:ascii="Times New Roman" w:hAnsi="Times New Roman" w:cs="Times New Roman"/>
          <w:color w:val="000000"/>
          <w:sz w:val="24"/>
          <w:szCs w:val="24"/>
          <w:shd w:val="clear" w:color="auto" w:fill="FFFFFF"/>
        </w:rPr>
      </w:pPr>
      <w:r w:rsidRPr="00532A9D">
        <w:rPr>
          <w:rFonts w:ascii="Times New Roman" w:hAnsi="Times New Roman" w:cs="Times New Roman"/>
          <w:color w:val="000000"/>
          <w:sz w:val="24"/>
          <w:szCs w:val="24"/>
          <w:shd w:val="clear" w:color="auto" w:fill="FFFFFF"/>
        </w:rPr>
        <w:t>La transmisión inicial de los activos, realizada en el mes de diciembre de 2012, fue ejecutada por las entidades del Grupo 1. En una segunda fase, realizada en el mes de febrero de 2013, transmitieron sus activos las entidades del Grupo 2.</w:t>
      </w:r>
    </w:p>
    <w:p w:rsidR="000B6997" w:rsidRDefault="000B6997" w:rsidP="000B699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532A9D">
        <w:rPr>
          <w:rFonts w:ascii="Times New Roman" w:hAnsi="Times New Roman" w:cs="Times New Roman"/>
          <w:noProof/>
          <w:color w:val="000000"/>
          <w:sz w:val="24"/>
          <w:szCs w:val="24"/>
          <w:shd w:val="clear" w:color="auto" w:fill="FFFFFF"/>
          <w:lang w:eastAsia="es-ES"/>
        </w:rPr>
        <w:drawing>
          <wp:inline distT="0" distB="0" distL="0" distR="0" wp14:anchorId="2E67761C" wp14:editId="522ADB79">
            <wp:extent cx="4908550" cy="2647950"/>
            <wp:effectExtent l="0" t="0" r="635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912773" cy="2650228"/>
                    </a:xfrm>
                    <a:prstGeom prst="rect">
                      <a:avLst/>
                    </a:prstGeom>
                  </pic:spPr>
                </pic:pic>
              </a:graphicData>
            </a:graphic>
          </wp:inline>
        </w:drawing>
      </w:r>
    </w:p>
    <w:p w:rsidR="000B6997" w:rsidRPr="00532A9D" w:rsidRDefault="000B6997" w:rsidP="000B699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532A9D">
        <w:rPr>
          <w:rFonts w:ascii="Times New Roman" w:hAnsi="Times New Roman" w:cs="Times New Roman"/>
          <w:noProof/>
          <w:color w:val="000000"/>
          <w:sz w:val="24"/>
          <w:szCs w:val="24"/>
          <w:shd w:val="clear" w:color="auto" w:fill="FFFFFF"/>
          <w:lang w:eastAsia="es-ES"/>
        </w:rPr>
        <w:drawing>
          <wp:inline distT="0" distB="0" distL="0" distR="0" wp14:anchorId="51329FDA" wp14:editId="1E2B4171">
            <wp:extent cx="4876800" cy="20066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881656" cy="2008598"/>
                    </a:xfrm>
                    <a:prstGeom prst="rect">
                      <a:avLst/>
                    </a:prstGeom>
                  </pic:spPr>
                </pic:pic>
              </a:graphicData>
            </a:graphic>
          </wp:inline>
        </w:drawing>
      </w:r>
    </w:p>
    <w:p w:rsidR="000B6997" w:rsidRPr="00532A9D" w:rsidRDefault="000B6997" w:rsidP="000B6997">
      <w:pPr>
        <w:spacing w:line="240" w:lineRule="auto"/>
        <w:jc w:val="both"/>
        <w:rPr>
          <w:rFonts w:ascii="Times New Roman" w:hAnsi="Times New Roman" w:cs="Times New Roman"/>
          <w:color w:val="000000"/>
          <w:sz w:val="24"/>
          <w:szCs w:val="24"/>
          <w:shd w:val="clear" w:color="auto" w:fill="FFFFFF"/>
        </w:rPr>
      </w:pPr>
      <w:r w:rsidRPr="00532A9D">
        <w:rPr>
          <w:rFonts w:ascii="Times New Roman" w:hAnsi="Times New Roman" w:cs="Times New Roman"/>
          <w:color w:val="000000"/>
          <w:sz w:val="24"/>
          <w:szCs w:val="24"/>
          <w:shd w:val="clear" w:color="auto" w:fill="FFFFFF"/>
        </w:rPr>
        <w:t xml:space="preserve">Esta cartera, que incluía préstamos a promotores e inmuebles adjudicados, fue adquirida mediante la emisión de bonos por 50.781 millones de euros avalados por el Tesoro Público. </w:t>
      </w:r>
      <w:r w:rsidRPr="00532A9D">
        <w:rPr>
          <w:rFonts w:ascii="Times New Roman" w:hAnsi="Times New Roman" w:cs="Times New Roman"/>
          <w:color w:val="000000"/>
          <w:sz w:val="24"/>
          <w:szCs w:val="24"/>
          <w:shd w:val="clear" w:color="auto" w:fill="FFFFFF"/>
        </w:rPr>
        <w:lastRenderedPageBreak/>
        <w:t>Desde entonces, Sareb ha gestionado cada activo con el objetivo de maximizar el repago de su deuda, buscando minimizar las pérdidas para el contribuyente.</w:t>
      </w:r>
    </w:p>
    <w:p w:rsidR="000B6997" w:rsidRPr="00532A9D" w:rsidRDefault="000B6997" w:rsidP="000B6997">
      <w:pPr>
        <w:spacing w:line="240" w:lineRule="auto"/>
        <w:jc w:val="both"/>
        <w:rPr>
          <w:rFonts w:ascii="Times New Roman" w:hAnsi="Times New Roman" w:cs="Times New Roman"/>
          <w:color w:val="000000"/>
          <w:sz w:val="24"/>
          <w:szCs w:val="24"/>
          <w:shd w:val="clear" w:color="auto" w:fill="FFFFFF"/>
        </w:rPr>
      </w:pPr>
      <w:r w:rsidRPr="00532A9D">
        <w:rPr>
          <w:rFonts w:ascii="Times New Roman" w:hAnsi="Times New Roman" w:cs="Times New Roman"/>
          <w:color w:val="000000"/>
          <w:sz w:val="24"/>
          <w:szCs w:val="24"/>
          <w:shd w:val="clear" w:color="auto" w:fill="FFFFFF"/>
        </w:rPr>
        <w:t xml:space="preserve">Desde la aprobación del Real Decreto-Ley 1/2022 ese mandato desinversor de Sareb se enriqueció con la incorporación en su gestión del principio de sostenibilidad y utilidad social. Este Real Decreto-Ley marca un hito en la trayectoria y gestión de la compañía. Asimismo, ese mismo año el FROB, Autoridad Nacional de Resolución Ejecutiva, alcanza la mayoría del </w:t>
      </w:r>
      <w:r>
        <w:rPr>
          <w:rFonts w:ascii="Times New Roman" w:hAnsi="Times New Roman" w:cs="Times New Roman"/>
          <w:color w:val="000000"/>
          <w:sz w:val="24"/>
          <w:szCs w:val="24"/>
          <w:shd w:val="clear" w:color="auto" w:fill="FFFFFF"/>
        </w:rPr>
        <w:t xml:space="preserve">capital social de la compañía. </w:t>
      </w:r>
    </w:p>
    <w:p w:rsidR="000B6997" w:rsidRDefault="000B6997" w:rsidP="000B6997">
      <w:pPr>
        <w:spacing w:line="240" w:lineRule="auto"/>
        <w:jc w:val="both"/>
        <w:rPr>
          <w:rFonts w:ascii="Times New Roman" w:hAnsi="Times New Roman" w:cs="Times New Roman"/>
          <w:color w:val="000000"/>
          <w:sz w:val="24"/>
          <w:szCs w:val="24"/>
          <w:shd w:val="clear" w:color="auto" w:fill="FFFFFF"/>
        </w:rPr>
      </w:pPr>
      <w:r w:rsidRPr="00532A9D">
        <w:rPr>
          <w:rFonts w:ascii="Times New Roman" w:hAnsi="Times New Roman" w:cs="Times New Roman"/>
          <w:color w:val="000000"/>
          <w:sz w:val="24"/>
          <w:szCs w:val="24"/>
          <w:shd w:val="clear" w:color="auto" w:fill="FFFFFF"/>
        </w:rPr>
        <w:t>El modelo de gestión de Sareb busca generar ingresos para repagar la deuda incurrida, mediante la gestión y venta de préstamos, transformación de estos en inmuebles para su posterior venta, desarrollo urbanístico de suelos y promociones inmobiliarias para potenciar su valor, finalización de promociones incompletas y acuerdos con las Administraciones públicas para la cesión temporal y venta de suelos y viviendas con finalidad social.</w:t>
      </w:r>
    </w:p>
    <w:p w:rsidR="000B6997" w:rsidRDefault="000B6997" w:rsidP="000B6997">
      <w:pPr>
        <w:spacing w:line="240" w:lineRule="auto"/>
        <w:jc w:val="both"/>
        <w:rPr>
          <w:rFonts w:ascii="Times New Roman" w:hAnsi="Times New Roman" w:cs="Times New Roman"/>
          <w:color w:val="000000"/>
          <w:sz w:val="24"/>
          <w:szCs w:val="24"/>
          <w:shd w:val="clear" w:color="auto" w:fill="FFFFFF"/>
        </w:rPr>
      </w:pPr>
      <w:r w:rsidRPr="00532A9D">
        <w:rPr>
          <w:rFonts w:ascii="Times New Roman" w:hAnsi="Times New Roman" w:cs="Times New Roman"/>
          <w:noProof/>
          <w:color w:val="000000"/>
          <w:sz w:val="24"/>
          <w:szCs w:val="24"/>
          <w:shd w:val="clear" w:color="auto" w:fill="FFFFFF"/>
          <w:lang w:eastAsia="es-ES"/>
        </w:rPr>
        <w:drawing>
          <wp:inline distT="0" distB="0" distL="0" distR="0" wp14:anchorId="7C7A5E52" wp14:editId="7D815A8F">
            <wp:extent cx="5731510" cy="5062834"/>
            <wp:effectExtent l="0" t="0" r="2540" b="508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5062834"/>
                    </a:xfrm>
                    <a:prstGeom prst="rect">
                      <a:avLst/>
                    </a:prstGeom>
                  </pic:spPr>
                </pic:pic>
              </a:graphicData>
            </a:graphic>
          </wp:inline>
        </w:drawing>
      </w:r>
    </w:p>
    <w:p w:rsidR="000B6997" w:rsidRDefault="000B6997" w:rsidP="000B6997">
      <w:pPr>
        <w:spacing w:line="240" w:lineRule="auto"/>
        <w:jc w:val="both"/>
        <w:rPr>
          <w:rFonts w:ascii="Times New Roman" w:hAnsi="Times New Roman" w:cs="Times New Roman"/>
          <w:color w:val="000000"/>
          <w:sz w:val="24"/>
          <w:szCs w:val="24"/>
          <w:shd w:val="clear" w:color="auto" w:fill="FFFFFF"/>
        </w:rPr>
      </w:pPr>
      <w:r w:rsidRPr="00F622C2">
        <w:rPr>
          <w:rFonts w:ascii="Times New Roman" w:hAnsi="Times New Roman" w:cs="Times New Roman"/>
          <w:noProof/>
          <w:color w:val="000000"/>
          <w:sz w:val="24"/>
          <w:szCs w:val="24"/>
          <w:shd w:val="clear" w:color="auto" w:fill="FFFFFF"/>
          <w:lang w:eastAsia="es-ES"/>
        </w:rPr>
        <w:drawing>
          <wp:inline distT="0" distB="0" distL="0" distR="0" wp14:anchorId="667C1A01" wp14:editId="41FE9485">
            <wp:extent cx="5731510" cy="1153621"/>
            <wp:effectExtent l="0" t="0" r="2540" b="889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1153621"/>
                    </a:xfrm>
                    <a:prstGeom prst="rect">
                      <a:avLst/>
                    </a:prstGeom>
                  </pic:spPr>
                </pic:pic>
              </a:graphicData>
            </a:graphic>
          </wp:inline>
        </w:drawing>
      </w:r>
    </w:p>
    <w:p w:rsidR="000B6997" w:rsidRDefault="000B6997" w:rsidP="000B6997">
      <w:pPr>
        <w:spacing w:line="240" w:lineRule="auto"/>
        <w:jc w:val="both"/>
        <w:rPr>
          <w:rFonts w:ascii="Times New Roman" w:hAnsi="Times New Roman" w:cs="Times New Roman"/>
          <w:color w:val="000000"/>
          <w:sz w:val="24"/>
          <w:szCs w:val="24"/>
          <w:shd w:val="clear" w:color="auto" w:fill="FFFFFF"/>
        </w:rPr>
      </w:pPr>
      <w:r w:rsidRPr="00F622C2">
        <w:rPr>
          <w:rFonts w:ascii="Times New Roman" w:hAnsi="Times New Roman" w:cs="Times New Roman"/>
          <w:noProof/>
          <w:color w:val="000000"/>
          <w:sz w:val="24"/>
          <w:szCs w:val="24"/>
          <w:shd w:val="clear" w:color="auto" w:fill="FFFFFF"/>
          <w:lang w:eastAsia="es-ES"/>
        </w:rPr>
        <w:lastRenderedPageBreak/>
        <w:drawing>
          <wp:inline distT="0" distB="0" distL="0" distR="0" wp14:anchorId="5E948B54" wp14:editId="03B20DA1">
            <wp:extent cx="5731510" cy="5565930"/>
            <wp:effectExtent l="0" t="0" r="254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5565930"/>
                    </a:xfrm>
                    <a:prstGeom prst="rect">
                      <a:avLst/>
                    </a:prstGeom>
                  </pic:spPr>
                </pic:pic>
              </a:graphicData>
            </a:graphic>
          </wp:inline>
        </w:drawing>
      </w:r>
    </w:p>
    <w:p w:rsidR="000B6997" w:rsidRPr="000B6997" w:rsidRDefault="000B6997" w:rsidP="000B6997">
      <w:pPr>
        <w:spacing w:line="240" w:lineRule="auto"/>
        <w:jc w:val="both"/>
        <w:rPr>
          <w:rFonts w:ascii="Times New Roman" w:hAnsi="Times New Roman" w:cs="Times New Roman"/>
          <w:color w:val="FF0000"/>
          <w:sz w:val="24"/>
          <w:szCs w:val="24"/>
          <w:u w:val="single"/>
          <w:shd w:val="clear" w:color="auto" w:fill="FFFFFF"/>
        </w:rPr>
      </w:pPr>
      <w:r w:rsidRPr="000B6997">
        <w:rPr>
          <w:rFonts w:ascii="Times New Roman" w:hAnsi="Times New Roman" w:cs="Times New Roman"/>
          <w:b/>
          <w:color w:val="FF0000"/>
          <w:sz w:val="24"/>
          <w:szCs w:val="24"/>
          <w:shd w:val="clear" w:color="auto" w:fill="FFFFFF"/>
        </w:rPr>
        <w:t>Nota</w:t>
      </w:r>
      <w:r w:rsidRPr="000B6997">
        <w:rPr>
          <w:rFonts w:ascii="Times New Roman" w:hAnsi="Times New Roman" w:cs="Times New Roman"/>
          <w:color w:val="FF0000"/>
          <w:sz w:val="24"/>
          <w:szCs w:val="24"/>
          <w:shd w:val="clear" w:color="auto" w:fill="FFFFFF"/>
        </w:rPr>
        <w:t xml:space="preserve">: </w:t>
      </w:r>
      <w:r w:rsidRPr="000B6997">
        <w:rPr>
          <w:rFonts w:ascii="Times New Roman" w:hAnsi="Times New Roman" w:cs="Times New Roman"/>
          <w:color w:val="FF0000"/>
          <w:sz w:val="24"/>
          <w:szCs w:val="24"/>
          <w:u w:val="single"/>
          <w:shd w:val="clear" w:color="auto" w:fill="FFFFFF"/>
        </w:rPr>
        <w:t>La verdad de la milanesa (un rescate a la banca pública, de lenta y difícil digestión)</w:t>
      </w:r>
    </w:p>
    <w:p w:rsidR="000B6997" w:rsidRPr="000B6997" w:rsidRDefault="000B6997" w:rsidP="000B6997">
      <w:pPr>
        <w:spacing w:line="240" w:lineRule="auto"/>
        <w:jc w:val="both"/>
        <w:rPr>
          <w:rFonts w:ascii="Times New Roman" w:hAnsi="Times New Roman" w:cs="Times New Roman"/>
          <w:color w:val="FF0000"/>
          <w:sz w:val="24"/>
          <w:szCs w:val="24"/>
          <w:shd w:val="clear" w:color="auto" w:fill="FFFFFF"/>
        </w:rPr>
      </w:pPr>
      <w:r w:rsidRPr="000B6997">
        <w:rPr>
          <w:rFonts w:ascii="Times New Roman" w:hAnsi="Times New Roman" w:cs="Times New Roman"/>
          <w:color w:val="FF0000"/>
          <w:sz w:val="24"/>
          <w:szCs w:val="24"/>
          <w:shd w:val="clear" w:color="auto" w:fill="FFFFFF"/>
        </w:rPr>
        <w:t>La Sociedad de Gestión de Activos Procedentes de la Reestructuración Bancaria (Sareb), nació con el objetivo de rescatar los activos inmobiliarios tóxicos (créditos impagados, viviendas sin construir, promociones quebradas, etc.) de los bancos y cajas de ahorros que tuvieron que ser rescatados tras la crisis económica de 2008. De hecho, la creación de la Sareb fue una de las condiciones de la Unión Europea para recibir el rescate financiero de hasta 100.000 millones de euros que se destinaron al rescate bancario.</w:t>
      </w:r>
    </w:p>
    <w:p w:rsidR="000B6997" w:rsidRPr="000B6997" w:rsidRDefault="000B6997" w:rsidP="000B6997">
      <w:pPr>
        <w:spacing w:line="240" w:lineRule="auto"/>
        <w:jc w:val="both"/>
        <w:rPr>
          <w:rFonts w:ascii="Times New Roman" w:hAnsi="Times New Roman" w:cs="Times New Roman"/>
          <w:color w:val="FF0000"/>
          <w:sz w:val="24"/>
          <w:szCs w:val="24"/>
          <w:shd w:val="clear" w:color="auto" w:fill="FFFFFF"/>
        </w:rPr>
      </w:pPr>
      <w:r w:rsidRPr="000B6997">
        <w:rPr>
          <w:rFonts w:ascii="Times New Roman" w:hAnsi="Times New Roman" w:cs="Times New Roman"/>
          <w:color w:val="FF0000"/>
          <w:sz w:val="24"/>
          <w:szCs w:val="24"/>
          <w:shd w:val="clear" w:color="auto" w:fill="FFFFFF"/>
        </w:rPr>
        <w:t xml:space="preserve">Inicialmente nació como una empresa privada y, en poco más de un año, llegó a gestionar casi 200.000 activos problemáticos por un valor de más de 50.000 millones de euros, según cifras de la propia entidad. En 2022, el Gobierno de Sánchez modificó la ley para convertirla en una institución pública. Ahora, será utilizada para promover el alquiler accesible y asequible. A esta entidad se la conoce como banco malo porque se dedica a comprar los activos tóxicos de otros bancos para sanear sus cuentas y fomentar el crédito a empresas y familias. La financiación se consigue a través de inversores privados, dinero público o de la propia entidad financiera. </w:t>
      </w:r>
    </w:p>
    <w:p w:rsidR="000B6997" w:rsidRPr="000B6997" w:rsidRDefault="000B6997" w:rsidP="000B6997">
      <w:pPr>
        <w:spacing w:line="240" w:lineRule="auto"/>
        <w:jc w:val="both"/>
        <w:rPr>
          <w:rFonts w:ascii="Times New Roman" w:hAnsi="Times New Roman" w:cs="Times New Roman"/>
          <w:color w:val="FF0000"/>
          <w:sz w:val="24"/>
          <w:szCs w:val="24"/>
          <w:shd w:val="clear" w:color="auto" w:fill="FFFFFF"/>
        </w:rPr>
      </w:pPr>
      <w:r w:rsidRPr="000B6997">
        <w:rPr>
          <w:rFonts w:ascii="Times New Roman" w:hAnsi="Times New Roman" w:cs="Times New Roman"/>
          <w:color w:val="FF0000"/>
          <w:sz w:val="24"/>
          <w:szCs w:val="24"/>
          <w:shd w:val="clear" w:color="auto" w:fill="FFFFFF"/>
        </w:rPr>
        <w:lastRenderedPageBreak/>
        <w:t>A pesar de no realizar depósitos, ni créditos hipotecarios, ni “ninguna tarea propia de un banco”, su negocio radica en que compran a los bancos los distintos activos tóxicos a un precio inferior al que estos pagaron por adquirirlos, ya que han perdido valor de cara a intentar cancelar la deuda emitida. De este modo, los bancos pierden dinero, pero logran sanean sus cuentas y el organismo dispone de pisos, casas, solares, promociones a medio hacer y activos similares.</w:t>
      </w:r>
    </w:p>
    <w:p w:rsidR="000B6997"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Pr>
          <w:rFonts w:ascii="Times New Roman" w:hAnsi="Times New Roman" w:cs="Times New Roman"/>
          <w:color w:val="191919"/>
          <w:sz w:val="24"/>
          <w:szCs w:val="24"/>
        </w:rPr>
        <w:t xml:space="preserve">- </w:t>
      </w:r>
      <w:r w:rsidRPr="003870D7">
        <w:rPr>
          <w:rFonts w:ascii="Times New Roman" w:hAnsi="Times New Roman" w:cs="Times New Roman"/>
          <w:color w:val="191919"/>
          <w:sz w:val="24"/>
          <w:szCs w:val="24"/>
          <w:u w:val="single"/>
        </w:rPr>
        <w:t>Sareb, historia de una ruina anunciada</w:t>
      </w:r>
      <w:r>
        <w:rPr>
          <w:rFonts w:ascii="Times New Roman" w:hAnsi="Times New Roman" w:cs="Times New Roman"/>
          <w:color w:val="191919"/>
          <w:sz w:val="24"/>
          <w:szCs w:val="24"/>
        </w:rPr>
        <w:t xml:space="preserve"> (OKdiario - </w:t>
      </w:r>
      <w:r w:rsidRPr="00F54CB0">
        <w:rPr>
          <w:rFonts w:ascii="Times New Roman" w:hAnsi="Times New Roman" w:cs="Times New Roman"/>
          <w:b/>
          <w:color w:val="191919"/>
          <w:sz w:val="24"/>
          <w:szCs w:val="24"/>
        </w:rPr>
        <w:t>28/4/24</w:t>
      </w:r>
      <w:r>
        <w:rPr>
          <w:rFonts w:ascii="Times New Roman" w:hAnsi="Times New Roman" w:cs="Times New Roman"/>
          <w:color w:val="191919"/>
          <w:sz w:val="24"/>
          <w:szCs w:val="24"/>
        </w:rPr>
        <w:t>)</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Lo que mal empieza, mal acaba. La Sareb empezó muy mal y esta semana ha certificado su quiebra, 12 años después. Algo que todo el mundo sabía que iba a ocurrir. Su actual presidente, Leopoldo Puig, ha reconocido que no podrá hacer frente a su deuda, de 29.413 millones, antes de 2027, la fec</w:t>
      </w:r>
      <w:r>
        <w:rPr>
          <w:rFonts w:ascii="Times New Roman" w:hAnsi="Times New Roman" w:cs="Times New Roman"/>
          <w:color w:val="191919"/>
          <w:sz w:val="24"/>
          <w:szCs w:val="24"/>
        </w:rPr>
        <w:t>ha de caducidad del banco malo.</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Normal, con unos fondos propios negativos de 14.600 millones (se le hizo una excepción a la ley ad hoc para ella para seguir operando en quiebra técnica) y unas pérdidas acumuladas de más de 10.400 millones. Perdió 2.198 millones en 2023, un 46% más que en 2022; o sea, la cosa no va a mejor, sino todo lo contrario.</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¿Cómo se ha llegado a esta ruina? El banco malo fue una exigencia de Bruselas a cambio del rescate financiero de España, que era imprescindible con la quiebra generalizada de las cajas de ahorros y la desconfianza mundial en nuestro país que había disparado la prima de riesgo. A Mariano Rajoy no le hacía ninguna gracia -con razón, como ha quedado demo</w:t>
      </w:r>
      <w:r w:rsidR="00F54CB0">
        <w:rPr>
          <w:rFonts w:ascii="Times New Roman" w:hAnsi="Times New Roman" w:cs="Times New Roman"/>
          <w:color w:val="191919"/>
          <w:sz w:val="24"/>
          <w:szCs w:val="24"/>
        </w:rPr>
        <w:t>strado-, pero no le quedó otra.</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La idea del banco malo era crear una sociedad a la que las entidades rescatadas traspasarían sus activos tóxicos, crédito promotor e inmuebles adjudicados, para sacarlos de su balance y así poder venderlas y evitar su liquidación. Y vender esos activos a lo largo de 15 años -hasta 2027- para recuperar todo el dinero</w:t>
      </w:r>
      <w:r>
        <w:rPr>
          <w:rFonts w:ascii="Times New Roman" w:hAnsi="Times New Roman" w:cs="Times New Roman"/>
          <w:color w:val="191919"/>
          <w:sz w:val="24"/>
          <w:szCs w:val="24"/>
        </w:rPr>
        <w:t xml:space="preserve"> posible para el contribuyente.</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El pecado original</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Sí, las cajas podrían haber sido liquidadas sin más, incluso nos habríamos ahorrado el rescate con dinero público; los defensores de la solución tomada dicen que eso habría hecho perder dinero a sus clientes porque el Fondo de Garantía de Depósitos no podía cubrir el agujero. No sé yo, visto lo visto. Y además, está el riesgo moral: da igual lo que haga un banco -el riesgo que asuma o la gestión que realice- po</w:t>
      </w:r>
      <w:r>
        <w:rPr>
          <w:rFonts w:ascii="Times New Roman" w:hAnsi="Times New Roman" w:cs="Times New Roman"/>
          <w:color w:val="191919"/>
          <w:sz w:val="24"/>
          <w:szCs w:val="24"/>
        </w:rPr>
        <w:t>rque no le van a dejar quebrar.</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Pero volvamos a Sareb. El error fundacional, la causa de la quiebra actu</w:t>
      </w:r>
      <w:r>
        <w:rPr>
          <w:rFonts w:ascii="Times New Roman" w:hAnsi="Times New Roman" w:cs="Times New Roman"/>
          <w:color w:val="191919"/>
          <w:sz w:val="24"/>
          <w:szCs w:val="24"/>
        </w:rPr>
        <w:t>al, fue lo que se llamaron los “precios de transferencia”</w:t>
      </w:r>
      <w:r w:rsidRPr="004C78F2">
        <w:rPr>
          <w:rFonts w:ascii="Times New Roman" w:hAnsi="Times New Roman" w:cs="Times New Roman"/>
          <w:color w:val="191919"/>
          <w:sz w:val="24"/>
          <w:szCs w:val="24"/>
        </w:rPr>
        <w:t>, es decir, el valor al que se traspasaron esos activos de las cajas al banco malo. Se impuso un fuerte recorte respecto a cómo los tenían valorados las entidades, pero, aun así, estaban muy por encima del precio de mercado, en ese momento (los suelos valían cero, por ejemplo)… y ahora. Así lo demuestra que en 2023 Sareb siga sin ser capaz de vender un piso sin perder dinero. Y los pisos han subido desde 2012, y mucho. Pero lo de la burbuja inmobiliaria fue aberrante.</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Esos precios fueron</w:t>
      </w:r>
      <w:r>
        <w:rPr>
          <w:rFonts w:ascii="Times New Roman" w:hAnsi="Times New Roman" w:cs="Times New Roman"/>
          <w:color w:val="191919"/>
          <w:sz w:val="24"/>
          <w:szCs w:val="24"/>
        </w:rPr>
        <w:t xml:space="preserve"> decididos por </w:t>
      </w:r>
      <w:r w:rsidRPr="004C78F2">
        <w:rPr>
          <w:rFonts w:ascii="Times New Roman" w:hAnsi="Times New Roman" w:cs="Times New Roman"/>
          <w:color w:val="191919"/>
          <w:sz w:val="24"/>
          <w:szCs w:val="24"/>
        </w:rPr>
        <w:t>Miguel</w:t>
      </w:r>
      <w:r>
        <w:rPr>
          <w:rFonts w:ascii="Times New Roman" w:hAnsi="Times New Roman" w:cs="Times New Roman"/>
          <w:color w:val="191919"/>
          <w:sz w:val="24"/>
          <w:szCs w:val="24"/>
        </w:rPr>
        <w:t xml:space="preserve"> Ángel Fernández Ordóñez</w:t>
      </w:r>
      <w:r w:rsidRPr="004C78F2">
        <w:rPr>
          <w:rFonts w:ascii="Times New Roman" w:hAnsi="Times New Roman" w:cs="Times New Roman"/>
          <w:color w:val="191919"/>
          <w:sz w:val="24"/>
          <w:szCs w:val="24"/>
        </w:rPr>
        <w:t>, el gobernador socialista del Banco de España que permitió el desmadre de las cajas y luego trató de ocultar el desastre hasta que fue imposible taparlo. Con el visto bueno del Ministerio de Economía de Luis de Guindos, que eso ta</w:t>
      </w:r>
      <w:r>
        <w:rPr>
          <w:rFonts w:ascii="Times New Roman" w:hAnsi="Times New Roman" w:cs="Times New Roman"/>
          <w:color w:val="191919"/>
          <w:sz w:val="24"/>
          <w:szCs w:val="24"/>
        </w:rPr>
        <w:t>mbién hay que decirlo.</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lastRenderedPageBreak/>
        <w:t>Además, Cristóbal Montoro</w:t>
      </w:r>
      <w:r>
        <w:rPr>
          <w:rFonts w:ascii="Times New Roman" w:hAnsi="Times New Roman" w:cs="Times New Roman"/>
          <w:color w:val="191919"/>
          <w:sz w:val="24"/>
          <w:szCs w:val="24"/>
        </w:rPr>
        <w:t xml:space="preserve"> (el Ministro de Hacienda, en el gobierno de Mariano Rajoy)</w:t>
      </w:r>
      <w:r w:rsidRPr="004C78F2">
        <w:rPr>
          <w:rFonts w:ascii="Times New Roman" w:hAnsi="Times New Roman" w:cs="Times New Roman"/>
          <w:color w:val="191919"/>
          <w:sz w:val="24"/>
          <w:szCs w:val="24"/>
        </w:rPr>
        <w:t xml:space="preserve"> se negó a que la deuda con que nacía Sareb, 51.000 millones, computara como deuda pública con la prima como estaba, así que exigió que el 51% del capital fuera a manos privada</w:t>
      </w:r>
      <w:r>
        <w:rPr>
          <w:rFonts w:ascii="Times New Roman" w:hAnsi="Times New Roman" w:cs="Times New Roman"/>
          <w:color w:val="191919"/>
          <w:sz w:val="24"/>
          <w:szCs w:val="24"/>
        </w:rPr>
        <w:t>s</w:t>
      </w:r>
      <w:r w:rsidRPr="004C78F2">
        <w:rPr>
          <w:rFonts w:ascii="Times New Roman" w:hAnsi="Times New Roman" w:cs="Times New Roman"/>
          <w:color w:val="191919"/>
          <w:sz w:val="24"/>
          <w:szCs w:val="24"/>
        </w:rPr>
        <w:t xml:space="preserve"> para no consolidar en las cuentas del Estado. Así que el Gobierno trajo del ronzal a todos los bancos y cajas sanos (la cursiva viene porque se incluía el Popular) y a varias aseguradoras para que compraran capital y deuda subordinada, a pesar de que todos sabían que aquello iba a ser una ruina. El único que lo dijo públicamente y se negó a entrar en Sareb fue BBVA, como se había negado a acudir a la salida a Bolsa de Bankia. De ahí </w:t>
      </w:r>
      <w:r>
        <w:rPr>
          <w:rFonts w:ascii="Times New Roman" w:hAnsi="Times New Roman" w:cs="Times New Roman"/>
          <w:color w:val="191919"/>
          <w:sz w:val="24"/>
          <w:szCs w:val="24"/>
        </w:rPr>
        <w:t xml:space="preserve">viene su enemistad con Guindos (Ministro de </w:t>
      </w:r>
      <w:r w:rsidR="00FE562B">
        <w:rPr>
          <w:rFonts w:ascii="Times New Roman" w:hAnsi="Times New Roman" w:cs="Times New Roman"/>
          <w:color w:val="191919"/>
          <w:sz w:val="24"/>
          <w:szCs w:val="24"/>
        </w:rPr>
        <w:t>Economía</w:t>
      </w:r>
      <w:r>
        <w:rPr>
          <w:rFonts w:ascii="Times New Roman" w:hAnsi="Times New Roman" w:cs="Times New Roman"/>
          <w:color w:val="191919"/>
          <w:sz w:val="24"/>
          <w:szCs w:val="24"/>
        </w:rPr>
        <w:t>, del gobierno de Mariano Rajoy)</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Pérdidas todos los años</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Por cierto, el ahora vicepresidente del BCE también se empeñó en poner al frente de Sareb a su protegida Belén Romana, después de no conseguir colocarla en el BCE ni en la CNMV. La obsesión de Rom</w:t>
      </w:r>
      <w:r>
        <w:rPr>
          <w:rFonts w:ascii="Times New Roman" w:hAnsi="Times New Roman" w:cs="Times New Roman"/>
          <w:color w:val="191919"/>
          <w:sz w:val="24"/>
          <w:szCs w:val="24"/>
        </w:rPr>
        <w:t>ana era decir todo el rato que “Sareb ni es un banco ni es malo”</w:t>
      </w:r>
      <w:r w:rsidRPr="004C78F2">
        <w:rPr>
          <w:rFonts w:ascii="Times New Roman" w:hAnsi="Times New Roman" w:cs="Times New Roman"/>
          <w:color w:val="191919"/>
          <w:sz w:val="24"/>
          <w:szCs w:val="24"/>
        </w:rPr>
        <w:t>, pero no estaba ni de lejos capacitada para esa ingente tarea. El resultado fue el rotundo fracaso que cabía esperar, que acabó su sustitución por alguien que sí sabía del negocio: el tristemente fallecido Jaime Echegoyen, exconsejero delegado de Bankinter, quien tampoco logró enderezar el barco. Pesaba demasiado como para no hundirse.</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Desde entonces, Sareb ha perdido dinero todos los años. Entre otras cosas, porque el Banco de España le obligó a retasar un tercio de sus activos todos los años y a apuntarse la pérdida correspondiente, como cualquier otra inmobiliaria. Ante el desastre, hubo que cambiar la ley para que no entrara en causa de disolución. Y, más grave, ha obligado a que el Estado inyecte una y otra vez dinero en el FROB (el fondo de rescate bancario a través del que detenta la participación e</w:t>
      </w:r>
      <w:r>
        <w:rPr>
          <w:rFonts w:ascii="Times New Roman" w:hAnsi="Times New Roman" w:cs="Times New Roman"/>
          <w:color w:val="191919"/>
          <w:sz w:val="24"/>
          <w:szCs w:val="24"/>
        </w:rPr>
        <w:t>n Sareb) para tapar el agujero.</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La puntilla para Sareb llegó de los mismos que forzaron su creación, la Comisión Europea, cuando obligó a que el Estado asumiera toda la deuda viva de la sociedad como pública con el argumento de que, si el banco malo no puede devolverla, el Tesoro público tiene que garantizarla, como así va a ocurrir finalmente. Ante esta situación, no tenía sentido mantener a los bancos y aseguradoras en el capital; además, ya hacía muchos años que las entidades habían amortizado sus participaciones con valor cero, como sabían desde el principio. Y el Gobierno de Pedro Sánchez l</w:t>
      </w:r>
      <w:r>
        <w:rPr>
          <w:rFonts w:ascii="Times New Roman" w:hAnsi="Times New Roman" w:cs="Times New Roman"/>
          <w:color w:val="191919"/>
          <w:sz w:val="24"/>
          <w:szCs w:val="24"/>
        </w:rPr>
        <w:t>a nacionalizó en enero de 2022…</w:t>
      </w:r>
    </w:p>
    <w:p w:rsidR="000B6997" w:rsidRPr="004C78F2" w:rsidRDefault="000B6997" w:rsidP="000B6997">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En fin, Sareb nació mal y ha acabado peor: con 29.000 millones más que tenemos que pagar los españoles. Descanse en paz.</w:t>
      </w:r>
    </w:p>
    <w:p w:rsidR="00F54CB0" w:rsidRPr="000B6997" w:rsidRDefault="00F54CB0" w:rsidP="00F54CB0">
      <w:pPr>
        <w:pStyle w:val="Ttulo1"/>
        <w:spacing w:before="0"/>
        <w:jc w:val="both"/>
        <w:rPr>
          <w:rFonts w:ascii="Times New Roman" w:hAnsi="Times New Roman" w:cs="Times New Roman"/>
          <w:b w:val="0"/>
          <w:color w:val="111111"/>
          <w:sz w:val="24"/>
          <w:szCs w:val="24"/>
        </w:rPr>
      </w:pPr>
      <w:r w:rsidRPr="000B6997">
        <w:rPr>
          <w:rFonts w:ascii="Times New Roman" w:hAnsi="Times New Roman" w:cs="Times New Roman"/>
          <w:b w:val="0"/>
          <w:color w:val="111111"/>
          <w:sz w:val="24"/>
          <w:szCs w:val="24"/>
        </w:rPr>
        <w:t>¿</w:t>
      </w:r>
      <w:r w:rsidRPr="000B6997">
        <w:rPr>
          <w:rFonts w:ascii="Times New Roman" w:hAnsi="Times New Roman" w:cs="Times New Roman"/>
          <w:b w:val="0"/>
          <w:color w:val="111111"/>
          <w:sz w:val="24"/>
          <w:szCs w:val="24"/>
          <w:u w:val="single"/>
        </w:rPr>
        <w:t>Cuántas de las casas que tiene la Sareb están vacías? ¿Dónde están estas viviendas</w:t>
      </w:r>
      <w:r w:rsidRPr="000B6997">
        <w:rPr>
          <w:rFonts w:ascii="Times New Roman" w:hAnsi="Times New Roman" w:cs="Times New Roman"/>
          <w:b w:val="0"/>
          <w:color w:val="111111"/>
          <w:sz w:val="24"/>
          <w:szCs w:val="24"/>
        </w:rPr>
        <w:t xml:space="preserve">? (El País - </w:t>
      </w:r>
      <w:r w:rsidRPr="000B6997">
        <w:rPr>
          <w:rFonts w:ascii="Times New Roman" w:hAnsi="Times New Roman" w:cs="Times New Roman"/>
          <w:color w:val="111111"/>
          <w:sz w:val="24"/>
          <w:szCs w:val="24"/>
        </w:rPr>
        <w:t>26/11/24</w:t>
      </w:r>
      <w:r w:rsidRPr="000B6997">
        <w:rPr>
          <w:rFonts w:ascii="Times New Roman" w:hAnsi="Times New Roman" w:cs="Times New Roman"/>
          <w:b w:val="0"/>
          <w:color w:val="111111"/>
          <w:sz w:val="24"/>
          <w:szCs w:val="24"/>
        </w:rPr>
        <w:t>)</w:t>
      </w:r>
    </w:p>
    <w:p w:rsidR="00F54CB0" w:rsidRPr="004C78F2" w:rsidRDefault="00F54CB0" w:rsidP="00F54CB0">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El 43% de las casas que controla la Sociedad de Gestión de Activos Procedentes de la Reestructuración Bancaria (Sareb) están vacías. En total hay más de 14.300 viviendas libres, según datos de la entidad pública.</w:t>
      </w:r>
    </w:p>
    <w:p w:rsidR="00F54CB0" w:rsidRPr="004C78F2" w:rsidRDefault="00F54CB0" w:rsidP="00F54CB0">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bCs/>
          <w:color w:val="191919"/>
          <w:sz w:val="24"/>
          <w:szCs w:val="24"/>
        </w:rPr>
        <w:t>Los datos:</w:t>
      </w:r>
    </w:p>
    <w:p w:rsidR="00F54CB0" w:rsidRPr="004C78F2" w:rsidRDefault="00F54CB0" w:rsidP="00F54CB0">
      <w:pPr>
        <w:numPr>
          <w:ilvl w:val="0"/>
          <w:numId w:val="7"/>
        </w:num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La entidad pública cuenta actualmente con más de 33.500 viviendas en su balance.</w:t>
      </w:r>
    </w:p>
    <w:p w:rsidR="00F54CB0" w:rsidRPr="004C78F2" w:rsidRDefault="00F54CB0" w:rsidP="00F54CB0">
      <w:pPr>
        <w:numPr>
          <w:ilvl w:val="0"/>
          <w:numId w:val="7"/>
        </w:num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lastRenderedPageBreak/>
        <w:t>De ellas, 19.164 están habitadas y 14.359 permanecen clasificadas como “libres” (es decir, aquellas que no están ocupadas y que, en teoría, podrían incorporarse al mercado).</w:t>
      </w:r>
    </w:p>
    <w:p w:rsidR="00F54CB0" w:rsidRPr="004C78F2" w:rsidRDefault="00F54CB0" w:rsidP="00F54CB0">
      <w:pPr>
        <w:numPr>
          <w:ilvl w:val="0"/>
          <w:numId w:val="7"/>
        </w:num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Solo un tercio están disponible para su venta inmediata (unas 4.800).</w:t>
      </w:r>
    </w:p>
    <w:p w:rsidR="00F54CB0" w:rsidRPr="004C78F2" w:rsidRDefault="00F54CB0" w:rsidP="00F54CB0">
      <w:pPr>
        <w:numPr>
          <w:ilvl w:val="0"/>
          <w:numId w:val="7"/>
        </w:num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color w:val="191919"/>
          <w:sz w:val="24"/>
          <w:szCs w:val="24"/>
        </w:rPr>
        <w:t>El resto (más de 9.500) están en diversas fases de adecuación.</w:t>
      </w:r>
    </w:p>
    <w:p w:rsidR="00F54CB0" w:rsidRPr="004C78F2" w:rsidRDefault="00F54CB0" w:rsidP="00F54CB0">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bCs/>
          <w:color w:val="191919"/>
          <w:sz w:val="24"/>
          <w:szCs w:val="24"/>
        </w:rPr>
        <w:t>El problema: </w:t>
      </w:r>
      <w:r w:rsidRPr="004C78F2">
        <w:rPr>
          <w:rFonts w:ascii="Times New Roman" w:hAnsi="Times New Roman" w:cs="Times New Roman"/>
          <w:color w:val="191919"/>
          <w:sz w:val="24"/>
          <w:szCs w:val="24"/>
        </w:rPr>
        <w:t>el tiempo, principalmente. Algunas de las viviendas ya se están comercializando, otras están siendo reformadas o están pendientes de algún trámite legal que puede tardar hasta dos años.</w:t>
      </w:r>
    </w:p>
    <w:p w:rsidR="00F54CB0" w:rsidRDefault="00F54CB0" w:rsidP="00F54CB0">
      <w:pPr>
        <w:spacing w:before="100" w:beforeAutospacing="1" w:after="100" w:afterAutospacing="1" w:line="240" w:lineRule="auto"/>
        <w:jc w:val="both"/>
        <w:rPr>
          <w:rFonts w:ascii="Times New Roman" w:hAnsi="Times New Roman" w:cs="Times New Roman"/>
          <w:color w:val="191919"/>
          <w:sz w:val="24"/>
          <w:szCs w:val="24"/>
        </w:rPr>
      </w:pPr>
      <w:r w:rsidRPr="004C78F2">
        <w:rPr>
          <w:rFonts w:ascii="Times New Roman" w:hAnsi="Times New Roman" w:cs="Times New Roman"/>
          <w:bCs/>
          <w:color w:val="191919"/>
          <w:sz w:val="24"/>
          <w:szCs w:val="24"/>
        </w:rPr>
        <w:t>¿Dónde están estás viviendas? </w:t>
      </w:r>
      <w:r w:rsidRPr="004C78F2">
        <w:rPr>
          <w:rFonts w:ascii="Times New Roman" w:hAnsi="Times New Roman" w:cs="Times New Roman"/>
          <w:color w:val="191919"/>
          <w:sz w:val="24"/>
          <w:szCs w:val="24"/>
        </w:rPr>
        <w:t>Más de la mitad de ellas están en Cataluña, Galicia y la Comunidad Valenciana.</w:t>
      </w:r>
    </w:p>
    <w:p w:rsidR="00F54CB0" w:rsidRDefault="00F54CB0" w:rsidP="00F54CB0">
      <w:pPr>
        <w:spacing w:line="240" w:lineRule="auto"/>
        <w:jc w:val="both"/>
        <w:rPr>
          <w:rFonts w:ascii="Times New Roman" w:hAnsi="Times New Roman" w:cs="Times New Roman"/>
          <w:color w:val="FF0000"/>
          <w:sz w:val="24"/>
          <w:szCs w:val="24"/>
          <w:shd w:val="clear" w:color="auto" w:fill="FFFFFF"/>
        </w:rPr>
      </w:pPr>
      <w:r w:rsidRPr="00F622C2">
        <w:rPr>
          <w:rFonts w:ascii="Times New Roman" w:hAnsi="Times New Roman" w:cs="Times New Roman"/>
          <w:color w:val="FF0000"/>
          <w:sz w:val="24"/>
          <w:szCs w:val="24"/>
          <w:shd w:val="clear" w:color="auto" w:fill="FFFFFF"/>
        </w:rPr>
        <w:t>- Cerrar el CIS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El Centro de Investigaciones Sociológicas es un organismo autónomo adscrito al Ministerio de la Presidencia, Justicia y Relaciones con las Cortes que tiene por finalidad el estudio científico de la sociedad española. Para el cumplimiento de esta finalidad ejerce funciones tales como:</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791C59">
        <w:rPr>
          <w:rFonts w:ascii="Times New Roman" w:hAnsi="Times New Roman" w:cs="Times New Roman"/>
          <w:sz w:val="24"/>
          <w:szCs w:val="24"/>
          <w:shd w:val="clear" w:color="auto" w:fill="FFFFFF"/>
        </w:rPr>
        <w:t>La programación, diseño y realización de estudios que contribuyan al conocimiento científico de la sociedad española, principalmente mediante la ejecución de encuestas.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791C59">
        <w:rPr>
          <w:rFonts w:ascii="Times New Roman" w:hAnsi="Times New Roman" w:cs="Times New Roman"/>
          <w:sz w:val="24"/>
          <w:szCs w:val="24"/>
          <w:shd w:val="clear" w:color="auto" w:fill="FFFFFF"/>
        </w:rPr>
        <w:t>La programación, diseño y realización de estudios que contribuyan al conocimiento científico de la realidad social de las diferentes comunidades autónomas.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791C59">
        <w:rPr>
          <w:rFonts w:ascii="Times New Roman" w:hAnsi="Times New Roman" w:cs="Times New Roman"/>
          <w:sz w:val="24"/>
          <w:szCs w:val="24"/>
          <w:shd w:val="clear" w:color="auto" w:fill="FFFFFF"/>
        </w:rPr>
        <w:t>La realización de estudios que proporcionen diagnósticos sobre situaciones y asuntos sociales y sirvan de orientación a los poderes públicos en sus iniciativas normativas y ejecutivas.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791C59">
        <w:rPr>
          <w:rFonts w:ascii="Times New Roman" w:hAnsi="Times New Roman" w:cs="Times New Roman"/>
          <w:sz w:val="24"/>
          <w:szCs w:val="24"/>
          <w:shd w:val="clear" w:color="auto" w:fill="FFFFFF"/>
        </w:rPr>
        <w:t>La creación y mantenimiento de bases de datos.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791C59">
        <w:rPr>
          <w:rFonts w:ascii="Times New Roman" w:hAnsi="Times New Roman" w:cs="Times New Roman"/>
          <w:sz w:val="24"/>
          <w:szCs w:val="24"/>
          <w:shd w:val="clear" w:color="auto" w:fill="FFFFFF"/>
        </w:rPr>
        <w:t>El desarrollo de trabajos de documentación y la difusión de los resultados de la actividad científica del organismo, así como de otros estudios de naturaleza académica que contribuyan al conocimiento científico de la sociedad española.</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791C59">
        <w:rPr>
          <w:rFonts w:ascii="Times New Roman" w:hAnsi="Times New Roman" w:cs="Times New Roman"/>
          <w:sz w:val="24"/>
          <w:szCs w:val="24"/>
          <w:shd w:val="clear" w:color="auto" w:fill="FFFFFF"/>
        </w:rPr>
        <w:t>La promoción y estímulo de la investigación social aplicada, mediante la organización de cursos y seminarios, la convocatoria de becas, ayudas y premios, y la participación en programas de formación de técnicos y especialistas en la materia.</w:t>
      </w:r>
    </w:p>
    <w:p w:rsidR="00F54CB0"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791C59">
        <w:rPr>
          <w:rFonts w:ascii="Times New Roman" w:hAnsi="Times New Roman" w:cs="Times New Roman"/>
          <w:sz w:val="24"/>
          <w:szCs w:val="24"/>
          <w:shd w:val="clear" w:color="auto" w:fill="FFFFFF"/>
        </w:rPr>
        <w:t>El fomento de la colaboración científica con centros universitarios y de investigación para la realización de proyectos de investigación conjuntos, para la formación de investigadores en ciencias sociales, para la participación en reuniones y congresos, tanto a nivel nacional como internacional, y para la realización de planes de intercambio y cooperación con entidades españolas y extranjeras especializadas.</w:t>
      </w:r>
    </w:p>
    <w:p w:rsidR="00F54CB0" w:rsidRDefault="00F54CB0" w:rsidP="00F54CB0">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292EF4">
        <w:rPr>
          <w:rFonts w:ascii="Times New Roman" w:hAnsi="Times New Roman" w:cs="Times New Roman"/>
          <w:color w:val="000000"/>
          <w:sz w:val="24"/>
          <w:szCs w:val="24"/>
          <w:shd w:val="clear" w:color="auto" w:fill="FFFFFF"/>
        </w:rPr>
        <w:t>¿</w:t>
      </w:r>
      <w:r w:rsidRPr="003870D7">
        <w:rPr>
          <w:rFonts w:ascii="Times New Roman" w:hAnsi="Times New Roman" w:cs="Times New Roman"/>
          <w:color w:val="000000"/>
          <w:sz w:val="24"/>
          <w:szCs w:val="24"/>
          <w:u w:val="single"/>
          <w:shd w:val="clear" w:color="auto" w:fill="FFFFFF"/>
        </w:rPr>
        <w:t>Cuánto cuesta el CIS? El organismo presidido por Tezanos contó con 15,9 millones de euros en 2023, el presupuesto más alto en 15 años</w:t>
      </w:r>
      <w:r>
        <w:rPr>
          <w:rFonts w:ascii="Times New Roman" w:hAnsi="Times New Roman" w:cs="Times New Roman"/>
          <w:color w:val="000000"/>
          <w:sz w:val="24"/>
          <w:szCs w:val="24"/>
          <w:shd w:val="clear" w:color="auto" w:fill="FFFFFF"/>
        </w:rPr>
        <w:t xml:space="preserve"> (newtral - </w:t>
      </w:r>
      <w:r w:rsidRPr="003870D7">
        <w:rPr>
          <w:rFonts w:ascii="Times New Roman" w:hAnsi="Times New Roman" w:cs="Times New Roman"/>
          <w:b/>
          <w:color w:val="000000"/>
          <w:sz w:val="24"/>
          <w:szCs w:val="24"/>
          <w:shd w:val="clear" w:color="auto" w:fill="FFFFFF"/>
        </w:rPr>
        <w:t>30/4/24</w:t>
      </w:r>
      <w:r>
        <w:rPr>
          <w:rFonts w:ascii="Times New Roman" w:hAnsi="Times New Roman" w:cs="Times New Roman"/>
          <w:color w:val="000000"/>
          <w:sz w:val="24"/>
          <w:szCs w:val="24"/>
          <w:shd w:val="clear" w:color="auto" w:fill="FFFFFF"/>
        </w:rPr>
        <w:t>)</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 xml:space="preserve">El Centro Superior de Investigaciones Sociológicas (CIS) contó con un presupuesto de 15.942.730 euros en 2023, un 43,7% más con respecto a 2022 (11.087.090 euros) y el más alto de los últimos 15 años. Así lo reflejan los datos extraídos por Newtral.es de las partidas </w:t>
      </w:r>
      <w:r w:rsidRPr="004B36A3">
        <w:rPr>
          <w:rFonts w:ascii="Times New Roman" w:hAnsi="Times New Roman" w:cs="Times New Roman"/>
          <w:color w:val="000000"/>
          <w:sz w:val="24"/>
          <w:szCs w:val="24"/>
          <w:shd w:val="clear" w:color="auto" w:fill="FFFFFF"/>
        </w:rPr>
        <w:lastRenderedPageBreak/>
        <w:t>del CIS publicadas en los Presupuestos Generales del Estado (PGE) desde 2009, fecha en la que el organismo tuvo una financiación de 8,7 millones.</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Los PGE de 2023 recogían un presupuesto inicial de 12.659.110 euros para la institución presidida por José Félix Tezanos, pero el organismo recibió una partida adicional de 3.283.616 euros aprobada por el Consejo de Ministros en marzo del año pasado, con lo que la dotación presupuestaria final fue</w:t>
      </w:r>
      <w:r>
        <w:rPr>
          <w:rFonts w:ascii="Times New Roman" w:hAnsi="Times New Roman" w:cs="Times New Roman"/>
          <w:color w:val="000000"/>
          <w:sz w:val="24"/>
          <w:szCs w:val="24"/>
          <w:shd w:val="clear" w:color="auto" w:fill="FFFFFF"/>
        </w:rPr>
        <w:t xml:space="preserve"> de casi 16 millones de euros. </w:t>
      </w:r>
    </w:p>
    <w:p w:rsidR="00F54CB0"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Dicho suplemento fue justificado por el Gobierno con “objeto de financiar la dotación destinada al pago de estudios y trabajos técnicos” para hacer frente a la elaboración de más entrevistas de las habituales por el año electoral que se presentaba: elecciones autonómicas y locales de mayo de 2023, y las generales.  Para ello, el CIS encargó al Grupo Tragsa -participado al 51% por la Sociedad Estatal de Participaciones Industriales (SEPI)- la contratación de nuevos encuestadores mediante la tramitación de un encargo a medio propio: según El Confidencial, el CIS desembolsó cerca de 4,8 millones de euros para inco</w:t>
      </w:r>
      <w:r>
        <w:rPr>
          <w:rFonts w:ascii="Times New Roman" w:hAnsi="Times New Roman" w:cs="Times New Roman"/>
          <w:color w:val="000000"/>
          <w:sz w:val="24"/>
          <w:szCs w:val="24"/>
          <w:shd w:val="clear" w:color="auto" w:fill="FFFFFF"/>
        </w:rPr>
        <w:t>r</w:t>
      </w:r>
      <w:r w:rsidRPr="004B36A3">
        <w:rPr>
          <w:rFonts w:ascii="Times New Roman" w:hAnsi="Times New Roman" w:cs="Times New Roman"/>
          <w:color w:val="000000"/>
          <w:sz w:val="24"/>
          <w:szCs w:val="24"/>
          <w:shd w:val="clear" w:color="auto" w:fill="FFFFFF"/>
        </w:rPr>
        <w:t xml:space="preserve">porar a 160 personas más a su plantilla de encuestadores.  </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292EF4">
        <w:rPr>
          <w:rFonts w:ascii="Times New Roman" w:hAnsi="Times New Roman" w:cs="Times New Roman"/>
          <w:noProof/>
          <w:color w:val="000000"/>
          <w:sz w:val="24"/>
          <w:szCs w:val="24"/>
          <w:shd w:val="clear" w:color="auto" w:fill="FFFFFF"/>
          <w:lang w:eastAsia="es-ES"/>
        </w:rPr>
        <w:drawing>
          <wp:inline distT="0" distB="0" distL="0" distR="0" wp14:anchorId="6AD8ED35" wp14:editId="1F110A4F">
            <wp:extent cx="5726680" cy="3092450"/>
            <wp:effectExtent l="0" t="0" r="762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3095058"/>
                    </a:xfrm>
                    <a:prstGeom prst="rect">
                      <a:avLst/>
                    </a:prstGeom>
                  </pic:spPr>
                </pic:pic>
              </a:graphicData>
            </a:graphic>
          </wp:inline>
        </w:drawing>
      </w:r>
    </w:p>
    <w:p w:rsidR="00F54CB0" w:rsidRDefault="00F54CB0" w:rsidP="00F54CB0">
      <w:pPr>
        <w:spacing w:line="240" w:lineRule="auto"/>
        <w:jc w:val="both"/>
        <w:rPr>
          <w:rFonts w:ascii="Times New Roman" w:hAnsi="Times New Roman" w:cs="Times New Roman"/>
          <w:color w:val="000000"/>
          <w:sz w:val="24"/>
          <w:szCs w:val="24"/>
          <w:shd w:val="clear" w:color="auto" w:fill="FFFFFF"/>
        </w:rPr>
      </w:pP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 xml:space="preserve">“Material, suministro y otros” y personal, las </w:t>
      </w:r>
      <w:r>
        <w:rPr>
          <w:rFonts w:ascii="Times New Roman" w:hAnsi="Times New Roman" w:cs="Times New Roman"/>
          <w:color w:val="000000"/>
          <w:sz w:val="24"/>
          <w:szCs w:val="24"/>
          <w:shd w:val="clear" w:color="auto" w:fill="FFFFFF"/>
        </w:rPr>
        <w:t>partidas de mayor gasto en 2023</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De acuerdo con la memoria de actividades de 2023 publicada por el CIS, la partida de mayor gasto fue de 8,7 millones de euros en concepto de “material, suministro y otros”. La siguiente más alta fue la de gastos de personal, con 4.771.200 euros: de aquí sale la retribución bruta anual que percibió Tezanos (97.764 euros en 2022, según datos del Portal de Transparencia), así como los 3,2 millones de euros destinados a los salarios de 84 puestos de trabajo (44 funcionarios, 36 personas con contrato indefinido y cuatro eventuales) o los incentivos al rendimiento (547.870 euros).</w:t>
      </w:r>
    </w:p>
    <w:p w:rsidR="00F54CB0"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Con la prórroga de los Presupuestos Generales de 2023, el CIS vuelve a contar con 12,6 millones de euros para 2024, partida que forma parte de los presupuestos del Ministerio de la Presidencia, Justicia y Relaciones con las Cortes.</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 </w:t>
      </w:r>
      <w:r w:rsidRPr="003870D7">
        <w:rPr>
          <w:rFonts w:ascii="Times New Roman" w:hAnsi="Times New Roman" w:cs="Times New Roman"/>
          <w:color w:val="000000"/>
          <w:sz w:val="24"/>
          <w:szCs w:val="24"/>
          <w:u w:val="single"/>
          <w:shd w:val="clear" w:color="auto" w:fill="FFFFFF"/>
        </w:rPr>
        <w:t>Un e</w:t>
      </w:r>
      <w:r>
        <w:rPr>
          <w:rFonts w:ascii="Times New Roman" w:hAnsi="Times New Roman" w:cs="Times New Roman"/>
          <w:color w:val="000000"/>
          <w:sz w:val="24"/>
          <w:szCs w:val="24"/>
          <w:u w:val="single"/>
          <w:shd w:val="clear" w:color="auto" w:fill="FFFFFF"/>
        </w:rPr>
        <w:t>xdirector del CIS cuestiona el “sesgo”</w:t>
      </w:r>
      <w:r w:rsidRPr="003870D7">
        <w:rPr>
          <w:rFonts w:ascii="Times New Roman" w:hAnsi="Times New Roman" w:cs="Times New Roman"/>
          <w:color w:val="000000"/>
          <w:sz w:val="24"/>
          <w:szCs w:val="24"/>
          <w:u w:val="single"/>
          <w:shd w:val="clear" w:color="auto" w:fill="FFFFFF"/>
        </w:rPr>
        <w:t xml:space="preserve"> de las encuestas de Tezanos y la sobreestimación de la izquierda</w:t>
      </w:r>
      <w:r>
        <w:rPr>
          <w:rFonts w:ascii="Times New Roman" w:hAnsi="Times New Roman" w:cs="Times New Roman"/>
          <w:color w:val="000000"/>
          <w:sz w:val="24"/>
          <w:szCs w:val="24"/>
          <w:shd w:val="clear" w:color="auto" w:fill="FFFFFF"/>
        </w:rPr>
        <w:t xml:space="preserve"> (ABC - </w:t>
      </w:r>
      <w:r w:rsidRPr="003870D7">
        <w:rPr>
          <w:rFonts w:ascii="Times New Roman" w:hAnsi="Times New Roman" w:cs="Times New Roman"/>
          <w:b/>
          <w:color w:val="000000"/>
          <w:sz w:val="24"/>
          <w:szCs w:val="24"/>
          <w:shd w:val="clear" w:color="auto" w:fill="FFFFFF"/>
        </w:rPr>
        <w:t>29/1/25</w:t>
      </w:r>
      <w:r>
        <w:rPr>
          <w:rFonts w:ascii="Times New Roman" w:hAnsi="Times New Roman" w:cs="Times New Roman"/>
          <w:color w:val="000000"/>
          <w:sz w:val="24"/>
          <w:szCs w:val="24"/>
          <w:shd w:val="clear" w:color="auto" w:fill="FFFFFF"/>
        </w:rPr>
        <w:t>)</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r w:rsidRPr="004B36A3">
        <w:rPr>
          <w:rFonts w:ascii="Times New Roman" w:hAnsi="Times New Roman" w:cs="Times New Roman"/>
          <w:color w:val="000000"/>
          <w:sz w:val="24"/>
          <w:szCs w:val="24"/>
          <w:shd w:val="clear" w:color="auto" w:fill="FFFFFF"/>
        </w:rPr>
        <w:t>Hay muchas cosas que la comunidad científica consid</w:t>
      </w:r>
      <w:r>
        <w:rPr>
          <w:rFonts w:ascii="Times New Roman" w:hAnsi="Times New Roman" w:cs="Times New Roman"/>
          <w:color w:val="000000"/>
          <w:sz w:val="24"/>
          <w:szCs w:val="24"/>
          <w:shd w:val="clear" w:color="auto" w:fill="FFFFFF"/>
        </w:rPr>
        <w:t>era que se están haciendo mal”</w:t>
      </w:r>
      <w:r w:rsidRPr="004B36A3">
        <w:rPr>
          <w:rFonts w:ascii="Times New Roman" w:hAnsi="Times New Roman" w:cs="Times New Roman"/>
          <w:color w:val="000000"/>
          <w:sz w:val="24"/>
          <w:szCs w:val="24"/>
          <w:shd w:val="clear" w:color="auto" w:fill="FFFFFF"/>
        </w:rPr>
        <w:t>, afirma Ismael Crespo ante la comisión de investigación del Senado</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El Gobierno oculta al Senado los gastos de representación y protocolo del CIS de Tezanos</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El catedrático Ismael Crespo Martínez, que fue director del departamento de Investigación del Centro de Investigaciones Sociológicas (CIS) y que ahora es codirector del Centro de Estudios Murciano de Opinión Pública (CEMOP), ha puesto en cuestión este miércoles las encuestas actuales del CIS</w:t>
      </w:r>
      <w:r>
        <w:rPr>
          <w:rFonts w:ascii="Times New Roman" w:hAnsi="Times New Roman" w:cs="Times New Roman"/>
          <w:color w:val="000000"/>
          <w:sz w:val="24"/>
          <w:szCs w:val="24"/>
          <w:shd w:val="clear" w:color="auto" w:fill="FFFFFF"/>
        </w:rPr>
        <w:t xml:space="preserve"> por el “sesgo”</w:t>
      </w:r>
      <w:r w:rsidRPr="004B36A3">
        <w:rPr>
          <w:rFonts w:ascii="Times New Roman" w:hAnsi="Times New Roman" w:cs="Times New Roman"/>
          <w:color w:val="000000"/>
          <w:sz w:val="24"/>
          <w:szCs w:val="24"/>
          <w:shd w:val="clear" w:color="auto" w:fill="FFFFFF"/>
        </w:rPr>
        <w:t xml:space="preserve"> de sus preguntas, la pérdida de refere</w:t>
      </w:r>
      <w:r>
        <w:rPr>
          <w:rFonts w:ascii="Times New Roman" w:hAnsi="Times New Roman" w:cs="Times New Roman"/>
          <w:color w:val="000000"/>
          <w:sz w:val="24"/>
          <w:szCs w:val="24"/>
          <w:shd w:val="clear" w:color="auto" w:fill="FFFFFF"/>
        </w:rPr>
        <w:t>ncia del recuerdo de voto y la “sobreestimación de la izquierda”.</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En su comparecencia ante la comisión de investigación del CIS creada en el Senado, ha expuesto algunos de los problemas que a su juicio tienen las encuestas del equipo que dirige el sociólogo socialista José Félix Tezanos desde que ll</w:t>
      </w:r>
      <w:r>
        <w:rPr>
          <w:rFonts w:ascii="Times New Roman" w:hAnsi="Times New Roman" w:cs="Times New Roman"/>
          <w:color w:val="000000"/>
          <w:sz w:val="24"/>
          <w:szCs w:val="24"/>
          <w:shd w:val="clear" w:color="auto" w:fill="FFFFFF"/>
        </w:rPr>
        <w:t>egó al cargo a medidos de 2018.</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Por un lado, ha ind</w:t>
      </w:r>
      <w:r>
        <w:rPr>
          <w:rFonts w:ascii="Times New Roman" w:hAnsi="Times New Roman" w:cs="Times New Roman"/>
          <w:color w:val="000000"/>
          <w:sz w:val="24"/>
          <w:szCs w:val="24"/>
          <w:shd w:val="clear" w:color="auto" w:fill="FFFFFF"/>
        </w:rPr>
        <w:t>icado que viene apreciando una “mala redacción”</w:t>
      </w:r>
      <w:r w:rsidRPr="004B36A3">
        <w:rPr>
          <w:rFonts w:ascii="Times New Roman" w:hAnsi="Times New Roman" w:cs="Times New Roman"/>
          <w:color w:val="000000"/>
          <w:sz w:val="24"/>
          <w:szCs w:val="24"/>
          <w:shd w:val="clear" w:color="auto" w:fill="FFFFFF"/>
        </w:rPr>
        <w:t xml:space="preserve"> en las preguntas de los </w:t>
      </w:r>
      <w:r>
        <w:rPr>
          <w:rFonts w:ascii="Times New Roman" w:hAnsi="Times New Roman" w:cs="Times New Roman"/>
          <w:color w:val="000000"/>
          <w:sz w:val="24"/>
          <w:szCs w:val="24"/>
          <w:shd w:val="clear" w:color="auto" w:fill="FFFFFF"/>
        </w:rPr>
        <w:t>cuestionarios, que a su juicio “están sesgadas”: “</w:t>
      </w:r>
      <w:r w:rsidRPr="004B36A3">
        <w:rPr>
          <w:rFonts w:ascii="Times New Roman" w:hAnsi="Times New Roman" w:cs="Times New Roman"/>
          <w:color w:val="000000"/>
          <w:sz w:val="24"/>
          <w:szCs w:val="24"/>
          <w:shd w:val="clear" w:color="auto" w:fill="FFFFFF"/>
        </w:rPr>
        <w:t>Pregu</w:t>
      </w:r>
      <w:r>
        <w:rPr>
          <w:rFonts w:ascii="Times New Roman" w:hAnsi="Times New Roman" w:cs="Times New Roman"/>
          <w:color w:val="000000"/>
          <w:sz w:val="24"/>
          <w:szCs w:val="24"/>
          <w:shd w:val="clear" w:color="auto" w:fill="FFFFFF"/>
        </w:rPr>
        <w:t>ntas poco rigurosas y con sesgo”</w:t>
      </w:r>
      <w:r w:rsidRPr="004B36A3">
        <w:rPr>
          <w:rFonts w:ascii="Times New Roman" w:hAnsi="Times New Roman" w:cs="Times New Roman"/>
          <w:color w:val="000000"/>
          <w:sz w:val="24"/>
          <w:szCs w:val="24"/>
          <w:shd w:val="clear" w:color="auto" w:fill="FFFFFF"/>
        </w:rPr>
        <w:t>, ha resumido.</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Otro problema que ve es la etiquetación de las respuestas de los ciudadanos sobre los principales problemas del país. Según ha recordado, en el último barómetro la vivienda es la principal preocupación, pero en realidad debería ser la clase política, como se consideraba antes, ya que el equipo actual del CIS ha ido tro</w:t>
      </w:r>
      <w:r>
        <w:rPr>
          <w:rFonts w:ascii="Times New Roman" w:hAnsi="Times New Roman" w:cs="Times New Roman"/>
          <w:color w:val="000000"/>
          <w:sz w:val="24"/>
          <w:szCs w:val="24"/>
          <w:shd w:val="clear" w:color="auto" w:fill="FFFFFF"/>
        </w:rPr>
        <w:t>ceando las menciones entre “</w:t>
      </w:r>
      <w:r w:rsidRPr="004B36A3">
        <w:rPr>
          <w:rFonts w:ascii="Times New Roman" w:hAnsi="Times New Roman" w:cs="Times New Roman"/>
          <w:color w:val="000000"/>
          <w:sz w:val="24"/>
          <w:szCs w:val="24"/>
          <w:shd w:val="clear" w:color="auto" w:fill="FFFFFF"/>
        </w:rPr>
        <w:t xml:space="preserve">Los problemas </w:t>
      </w:r>
      <w:r>
        <w:rPr>
          <w:rFonts w:ascii="Times New Roman" w:hAnsi="Times New Roman" w:cs="Times New Roman"/>
          <w:color w:val="000000"/>
          <w:sz w:val="24"/>
          <w:szCs w:val="24"/>
          <w:shd w:val="clear" w:color="auto" w:fill="FFFFFF"/>
        </w:rPr>
        <w:t>políticos”, “</w:t>
      </w:r>
      <w:r w:rsidRPr="004B36A3">
        <w:rPr>
          <w:rFonts w:ascii="Times New Roman" w:hAnsi="Times New Roman" w:cs="Times New Roman"/>
          <w:color w:val="000000"/>
          <w:sz w:val="24"/>
          <w:szCs w:val="24"/>
          <w:shd w:val="clear" w:color="auto" w:fill="FFFFFF"/>
        </w:rPr>
        <w:t xml:space="preserve">El mal </w:t>
      </w:r>
      <w:r>
        <w:rPr>
          <w:rFonts w:ascii="Times New Roman" w:hAnsi="Times New Roman" w:cs="Times New Roman"/>
          <w:color w:val="000000"/>
          <w:sz w:val="24"/>
          <w:szCs w:val="24"/>
          <w:shd w:val="clear" w:color="auto" w:fill="FFFFFF"/>
        </w:rPr>
        <w:t>comportamiento de los políticos” y “</w:t>
      </w:r>
      <w:r w:rsidRPr="004B36A3">
        <w:rPr>
          <w:rFonts w:ascii="Times New Roman" w:hAnsi="Times New Roman" w:cs="Times New Roman"/>
          <w:color w:val="000000"/>
          <w:sz w:val="24"/>
          <w:szCs w:val="24"/>
          <w:shd w:val="clear" w:color="auto" w:fill="FFFFFF"/>
        </w:rPr>
        <w:t>el comportamiento del gob</w:t>
      </w:r>
      <w:r>
        <w:rPr>
          <w:rFonts w:ascii="Times New Roman" w:hAnsi="Times New Roman" w:cs="Times New Roman"/>
          <w:color w:val="000000"/>
          <w:sz w:val="24"/>
          <w:szCs w:val="24"/>
          <w:shd w:val="clear" w:color="auto" w:fill="FFFFFF"/>
        </w:rPr>
        <w:t>ierno de los partidos políticos”</w:t>
      </w:r>
      <w:r w:rsidRPr="004B36A3">
        <w:rPr>
          <w:rFonts w:ascii="Times New Roman" w:hAnsi="Times New Roman" w:cs="Times New Roman"/>
          <w:color w:val="000000"/>
          <w:sz w:val="24"/>
          <w:szCs w:val="24"/>
          <w:shd w:val="clear" w:color="auto" w:fill="FFFFFF"/>
        </w:rPr>
        <w:t>, entre otros.</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El riesgo de romper series históricas</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Y advierte de que esos cambios de redacción en las preguntas y en la codificación de las respuestas pone</w:t>
      </w:r>
      <w:r>
        <w:rPr>
          <w:rFonts w:ascii="Times New Roman" w:hAnsi="Times New Roman" w:cs="Times New Roman"/>
          <w:color w:val="000000"/>
          <w:sz w:val="24"/>
          <w:szCs w:val="24"/>
          <w:shd w:val="clear" w:color="auto" w:fill="FFFFFF"/>
        </w:rPr>
        <w:t>n</w:t>
      </w:r>
      <w:r w:rsidRPr="004B36A3">
        <w:rPr>
          <w:rFonts w:ascii="Times New Roman" w:hAnsi="Times New Roman" w:cs="Times New Roman"/>
          <w:color w:val="000000"/>
          <w:sz w:val="24"/>
          <w:szCs w:val="24"/>
          <w:shd w:val="clear" w:color="auto" w:fill="FFFFFF"/>
        </w:rPr>
        <w:t xml:space="preserve"> en riesgo las series historias, que son uno de los principales tesoros de</w:t>
      </w:r>
      <w:r>
        <w:rPr>
          <w:rFonts w:ascii="Times New Roman" w:hAnsi="Times New Roman" w:cs="Times New Roman"/>
          <w:color w:val="000000"/>
          <w:sz w:val="24"/>
          <w:szCs w:val="24"/>
          <w:shd w:val="clear" w:color="auto" w:fill="FFFFFF"/>
        </w:rPr>
        <w:t>l CIS para los investigadores. “</w:t>
      </w:r>
      <w:r w:rsidRPr="004B36A3">
        <w:rPr>
          <w:rFonts w:ascii="Times New Roman" w:hAnsi="Times New Roman" w:cs="Times New Roman"/>
          <w:color w:val="000000"/>
          <w:sz w:val="24"/>
          <w:szCs w:val="24"/>
          <w:shd w:val="clear" w:color="auto" w:fill="FFFFFF"/>
        </w:rPr>
        <w:t>Si rompemos la serie histórica, estamos haciendo el mayor</w:t>
      </w:r>
      <w:r>
        <w:rPr>
          <w:rFonts w:ascii="Times New Roman" w:hAnsi="Times New Roman" w:cs="Times New Roman"/>
          <w:color w:val="000000"/>
          <w:sz w:val="24"/>
          <w:szCs w:val="24"/>
          <w:shd w:val="clear" w:color="auto" w:fill="FFFFFF"/>
        </w:rPr>
        <w:t xml:space="preserve"> daño que se ha hecho en el CIS”, ha alertado.</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Crespo cuestiona también el método de estimación de voto del que Tezanos</w:t>
      </w:r>
      <w:r>
        <w:rPr>
          <w:rFonts w:ascii="Times New Roman" w:hAnsi="Times New Roman" w:cs="Times New Roman"/>
          <w:color w:val="000000"/>
          <w:sz w:val="24"/>
          <w:szCs w:val="24"/>
          <w:shd w:val="clear" w:color="auto" w:fill="FFFFFF"/>
        </w:rPr>
        <w:t xml:space="preserve"> es cocreador, que a su juicio “</w:t>
      </w:r>
      <w:r w:rsidRPr="004B36A3">
        <w:rPr>
          <w:rFonts w:ascii="Times New Roman" w:hAnsi="Times New Roman" w:cs="Times New Roman"/>
          <w:color w:val="000000"/>
          <w:sz w:val="24"/>
          <w:szCs w:val="24"/>
          <w:shd w:val="clear" w:color="auto" w:fill="FFFFFF"/>
        </w:rPr>
        <w:t>s</w:t>
      </w:r>
      <w:r>
        <w:rPr>
          <w:rFonts w:ascii="Times New Roman" w:hAnsi="Times New Roman" w:cs="Times New Roman"/>
          <w:color w:val="000000"/>
          <w:sz w:val="24"/>
          <w:szCs w:val="24"/>
          <w:shd w:val="clear" w:color="auto" w:fill="FFFFFF"/>
        </w:rPr>
        <w:t>obreestima de manera recurrente”</w:t>
      </w:r>
      <w:r w:rsidRPr="004B36A3">
        <w:rPr>
          <w:rFonts w:ascii="Times New Roman" w:hAnsi="Times New Roman" w:cs="Times New Roman"/>
          <w:color w:val="000000"/>
          <w:sz w:val="24"/>
          <w:szCs w:val="24"/>
          <w:shd w:val="clear" w:color="auto" w:fill="FFFFFF"/>
        </w:rPr>
        <w:t xml:space="preserve"> a la izquierda, hasta en quin</w:t>
      </w:r>
      <w:r>
        <w:rPr>
          <w:rFonts w:ascii="Times New Roman" w:hAnsi="Times New Roman" w:cs="Times New Roman"/>
          <w:color w:val="000000"/>
          <w:sz w:val="24"/>
          <w:szCs w:val="24"/>
          <w:shd w:val="clear" w:color="auto" w:fill="FFFFFF"/>
        </w:rPr>
        <w:t>ce puntos, lo que achaca a que “</w:t>
      </w:r>
      <w:r w:rsidRPr="004B36A3">
        <w:rPr>
          <w:rFonts w:ascii="Times New Roman" w:hAnsi="Times New Roman" w:cs="Times New Roman"/>
          <w:color w:val="000000"/>
          <w:sz w:val="24"/>
          <w:szCs w:val="24"/>
          <w:shd w:val="clear" w:color="auto" w:fill="FFFFFF"/>
        </w:rPr>
        <w:t>no tien</w:t>
      </w:r>
      <w:r>
        <w:rPr>
          <w:rFonts w:ascii="Times New Roman" w:hAnsi="Times New Roman" w:cs="Times New Roman"/>
          <w:color w:val="000000"/>
          <w:sz w:val="24"/>
          <w:szCs w:val="24"/>
          <w:shd w:val="clear" w:color="auto" w:fill="FFFFFF"/>
        </w:rPr>
        <w:t>e en cuenta el recuerdo de voto”</w:t>
      </w:r>
      <w:r w:rsidRPr="004B36A3">
        <w:rPr>
          <w:rFonts w:ascii="Times New Roman" w:hAnsi="Times New Roman" w:cs="Times New Roman"/>
          <w:color w:val="000000"/>
          <w:sz w:val="24"/>
          <w:szCs w:val="24"/>
          <w:shd w:val="clear" w:color="auto" w:fill="FFFFFF"/>
        </w:rPr>
        <w:t xml:space="preserve"> de la muestra, en la que suele haber más votantes de izquierda, y no s</w:t>
      </w:r>
      <w:r>
        <w:rPr>
          <w:rFonts w:ascii="Times New Roman" w:hAnsi="Times New Roman" w:cs="Times New Roman"/>
          <w:color w:val="000000"/>
          <w:sz w:val="24"/>
          <w:szCs w:val="24"/>
          <w:shd w:val="clear" w:color="auto" w:fill="FFFFFF"/>
        </w:rPr>
        <w:t>e aplican factores correctores.</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r w:rsidRPr="004B36A3">
        <w:rPr>
          <w:rFonts w:ascii="Times New Roman" w:hAnsi="Times New Roman" w:cs="Times New Roman"/>
          <w:color w:val="000000"/>
          <w:sz w:val="24"/>
          <w:szCs w:val="24"/>
          <w:shd w:val="clear" w:color="auto" w:fill="FFFFFF"/>
        </w:rPr>
        <w:t>Este modelo no tiene ningún aval científico, está basado en un proceso in</w:t>
      </w:r>
      <w:r>
        <w:rPr>
          <w:rFonts w:ascii="Times New Roman" w:hAnsi="Times New Roman" w:cs="Times New Roman"/>
          <w:color w:val="000000"/>
          <w:sz w:val="24"/>
          <w:szCs w:val="24"/>
          <w:shd w:val="clear" w:color="auto" w:fill="FFFFFF"/>
        </w:rPr>
        <w:t>novador de dos o tres personas -ha señalado-</w:t>
      </w:r>
      <w:r w:rsidRPr="004B36A3">
        <w:rPr>
          <w:rFonts w:ascii="Times New Roman" w:hAnsi="Times New Roman" w:cs="Times New Roman"/>
          <w:color w:val="000000"/>
          <w:sz w:val="24"/>
          <w:szCs w:val="24"/>
          <w:shd w:val="clear" w:color="auto" w:fill="FFFFFF"/>
        </w:rPr>
        <w:t>. Y si la innovación produce un fallo de forma constante, hay que revisar el mo</w:t>
      </w:r>
      <w:r>
        <w:rPr>
          <w:rFonts w:ascii="Times New Roman" w:hAnsi="Times New Roman" w:cs="Times New Roman"/>
          <w:color w:val="000000"/>
          <w:sz w:val="24"/>
          <w:szCs w:val="24"/>
          <w:shd w:val="clear" w:color="auto" w:fill="FFFFFF"/>
        </w:rPr>
        <w:t>delo”.</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Con otra “cocina”</w:t>
      </w:r>
      <w:r w:rsidRPr="004B36A3">
        <w:rPr>
          <w:rFonts w:ascii="Times New Roman" w:hAnsi="Times New Roman" w:cs="Times New Roman"/>
          <w:color w:val="000000"/>
          <w:sz w:val="24"/>
          <w:szCs w:val="24"/>
          <w:shd w:val="clear" w:color="auto" w:fill="FFFFFF"/>
        </w:rPr>
        <w:t>, el PSOE estaría 3 puntos por debajo</w:t>
      </w:r>
    </w:p>
    <w:p w:rsidR="00F54CB0" w:rsidRPr="004B36A3"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 xml:space="preserve">Es más, el codirector del CEMOP ha señalado que aplicando otro modelo de estimación de voto a los datos del último barómetro, una fórmula más tradicional, el PSOE habría aparecido con tres puntos menos y </w:t>
      </w:r>
      <w:r>
        <w:rPr>
          <w:rFonts w:ascii="Times New Roman" w:hAnsi="Times New Roman" w:cs="Times New Roman"/>
          <w:color w:val="000000"/>
          <w:sz w:val="24"/>
          <w:szCs w:val="24"/>
          <w:shd w:val="clear" w:color="auto" w:fill="FFFFFF"/>
        </w:rPr>
        <w:t>habría sido superado por el PP.</w:t>
      </w:r>
    </w:p>
    <w:p w:rsidR="00F54CB0" w:rsidRDefault="00F54CB0" w:rsidP="00F54CB0">
      <w:pPr>
        <w:spacing w:line="240" w:lineRule="auto"/>
        <w:jc w:val="both"/>
        <w:rPr>
          <w:rFonts w:ascii="Times New Roman" w:hAnsi="Times New Roman" w:cs="Times New Roman"/>
          <w:color w:val="000000"/>
          <w:sz w:val="24"/>
          <w:szCs w:val="24"/>
          <w:shd w:val="clear" w:color="auto" w:fill="FFFFFF"/>
        </w:rPr>
      </w:pPr>
      <w:r w:rsidRPr="004B36A3">
        <w:rPr>
          <w:rFonts w:ascii="Times New Roman" w:hAnsi="Times New Roman" w:cs="Times New Roman"/>
          <w:color w:val="000000"/>
          <w:sz w:val="24"/>
          <w:szCs w:val="24"/>
          <w:shd w:val="clear" w:color="auto" w:fill="FFFFFF"/>
        </w:rPr>
        <w:t>Su</w:t>
      </w:r>
      <w:r>
        <w:rPr>
          <w:rFonts w:ascii="Times New Roman" w:hAnsi="Times New Roman" w:cs="Times New Roman"/>
          <w:color w:val="000000"/>
          <w:sz w:val="24"/>
          <w:szCs w:val="24"/>
          <w:shd w:val="clear" w:color="auto" w:fill="FFFFFF"/>
        </w:rPr>
        <w:t xml:space="preserve"> conclusión es que, aun cuando “todo es opinable”, hay “</w:t>
      </w:r>
      <w:r w:rsidRPr="004B36A3">
        <w:rPr>
          <w:rFonts w:ascii="Times New Roman" w:hAnsi="Times New Roman" w:cs="Times New Roman"/>
          <w:color w:val="000000"/>
          <w:sz w:val="24"/>
          <w:szCs w:val="24"/>
          <w:shd w:val="clear" w:color="auto" w:fill="FFFFFF"/>
        </w:rPr>
        <w:t>muchas cosas que la comunidad científica con</w:t>
      </w:r>
      <w:r>
        <w:rPr>
          <w:rFonts w:ascii="Times New Roman" w:hAnsi="Times New Roman" w:cs="Times New Roman"/>
          <w:color w:val="000000"/>
          <w:sz w:val="24"/>
          <w:szCs w:val="24"/>
          <w:shd w:val="clear" w:color="auto" w:fill="FFFFFF"/>
        </w:rPr>
        <w:t>sidera que se está haciendo mal”: “</w:t>
      </w:r>
      <w:r w:rsidRPr="004B36A3">
        <w:rPr>
          <w:rFonts w:ascii="Times New Roman" w:hAnsi="Times New Roman" w:cs="Times New Roman"/>
          <w:color w:val="000000"/>
          <w:sz w:val="24"/>
          <w:szCs w:val="24"/>
          <w:shd w:val="clear" w:color="auto" w:fill="FFFFFF"/>
        </w:rPr>
        <w:t xml:space="preserve">Hay un problema de credibilidad cuando se </w:t>
      </w:r>
      <w:r w:rsidRPr="004B36A3">
        <w:rPr>
          <w:rFonts w:ascii="Times New Roman" w:hAnsi="Times New Roman" w:cs="Times New Roman"/>
          <w:color w:val="000000"/>
          <w:sz w:val="24"/>
          <w:szCs w:val="24"/>
          <w:shd w:val="clear" w:color="auto" w:fill="FFFFFF"/>
        </w:rPr>
        <w:lastRenderedPageBreak/>
        <w:t>utiliza un modelo que no se justifica teóricamente, y cuyos resulta</w:t>
      </w:r>
      <w:r>
        <w:rPr>
          <w:rFonts w:ascii="Times New Roman" w:hAnsi="Times New Roman" w:cs="Times New Roman"/>
          <w:color w:val="000000"/>
          <w:sz w:val="24"/>
          <w:szCs w:val="24"/>
          <w:shd w:val="clear" w:color="auto" w:fill="FFFFFF"/>
        </w:rPr>
        <w:t>dos empíricos no son razonables”</w:t>
      </w:r>
      <w:r w:rsidRPr="004B36A3">
        <w:rPr>
          <w:rFonts w:ascii="Times New Roman" w:hAnsi="Times New Roman" w:cs="Times New Roman"/>
          <w:color w:val="000000"/>
          <w:sz w:val="24"/>
          <w:szCs w:val="24"/>
          <w:shd w:val="clear" w:color="auto" w:fill="FFFFFF"/>
        </w:rPr>
        <w:t>, ha sentenciado.</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3870D7">
        <w:rPr>
          <w:rFonts w:ascii="Times New Roman" w:hAnsi="Times New Roman" w:cs="Times New Roman"/>
          <w:sz w:val="24"/>
          <w:szCs w:val="24"/>
          <w:u w:val="single"/>
          <w:shd w:val="clear" w:color="auto" w:fill="FFFFFF"/>
        </w:rPr>
        <w:t>Los “errores” y “sesgos” del CIS de Tezanos: preguntas y respuestas</w:t>
      </w:r>
      <w:r>
        <w:rPr>
          <w:rFonts w:ascii="Times New Roman" w:hAnsi="Times New Roman" w:cs="Times New Roman"/>
          <w:sz w:val="24"/>
          <w:szCs w:val="24"/>
          <w:shd w:val="clear" w:color="auto" w:fill="FFFFFF"/>
        </w:rPr>
        <w:t xml:space="preserve"> (maldita.es - </w:t>
      </w:r>
      <w:r w:rsidRPr="003870D7">
        <w:rPr>
          <w:rFonts w:ascii="Times New Roman" w:hAnsi="Times New Roman" w:cs="Times New Roman"/>
          <w:b/>
          <w:sz w:val="24"/>
          <w:szCs w:val="24"/>
          <w:shd w:val="clear" w:color="auto" w:fill="FFFFFF"/>
        </w:rPr>
        <w:t>13/6/25</w:t>
      </w:r>
      <w:r>
        <w:rPr>
          <w:rFonts w:ascii="Times New Roman" w:hAnsi="Times New Roman" w:cs="Times New Roman"/>
          <w:sz w:val="24"/>
          <w:szCs w:val="24"/>
          <w:shd w:val="clear" w:color="auto" w:fill="FFFFFF"/>
        </w:rPr>
        <w:t>)</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José Félix Tezanos es presidente del Centro de Investigaciones Sociológicas (CIS) desde junio de 2018, con la llegada del PSOE al Gobierno</w:t>
      </w:r>
      <w:r>
        <w:rPr>
          <w:rFonts w:ascii="Times New Roman" w:hAnsi="Times New Roman" w:cs="Times New Roman"/>
          <w:sz w:val="24"/>
          <w:szCs w:val="24"/>
          <w:shd w:val="clear" w:color="auto" w:fill="FFFFFF"/>
        </w:rPr>
        <w:t>.</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Las acusaciones contra Tezanos son casi unánimes entre los partidos de la oposición: sus encuestas suelen favorecer al bloque de izquierda y se desvían más de los resultados electorales que el resto de encuestadoras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El barómetro de junio de 2025 del Centro de Investigaciones Sociológicas (CIS) ha vuelto a situar al PSOE como el partido con mayor intención de voto: un 34,3%, siete puntos por encima del PP. La publicación ha generado controversia por coincidir con nuevas acusaciones de corrupción que salpican al entorno socialista, como el informe de la UCO que implica a Santos Cerdán o los audios que señalan a Leire Díez.</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No es la primera vez que las encuestas del CIS, dirigido por José Félix Tezanos desde 2018, están en el centro del debate político. Desde su llegada con el PSOE al Gobierno, la institución ha sido acusada de sesgo por favorecer al bloque de izquierdas y por presentar mayores desviaciones respecto a los resultados electorales que otras encuestadoras.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¿Las encuestas de Tezanos muestran un sesgo favorable al PSOE o a la izquierda?</w:t>
      </w:r>
    </w:p>
    <w:p w:rsidR="00F54CB0"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El País publicó en junio de 2024 un análisis de datos en el que recopilaba los resultados del CIS. Según sus cálculos a esa fecha, el organismo había sobrestimado al bloque de izquierda (PSOE más otros partidos como Podemos o Sumar) en 41 de las 42 el</w:t>
      </w:r>
      <w:r>
        <w:rPr>
          <w:rFonts w:ascii="Times New Roman" w:hAnsi="Times New Roman" w:cs="Times New Roman"/>
          <w:sz w:val="24"/>
          <w:szCs w:val="24"/>
          <w:shd w:val="clear" w:color="auto" w:fill="FFFFFF"/>
        </w:rPr>
        <w:t>ecciones celebradas desde 2018.</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791C59">
        <w:rPr>
          <w:rFonts w:ascii="Times New Roman" w:hAnsi="Times New Roman" w:cs="Times New Roman"/>
          <w:noProof/>
          <w:sz w:val="24"/>
          <w:szCs w:val="24"/>
          <w:shd w:val="clear" w:color="auto" w:fill="FFFFFF"/>
          <w:lang w:eastAsia="es-ES"/>
        </w:rPr>
        <w:drawing>
          <wp:inline distT="0" distB="0" distL="0" distR="0" wp14:anchorId="6BC53C82" wp14:editId="08AF2FD5">
            <wp:extent cx="4165600" cy="3943350"/>
            <wp:effectExtent l="0" t="0" r="6350" b="0"/>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166182" cy="3943901"/>
                    </a:xfrm>
                    <a:prstGeom prst="rect">
                      <a:avLst/>
                    </a:prstGeom>
                  </pic:spPr>
                </pic:pic>
              </a:graphicData>
            </a:graphic>
          </wp:inline>
        </w:drawing>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lastRenderedPageBreak/>
        <w:t xml:space="preserve">Según este análisis, en las últimas elecciones europeas de 2024, las últimas en las que votó toda España, el CIS daba el 42,4% a la suma de PSOE, Sumar y Podemos, pero finalmente se quedaron en el 38,1%. Cometió un error de 1,6 puntos de media, más del doble que el promedio de las encuestas. </w:t>
      </w:r>
      <w:r>
        <w:rPr>
          <w:rFonts w:ascii="Times New Roman" w:hAnsi="Times New Roman" w:cs="Times New Roman"/>
          <w:sz w:val="24"/>
          <w:szCs w:val="24"/>
          <w:shd w:val="clear" w:color="auto" w:fill="FFFFFF"/>
        </w:rPr>
        <w:t xml:space="preserve">                 </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¿Qué dice la oposición?</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En mayo de 2025, la mayoría de partidos del Congreso expresaron su opinión acerca de una proposición de ley presentada por el PP para reformar el CIS y que incluye medidas como impedir que dirija el CIS quien ha tenido cargos políticos en los años anteriores, que el Congreso pueda ratificar la elección o la prohibición de hacer encuesta</w:t>
      </w:r>
      <w:r>
        <w:rPr>
          <w:rFonts w:ascii="Times New Roman" w:hAnsi="Times New Roman" w:cs="Times New Roman"/>
          <w:sz w:val="24"/>
          <w:szCs w:val="24"/>
          <w:shd w:val="clear" w:color="auto" w:fill="FFFFFF"/>
        </w:rPr>
        <w:t>s durante campañas electorales.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 xml:space="preserve">Según cuenta El País, en las intervenciones los partidos (Vox, Sumar, ERC, Junts, EH Bildu o PNV) coincidieron en el sesgo progubernamental de Tezanos, pero negaron al PP la autoridad para imponer esta reforma. La proposición fue admitida a </w:t>
      </w:r>
      <w:r w:rsidR="00FE562B" w:rsidRPr="00791C59">
        <w:rPr>
          <w:rFonts w:ascii="Times New Roman" w:hAnsi="Times New Roman" w:cs="Times New Roman"/>
          <w:sz w:val="24"/>
          <w:szCs w:val="24"/>
          <w:shd w:val="clear" w:color="auto" w:fill="FFFFFF"/>
        </w:rPr>
        <w:t>trámite</w:t>
      </w:r>
      <w:r w:rsidRPr="00791C59">
        <w:rPr>
          <w:rFonts w:ascii="Times New Roman" w:hAnsi="Times New Roman" w:cs="Times New Roman"/>
          <w:sz w:val="24"/>
          <w:szCs w:val="24"/>
          <w:shd w:val="clear" w:color="auto" w:fill="FFFFFF"/>
        </w:rPr>
        <w:t xml:space="preserve"> con los votos favorables del PP</w:t>
      </w:r>
      <w:r>
        <w:rPr>
          <w:rFonts w:ascii="Times New Roman" w:hAnsi="Times New Roman" w:cs="Times New Roman"/>
          <w:sz w:val="24"/>
          <w:szCs w:val="24"/>
          <w:shd w:val="clear" w:color="auto" w:fill="FFFFFF"/>
        </w:rPr>
        <w:t>, Vox, Junts y UPN.</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En 2024, el PP con el aval de Vox y Junts, también le abrió una comisión de investigación en el Senado, con el objetivo de analizar posibles irregularidad</w:t>
      </w:r>
      <w:r>
        <w:rPr>
          <w:rFonts w:ascii="Times New Roman" w:hAnsi="Times New Roman" w:cs="Times New Roman"/>
          <w:sz w:val="24"/>
          <w:szCs w:val="24"/>
          <w:shd w:val="clear" w:color="auto" w:fill="FFFFFF"/>
        </w:rPr>
        <w:t>es y sesgos durante su mandato.</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Otro de los aspectos criticados son las formulaciones sobre algunos temas. Por ejemplo, en 2023 se preguntó a los ciudadanos por las protestas contra la ley de amnistía, pero no sobre la propia ley. También publicaron una encuesta sobre violencia sexual en la que no incluyeron preguntas sobre la ley de libertad sexual o del ‘solo sí es sí’, al frente del debate público por las reducciones de</w:t>
      </w:r>
      <w:r>
        <w:rPr>
          <w:rFonts w:ascii="Times New Roman" w:hAnsi="Times New Roman" w:cs="Times New Roman"/>
          <w:sz w:val="24"/>
          <w:szCs w:val="24"/>
          <w:shd w:val="clear" w:color="auto" w:fill="FFFFFF"/>
        </w:rPr>
        <w:t xml:space="preserve"> condenas a agresores sexuales.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 xml:space="preserve">Alberto Núñez Feijóo en 2023 dijo que si llegaba a la Moncloa, una de sus primeras medidas sería cesar al presidente del CIS. Su partido ha pedido la dimisión de Tezanos en varias </w:t>
      </w:r>
      <w:r>
        <w:rPr>
          <w:rFonts w:ascii="Times New Roman" w:hAnsi="Times New Roman" w:cs="Times New Roman"/>
          <w:sz w:val="24"/>
          <w:szCs w:val="24"/>
          <w:shd w:val="clear" w:color="auto" w:fill="FFFFFF"/>
        </w:rPr>
        <w:t>ocasiones, como en 2022 o 2024.</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¿Qué dice Tezanos?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 xml:space="preserve">José Félix Tezanos compareció en el Congreso en septiembre de 2024. En su intervención, según El País, reconoció la existencia del sesgo hacia el bloque de izquierda, pero lo atribuyó a la tendencia sociológica del país, diciendo que “España se sitúa moderadamente en el centro izquierda”. De forma general, defendió su gestión y negó el </w:t>
      </w:r>
      <w:r>
        <w:rPr>
          <w:rFonts w:ascii="Times New Roman" w:hAnsi="Times New Roman" w:cs="Times New Roman"/>
          <w:sz w:val="24"/>
          <w:szCs w:val="24"/>
          <w:shd w:val="clear" w:color="auto" w:fill="FFFFFF"/>
        </w:rPr>
        <w:t>desprestigio de la institución.</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Tezanos ha intervenido públicamente otras veces para defenderse sobre las acusaciones de falta de precisión y sesgo. En 2021 fue convocado por la Comisión Constitucional del Congreso tras calificar como “tabernarios” a los votantes del PP en la publicación de una revista durante la jornada de reflexión de las elecciones autonómicas madrileñas. El PP recurrió a la Junta Electoral Central, que lo desestimó por considerar que era un ejerc</w:t>
      </w:r>
      <w:r>
        <w:rPr>
          <w:rFonts w:ascii="Times New Roman" w:hAnsi="Times New Roman" w:cs="Times New Roman"/>
          <w:sz w:val="24"/>
          <w:szCs w:val="24"/>
          <w:shd w:val="clear" w:color="auto" w:fill="FFFFFF"/>
        </w:rPr>
        <w:t xml:space="preserve">icio de libertad de expresión. </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 xml:space="preserve">En 2024, la Junta Electoral Central multó a Tezanos por realizar una encuesta ‘flash’  durante el período de reflexión de Pedro Sánchez por haber hecho la consulta en período electoral de las autonómicas catalanas sin </w:t>
      </w:r>
      <w:r>
        <w:rPr>
          <w:rFonts w:ascii="Times New Roman" w:hAnsi="Times New Roman" w:cs="Times New Roman"/>
          <w:sz w:val="24"/>
          <w:szCs w:val="24"/>
          <w:shd w:val="clear" w:color="auto" w:fill="FFFFFF"/>
        </w:rPr>
        <w:t>haber informado a los partidos.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¿Y antes de Tezanos?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lastRenderedPageBreak/>
        <w:t xml:space="preserve">El País cuenta en otro artículo que no había sesgo antes de Tezanos. En la preelectoral de 2016 el CIS sobrestimó a la izquierda, pero seis meses antes la había infraestimado. Desde el 2000 el CIS había equilibrado sus estimaciones </w:t>
      </w:r>
      <w:r>
        <w:rPr>
          <w:rFonts w:ascii="Times New Roman" w:hAnsi="Times New Roman" w:cs="Times New Roman"/>
          <w:sz w:val="24"/>
          <w:szCs w:val="24"/>
          <w:shd w:val="clear" w:color="auto" w:fill="FFFFFF"/>
        </w:rPr>
        <w:t>a favor de un bloque y de otro.</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¿Cómo se nombra al jefe del CIS?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El presidente del CIS es nombrado directamente por el Gobierno previa deliberación del Consejo de Ministros a propuesta del titular del Ministerio de la Presidencia, Justicia y Relaciones por las Cortes. Tezanos fue nombrado presidente el 29 de junio de 2018, tras la llegada del PSOE a Moncloa. Aquí puedes comprobar a todas las personas que han presi</w:t>
      </w:r>
      <w:r>
        <w:rPr>
          <w:rFonts w:ascii="Times New Roman" w:hAnsi="Times New Roman" w:cs="Times New Roman"/>
          <w:sz w:val="24"/>
          <w:szCs w:val="24"/>
          <w:shd w:val="clear" w:color="auto" w:fill="FFFFFF"/>
        </w:rPr>
        <w:t>dido la institución desde 1963.</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En el momento de su nombramiento, Tezanos renunció a sus cargos en la ejecutiva del PSOE en la que tenía el cargo de Secretario de Estudios y Programas de la Comisión Ejecutiva Federal del PSOE desde junio de 2017. También tuvo que renunciar a sus ingresos como Catedrático Emérito de Sociología en la UNED. Tezanos es doctor en Ciencias Políticas y Sociología por la Universidad Complutense de Madrid y es también catedrático en la Univers</w:t>
      </w:r>
      <w:r>
        <w:rPr>
          <w:rFonts w:ascii="Times New Roman" w:hAnsi="Times New Roman" w:cs="Times New Roman"/>
          <w:sz w:val="24"/>
          <w:szCs w:val="24"/>
          <w:shd w:val="clear" w:color="auto" w:fill="FFFFFF"/>
        </w:rPr>
        <w:t>idad de Santiago de Compostela.</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¿Qué es la famosa “cocina” del CIS?</w:t>
      </w:r>
    </w:p>
    <w:p w:rsidR="00F54CB0" w:rsidRPr="00791C59" w:rsidRDefault="00F54CB0" w:rsidP="00F54CB0">
      <w:pPr>
        <w:spacing w:line="240" w:lineRule="auto"/>
        <w:jc w:val="both"/>
        <w:rPr>
          <w:rFonts w:ascii="Times New Roman" w:hAnsi="Times New Roman" w:cs="Times New Roman"/>
          <w:sz w:val="24"/>
          <w:szCs w:val="24"/>
          <w:shd w:val="clear" w:color="auto" w:fill="FFFFFF"/>
        </w:rPr>
      </w:pPr>
      <w:r w:rsidRPr="00791C59">
        <w:rPr>
          <w:rFonts w:ascii="Times New Roman" w:hAnsi="Times New Roman" w:cs="Times New Roman"/>
          <w:sz w:val="24"/>
          <w:szCs w:val="24"/>
          <w:shd w:val="clear" w:color="auto" w:fill="FFFFFF"/>
        </w:rPr>
        <w:t xml:space="preserve">La “cocina” son los ajustes para que la muestra (el conjunto de personas que son encuestadas) se parezca lo más posible a la población de España. Un ejemplo de estos ajustes: las personas en paro en el CIS están sobrerrepresentadas porque sus encuestas son presenciales y es más difícil encontrar en casa a quienes tienen trabajo. Otro problema es que las respuestas muchas veces no se corresponden con la realidad, por ejemplo, no dicen la verdad cuando les preguntan por la intención de voto. Para detectarlo el CIS incluye preguntas de control y tiene en cuenta muchas otras variables a la </w:t>
      </w:r>
      <w:r>
        <w:rPr>
          <w:rFonts w:ascii="Times New Roman" w:hAnsi="Times New Roman" w:cs="Times New Roman"/>
          <w:sz w:val="24"/>
          <w:szCs w:val="24"/>
          <w:shd w:val="clear" w:color="auto" w:fill="FFFFFF"/>
        </w:rPr>
        <w:t xml:space="preserve">hora de hacer esta estimación. </w:t>
      </w:r>
      <w:r w:rsidRPr="00791C59">
        <w:rPr>
          <w:rFonts w:ascii="Times New Roman" w:hAnsi="Times New Roman" w:cs="Times New Roman"/>
          <w:sz w:val="24"/>
          <w:szCs w:val="24"/>
          <w:shd w:val="clear" w:color="auto" w:fill="FFFFFF"/>
        </w:rPr>
        <w:t>Cuando Tezanos llegó al CIS dijo que los barómetros ya no tendrían cocinan porque el sistema tradicional de pronóstico había quedado invalidado tras el fin del bipartidismo en 2015. Sin embargo en 2018 y 2019, Tezanos volvió a incluir “cocina” en algunas encuestas.</w:t>
      </w:r>
    </w:p>
    <w:p w:rsidR="00F54CB0" w:rsidRDefault="00F54CB0" w:rsidP="00F54CB0">
      <w:pPr>
        <w:spacing w:line="240" w:lineRule="auto"/>
        <w:jc w:val="both"/>
        <w:rPr>
          <w:rFonts w:ascii="Times New Roman" w:hAnsi="Times New Roman" w:cs="Times New Roman"/>
          <w:color w:val="FF0000"/>
          <w:sz w:val="24"/>
          <w:szCs w:val="24"/>
          <w:shd w:val="clear" w:color="auto" w:fill="FFFFFF"/>
        </w:rPr>
      </w:pPr>
      <w:r w:rsidRPr="00001F45">
        <w:rPr>
          <w:rFonts w:ascii="Times New Roman" w:hAnsi="Times New Roman" w:cs="Times New Roman"/>
          <w:color w:val="FF0000"/>
          <w:sz w:val="24"/>
          <w:szCs w:val="24"/>
          <w:shd w:val="clear" w:color="auto" w:fill="FFFFFF"/>
        </w:rPr>
        <w:t>- Cerrar un mínimo del 80% de empresas, organismos, entes reguladores, observatorios, redes, áreas, oficinas</w:t>
      </w:r>
      <w:r>
        <w:rPr>
          <w:rFonts w:ascii="Times New Roman" w:hAnsi="Times New Roman" w:cs="Times New Roman"/>
          <w:color w:val="FF0000"/>
          <w:sz w:val="24"/>
          <w:szCs w:val="24"/>
          <w:shd w:val="clear" w:color="auto" w:fill="FFFFFF"/>
        </w:rPr>
        <w:t>, etc. (nacionales, autonómicas</w:t>
      </w:r>
      <w:r w:rsidRPr="00001F45">
        <w:rPr>
          <w:rFonts w:ascii="Times New Roman" w:hAnsi="Times New Roman" w:cs="Times New Roman"/>
          <w:color w:val="FF0000"/>
          <w:sz w:val="24"/>
          <w:szCs w:val="24"/>
          <w:shd w:val="clear" w:color="auto" w:fill="FFFFFF"/>
        </w:rPr>
        <w:t>, y municipales)</w:t>
      </w:r>
    </w:p>
    <w:p w:rsidR="00F54CB0" w:rsidRPr="001A795D" w:rsidRDefault="00F54CB0" w:rsidP="00F54CB0">
      <w:pPr>
        <w:spacing w:line="240" w:lineRule="auto"/>
        <w:jc w:val="both"/>
        <w:rPr>
          <w:rFonts w:ascii="Times New Roman" w:hAnsi="Times New Roman" w:cs="Times New Roman"/>
          <w:sz w:val="24"/>
          <w:szCs w:val="24"/>
          <w:shd w:val="clear" w:color="auto" w:fill="FFFFFF"/>
        </w:rPr>
      </w:pPr>
      <w:r w:rsidRPr="001A795D">
        <w:rPr>
          <w:rFonts w:ascii="Times New Roman" w:hAnsi="Times New Roman" w:cs="Times New Roman"/>
          <w:sz w:val="24"/>
          <w:szCs w:val="24"/>
          <w:shd w:val="clear" w:color="auto" w:fill="FFFFFF"/>
        </w:rPr>
        <w:t xml:space="preserve">En España, existen aproximadamente 2.282 empresas públicas que gestionan 226.000 millones de euros en activos. Estas empresas son entidades dependientes de las administraciones públicas (estatal, autonómica y local) e incluyen empresas, consorcios y fundaciones. Además, hay un total de 5.121 entes públicos en España, según el Inventario de entes públicos. (Libre Mercado - </w:t>
      </w:r>
      <w:r w:rsidRPr="00D5287E">
        <w:rPr>
          <w:rFonts w:ascii="Times New Roman" w:hAnsi="Times New Roman" w:cs="Times New Roman"/>
          <w:b/>
          <w:sz w:val="24"/>
          <w:szCs w:val="24"/>
          <w:shd w:val="clear" w:color="auto" w:fill="FFFFFF"/>
        </w:rPr>
        <w:t>17/3/19</w:t>
      </w:r>
      <w:r w:rsidRPr="001A795D">
        <w:rPr>
          <w:rFonts w:ascii="Times New Roman" w:hAnsi="Times New Roman" w:cs="Times New Roman"/>
          <w:sz w:val="24"/>
          <w:szCs w:val="24"/>
          <w:shd w:val="clear" w:color="auto" w:fill="FFFFFF"/>
        </w:rPr>
        <w:t>)</w:t>
      </w:r>
    </w:p>
    <w:p w:rsidR="00F54CB0" w:rsidRPr="001A795D" w:rsidRDefault="00F54CB0" w:rsidP="00F54CB0">
      <w:pPr>
        <w:spacing w:line="240" w:lineRule="auto"/>
        <w:jc w:val="both"/>
        <w:rPr>
          <w:rFonts w:ascii="Times New Roman" w:hAnsi="Times New Roman" w:cs="Times New Roman"/>
          <w:sz w:val="24"/>
          <w:szCs w:val="24"/>
          <w:shd w:val="clear" w:color="auto" w:fill="FFFFFF"/>
        </w:rPr>
      </w:pPr>
      <w:r w:rsidRPr="001A795D">
        <w:rPr>
          <w:rFonts w:ascii="Times New Roman" w:hAnsi="Times New Roman" w:cs="Times New Roman"/>
          <w:sz w:val="24"/>
          <w:szCs w:val="24"/>
          <w:shd w:val="clear" w:color="auto" w:fill="FFFFFF"/>
        </w:rPr>
        <w:t xml:space="preserve">2.282 empresas públicas: Este es el número específico de empresas públicas en España, según datos de Libre Mercado. </w:t>
      </w:r>
    </w:p>
    <w:p w:rsidR="00F54CB0" w:rsidRPr="001A795D" w:rsidRDefault="00F54CB0" w:rsidP="00F54CB0">
      <w:pPr>
        <w:spacing w:line="240" w:lineRule="auto"/>
        <w:jc w:val="both"/>
        <w:rPr>
          <w:rFonts w:ascii="Times New Roman" w:hAnsi="Times New Roman" w:cs="Times New Roman"/>
          <w:sz w:val="24"/>
          <w:szCs w:val="24"/>
          <w:shd w:val="clear" w:color="auto" w:fill="FFFFFF"/>
        </w:rPr>
      </w:pPr>
      <w:r w:rsidRPr="001A795D">
        <w:rPr>
          <w:rFonts w:ascii="Times New Roman" w:hAnsi="Times New Roman" w:cs="Times New Roman"/>
          <w:sz w:val="24"/>
          <w:szCs w:val="24"/>
          <w:shd w:val="clear" w:color="auto" w:fill="FFFFFF"/>
        </w:rPr>
        <w:t xml:space="preserve">226.000 millones en activos: Estas empresas gestionan una cantidad significativa de activos, lo que indica la importancia del sector público en la economía española. </w:t>
      </w:r>
    </w:p>
    <w:p w:rsidR="00F54CB0" w:rsidRPr="001A795D" w:rsidRDefault="00F54CB0" w:rsidP="00F54CB0">
      <w:pPr>
        <w:spacing w:line="240" w:lineRule="auto"/>
        <w:jc w:val="both"/>
        <w:rPr>
          <w:rFonts w:ascii="Times New Roman" w:hAnsi="Times New Roman" w:cs="Times New Roman"/>
          <w:sz w:val="24"/>
          <w:szCs w:val="24"/>
          <w:shd w:val="clear" w:color="auto" w:fill="FFFFFF"/>
        </w:rPr>
      </w:pPr>
      <w:r w:rsidRPr="001A795D">
        <w:rPr>
          <w:rFonts w:ascii="Times New Roman" w:hAnsi="Times New Roman" w:cs="Times New Roman"/>
          <w:sz w:val="24"/>
          <w:szCs w:val="24"/>
          <w:shd w:val="clear" w:color="auto" w:fill="FFFFFF"/>
        </w:rPr>
        <w:t xml:space="preserve">5.121 entes públicos: Este número incluye no solo empresas, sino también consorcios y fundaciones, mostrando la diversidad de entidades dentro del sector público. </w:t>
      </w:r>
    </w:p>
    <w:p w:rsidR="00F54CB0" w:rsidRPr="001A795D" w:rsidRDefault="00F54CB0" w:rsidP="00F54CB0">
      <w:pPr>
        <w:spacing w:line="240" w:lineRule="auto"/>
        <w:jc w:val="both"/>
        <w:rPr>
          <w:rFonts w:ascii="Times New Roman" w:hAnsi="Times New Roman" w:cs="Times New Roman"/>
          <w:sz w:val="24"/>
          <w:szCs w:val="24"/>
          <w:shd w:val="clear" w:color="auto" w:fill="FFFFFF"/>
        </w:rPr>
      </w:pPr>
      <w:r w:rsidRPr="001A795D">
        <w:rPr>
          <w:rFonts w:ascii="Times New Roman" w:hAnsi="Times New Roman" w:cs="Times New Roman"/>
          <w:sz w:val="24"/>
          <w:szCs w:val="24"/>
          <w:shd w:val="clear" w:color="auto" w:fill="FFFFFF"/>
        </w:rPr>
        <w:t>Sector público institucional: El sector público institucional incluye entidades como la Agencia Estatal de Meteorología (AEMET), Aena, y el Administrador de Infraestructuras Ferroviarias (ADIF), entre otras.</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lastRenderedPageBreak/>
        <w:t xml:space="preserve">En España, el número exacto de empresas del estado es difícil de precisar, pero se estima que existen más de 5.000 empresas públicas, incluyendo entidades, consorcios y fundaciones dependientes de las administraciones estatal, autonómica y local. El Grupo SEPI, por ejemplo, agrupa a 14 empresas participadas de forma directa y mayoritaria, y también tiene participaciones en otras empresas. Además, hay otras entidades como ADIF, Aena, Correos, RTVE, y Loterías y Apuestas del Estado, que son empresas públicas. </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Aquí hay algunos detalles sobre las empresas públicas en España:</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 xml:space="preserve">Sector Público Institucional Estatal: Este sector incluye entidades como ADIF, Aena, Agencia EFE, y RTVE. </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 xml:space="preserve">Grupo SEPI: Este grupo gestiona 14 empresas participadas de forma directa y mayoritaria, con más de 85,000 empleados. </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 xml:space="preserve">Entidades Públicas Empresariales: La Administración General del Estado cuenta con diversas entidades públicas empresariales, como ADIF, CDTI, y SEPES, entre otras. </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 xml:space="preserve">Otras empresas relevantes: Correos es una de las empresas públicas más grandes de España, y existen otras como Loterías y Apuestas del Estado, y Puertos del Estado. </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Variedad de entidades: Además de las empresas, existen consorcios y fundaciones que también forman parte del sector público institucional.</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Información complementaria: empresas que en 2024 seguían siendo públicas (según Wikipedia):</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Adif: Infraestructuras ferroviarias (2005). Adif nació como una escisión de RENFE, con el objeto de acometer una progresiva liberalización del transporte ferroviario, reservándose el estado la titularidad de las infraestructuras</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Agencia EFE:</w:t>
      </w:r>
      <w:r w:rsidRPr="00F3189A">
        <w:rPr>
          <w:rFonts w:ascii="Times New Roman" w:hAnsi="Times New Roman" w:cs="Times New Roman"/>
          <w:sz w:val="24"/>
          <w:szCs w:val="24"/>
          <w:shd w:val="clear" w:color="auto" w:fill="FFFFFF"/>
        </w:rPr>
        <w:tab/>
        <w:t>Comunicación</w:t>
      </w:r>
      <w:r w:rsidRPr="00F3189A">
        <w:rPr>
          <w:rFonts w:ascii="Times New Roman" w:hAnsi="Times New Roman" w:cs="Times New Roman"/>
          <w:sz w:val="24"/>
          <w:szCs w:val="24"/>
          <w:shd w:val="clear" w:color="auto" w:fill="FFFFFF"/>
        </w:rPr>
        <w:tab/>
        <w:t xml:space="preserve"> (1939)</w:t>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AENA</w:t>
      </w:r>
      <w:r w:rsidRPr="00F3189A">
        <w:rPr>
          <w:rFonts w:ascii="Times New Roman" w:hAnsi="Times New Roman" w:cs="Times New Roman"/>
          <w:sz w:val="24"/>
          <w:szCs w:val="24"/>
          <w:shd w:val="clear" w:color="auto" w:fill="FFFFFF"/>
        </w:rPr>
        <w:tab/>
        <w:t>Infraestructuras aeroportuarias (1991) Privatizada parcialmente. El Estado conserva el 51% de las acciones.</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Aldeasa: Comercio minorista aeroportuario (1974)</w:t>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Aviaco: Transporte aéreo (1948) En 1959 se convirtió en filial de Iberia</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Banco Hipotecario de España (Argentaria) (1872).</w:t>
      </w:r>
      <w:r w:rsidRPr="00F3189A">
        <w:rPr>
          <w:rFonts w:ascii="Times New Roman" w:hAnsi="Times New Roman" w:cs="Times New Roman"/>
          <w:sz w:val="24"/>
          <w:szCs w:val="24"/>
          <w:shd w:val="clear" w:color="auto" w:fill="FFFFFF"/>
        </w:rPr>
        <w:tab/>
        <w:t>En 1991 se integró en Argentaria, que posteriormente sería adquirido por BBV dando lugar a BBVA</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Caja Postal de Ahorros (Argentaria) Banca</w:t>
      </w:r>
      <w:r w:rsidRPr="00F3189A">
        <w:rPr>
          <w:rFonts w:ascii="Times New Roman" w:hAnsi="Times New Roman" w:cs="Times New Roman"/>
          <w:sz w:val="24"/>
          <w:szCs w:val="24"/>
          <w:shd w:val="clear" w:color="auto" w:fill="FFFFFF"/>
        </w:rPr>
        <w:tab/>
        <w:t>(1909).</w:t>
      </w:r>
      <w:r w:rsidRPr="00F3189A">
        <w:rPr>
          <w:rFonts w:ascii="Times New Roman" w:hAnsi="Times New Roman" w:cs="Times New Roman"/>
          <w:sz w:val="24"/>
          <w:szCs w:val="24"/>
          <w:shd w:val="clear" w:color="auto" w:fill="FFFFFF"/>
        </w:rPr>
        <w:tab/>
        <w:t xml:space="preserve"> En 1991 se integró en Argentaria, que posteriormente sería adquirido por BBV dando lugar a BBVA</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Campsa/Repsol: Hidrocarburo (1927). En 1987 Campsa se integró en el recién creado grupo REPSOL</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CASA​</w:t>
      </w:r>
      <w:r w:rsidR="00FE562B">
        <w:rPr>
          <w:rFonts w:ascii="Times New Roman" w:hAnsi="Times New Roman" w:cs="Times New Roman"/>
          <w:sz w:val="24"/>
          <w:szCs w:val="24"/>
          <w:shd w:val="clear" w:color="auto" w:fill="FFFFFF"/>
        </w:rPr>
        <w:t xml:space="preserve">: </w:t>
      </w:r>
      <w:r w:rsidRPr="00F3189A">
        <w:rPr>
          <w:rFonts w:ascii="Times New Roman" w:hAnsi="Times New Roman" w:cs="Times New Roman"/>
          <w:sz w:val="24"/>
          <w:szCs w:val="24"/>
          <w:shd w:val="clear" w:color="auto" w:fill="FFFFFF"/>
        </w:rPr>
        <w:t>Aeronáutico (1923). En 2000 se integra en el grupo europeo Airbus, de cuyo accionariado el Estado español conserva el 4,5%.</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Bazán/IZAR/Navantia: Construcción naval</w:t>
      </w:r>
      <w:r w:rsidRPr="00F3189A">
        <w:rPr>
          <w:rFonts w:ascii="Times New Roman" w:hAnsi="Times New Roman" w:cs="Times New Roman"/>
          <w:sz w:val="24"/>
          <w:szCs w:val="24"/>
          <w:shd w:val="clear" w:color="auto" w:fill="FFFFFF"/>
        </w:rPr>
        <w:tab/>
        <w:t>(1947)</w:t>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Correos y Telégrafos: Mensajería (1716). En régimen de monopolio hasta 1997</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lastRenderedPageBreak/>
        <w:t>Enagás: Energía (1972)</w:t>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Empresa Nacional de Autopistas: Infraestructuras terrestres (1984)</w:t>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Enasa (Pegaso): Automoción</w:t>
      </w:r>
      <w:r w:rsidRPr="00F3189A">
        <w:rPr>
          <w:rFonts w:ascii="Times New Roman" w:hAnsi="Times New Roman" w:cs="Times New Roman"/>
          <w:sz w:val="24"/>
          <w:szCs w:val="24"/>
          <w:shd w:val="clear" w:color="auto" w:fill="FFFFFF"/>
        </w:rPr>
        <w:tab/>
        <w:t xml:space="preserve"> (1946)</w:t>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Enatcar: Transporte interurbano (1988)</w:t>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Endesa: Energía (1944)</w:t>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Ensidesa/Aceralia: Siderurgia (1950)</w:t>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Entursa: Hostelería (1963)</w:t>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Expasa: Ganadería (1949). Gestiona la Yeguada del Hierro del Bocado, adquirida por el Estado a raíz de la expropiación de Rumasa</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Fábrica Nacional de Moneda y Timbre: Acuñación de moneda (1893)</w:t>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Hipódromo de la Zarzuela: Ocio (1941)</w:t>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Hunosa: Minería del carbón</w:t>
      </w:r>
      <w:r w:rsidRPr="00F3189A">
        <w:rPr>
          <w:rFonts w:ascii="Times New Roman" w:hAnsi="Times New Roman" w:cs="Times New Roman"/>
          <w:sz w:val="24"/>
          <w:szCs w:val="24"/>
          <w:shd w:val="clear" w:color="auto" w:fill="FFFFFF"/>
        </w:rPr>
        <w:tab/>
        <w:t>(1967). Nacida como consecuencia de la crisis del sector del carbón en el Principado de Asturias y el progresivo cese de actividad de las empresas privadas ante la falta de rentabilidad.</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Iberia: Transporte aéreo (1927). En régimen de monopolio hasta 1993. Privada (1999)</w:t>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Indra: Informática (1992). Parcialmente privatizada; el Estado sigue siendo mayor accionista de la compañía con un 28% de las participaciones.</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Loterías y Apuestas del Estado: Juego (1763). Creada en 1984 al unificarse diferentes servicios públicos dedicados a los juegos de azar. En régimen de duopolio con los Sorteos de la ONCE</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Metro de Madrid: Transporte urbano</w:t>
      </w:r>
      <w:r w:rsidRPr="00F3189A">
        <w:rPr>
          <w:rFonts w:ascii="Times New Roman" w:hAnsi="Times New Roman" w:cs="Times New Roman"/>
          <w:sz w:val="24"/>
          <w:szCs w:val="24"/>
          <w:shd w:val="clear" w:color="auto" w:fill="FFFFFF"/>
        </w:rPr>
        <w:tab/>
        <w:t xml:space="preserve"> (1919)</w:t>
      </w:r>
      <w:r w:rsidRPr="00F3189A">
        <w:rPr>
          <w:rFonts w:ascii="Times New Roman" w:hAnsi="Times New Roman" w:cs="Times New Roman"/>
          <w:sz w:val="24"/>
          <w:szCs w:val="24"/>
          <w:shd w:val="clear" w:color="auto" w:fill="FFFFFF"/>
        </w:rPr>
        <w:tab/>
        <w:t>. Si bien la Compañía Metropolitana se mantuvo en manos privadas hasta 1978, las infraestructuras viarias ya habían sido previamente nacionalizadas mediante la Ley de Régimen Compartido de Financiación de la Compañía Metropolitano de Madrid (1955). Estuvo en manos del Estado hasta 1986 en que fue transferido a la Comunidad de Madrid y el Ayuntamiento de Madrid</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Paradores: Hostelería</w:t>
      </w:r>
      <w:r w:rsidRPr="00F3189A">
        <w:rPr>
          <w:rFonts w:ascii="Times New Roman" w:hAnsi="Times New Roman" w:cs="Times New Roman"/>
          <w:sz w:val="24"/>
          <w:szCs w:val="24"/>
          <w:shd w:val="clear" w:color="auto" w:fill="FFFFFF"/>
        </w:rPr>
        <w:tab/>
        <w:t>(1928)</w:t>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Puertos del Estado: Infraestructuras Portuarias (1992). Tradicionalmente las infraestructuras portuarias han estado en manos del sector público. Así ya un Real Decreto de 8 de febrero de 1781 establecía que el diseño y la dirección de los puertos civiles correspondían a las Juntas de los Departamentos Marítimos (de la Armada)</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Radio Nacional de España: Comunicación (1937)</w:t>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Red Eléctrica de España: Energía (1985). Parcialmente privatizada. El Estado conserva a través de SEPI el 20% de las acciones y es el principal accionista.</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RENFE: Transporte ferroviario (1941). Hasta la década de 1940 el transporte ferroviario en España estaba en manos privadas. RENFE se mantuvo en régimen de monopolio hasta 2020</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Santa Bárbara: Defensa (1960)</w:t>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lastRenderedPageBreak/>
        <w:t>SEAT: Automoción (1950). Fue privatizada en 1986, cuando el Grupo Volkswagen adquirió el control mayoritario de la empresa. En 1986, compró el 51% de las acciones de SEAT, marcando el inicio de la privatización, y posteriormente, en 1990, adquirió el 99,99% de las acciones, consolidando su control sobre la empresa española.</w:t>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Tabacalera: Tabacos</w:t>
      </w:r>
      <w:r w:rsidRPr="00F3189A">
        <w:rPr>
          <w:rFonts w:ascii="Times New Roman" w:hAnsi="Times New Roman" w:cs="Times New Roman"/>
          <w:sz w:val="24"/>
          <w:szCs w:val="24"/>
          <w:shd w:val="clear" w:color="auto" w:fill="FFFFFF"/>
        </w:rPr>
        <w:tab/>
        <w:t>(1945). Las labores de tabaco fueron monopolio estatal desde 1636 hasta 1998.</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Teatro María Guerrero: Ocio</w:t>
      </w:r>
      <w:r w:rsidRPr="00F3189A">
        <w:rPr>
          <w:rFonts w:ascii="Times New Roman" w:hAnsi="Times New Roman" w:cs="Times New Roman"/>
          <w:sz w:val="24"/>
          <w:szCs w:val="24"/>
          <w:shd w:val="clear" w:color="auto" w:fill="FFFFFF"/>
        </w:rPr>
        <w:tab/>
        <w:t xml:space="preserve"> (1885)</w:t>
      </w:r>
      <w:r w:rsidRPr="00F3189A">
        <w:rPr>
          <w:rFonts w:ascii="Times New Roman" w:hAnsi="Times New Roman" w:cs="Times New Roman"/>
          <w:sz w:val="24"/>
          <w:szCs w:val="24"/>
          <w:shd w:val="clear" w:color="auto" w:fill="FFFFFF"/>
        </w:rPr>
        <w:tab/>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Telefónica: Telefonía</w:t>
      </w:r>
      <w:r w:rsidRPr="00F3189A">
        <w:rPr>
          <w:rFonts w:ascii="Times New Roman" w:hAnsi="Times New Roman" w:cs="Times New Roman"/>
          <w:sz w:val="24"/>
          <w:szCs w:val="24"/>
          <w:shd w:val="clear" w:color="auto" w:fill="FFFFFF"/>
        </w:rPr>
        <w:tab/>
        <w:t xml:space="preserve"> (1924)</w:t>
      </w:r>
      <w:r w:rsidRPr="00F3189A">
        <w:rPr>
          <w:rFonts w:ascii="Times New Roman" w:hAnsi="Times New Roman" w:cs="Times New Roman"/>
          <w:sz w:val="24"/>
          <w:szCs w:val="24"/>
          <w:shd w:val="clear" w:color="auto" w:fill="FFFFFF"/>
        </w:rPr>
        <w:tab/>
        <w:t xml:space="preserve"> Monopolio hasta 1999, privada, aunque el Estado mediante el SEPI es el accionista mayoritario con un 10% de las acciones.</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Televisión Española: Comunicación</w:t>
      </w:r>
      <w:r w:rsidRPr="00F3189A">
        <w:rPr>
          <w:rFonts w:ascii="Times New Roman" w:hAnsi="Times New Roman" w:cs="Times New Roman"/>
          <w:sz w:val="24"/>
          <w:szCs w:val="24"/>
          <w:shd w:val="clear" w:color="auto" w:fill="FFFFFF"/>
        </w:rPr>
        <w:tab/>
        <w:t xml:space="preserve"> (1956)</w:t>
      </w:r>
      <w:r w:rsidRPr="00F3189A">
        <w:rPr>
          <w:rFonts w:ascii="Times New Roman" w:hAnsi="Times New Roman" w:cs="Times New Roman"/>
          <w:sz w:val="24"/>
          <w:szCs w:val="24"/>
          <w:shd w:val="clear" w:color="auto" w:fill="FFFFFF"/>
        </w:rPr>
        <w:tab/>
        <w:t>. En régimen de monopolio hasta 1990</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Trasatlántica:</w:t>
      </w:r>
      <w:r w:rsidRPr="00F3189A">
        <w:rPr>
          <w:rFonts w:ascii="Times New Roman" w:hAnsi="Times New Roman" w:cs="Times New Roman"/>
          <w:sz w:val="24"/>
          <w:szCs w:val="24"/>
          <w:shd w:val="clear" w:color="auto" w:fill="FFFFFF"/>
        </w:rPr>
        <w:tab/>
        <w:t>Transporte marítimo</w:t>
      </w:r>
      <w:r w:rsidRPr="00F3189A">
        <w:rPr>
          <w:rFonts w:ascii="Times New Roman" w:hAnsi="Times New Roman" w:cs="Times New Roman"/>
          <w:sz w:val="24"/>
          <w:szCs w:val="24"/>
          <w:shd w:val="clear" w:color="auto" w:fill="FFFFFF"/>
        </w:rPr>
        <w:tab/>
        <w:t>(1849). Privatizada en 1978.</w:t>
      </w:r>
      <w:r w:rsidRPr="00F3189A">
        <w:rPr>
          <w:rFonts w:ascii="Times New Roman" w:hAnsi="Times New Roman" w:cs="Times New Roman"/>
          <w:sz w:val="24"/>
          <w:szCs w:val="24"/>
          <w:shd w:val="clear" w:color="auto" w:fill="FFFFFF"/>
        </w:rPr>
        <w:tab/>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Transmediterránea: Transporte marítimo (1917). Privatizada en 1978.</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Viajes Marsans: Turismo (1910). Privatizada en 1964.</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Otras empresas con participación mayoritaria del Estado</w:t>
      </w:r>
    </w:p>
    <w:p w:rsidR="00F54CB0" w:rsidRPr="00D5287E" w:rsidRDefault="00F54CB0" w:rsidP="00F54CB0">
      <w:pPr>
        <w:numPr>
          <w:ilvl w:val="0"/>
          <w:numId w:val="8"/>
        </w:numPr>
        <w:shd w:val="clear" w:color="auto" w:fill="FFFFFF"/>
        <w:spacing w:before="100" w:beforeAutospacing="1" w:after="24" w:line="240" w:lineRule="auto"/>
        <w:ind w:left="384"/>
        <w:rPr>
          <w:rFonts w:ascii="Times New Roman" w:hAnsi="Times New Roman" w:cs="Times New Roman"/>
          <w:sz w:val="24"/>
          <w:szCs w:val="24"/>
        </w:rPr>
      </w:pPr>
      <w:r w:rsidRPr="00D5287E">
        <w:rPr>
          <w:rFonts w:ascii="Times New Roman" w:hAnsi="Times New Roman" w:cs="Times New Roman"/>
          <w:bCs/>
          <w:sz w:val="24"/>
          <w:szCs w:val="24"/>
        </w:rPr>
        <w:t>Grupo SEPI</w:t>
      </w:r>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51" w:tooltip="CETARSA" w:history="1">
        <w:r w:rsidR="00F54CB0" w:rsidRPr="00D5287E">
          <w:rPr>
            <w:rStyle w:val="Hipervnculo"/>
            <w:rFonts w:ascii="Times New Roman" w:hAnsi="Times New Roman" w:cs="Times New Roman"/>
            <w:color w:val="auto"/>
            <w:sz w:val="24"/>
            <w:szCs w:val="24"/>
            <w:u w:val="none"/>
          </w:rPr>
          <w:t>CETARSA</w:t>
        </w:r>
      </w:hyperlink>
      <w:r w:rsidR="00F54CB0" w:rsidRPr="00D5287E">
        <w:rPr>
          <w:rFonts w:ascii="Times New Roman" w:hAnsi="Times New Roman" w:cs="Times New Roman"/>
          <w:sz w:val="24"/>
          <w:szCs w:val="24"/>
        </w:rPr>
        <w:t> (Ambiental y agrario)</w:t>
      </w:r>
    </w:p>
    <w:p w:rsidR="00F54CB0" w:rsidRPr="00D5287E" w:rsidRDefault="00F54CB0"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r w:rsidRPr="00D5287E">
        <w:rPr>
          <w:rFonts w:ascii="Times New Roman" w:hAnsi="Times New Roman" w:cs="Times New Roman"/>
          <w:sz w:val="24"/>
          <w:szCs w:val="24"/>
        </w:rPr>
        <w:t>Cofivacasa (Financiero)</w:t>
      </w:r>
    </w:p>
    <w:p w:rsidR="00F54CB0" w:rsidRPr="00D5287E" w:rsidRDefault="00F54CB0"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r w:rsidRPr="00D5287E">
        <w:rPr>
          <w:rFonts w:ascii="Times New Roman" w:hAnsi="Times New Roman" w:cs="Times New Roman"/>
          <w:sz w:val="24"/>
          <w:szCs w:val="24"/>
        </w:rPr>
        <w:t>ENSA (Energía)</w:t>
      </w:r>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52" w:tooltip="ENUSA" w:history="1">
        <w:r w:rsidR="00F54CB0" w:rsidRPr="00D5287E">
          <w:rPr>
            <w:rStyle w:val="Hipervnculo"/>
            <w:rFonts w:ascii="Times New Roman" w:hAnsi="Times New Roman" w:cs="Times New Roman"/>
            <w:color w:val="auto"/>
            <w:sz w:val="24"/>
            <w:szCs w:val="24"/>
            <w:u w:val="none"/>
          </w:rPr>
          <w:t>ENUSA</w:t>
        </w:r>
      </w:hyperlink>
      <w:r w:rsidR="00F54CB0" w:rsidRPr="00D5287E">
        <w:rPr>
          <w:rFonts w:ascii="Times New Roman" w:hAnsi="Times New Roman" w:cs="Times New Roman"/>
          <w:sz w:val="24"/>
          <w:szCs w:val="24"/>
        </w:rPr>
        <w:t> (Energía)</w:t>
      </w:r>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53" w:tooltip="Mayasa" w:history="1">
        <w:r w:rsidR="00F54CB0" w:rsidRPr="00D5287E">
          <w:rPr>
            <w:rStyle w:val="Hipervnculo"/>
            <w:rFonts w:ascii="Times New Roman" w:hAnsi="Times New Roman" w:cs="Times New Roman"/>
            <w:color w:val="auto"/>
            <w:sz w:val="24"/>
            <w:szCs w:val="24"/>
            <w:u w:val="none"/>
          </w:rPr>
          <w:t>Mayasa</w:t>
        </w:r>
      </w:hyperlink>
      <w:r w:rsidR="00F54CB0" w:rsidRPr="00D5287E">
        <w:rPr>
          <w:rFonts w:ascii="Times New Roman" w:hAnsi="Times New Roman" w:cs="Times New Roman"/>
          <w:sz w:val="24"/>
          <w:szCs w:val="24"/>
        </w:rPr>
        <w:t> (Ambiental y agrario)</w:t>
      </w:r>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54" w:tooltip="Mercasa" w:history="1">
        <w:r w:rsidR="00F54CB0" w:rsidRPr="00D5287E">
          <w:rPr>
            <w:rStyle w:val="Hipervnculo"/>
            <w:rFonts w:ascii="Times New Roman" w:hAnsi="Times New Roman" w:cs="Times New Roman"/>
            <w:color w:val="auto"/>
            <w:sz w:val="24"/>
            <w:szCs w:val="24"/>
            <w:u w:val="none"/>
          </w:rPr>
          <w:t>Mercasa</w:t>
        </w:r>
      </w:hyperlink>
      <w:r w:rsidR="00F54CB0" w:rsidRPr="00D5287E">
        <w:rPr>
          <w:rFonts w:ascii="Times New Roman" w:hAnsi="Times New Roman" w:cs="Times New Roman"/>
          <w:sz w:val="24"/>
          <w:szCs w:val="24"/>
        </w:rPr>
        <w:t> (Distribución alimentaria)</w:t>
      </w:r>
    </w:p>
    <w:p w:rsidR="00F54CB0" w:rsidRPr="00D5287E" w:rsidRDefault="00F54CB0"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r w:rsidRPr="00D5287E">
        <w:rPr>
          <w:rFonts w:ascii="Times New Roman" w:hAnsi="Times New Roman" w:cs="Times New Roman"/>
          <w:sz w:val="24"/>
          <w:szCs w:val="24"/>
        </w:rPr>
        <w:t>Sepides (Promoción empresarial)</w:t>
      </w:r>
    </w:p>
    <w:p w:rsidR="00F54CB0" w:rsidRPr="00D5287E" w:rsidRDefault="00F54CB0"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r w:rsidRPr="00D5287E">
        <w:rPr>
          <w:rFonts w:ascii="Times New Roman" w:hAnsi="Times New Roman" w:cs="Times New Roman"/>
          <w:sz w:val="24"/>
          <w:szCs w:val="24"/>
        </w:rPr>
        <w:t>Saeca (Ambiental y agrario)</w:t>
      </w:r>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55" w:history="1">
        <w:r w:rsidR="00F54CB0" w:rsidRPr="00D5287E">
          <w:rPr>
            <w:rStyle w:val="Hipervnculo"/>
            <w:rFonts w:ascii="Times New Roman" w:hAnsi="Times New Roman" w:cs="Times New Roman"/>
            <w:color w:val="auto"/>
            <w:sz w:val="24"/>
            <w:szCs w:val="24"/>
            <w:u w:val="none"/>
          </w:rPr>
          <w:t>TRAGSA</w:t>
        </w:r>
      </w:hyperlink>
      <w:r w:rsidR="00F54CB0" w:rsidRPr="00D5287E">
        <w:rPr>
          <w:rFonts w:ascii="Times New Roman" w:hAnsi="Times New Roman" w:cs="Times New Roman"/>
          <w:sz w:val="24"/>
          <w:szCs w:val="24"/>
        </w:rPr>
        <w:t> (Ambiental y agrario)</w:t>
      </w:r>
    </w:p>
    <w:p w:rsidR="00F54CB0" w:rsidRPr="00D5287E" w:rsidRDefault="00F54CB0" w:rsidP="00F54CB0">
      <w:pPr>
        <w:numPr>
          <w:ilvl w:val="0"/>
          <w:numId w:val="8"/>
        </w:numPr>
        <w:shd w:val="clear" w:color="auto" w:fill="FFFFFF"/>
        <w:spacing w:before="100" w:beforeAutospacing="1" w:after="24" w:line="240" w:lineRule="auto"/>
        <w:ind w:left="384"/>
        <w:rPr>
          <w:rFonts w:ascii="Times New Roman" w:hAnsi="Times New Roman" w:cs="Times New Roman"/>
          <w:sz w:val="24"/>
          <w:szCs w:val="24"/>
        </w:rPr>
      </w:pPr>
      <w:r w:rsidRPr="00D5287E">
        <w:rPr>
          <w:rFonts w:ascii="Times New Roman" w:hAnsi="Times New Roman" w:cs="Times New Roman"/>
          <w:bCs/>
          <w:sz w:val="24"/>
          <w:szCs w:val="24"/>
        </w:rPr>
        <w:t>Grupo Patrimonio</w:t>
      </w:r>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56" w:tooltip="Acción Cultural Española" w:history="1">
        <w:r w:rsidR="00F54CB0" w:rsidRPr="00D5287E">
          <w:rPr>
            <w:rStyle w:val="Hipervnculo"/>
            <w:rFonts w:ascii="Times New Roman" w:hAnsi="Times New Roman" w:cs="Times New Roman"/>
            <w:color w:val="auto"/>
            <w:sz w:val="24"/>
            <w:szCs w:val="24"/>
            <w:u w:val="none"/>
          </w:rPr>
          <w:t>Acción Cultural Española</w:t>
        </w:r>
      </w:hyperlink>
    </w:p>
    <w:p w:rsidR="00F54CB0" w:rsidRPr="00D5287E" w:rsidRDefault="00F54CB0"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r w:rsidRPr="00D5287E">
        <w:rPr>
          <w:rFonts w:ascii="Times New Roman" w:hAnsi="Times New Roman" w:cs="Times New Roman"/>
          <w:sz w:val="24"/>
          <w:szCs w:val="24"/>
        </w:rPr>
        <w:t>Aguas de las Cuencas de España</w:t>
      </w:r>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57" w:tooltip="Aguas de las Cuencas Mediterráneas" w:history="1">
        <w:r w:rsidR="00F54CB0" w:rsidRPr="00D5287E">
          <w:rPr>
            <w:rStyle w:val="Hipervnculo"/>
            <w:rFonts w:ascii="Times New Roman" w:hAnsi="Times New Roman" w:cs="Times New Roman"/>
            <w:color w:val="auto"/>
            <w:sz w:val="24"/>
            <w:szCs w:val="24"/>
            <w:u w:val="none"/>
          </w:rPr>
          <w:t>Aguas de las Cuencas Mediterráneas</w:t>
        </w:r>
      </w:hyperlink>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58" w:tooltip="Canal de Navarra" w:history="1">
        <w:r w:rsidR="00F54CB0" w:rsidRPr="00D5287E">
          <w:rPr>
            <w:rStyle w:val="Hipervnculo"/>
            <w:rFonts w:ascii="Times New Roman" w:hAnsi="Times New Roman" w:cs="Times New Roman"/>
            <w:color w:val="auto"/>
            <w:sz w:val="24"/>
            <w:szCs w:val="24"/>
            <w:u w:val="none"/>
          </w:rPr>
          <w:t>Canal de Navarra</w:t>
        </w:r>
      </w:hyperlink>
    </w:p>
    <w:p w:rsidR="00F54CB0" w:rsidRPr="00D5287E" w:rsidRDefault="00F54CB0"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r w:rsidRPr="00D5287E">
        <w:rPr>
          <w:rFonts w:ascii="Times New Roman" w:hAnsi="Times New Roman" w:cs="Times New Roman"/>
          <w:sz w:val="24"/>
          <w:szCs w:val="24"/>
        </w:rPr>
        <w:t>Celesa</w:t>
      </w:r>
    </w:p>
    <w:p w:rsidR="00F54CB0" w:rsidRPr="00D5287E" w:rsidRDefault="00F54CB0"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r w:rsidRPr="00D5287E">
        <w:rPr>
          <w:rFonts w:ascii="Times New Roman" w:hAnsi="Times New Roman" w:cs="Times New Roman"/>
          <w:sz w:val="24"/>
          <w:szCs w:val="24"/>
        </w:rPr>
        <w:t>Cersa</w:t>
      </w:r>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59" w:tooltip="Cesce" w:history="1">
        <w:r w:rsidR="00F54CB0" w:rsidRPr="00D5287E">
          <w:rPr>
            <w:rStyle w:val="Hipervnculo"/>
            <w:rFonts w:ascii="Times New Roman" w:hAnsi="Times New Roman" w:cs="Times New Roman"/>
            <w:color w:val="auto"/>
            <w:sz w:val="24"/>
            <w:szCs w:val="24"/>
            <w:u w:val="none"/>
          </w:rPr>
          <w:t>Cesce</w:t>
        </w:r>
      </w:hyperlink>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60" w:tooltip="Club de Campo Villa de Madrid" w:history="1">
        <w:r w:rsidR="00F54CB0" w:rsidRPr="00D5287E">
          <w:rPr>
            <w:rStyle w:val="Hipervnculo"/>
            <w:rFonts w:ascii="Times New Roman" w:hAnsi="Times New Roman" w:cs="Times New Roman"/>
            <w:color w:val="auto"/>
            <w:sz w:val="24"/>
            <w:szCs w:val="24"/>
            <w:u w:val="none"/>
          </w:rPr>
          <w:t>Club de Campo Villa de Madrid</w:t>
        </w:r>
      </w:hyperlink>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61" w:tooltip="Sociedad Mercantil Estatal de Gestión Inmobiliaria de Patrimonio" w:history="1">
        <w:r w:rsidR="00F54CB0" w:rsidRPr="00D5287E">
          <w:rPr>
            <w:rStyle w:val="Hipervnculo"/>
            <w:rFonts w:ascii="Times New Roman" w:hAnsi="Times New Roman" w:cs="Times New Roman"/>
            <w:color w:val="auto"/>
            <w:sz w:val="24"/>
            <w:szCs w:val="24"/>
            <w:u w:val="none"/>
          </w:rPr>
          <w:t>SEGIPSA</w:t>
        </w:r>
      </w:hyperlink>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62" w:tooltip="SEGITTUR" w:history="1">
        <w:r w:rsidR="00F54CB0" w:rsidRPr="00D5287E">
          <w:rPr>
            <w:rStyle w:val="Hipervnculo"/>
            <w:rFonts w:ascii="Times New Roman" w:hAnsi="Times New Roman" w:cs="Times New Roman"/>
            <w:color w:val="auto"/>
            <w:sz w:val="24"/>
            <w:szCs w:val="24"/>
            <w:u w:val="none"/>
          </w:rPr>
          <w:t>SEGITTUR</w:t>
        </w:r>
      </w:hyperlink>
    </w:p>
    <w:p w:rsidR="00F54CB0" w:rsidRPr="00D5287E" w:rsidRDefault="00F54CB0"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r w:rsidRPr="00D5287E">
        <w:rPr>
          <w:rFonts w:ascii="Times New Roman" w:hAnsi="Times New Roman" w:cs="Times New Roman"/>
          <w:sz w:val="24"/>
          <w:szCs w:val="24"/>
        </w:rPr>
        <w:t>SEIASA</w:t>
      </w:r>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63" w:tooltip="Sociedad Estatal de Infraestructuras del Transporte Terrestre" w:history="1">
        <w:r w:rsidR="00F54CB0" w:rsidRPr="00D5287E">
          <w:rPr>
            <w:rStyle w:val="Hipervnculo"/>
            <w:rFonts w:ascii="Times New Roman" w:hAnsi="Times New Roman" w:cs="Times New Roman"/>
            <w:color w:val="auto"/>
            <w:sz w:val="24"/>
            <w:szCs w:val="24"/>
            <w:u w:val="none"/>
          </w:rPr>
          <w:t>SEITT</w:t>
        </w:r>
      </w:hyperlink>
    </w:p>
    <w:p w:rsidR="00F54CB0" w:rsidRPr="00D5287E" w:rsidRDefault="00F54CB0"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r w:rsidRPr="00D5287E">
        <w:rPr>
          <w:rFonts w:ascii="Times New Roman" w:hAnsi="Times New Roman" w:cs="Times New Roman"/>
          <w:sz w:val="24"/>
          <w:szCs w:val="24"/>
        </w:rPr>
        <w:t>SENASA</w:t>
      </w:r>
    </w:p>
    <w:p w:rsidR="00F54CB0" w:rsidRPr="00D5287E" w:rsidRDefault="00F54CB0"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r w:rsidRPr="00D5287E">
        <w:rPr>
          <w:rFonts w:ascii="Times New Roman" w:hAnsi="Times New Roman" w:cs="Times New Roman"/>
          <w:sz w:val="24"/>
          <w:szCs w:val="24"/>
        </w:rPr>
        <w:t>Secegsa</w:t>
      </w:r>
    </w:p>
    <w:p w:rsidR="00F54CB0" w:rsidRPr="00D5287E" w:rsidRDefault="00F54CB0"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r w:rsidRPr="00D5287E">
        <w:rPr>
          <w:rFonts w:ascii="Times New Roman" w:hAnsi="Times New Roman" w:cs="Times New Roman"/>
          <w:sz w:val="24"/>
          <w:szCs w:val="24"/>
        </w:rPr>
        <w:t>SIEPSE</w:t>
      </w:r>
    </w:p>
    <w:p w:rsidR="00F54CB0" w:rsidRPr="00D5287E" w:rsidRDefault="00F54CB0" w:rsidP="00F54CB0">
      <w:pPr>
        <w:numPr>
          <w:ilvl w:val="0"/>
          <w:numId w:val="8"/>
        </w:numPr>
        <w:shd w:val="clear" w:color="auto" w:fill="FFFFFF"/>
        <w:spacing w:before="100" w:beforeAutospacing="1" w:after="24" w:line="240" w:lineRule="auto"/>
        <w:ind w:left="384"/>
        <w:rPr>
          <w:rFonts w:ascii="Times New Roman" w:hAnsi="Times New Roman" w:cs="Times New Roman"/>
          <w:sz w:val="24"/>
          <w:szCs w:val="24"/>
        </w:rPr>
      </w:pPr>
      <w:r w:rsidRPr="00D5287E">
        <w:rPr>
          <w:rFonts w:ascii="Times New Roman" w:hAnsi="Times New Roman" w:cs="Times New Roman"/>
          <w:bCs/>
          <w:sz w:val="24"/>
          <w:szCs w:val="24"/>
        </w:rPr>
        <w:t>Otros</w:t>
      </w:r>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64" w:tooltip="Centro para el Desarrollo Tecnológico y la Innovación" w:history="1">
        <w:r w:rsidR="00F54CB0" w:rsidRPr="00D5287E">
          <w:rPr>
            <w:rStyle w:val="Hipervnculo"/>
            <w:rFonts w:ascii="Times New Roman" w:hAnsi="Times New Roman" w:cs="Times New Roman"/>
            <w:color w:val="auto"/>
            <w:sz w:val="24"/>
            <w:szCs w:val="24"/>
            <w:u w:val="none"/>
          </w:rPr>
          <w:t>CDTI</w:t>
        </w:r>
      </w:hyperlink>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65" w:tooltip="Consorcio de Compensación de Seguros" w:history="1">
        <w:r w:rsidR="00F54CB0" w:rsidRPr="00D5287E">
          <w:rPr>
            <w:rStyle w:val="Hipervnculo"/>
            <w:rFonts w:ascii="Times New Roman" w:hAnsi="Times New Roman" w:cs="Times New Roman"/>
            <w:color w:val="auto"/>
            <w:sz w:val="24"/>
            <w:szCs w:val="24"/>
            <w:u w:val="none"/>
          </w:rPr>
          <w:t>Consorcio de Compensación de Seguros</w:t>
        </w:r>
      </w:hyperlink>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66" w:tooltip="ENAIRE" w:history="1">
        <w:r w:rsidR="00F54CB0" w:rsidRPr="00D5287E">
          <w:rPr>
            <w:rStyle w:val="Hipervnculo"/>
            <w:rFonts w:ascii="Times New Roman" w:hAnsi="Times New Roman" w:cs="Times New Roman"/>
            <w:color w:val="auto"/>
            <w:sz w:val="24"/>
            <w:szCs w:val="24"/>
            <w:u w:val="none"/>
          </w:rPr>
          <w:t>ENAIRE</w:t>
        </w:r>
      </w:hyperlink>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67" w:tooltip="ICEX España Exportación e Inversiones" w:history="1">
        <w:r w:rsidR="00F54CB0" w:rsidRPr="00D5287E">
          <w:rPr>
            <w:rStyle w:val="Hipervnculo"/>
            <w:rFonts w:ascii="Times New Roman" w:hAnsi="Times New Roman" w:cs="Times New Roman"/>
            <w:color w:val="auto"/>
            <w:sz w:val="24"/>
            <w:szCs w:val="24"/>
            <w:u w:val="none"/>
          </w:rPr>
          <w:t>ICEX</w:t>
        </w:r>
      </w:hyperlink>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68" w:tooltip="Instituto de Crédito Oficial" w:history="1">
        <w:r w:rsidR="00F54CB0" w:rsidRPr="00D5287E">
          <w:rPr>
            <w:rStyle w:val="Hipervnculo"/>
            <w:rFonts w:ascii="Times New Roman" w:hAnsi="Times New Roman" w:cs="Times New Roman"/>
            <w:color w:val="auto"/>
            <w:sz w:val="24"/>
            <w:szCs w:val="24"/>
            <w:u w:val="none"/>
          </w:rPr>
          <w:t>ICO</w:t>
        </w:r>
      </w:hyperlink>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69" w:tooltip="Instituto para la Diversificación y Ahorro de la Energía" w:history="1">
        <w:r w:rsidR="00F54CB0" w:rsidRPr="00D5287E">
          <w:rPr>
            <w:rStyle w:val="Hipervnculo"/>
            <w:rFonts w:ascii="Times New Roman" w:hAnsi="Times New Roman" w:cs="Times New Roman"/>
            <w:color w:val="auto"/>
            <w:sz w:val="24"/>
            <w:szCs w:val="24"/>
            <w:u w:val="none"/>
          </w:rPr>
          <w:t>IDAE</w:t>
        </w:r>
      </w:hyperlink>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70" w:tooltip="INECO" w:history="1">
        <w:r w:rsidR="00F54CB0" w:rsidRPr="00D5287E">
          <w:rPr>
            <w:rStyle w:val="Hipervnculo"/>
            <w:rFonts w:ascii="Times New Roman" w:hAnsi="Times New Roman" w:cs="Times New Roman"/>
            <w:color w:val="auto"/>
            <w:sz w:val="24"/>
            <w:szCs w:val="24"/>
            <w:u w:val="none"/>
          </w:rPr>
          <w:t>INECO</w:t>
        </w:r>
      </w:hyperlink>
    </w:p>
    <w:p w:rsidR="00F54CB0" w:rsidRPr="00D5287E" w:rsidRDefault="00F54CB0"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r w:rsidRPr="00D5287E">
        <w:rPr>
          <w:rFonts w:ascii="Times New Roman" w:hAnsi="Times New Roman" w:cs="Times New Roman"/>
          <w:sz w:val="24"/>
          <w:szCs w:val="24"/>
        </w:rPr>
        <w:t>ISDEFE</w:t>
      </w:r>
    </w:p>
    <w:p w:rsidR="00F54CB0" w:rsidRPr="00D5287E" w:rsidRDefault="000335E9" w:rsidP="00F54CB0">
      <w:pPr>
        <w:numPr>
          <w:ilvl w:val="1"/>
          <w:numId w:val="8"/>
        </w:numPr>
        <w:shd w:val="clear" w:color="auto" w:fill="FFFFFF"/>
        <w:spacing w:before="100" w:beforeAutospacing="1" w:after="24" w:line="240" w:lineRule="auto"/>
        <w:ind w:left="768"/>
        <w:rPr>
          <w:rFonts w:ascii="Times New Roman" w:hAnsi="Times New Roman" w:cs="Times New Roman"/>
          <w:sz w:val="24"/>
          <w:szCs w:val="24"/>
        </w:rPr>
      </w:pPr>
      <w:hyperlink r:id="rId71" w:tooltip="Entidad Pública Empresarial de Suelo" w:history="1">
        <w:r w:rsidR="00F54CB0" w:rsidRPr="00D5287E">
          <w:rPr>
            <w:rStyle w:val="Hipervnculo"/>
            <w:rFonts w:ascii="Times New Roman" w:hAnsi="Times New Roman" w:cs="Times New Roman"/>
            <w:color w:val="auto"/>
            <w:sz w:val="24"/>
            <w:szCs w:val="24"/>
            <w:u w:val="none"/>
          </w:rPr>
          <w:t>SEPES</w:t>
        </w:r>
      </w:hyperlink>
    </w:p>
    <w:p w:rsidR="00F54CB0" w:rsidRDefault="00F54CB0" w:rsidP="00F54CB0">
      <w:pPr>
        <w:spacing w:line="240" w:lineRule="auto"/>
        <w:jc w:val="both"/>
        <w:rPr>
          <w:rFonts w:ascii="Times New Roman" w:hAnsi="Times New Roman" w:cs="Times New Roman"/>
          <w:sz w:val="24"/>
          <w:szCs w:val="24"/>
          <w:shd w:val="clear" w:color="auto" w:fill="FFFFFF"/>
        </w:rPr>
      </w:pP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En España, las Comunidades Autónomas (CCAA) gestionan diversas empresas públicas en sectores como energía, transporte, infraestructuras, cultura y servicios sociales. Estas empresas son instrumentos para la gestión de servicios públicos y la promoción económica regional. Cada Comunidad Autónoma puede tener su propio listado de empresas, y la composición de estas puede variar significativamente entre ellas.</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Ejemplos de empresas controladas por las CCAA:</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Energía: </w:t>
      </w:r>
      <w:r w:rsidRPr="00F3189A">
        <w:rPr>
          <w:rFonts w:ascii="Times New Roman" w:hAnsi="Times New Roman" w:cs="Times New Roman"/>
          <w:sz w:val="24"/>
          <w:szCs w:val="24"/>
          <w:shd w:val="clear" w:color="auto" w:fill="FFFFFF"/>
        </w:rPr>
        <w:t>Algunas CCAA tienen participación en empresas energéticas, como es el caso de las empresas relacionadas con la gestión de recursos hídricos o la producción de energías renovables.</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Transporte: </w:t>
      </w:r>
      <w:r w:rsidRPr="00F3189A">
        <w:rPr>
          <w:rFonts w:ascii="Times New Roman" w:hAnsi="Times New Roman" w:cs="Times New Roman"/>
          <w:sz w:val="24"/>
          <w:szCs w:val="24"/>
          <w:shd w:val="clear" w:color="auto" w:fill="FFFFFF"/>
        </w:rPr>
        <w:t>Pueden participar en la gestión de aeropuertos, puertos, o transporte público regional.</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Infraestructuras: </w:t>
      </w:r>
      <w:r w:rsidRPr="00F3189A">
        <w:rPr>
          <w:rFonts w:ascii="Times New Roman" w:hAnsi="Times New Roman" w:cs="Times New Roman"/>
          <w:sz w:val="24"/>
          <w:szCs w:val="24"/>
          <w:shd w:val="clear" w:color="auto" w:fill="FFFFFF"/>
        </w:rPr>
        <w:t>Pueden ser propietarias o participar en empresas encargadas de la construcción y gestión de infraestructuras, como carreteras, hospitales, o instalaciones deportivas.</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Cultura: </w:t>
      </w:r>
      <w:r w:rsidRPr="00F3189A">
        <w:rPr>
          <w:rFonts w:ascii="Times New Roman" w:hAnsi="Times New Roman" w:cs="Times New Roman"/>
          <w:sz w:val="24"/>
          <w:szCs w:val="24"/>
          <w:shd w:val="clear" w:color="auto" w:fill="FFFFFF"/>
        </w:rPr>
        <w:t>Pueden participar en empresas que gestionan museos, teatros, auditorios u otros espacios culturales.</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Servicios Sociales: </w:t>
      </w:r>
      <w:r w:rsidRPr="00F3189A">
        <w:rPr>
          <w:rFonts w:ascii="Times New Roman" w:hAnsi="Times New Roman" w:cs="Times New Roman"/>
          <w:sz w:val="24"/>
          <w:szCs w:val="24"/>
          <w:shd w:val="clear" w:color="auto" w:fill="FFFFFF"/>
        </w:rPr>
        <w:t xml:space="preserve">Pueden tener participación en empresas dedicadas a la gestión de residencias de ancianos, centros de día, o servicios de atención a personas con discapacidad. </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Ejemplos específicos (no exhaustivos):</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Canal de Isabel II (Comunidad de Madrid): Una empresa pública de aguas y saneamiento.</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Ferrocarrils de la Generalitat de Catalunya (Generalitat de Catalunya): Empresa pública de transporte ferroviario.</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Euskal Trenbide Sarea (Gobierno Vasco): Infraestructura ferroviaria vasca.</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Radiotelevisión de la Región de Murcia (Murcia): Servicio de radiodifusión y televisión pública de la región.</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Empresa Pública de Gestión de Vivienda de Andalucía (Andalucía): Encargada de la gestión de viviendas sociales.</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i</w:t>
      </w:r>
      <w:r w:rsidRPr="00F3189A">
        <w:rPr>
          <w:rFonts w:ascii="Times New Roman" w:hAnsi="Times New Roman" w:cs="Times New Roman"/>
          <w:sz w:val="24"/>
          <w:szCs w:val="24"/>
          <w:shd w:val="clear" w:color="auto" w:fill="FFFFFF"/>
        </w:rPr>
        <w:t>mportancia de estas empresas</w:t>
      </w:r>
      <w:r>
        <w:rPr>
          <w:rFonts w:ascii="Times New Roman" w:hAnsi="Times New Roman" w:cs="Times New Roman"/>
          <w:sz w:val="24"/>
          <w:szCs w:val="24"/>
          <w:shd w:val="clear" w:color="auto" w:fill="FFFFFF"/>
        </w:rPr>
        <w:t>, según la opinión de las CCAA</w:t>
      </w:r>
      <w:r w:rsidRPr="00F3189A">
        <w:rPr>
          <w:rFonts w:ascii="Times New Roman" w:hAnsi="Times New Roman" w:cs="Times New Roman"/>
          <w:sz w:val="24"/>
          <w:szCs w:val="24"/>
          <w:shd w:val="clear" w:color="auto" w:fill="FFFFFF"/>
        </w:rPr>
        <w:t>:</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lastRenderedPageBreak/>
        <w:t>Las empresas controladas por las CCAA son importantes por varias razones:</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Gestión de servicios públicos: </w:t>
      </w:r>
      <w:r w:rsidRPr="00F3189A">
        <w:rPr>
          <w:rFonts w:ascii="Times New Roman" w:hAnsi="Times New Roman" w:cs="Times New Roman"/>
          <w:sz w:val="24"/>
          <w:szCs w:val="24"/>
          <w:shd w:val="clear" w:color="auto" w:fill="FFFFFF"/>
        </w:rPr>
        <w:t>Permiten a las CCAA gestionar directamente servicios esenciales para la ciudadanía.</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Promoción económica: </w:t>
      </w:r>
      <w:r w:rsidRPr="00F3189A">
        <w:rPr>
          <w:rFonts w:ascii="Times New Roman" w:hAnsi="Times New Roman" w:cs="Times New Roman"/>
          <w:sz w:val="24"/>
          <w:szCs w:val="24"/>
          <w:shd w:val="clear" w:color="auto" w:fill="FFFFFF"/>
        </w:rPr>
        <w:t>Pueden ser herramientas para impulsar el desarrollo económico regional, atrayendo inversiones y creando empleo.</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Preservación</w:t>
      </w:r>
      <w:r>
        <w:rPr>
          <w:rFonts w:ascii="Times New Roman" w:hAnsi="Times New Roman" w:cs="Times New Roman"/>
          <w:sz w:val="24"/>
          <w:szCs w:val="24"/>
          <w:shd w:val="clear" w:color="auto" w:fill="FFFFFF"/>
        </w:rPr>
        <w:t xml:space="preserve"> de la cultura y el patrimonio: </w:t>
      </w:r>
      <w:r w:rsidRPr="00F3189A">
        <w:rPr>
          <w:rFonts w:ascii="Times New Roman" w:hAnsi="Times New Roman" w:cs="Times New Roman"/>
          <w:sz w:val="24"/>
          <w:szCs w:val="24"/>
          <w:shd w:val="clear" w:color="auto" w:fill="FFFFFF"/>
        </w:rPr>
        <w:t>Pueden jugar un papel clave en la protección y promoción del patrimonio cultural de cada región.</w:t>
      </w:r>
    </w:p>
    <w:p w:rsidR="00F54CB0" w:rsidRPr="00F3189A"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Desarrollo de infraestructuras: </w:t>
      </w:r>
      <w:r w:rsidRPr="00F3189A">
        <w:rPr>
          <w:rFonts w:ascii="Times New Roman" w:hAnsi="Times New Roman" w:cs="Times New Roman"/>
          <w:sz w:val="24"/>
          <w:szCs w:val="24"/>
          <w:shd w:val="clear" w:color="auto" w:fill="FFFFFF"/>
        </w:rPr>
        <w:t>Permiten a las CCAA planificar y ejecutar proyectos de infraestructuras adaptados a las necesidades específicas de cada territorio.</w:t>
      </w:r>
    </w:p>
    <w:p w:rsidR="00F54CB0" w:rsidRDefault="00F54CB0" w:rsidP="00F54CB0">
      <w:pPr>
        <w:spacing w:line="240" w:lineRule="auto"/>
        <w:jc w:val="both"/>
        <w:rPr>
          <w:rFonts w:ascii="Times New Roman" w:hAnsi="Times New Roman" w:cs="Times New Roman"/>
          <w:sz w:val="24"/>
          <w:szCs w:val="24"/>
          <w:shd w:val="clear" w:color="auto" w:fill="FFFFFF"/>
        </w:rPr>
      </w:pPr>
      <w:r w:rsidRPr="00F3189A">
        <w:rPr>
          <w:rFonts w:ascii="Times New Roman" w:hAnsi="Times New Roman" w:cs="Times New Roman"/>
          <w:sz w:val="24"/>
          <w:szCs w:val="24"/>
          <w:shd w:val="clear" w:color="auto" w:fill="FFFFFF"/>
        </w:rPr>
        <w:t>Es importante destacar que cada Comunidad Autónoma tiene su propio marco competencial y que la gestión de estas empresas puede variar significativamente de una a otra.</w:t>
      </w:r>
      <w:r w:rsidRPr="00F3189A">
        <w:rPr>
          <w:rFonts w:ascii="Times New Roman" w:hAnsi="Times New Roman" w:cs="Times New Roman"/>
          <w:sz w:val="24"/>
          <w:szCs w:val="24"/>
          <w:shd w:val="clear" w:color="auto" w:fill="FFFFFF"/>
        </w:rPr>
        <w:tab/>
      </w:r>
    </w:p>
    <w:p w:rsidR="00F54CB0" w:rsidRPr="00D5287E" w:rsidRDefault="00F54CB0" w:rsidP="00F54CB0">
      <w:pPr>
        <w:spacing w:line="240" w:lineRule="auto"/>
        <w:jc w:val="both"/>
        <w:rPr>
          <w:rFonts w:ascii="Times New Roman" w:hAnsi="Times New Roman" w:cs="Times New Roman"/>
          <w:color w:val="FF0000"/>
          <w:sz w:val="24"/>
          <w:szCs w:val="24"/>
          <w:shd w:val="clear" w:color="auto" w:fill="FFFFFF"/>
        </w:rPr>
      </w:pPr>
      <w:r w:rsidRPr="00D5287E">
        <w:rPr>
          <w:rFonts w:ascii="Times New Roman" w:hAnsi="Times New Roman" w:cs="Times New Roman"/>
          <w:b/>
          <w:color w:val="FF0000"/>
          <w:sz w:val="24"/>
          <w:szCs w:val="24"/>
          <w:shd w:val="clear" w:color="auto" w:fill="FFFFFF"/>
        </w:rPr>
        <w:t>Nota I</w:t>
      </w:r>
      <w:r w:rsidRPr="00D5287E">
        <w:rPr>
          <w:rFonts w:ascii="Times New Roman" w:hAnsi="Times New Roman" w:cs="Times New Roman"/>
          <w:color w:val="FF0000"/>
          <w:sz w:val="24"/>
          <w:szCs w:val="24"/>
          <w:shd w:val="clear" w:color="auto" w:fill="FFFFFF"/>
        </w:rPr>
        <w:t xml:space="preserve">: Podría haber desarrollado un amplio argumentario sobre la necesidad y conveniencia de cerrar un mínimo del 80% de empresas, organismos, entes reguladores, observatorios, redes, áreas, oficinas, etc. (nacionales, provinciales, y municipales), que constituyen la maraña burocrática (una auténtica telaraña), que lastra, agota, y parasita, a la economía española, pero prefiero dar paso IGAE (https://www.igae.pap.hacienda.gob.es › Documents), que es el Portal de la Administración Presupuestaria, para que dé muestra de la importancia que le atribuye el sector público a un tema de tanta relevancia. </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 xml:space="preserve">Ante una consulta sobre el Inventario de entidades pertenecientes al sector de las Administraciones Públicas (realizada el 26/7/25). La respuesta es la siguiente: </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18 sept 2024 - Este inventario contiene la relación de las unidades públicas agrupadas por cada uno de los cuatro subsectores que componen el sector S.13 de la ...</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noProof/>
          <w:sz w:val="24"/>
          <w:szCs w:val="24"/>
          <w:shd w:val="clear" w:color="auto" w:fill="FFFFFF"/>
          <w:lang w:eastAsia="es-ES"/>
        </w:rPr>
        <w:drawing>
          <wp:inline distT="0" distB="0" distL="0" distR="0" wp14:anchorId="753A01EC" wp14:editId="4D68AFFF">
            <wp:extent cx="5728772" cy="1822450"/>
            <wp:effectExtent l="0" t="0" r="5715"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1823321"/>
                    </a:xfrm>
                    <a:prstGeom prst="rect">
                      <a:avLst/>
                    </a:prstGeom>
                  </pic:spPr>
                </pic:pic>
              </a:graphicData>
            </a:graphic>
          </wp:inline>
        </w:drawing>
      </w:r>
    </w:p>
    <w:p w:rsidR="00F54CB0" w:rsidRPr="00D5287E" w:rsidRDefault="00F54CB0" w:rsidP="00F54CB0">
      <w:pPr>
        <w:spacing w:line="240" w:lineRule="auto"/>
        <w:jc w:val="both"/>
        <w:rPr>
          <w:rFonts w:ascii="Times New Roman" w:hAnsi="Times New Roman" w:cs="Times New Roman"/>
          <w:color w:val="FF0000"/>
          <w:sz w:val="24"/>
          <w:szCs w:val="24"/>
          <w:shd w:val="clear" w:color="auto" w:fill="FFFFFF"/>
        </w:rPr>
      </w:pPr>
      <w:r w:rsidRPr="00D5287E">
        <w:rPr>
          <w:rFonts w:ascii="Times New Roman" w:hAnsi="Times New Roman" w:cs="Times New Roman"/>
          <w:b/>
          <w:color w:val="FF0000"/>
          <w:sz w:val="24"/>
          <w:szCs w:val="24"/>
          <w:shd w:val="clear" w:color="auto" w:fill="FFFFFF"/>
        </w:rPr>
        <w:t>Nota II</w:t>
      </w:r>
      <w:r w:rsidRPr="00D5287E">
        <w:rPr>
          <w:rFonts w:ascii="Times New Roman" w:hAnsi="Times New Roman" w:cs="Times New Roman"/>
          <w:color w:val="FF0000"/>
          <w:sz w:val="24"/>
          <w:szCs w:val="24"/>
          <w:shd w:val="clear" w:color="auto" w:fill="FFFFFF"/>
        </w:rPr>
        <w:t>: hay silencios que pueden ser más elocuentes que las palabras. Ustedes mismos.</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Veamos que nos puede decir el Portal de Transparencia (Administración General del Estado), sobre la Composición y clasificación del sector público institucional estatal</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El sector público institucional estatal está integrado por las siguientes entidades:</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Los organismos públicos vinculados o dependientes de la Administración General del Estado, los cuales se clasifican en:</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 Organismos autónomos.</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lastRenderedPageBreak/>
        <w:t>- Entidades públicas empresariales.</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 Agencias estatales.</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 Las autoridades administrativas independientes.</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 Las sociedades mercantiles estatales.</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 Los consorcios.</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 Las fundaciones del sector público.</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 Los fondos sin personalidad jurídica.</w:t>
      </w:r>
    </w:p>
    <w:p w:rsidR="00F54CB0" w:rsidRPr="00E07BD2" w:rsidRDefault="00F54CB0" w:rsidP="00F54CB0">
      <w:pPr>
        <w:spacing w:line="240" w:lineRule="auto"/>
        <w:jc w:val="both"/>
        <w:rPr>
          <w:rFonts w:ascii="Times New Roman" w:hAnsi="Times New Roman" w:cs="Times New Roman"/>
          <w:sz w:val="24"/>
          <w:szCs w:val="24"/>
          <w:shd w:val="clear" w:color="auto" w:fill="FFFFFF"/>
        </w:rPr>
      </w:pPr>
      <w:r w:rsidRPr="00E07BD2">
        <w:rPr>
          <w:rFonts w:ascii="Times New Roman" w:hAnsi="Times New Roman" w:cs="Times New Roman"/>
          <w:sz w:val="24"/>
          <w:szCs w:val="24"/>
          <w:shd w:val="clear" w:color="auto" w:fill="FFFFFF"/>
        </w:rPr>
        <w:t>- Las universidades públicas no transferidas.</w:t>
      </w:r>
    </w:p>
    <w:p w:rsidR="00F54CB0" w:rsidRPr="00A5087F" w:rsidRDefault="00F54CB0" w:rsidP="00F54CB0">
      <w:pPr>
        <w:shd w:val="clear" w:color="auto" w:fill="FFFFFF"/>
        <w:spacing w:after="180" w:line="240" w:lineRule="auto"/>
        <w:jc w:val="both"/>
        <w:rPr>
          <w:rFonts w:ascii="Times New Roman" w:eastAsia="Times New Roman" w:hAnsi="Times New Roman" w:cs="Times New Roman"/>
          <w:color w:val="1F1F1F"/>
          <w:sz w:val="24"/>
          <w:szCs w:val="24"/>
          <w:lang w:eastAsia="es-ES"/>
        </w:rPr>
      </w:pPr>
      <w:r w:rsidRPr="00A5087F">
        <w:rPr>
          <w:rFonts w:ascii="Times New Roman" w:eastAsia="Times New Roman" w:hAnsi="Times New Roman" w:cs="Times New Roman"/>
          <w:color w:val="1F1F1F"/>
          <w:sz w:val="24"/>
          <w:szCs w:val="24"/>
          <w:lang w:eastAsia="es-ES"/>
        </w:rPr>
        <w:t>Los</w:t>
      </w:r>
      <w:r w:rsidRPr="00A5087F">
        <w:rPr>
          <w:rFonts w:ascii="Times New Roman" w:eastAsia="Times New Roman" w:hAnsi="Times New Roman" w:cs="Times New Roman"/>
          <w:bCs/>
          <w:color w:val="1F1F1F"/>
          <w:sz w:val="24"/>
          <w:szCs w:val="24"/>
          <w:lang w:eastAsia="es-ES"/>
        </w:rPr>
        <w:t xml:space="preserve"> ejemplos</w:t>
      </w:r>
      <w:r>
        <w:rPr>
          <w:rFonts w:ascii="Times New Roman" w:eastAsia="Times New Roman" w:hAnsi="Times New Roman" w:cs="Times New Roman"/>
          <w:bCs/>
          <w:color w:val="1F1F1F"/>
          <w:sz w:val="24"/>
          <w:szCs w:val="24"/>
          <w:lang w:eastAsia="es-ES"/>
        </w:rPr>
        <w:t xml:space="preserve"> más conocidos de Organismos au</w:t>
      </w:r>
      <w:r w:rsidRPr="00A5087F">
        <w:rPr>
          <w:rFonts w:ascii="Times New Roman" w:eastAsia="Times New Roman" w:hAnsi="Times New Roman" w:cs="Times New Roman"/>
          <w:bCs/>
          <w:color w:val="1F1F1F"/>
          <w:sz w:val="24"/>
          <w:szCs w:val="24"/>
          <w:lang w:eastAsia="es-ES"/>
        </w:rPr>
        <w:t>tónomos</w:t>
      </w:r>
      <w:r>
        <w:rPr>
          <w:rFonts w:ascii="Times New Roman" w:eastAsia="Times New Roman" w:hAnsi="Times New Roman" w:cs="Times New Roman"/>
          <w:bCs/>
          <w:color w:val="1F1F1F"/>
          <w:sz w:val="24"/>
          <w:szCs w:val="24"/>
          <w:lang w:eastAsia="es-ES"/>
        </w:rPr>
        <w:t xml:space="preserve"> </w:t>
      </w:r>
      <w:r w:rsidRPr="00A5087F">
        <w:rPr>
          <w:rFonts w:ascii="Times New Roman" w:eastAsia="Times New Roman" w:hAnsi="Times New Roman" w:cs="Times New Roman"/>
          <w:bCs/>
          <w:color w:val="1F1F1F"/>
          <w:sz w:val="24"/>
          <w:szCs w:val="24"/>
          <w:lang w:eastAsia="es-ES"/>
        </w:rPr>
        <w:t>son:</w:t>
      </w:r>
    </w:p>
    <w:p w:rsidR="00F54CB0" w:rsidRDefault="00F54CB0" w:rsidP="00F54CB0">
      <w:pPr>
        <w:shd w:val="clear" w:color="auto" w:fill="FFFFFF"/>
        <w:spacing w:after="60" w:line="240" w:lineRule="auto"/>
        <w:jc w:val="both"/>
        <w:rPr>
          <w:rFonts w:ascii="Times New Roman" w:eastAsia="Times New Roman" w:hAnsi="Times New Roman" w:cs="Times New Roman"/>
          <w:color w:val="1F1F1F"/>
          <w:sz w:val="24"/>
          <w:szCs w:val="24"/>
          <w:lang w:eastAsia="es-ES"/>
        </w:rPr>
      </w:pPr>
      <w:r w:rsidRPr="00A5087F">
        <w:rPr>
          <w:rFonts w:ascii="Times New Roman" w:eastAsia="Times New Roman" w:hAnsi="Times New Roman" w:cs="Times New Roman"/>
          <w:color w:val="1F1F1F"/>
          <w:sz w:val="24"/>
          <w:szCs w:val="24"/>
          <w:lang w:eastAsia="es-ES"/>
        </w:rPr>
        <w:t xml:space="preserve">Centro </w:t>
      </w:r>
      <w:r>
        <w:rPr>
          <w:rFonts w:ascii="Times New Roman" w:eastAsia="Times New Roman" w:hAnsi="Times New Roman" w:cs="Times New Roman"/>
          <w:color w:val="1F1F1F"/>
          <w:sz w:val="24"/>
          <w:szCs w:val="24"/>
          <w:lang w:eastAsia="es-ES"/>
        </w:rPr>
        <w:t xml:space="preserve">de Investigaciones Sociológicas, Consejo Superior de Deportes, </w:t>
      </w:r>
      <w:r w:rsidRPr="00A5087F">
        <w:rPr>
          <w:rFonts w:ascii="Times New Roman" w:eastAsia="Times New Roman" w:hAnsi="Times New Roman" w:cs="Times New Roman"/>
          <w:color w:val="1F1F1F"/>
          <w:sz w:val="24"/>
          <w:szCs w:val="24"/>
          <w:lang w:eastAsia="es-ES"/>
        </w:rPr>
        <w:t>Inspecció</w:t>
      </w:r>
      <w:r>
        <w:rPr>
          <w:rFonts w:ascii="Times New Roman" w:eastAsia="Times New Roman" w:hAnsi="Times New Roman" w:cs="Times New Roman"/>
          <w:color w:val="1F1F1F"/>
          <w:sz w:val="24"/>
          <w:szCs w:val="24"/>
          <w:lang w:eastAsia="es-ES"/>
        </w:rPr>
        <w:t xml:space="preserve">n de Trabajo y Seguridad Social, </w:t>
      </w:r>
      <w:r w:rsidRPr="00A5087F">
        <w:rPr>
          <w:rFonts w:ascii="Times New Roman" w:eastAsia="Times New Roman" w:hAnsi="Times New Roman" w:cs="Times New Roman"/>
          <w:color w:val="1F1F1F"/>
          <w:sz w:val="24"/>
          <w:szCs w:val="24"/>
          <w:lang w:eastAsia="es-ES"/>
        </w:rPr>
        <w:t>In</w:t>
      </w:r>
      <w:r>
        <w:rPr>
          <w:rFonts w:ascii="Times New Roman" w:eastAsia="Times New Roman" w:hAnsi="Times New Roman" w:cs="Times New Roman"/>
          <w:color w:val="1F1F1F"/>
          <w:sz w:val="24"/>
          <w:szCs w:val="24"/>
          <w:lang w:eastAsia="es-ES"/>
        </w:rPr>
        <w:t xml:space="preserve">stituto Nacional de Estadística. </w:t>
      </w:r>
      <w:r w:rsidRPr="00A5087F">
        <w:rPr>
          <w:rFonts w:ascii="Times New Roman" w:eastAsia="Times New Roman" w:hAnsi="Times New Roman" w:cs="Times New Roman"/>
          <w:color w:val="1F1F1F"/>
          <w:sz w:val="24"/>
          <w:szCs w:val="24"/>
          <w:lang w:eastAsia="es-ES"/>
        </w:rPr>
        <w:t>Instituto de la Cinematograf</w:t>
      </w:r>
      <w:r>
        <w:rPr>
          <w:rFonts w:ascii="Times New Roman" w:eastAsia="Times New Roman" w:hAnsi="Times New Roman" w:cs="Times New Roman"/>
          <w:color w:val="1F1F1F"/>
          <w:sz w:val="24"/>
          <w:szCs w:val="24"/>
          <w:lang w:eastAsia="es-ES"/>
        </w:rPr>
        <w:t xml:space="preserve">ía y de las Artes Audiovisuales, Muface, </w:t>
      </w:r>
      <w:r w:rsidRPr="00A5087F">
        <w:rPr>
          <w:rFonts w:ascii="Times New Roman" w:eastAsia="Times New Roman" w:hAnsi="Times New Roman" w:cs="Times New Roman"/>
          <w:color w:val="1F1F1F"/>
          <w:sz w:val="24"/>
          <w:szCs w:val="24"/>
          <w:lang w:eastAsia="es-ES"/>
        </w:rPr>
        <w:t>Real Patronato sobre Discapacidad.</w:t>
      </w:r>
    </w:p>
    <w:p w:rsidR="00F54CB0" w:rsidRPr="00D2603F" w:rsidRDefault="00F54CB0" w:rsidP="00F54CB0">
      <w:pPr>
        <w:shd w:val="clear" w:color="auto" w:fill="FFFFFF"/>
        <w:spacing w:line="240" w:lineRule="auto"/>
        <w:jc w:val="both"/>
        <w:rPr>
          <w:rFonts w:ascii="Times New Roman" w:hAnsi="Times New Roman" w:cs="Times New Roman"/>
          <w:sz w:val="24"/>
          <w:szCs w:val="24"/>
          <w:shd w:val="clear" w:color="auto" w:fill="FFFFFF"/>
        </w:rPr>
      </w:pPr>
      <w:r>
        <w:rPr>
          <w:rFonts w:ascii="Times New Roman" w:eastAsia="Times New Roman" w:hAnsi="Times New Roman" w:cs="Times New Roman"/>
          <w:color w:val="1F1F1F"/>
          <w:sz w:val="24"/>
          <w:szCs w:val="24"/>
          <w:lang w:eastAsia="es-ES"/>
        </w:rPr>
        <w:t xml:space="preserve">Los ejemplos más conocidos de </w:t>
      </w:r>
      <w:r w:rsidRPr="00A5087F">
        <w:rPr>
          <w:rFonts w:ascii="Times New Roman" w:hAnsi="Times New Roman" w:cs="Times New Roman"/>
          <w:sz w:val="24"/>
          <w:szCs w:val="24"/>
          <w:shd w:val="clear" w:color="auto" w:fill="FFFFFF"/>
        </w:rPr>
        <w:t>Entidades públicas empresariales son</w:t>
      </w:r>
      <w:r>
        <w:rPr>
          <w:rFonts w:ascii="Times New Roman" w:hAnsi="Times New Roman" w:cs="Times New Roman"/>
          <w:sz w:val="24"/>
          <w:szCs w:val="24"/>
          <w:shd w:val="clear" w:color="auto" w:fill="FFFFFF"/>
        </w:rPr>
        <w:t>:</w:t>
      </w:r>
    </w:p>
    <w:p w:rsidR="00F54CB0" w:rsidRDefault="00F54CB0" w:rsidP="00F54CB0">
      <w:pPr>
        <w:shd w:val="clear" w:color="auto" w:fill="FFFFFF"/>
        <w:spacing w:line="240" w:lineRule="auto"/>
        <w:jc w:val="both"/>
        <w:rPr>
          <w:rFonts w:ascii="Times New Roman" w:eastAsia="Times New Roman" w:hAnsi="Times New Roman" w:cs="Times New Roman"/>
          <w:color w:val="1F1F1F"/>
          <w:sz w:val="24"/>
          <w:szCs w:val="24"/>
          <w:lang w:eastAsia="es-ES"/>
        </w:rPr>
      </w:pPr>
      <w:r w:rsidRPr="00A5087F">
        <w:rPr>
          <w:rFonts w:ascii="Times New Roman" w:eastAsia="Times New Roman" w:hAnsi="Times New Roman" w:cs="Times New Roman"/>
          <w:color w:val="1F1F1F"/>
          <w:sz w:val="24"/>
          <w:szCs w:val="24"/>
          <w:lang w:eastAsia="es-ES"/>
        </w:rPr>
        <w:t>ADIF (Administrador de Infraestructuras Ferroviarias), AENA (Aeropuertos Españoles y Navegación Aérea), EFE (Agencia EFE), SEPES (Entidad Pública Empresarial de Suelo), y ENUSA (Empresa Nacional del Uranio).</w:t>
      </w:r>
    </w:p>
    <w:p w:rsidR="00F54CB0" w:rsidRDefault="00F54CB0" w:rsidP="00F54CB0">
      <w:pPr>
        <w:shd w:val="clear" w:color="auto" w:fill="FFFFFF"/>
        <w:spacing w:line="240" w:lineRule="auto"/>
        <w:jc w:val="both"/>
        <w:rPr>
          <w:rFonts w:ascii="Times New Roman" w:eastAsia="Times New Roman" w:hAnsi="Times New Roman" w:cs="Times New Roman"/>
          <w:color w:val="1F1F1F"/>
          <w:sz w:val="24"/>
          <w:szCs w:val="24"/>
          <w:lang w:eastAsia="es-ES"/>
        </w:rPr>
      </w:pPr>
      <w:r>
        <w:rPr>
          <w:rFonts w:ascii="Times New Roman" w:eastAsia="Times New Roman" w:hAnsi="Times New Roman" w:cs="Times New Roman"/>
          <w:color w:val="1F1F1F"/>
          <w:sz w:val="24"/>
          <w:szCs w:val="24"/>
          <w:lang w:eastAsia="es-ES"/>
        </w:rPr>
        <w:t>Los ejemplos más conocidos</w:t>
      </w:r>
      <w:r w:rsidRPr="00A5087F">
        <w:rPr>
          <w:rFonts w:ascii="Times New Roman" w:eastAsia="Times New Roman" w:hAnsi="Times New Roman" w:cs="Times New Roman"/>
          <w:color w:val="1F1F1F"/>
          <w:sz w:val="24"/>
          <w:szCs w:val="24"/>
          <w:lang w:eastAsia="es-ES"/>
        </w:rPr>
        <w:t xml:space="preserve"> de Agencias Estatales</w:t>
      </w:r>
      <w:r>
        <w:rPr>
          <w:rFonts w:ascii="Times New Roman" w:eastAsia="Times New Roman" w:hAnsi="Times New Roman" w:cs="Times New Roman"/>
          <w:color w:val="1F1F1F"/>
          <w:sz w:val="24"/>
          <w:szCs w:val="24"/>
          <w:lang w:eastAsia="es-ES"/>
        </w:rPr>
        <w:t xml:space="preserve"> son: </w:t>
      </w:r>
      <w:r w:rsidRPr="00A5087F">
        <w:rPr>
          <w:rFonts w:ascii="Times New Roman" w:eastAsia="Times New Roman" w:hAnsi="Times New Roman" w:cs="Times New Roman"/>
          <w:color w:val="1F1F1F"/>
          <w:sz w:val="24"/>
          <w:szCs w:val="24"/>
          <w:lang w:eastAsia="es-ES"/>
        </w:rPr>
        <w:t xml:space="preserve"> </w:t>
      </w:r>
    </w:p>
    <w:p w:rsidR="00F54CB0" w:rsidRDefault="00F54CB0" w:rsidP="00F54CB0">
      <w:pPr>
        <w:shd w:val="clear" w:color="auto" w:fill="FFFFFF"/>
        <w:spacing w:line="240" w:lineRule="auto"/>
        <w:jc w:val="both"/>
        <w:rPr>
          <w:rFonts w:ascii="Times New Roman" w:eastAsia="Times New Roman" w:hAnsi="Times New Roman" w:cs="Times New Roman"/>
          <w:color w:val="1F1F1F"/>
          <w:sz w:val="24"/>
          <w:szCs w:val="24"/>
          <w:lang w:eastAsia="es-ES"/>
        </w:rPr>
      </w:pPr>
      <w:r>
        <w:rPr>
          <w:rFonts w:ascii="Times New Roman" w:eastAsia="Times New Roman" w:hAnsi="Times New Roman" w:cs="Times New Roman"/>
          <w:color w:val="1F1F1F"/>
          <w:sz w:val="24"/>
          <w:szCs w:val="24"/>
          <w:lang w:eastAsia="es-ES"/>
        </w:rPr>
        <w:t>L</w:t>
      </w:r>
      <w:r w:rsidRPr="00A5087F">
        <w:rPr>
          <w:rFonts w:ascii="Times New Roman" w:eastAsia="Times New Roman" w:hAnsi="Times New Roman" w:cs="Times New Roman"/>
          <w:color w:val="1F1F1F"/>
          <w:sz w:val="24"/>
          <w:szCs w:val="24"/>
          <w:lang w:eastAsia="es-ES"/>
        </w:rPr>
        <w:t>a Agencia Estatal de Administración Tributaria (AEAT), la Agencia Estatal de Investigación (AEI), la Agencia Española de Medicamentos y Productos Sanitarios (AEMPS), la Agencia Estatal de Meteorología (AEMET) y la Agencia Espacial Española (AEE).</w:t>
      </w:r>
    </w:p>
    <w:p w:rsidR="00F54CB0" w:rsidRPr="00D2603F" w:rsidRDefault="00F54CB0" w:rsidP="00F54CB0">
      <w:pPr>
        <w:spacing w:line="240" w:lineRule="auto"/>
        <w:jc w:val="both"/>
        <w:rPr>
          <w:rFonts w:ascii="Times New Roman" w:hAnsi="Times New Roman" w:cs="Times New Roman"/>
          <w:sz w:val="24"/>
          <w:szCs w:val="24"/>
          <w:shd w:val="clear" w:color="auto" w:fill="FFFFFF"/>
        </w:rPr>
      </w:pPr>
      <w:r w:rsidRPr="00D2603F">
        <w:rPr>
          <w:rFonts w:ascii="Times New Roman" w:hAnsi="Times New Roman" w:cs="Times New Roman"/>
          <w:sz w:val="24"/>
          <w:szCs w:val="24"/>
          <w:shd w:val="clear" w:color="auto" w:fill="FFFFFF"/>
        </w:rPr>
        <w:t>Los ejemplos más conocidos de autoridades administrativas independientes son:</w:t>
      </w:r>
    </w:p>
    <w:p w:rsidR="00F54CB0" w:rsidRPr="00D2603F" w:rsidRDefault="00F54CB0" w:rsidP="00F54CB0">
      <w:pPr>
        <w:spacing w:line="240" w:lineRule="auto"/>
        <w:jc w:val="both"/>
        <w:rPr>
          <w:rFonts w:ascii="Times New Roman" w:hAnsi="Times New Roman" w:cs="Times New Roman"/>
          <w:sz w:val="24"/>
          <w:szCs w:val="24"/>
          <w:shd w:val="clear" w:color="auto" w:fill="FFFFFF"/>
        </w:rPr>
      </w:pPr>
      <w:r w:rsidRPr="00D2603F">
        <w:rPr>
          <w:rFonts w:ascii="Times New Roman" w:hAnsi="Times New Roman" w:cs="Times New Roman"/>
          <w:sz w:val="24"/>
          <w:szCs w:val="24"/>
          <w:shd w:val="clear" w:color="auto" w:fill="FFFFFF"/>
        </w:rPr>
        <w:t>El Consejo de Seguridad Nuclear (CSN), la Comisión Nacional de los Mercados y la Competencia (CNMC), la Agencia Española de Protección de Datos (AEPD), y la Autoridad Independiente de Responsabilidad Fiscal (AIReF).</w:t>
      </w:r>
    </w:p>
    <w:p w:rsidR="00F54CB0" w:rsidRDefault="00F54CB0" w:rsidP="00F54CB0">
      <w:pPr>
        <w:spacing w:line="240" w:lineRule="auto"/>
        <w:jc w:val="both"/>
        <w:rPr>
          <w:rFonts w:ascii="Times New Roman" w:hAnsi="Times New Roman" w:cs="Times New Roman"/>
          <w:sz w:val="24"/>
          <w:szCs w:val="24"/>
          <w:shd w:val="clear" w:color="auto" w:fill="FFFFFF"/>
        </w:rPr>
      </w:pPr>
      <w:r w:rsidRPr="00D2603F">
        <w:rPr>
          <w:rFonts w:ascii="Times New Roman" w:hAnsi="Times New Roman" w:cs="Times New Roman"/>
          <w:sz w:val="24"/>
          <w:szCs w:val="24"/>
          <w:shd w:val="clear" w:color="auto" w:fill="FFFFFF"/>
        </w:rPr>
        <w:t>Los ejemplos más conocidos de sociedades mercantiles estatales son:</w:t>
      </w:r>
    </w:p>
    <w:p w:rsidR="00F54CB0" w:rsidRDefault="00F54CB0" w:rsidP="00F54CB0">
      <w:pPr>
        <w:spacing w:line="240" w:lineRule="auto"/>
        <w:jc w:val="both"/>
        <w:rPr>
          <w:rFonts w:ascii="Times New Roman" w:hAnsi="Times New Roman" w:cs="Times New Roman"/>
          <w:sz w:val="24"/>
          <w:szCs w:val="24"/>
          <w:shd w:val="clear" w:color="auto" w:fill="FFFFFF"/>
        </w:rPr>
      </w:pPr>
      <w:r w:rsidRPr="00D2603F">
        <w:rPr>
          <w:rFonts w:ascii="Times New Roman" w:hAnsi="Times New Roman" w:cs="Times New Roman"/>
          <w:sz w:val="24"/>
          <w:szCs w:val="24"/>
          <w:shd w:val="clear" w:color="auto" w:fill="FFFFFF"/>
        </w:rPr>
        <w:t>Aena, Renfe, y RTVE.</w:t>
      </w:r>
    </w:p>
    <w:p w:rsidR="00F54CB0" w:rsidRDefault="00F54CB0" w:rsidP="00F54CB0">
      <w:pPr>
        <w:spacing w:line="240" w:lineRule="auto"/>
        <w:jc w:val="both"/>
        <w:rPr>
          <w:rFonts w:ascii="Times New Roman" w:hAnsi="Times New Roman" w:cs="Times New Roman"/>
          <w:sz w:val="24"/>
          <w:szCs w:val="24"/>
          <w:shd w:val="clear" w:color="auto" w:fill="FFFFFF"/>
        </w:rPr>
      </w:pPr>
      <w:r w:rsidRPr="00D2603F">
        <w:rPr>
          <w:rFonts w:ascii="Times New Roman" w:hAnsi="Times New Roman" w:cs="Times New Roman"/>
          <w:sz w:val="24"/>
          <w:szCs w:val="24"/>
          <w:shd w:val="clear" w:color="auto" w:fill="FFFFFF"/>
        </w:rPr>
        <w:t>Los ejemplos más conocidos de consorcios son:</w:t>
      </w:r>
    </w:p>
    <w:p w:rsidR="00F54CB0" w:rsidRDefault="00F54CB0" w:rsidP="00F54CB0">
      <w:pPr>
        <w:spacing w:line="240" w:lineRule="auto"/>
        <w:jc w:val="both"/>
        <w:rPr>
          <w:rFonts w:ascii="Times New Roman" w:hAnsi="Times New Roman" w:cs="Times New Roman"/>
          <w:sz w:val="24"/>
          <w:szCs w:val="24"/>
          <w:shd w:val="clear" w:color="auto" w:fill="FFFFFF"/>
        </w:rPr>
      </w:pPr>
      <w:r w:rsidRPr="00D2603F">
        <w:rPr>
          <w:rFonts w:ascii="Times New Roman" w:hAnsi="Times New Roman" w:cs="Times New Roman"/>
          <w:sz w:val="24"/>
          <w:szCs w:val="24"/>
          <w:shd w:val="clear" w:color="auto" w:fill="FFFFFF"/>
        </w:rPr>
        <w:t>Consorcio de Actividades Logísticas, Empresariales, Tecnológicas, Ambientales y de Servicios de la Bahía de Cádiz</w:t>
      </w:r>
      <w:r>
        <w:rPr>
          <w:rFonts w:ascii="Times New Roman" w:hAnsi="Times New Roman" w:cs="Times New Roman"/>
          <w:sz w:val="24"/>
          <w:szCs w:val="24"/>
          <w:shd w:val="clear" w:color="auto" w:fill="FFFFFF"/>
        </w:rPr>
        <w:t>,</w:t>
      </w:r>
      <w:r w:rsidRPr="00D2603F">
        <w:rPr>
          <w:rFonts w:ascii="Times New Roman" w:hAnsi="Times New Roman" w:cs="Times New Roman"/>
          <w:sz w:val="24"/>
          <w:szCs w:val="24"/>
          <w:shd w:val="clear" w:color="auto" w:fill="FFFFFF"/>
        </w:rPr>
        <w:t xml:space="preserve"> o el Centro Nacional de Investigación sobre la Evolución Humana.</w:t>
      </w:r>
    </w:p>
    <w:p w:rsidR="00F54CB0" w:rsidRDefault="00F54CB0" w:rsidP="00F54CB0">
      <w:pPr>
        <w:spacing w:line="240" w:lineRule="auto"/>
        <w:jc w:val="both"/>
        <w:rPr>
          <w:rFonts w:ascii="Times New Roman" w:hAnsi="Times New Roman" w:cs="Times New Roman"/>
          <w:sz w:val="24"/>
          <w:szCs w:val="24"/>
          <w:shd w:val="clear" w:color="auto" w:fill="FFFFFF"/>
        </w:rPr>
      </w:pPr>
      <w:r w:rsidRPr="00D2603F">
        <w:rPr>
          <w:rFonts w:ascii="Times New Roman" w:hAnsi="Times New Roman" w:cs="Times New Roman"/>
          <w:sz w:val="24"/>
          <w:szCs w:val="24"/>
          <w:shd w:val="clear" w:color="auto" w:fill="FFFFFF"/>
        </w:rPr>
        <w:t>Los ejemplos más</w:t>
      </w:r>
      <w:r>
        <w:rPr>
          <w:rFonts w:ascii="Times New Roman" w:hAnsi="Times New Roman" w:cs="Times New Roman"/>
          <w:sz w:val="24"/>
          <w:szCs w:val="24"/>
          <w:shd w:val="clear" w:color="auto" w:fill="FFFFFF"/>
        </w:rPr>
        <w:t xml:space="preserve"> conocidos de</w:t>
      </w:r>
      <w:r>
        <w:rPr>
          <w:rFonts w:ascii="Times New Roman" w:hAnsi="Times New Roman" w:cs="Times New Roman"/>
          <w:color w:val="FF0000"/>
          <w:sz w:val="24"/>
          <w:szCs w:val="24"/>
          <w:shd w:val="clear" w:color="auto" w:fill="FFFFFF"/>
        </w:rPr>
        <w:t xml:space="preserve"> </w:t>
      </w:r>
      <w:r w:rsidRPr="00D2603F">
        <w:rPr>
          <w:rFonts w:ascii="Times New Roman" w:hAnsi="Times New Roman" w:cs="Times New Roman"/>
          <w:sz w:val="24"/>
          <w:szCs w:val="24"/>
          <w:shd w:val="clear" w:color="auto" w:fill="FFFFFF"/>
        </w:rPr>
        <w:t>fundaciones del sector público son:</w:t>
      </w:r>
    </w:p>
    <w:p w:rsidR="00F54CB0" w:rsidRDefault="00F54CB0" w:rsidP="00F54CB0">
      <w:pPr>
        <w:spacing w:line="240" w:lineRule="auto"/>
        <w:jc w:val="both"/>
        <w:rPr>
          <w:rFonts w:ascii="Times New Roman" w:hAnsi="Times New Roman" w:cs="Times New Roman"/>
          <w:sz w:val="24"/>
          <w:szCs w:val="24"/>
          <w:shd w:val="clear" w:color="auto" w:fill="FFFFFF"/>
        </w:rPr>
      </w:pPr>
      <w:r w:rsidRPr="008D5922">
        <w:rPr>
          <w:rFonts w:ascii="Times New Roman" w:hAnsi="Times New Roman" w:cs="Times New Roman"/>
          <w:sz w:val="24"/>
          <w:szCs w:val="24"/>
          <w:shd w:val="clear" w:color="auto" w:fill="FFFFFF"/>
        </w:rPr>
        <w:t xml:space="preserve">La Fundación Biodiversidad, la Fundación Española para la Ciencia y la Tecnología (FECYT), la Fundación del sector público Centro de Investigación de Enfermedades Neurológicas y la Fundación Laboral de Minusválidos Santa Bárbara (FUSBA). También </w:t>
      </w:r>
      <w:r w:rsidRPr="008D5922">
        <w:rPr>
          <w:rFonts w:ascii="Times New Roman" w:hAnsi="Times New Roman" w:cs="Times New Roman"/>
          <w:sz w:val="24"/>
          <w:szCs w:val="24"/>
          <w:shd w:val="clear" w:color="auto" w:fill="FFFFFF"/>
        </w:rPr>
        <w:lastRenderedPageBreak/>
        <w:t>destacan la Fundación del Teatro Real, la Fundación Centro Nacional del Vidrio y la Fundación Lázaro Galdiano.</w:t>
      </w:r>
    </w:p>
    <w:p w:rsidR="00F54CB0" w:rsidRDefault="00F54CB0" w:rsidP="00F54CB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Entidades del sector público administrativo y fondos sin personalidad jurídica:</w:t>
      </w:r>
    </w:p>
    <w:p w:rsidR="00F54CB0" w:rsidRPr="008D5922" w:rsidRDefault="00F54CB0" w:rsidP="00F54CB0">
      <w:pPr>
        <w:spacing w:line="240" w:lineRule="auto"/>
        <w:jc w:val="both"/>
        <w:rPr>
          <w:rFonts w:ascii="Times New Roman" w:hAnsi="Times New Roman" w:cs="Times New Roman"/>
          <w:sz w:val="24"/>
          <w:szCs w:val="24"/>
          <w:shd w:val="clear" w:color="auto" w:fill="FFFFFF"/>
        </w:rPr>
      </w:pPr>
      <w:r w:rsidRPr="008D5922">
        <w:rPr>
          <w:rFonts w:ascii="Times New Roman" w:hAnsi="Times New Roman" w:cs="Times New Roman"/>
          <w:sz w:val="24"/>
          <w:szCs w:val="24"/>
          <w:shd w:val="clear" w:color="auto" w:fill="FFFFFF"/>
        </w:rPr>
        <w:t>Entidades del sector pú</w:t>
      </w:r>
      <w:r>
        <w:rPr>
          <w:rFonts w:ascii="Times New Roman" w:hAnsi="Times New Roman" w:cs="Times New Roman"/>
          <w:sz w:val="24"/>
          <w:szCs w:val="24"/>
          <w:shd w:val="clear" w:color="auto" w:fill="FFFFFF"/>
        </w:rPr>
        <w:t>blico administrativo</w:t>
      </w:r>
    </w:p>
    <w:p w:rsidR="00F54CB0" w:rsidRPr="008D5922" w:rsidRDefault="00F54CB0" w:rsidP="00F54CB0">
      <w:pPr>
        <w:spacing w:line="240" w:lineRule="auto"/>
        <w:jc w:val="both"/>
        <w:rPr>
          <w:rFonts w:ascii="Times New Roman" w:hAnsi="Times New Roman" w:cs="Times New Roman"/>
          <w:sz w:val="24"/>
          <w:szCs w:val="24"/>
          <w:shd w:val="clear" w:color="auto" w:fill="FFFFFF"/>
        </w:rPr>
      </w:pPr>
      <w:r w:rsidRPr="008D5922">
        <w:rPr>
          <w:rFonts w:ascii="Times New Roman" w:hAnsi="Times New Roman" w:cs="Times New Roman"/>
          <w:sz w:val="24"/>
          <w:szCs w:val="24"/>
          <w:shd w:val="clear" w:color="auto" w:fill="FFFFFF"/>
        </w:rPr>
        <w:t>Co</w:t>
      </w:r>
      <w:r>
        <w:rPr>
          <w:rFonts w:ascii="Times New Roman" w:hAnsi="Times New Roman" w:cs="Times New Roman"/>
          <w:sz w:val="24"/>
          <w:szCs w:val="24"/>
          <w:shd w:val="clear" w:color="auto" w:fill="FFFFFF"/>
        </w:rPr>
        <w:t xml:space="preserve">nsorcio Centro Sefarad-Israel, </w:t>
      </w:r>
      <w:r w:rsidRPr="008D5922">
        <w:rPr>
          <w:rFonts w:ascii="Times New Roman" w:hAnsi="Times New Roman" w:cs="Times New Roman"/>
          <w:sz w:val="24"/>
          <w:szCs w:val="24"/>
          <w:shd w:val="clear" w:color="auto" w:fill="FFFFFF"/>
        </w:rPr>
        <w:t>Consorcio Casa Árabe y su Instituto Internacional</w:t>
      </w:r>
      <w:r>
        <w:rPr>
          <w:rFonts w:ascii="Times New Roman" w:hAnsi="Times New Roman" w:cs="Times New Roman"/>
          <w:sz w:val="24"/>
          <w:szCs w:val="24"/>
          <w:shd w:val="clear" w:color="auto" w:fill="FFFFFF"/>
        </w:rPr>
        <w:t xml:space="preserve"> de Estudios Árabes y del Mundo Musulmán, </w:t>
      </w:r>
      <w:r w:rsidRPr="008D5922">
        <w:rPr>
          <w:rFonts w:ascii="Times New Roman" w:hAnsi="Times New Roman" w:cs="Times New Roman"/>
          <w:sz w:val="24"/>
          <w:szCs w:val="24"/>
          <w:shd w:val="clear" w:color="auto" w:fill="FFFFFF"/>
        </w:rPr>
        <w:t>Consorcio Casa del</w:t>
      </w:r>
      <w:r>
        <w:rPr>
          <w:rFonts w:ascii="Times New Roman" w:hAnsi="Times New Roman" w:cs="Times New Roman"/>
          <w:sz w:val="24"/>
          <w:szCs w:val="24"/>
          <w:shd w:val="clear" w:color="auto" w:fill="FFFFFF"/>
        </w:rPr>
        <w:t xml:space="preserve"> Mediterráneo, </w:t>
      </w:r>
      <w:r w:rsidRPr="008D5922">
        <w:rPr>
          <w:rFonts w:ascii="Times New Roman" w:hAnsi="Times New Roman" w:cs="Times New Roman"/>
          <w:sz w:val="24"/>
          <w:szCs w:val="24"/>
          <w:shd w:val="clear" w:color="auto" w:fill="FFFFFF"/>
        </w:rPr>
        <w:t>Consorcio Ca</w:t>
      </w:r>
      <w:r>
        <w:rPr>
          <w:rFonts w:ascii="Times New Roman" w:hAnsi="Times New Roman" w:cs="Times New Roman"/>
          <w:sz w:val="24"/>
          <w:szCs w:val="24"/>
          <w:shd w:val="clear" w:color="auto" w:fill="FFFFFF"/>
        </w:rPr>
        <w:t xml:space="preserve">sa África, </w:t>
      </w:r>
      <w:r w:rsidRPr="008D5922">
        <w:rPr>
          <w:rFonts w:ascii="Times New Roman" w:hAnsi="Times New Roman" w:cs="Times New Roman"/>
          <w:sz w:val="24"/>
          <w:szCs w:val="24"/>
          <w:shd w:val="clear" w:color="auto" w:fill="FFFFFF"/>
        </w:rPr>
        <w:t>Obra Pía de los San</w:t>
      </w:r>
      <w:r>
        <w:rPr>
          <w:rFonts w:ascii="Times New Roman" w:hAnsi="Times New Roman" w:cs="Times New Roman"/>
          <w:sz w:val="24"/>
          <w:szCs w:val="24"/>
          <w:shd w:val="clear" w:color="auto" w:fill="FFFFFF"/>
        </w:rPr>
        <w:t xml:space="preserve">tos Lugares, </w:t>
      </w:r>
      <w:r w:rsidRPr="008D5922">
        <w:rPr>
          <w:rFonts w:ascii="Times New Roman" w:hAnsi="Times New Roman" w:cs="Times New Roman"/>
          <w:sz w:val="24"/>
          <w:szCs w:val="24"/>
          <w:shd w:val="clear" w:color="auto" w:fill="FFFFFF"/>
        </w:rPr>
        <w:t>Centro Universitario de la Defensa en la Academia Gene</w:t>
      </w:r>
      <w:r>
        <w:rPr>
          <w:rFonts w:ascii="Times New Roman" w:hAnsi="Times New Roman" w:cs="Times New Roman"/>
          <w:sz w:val="24"/>
          <w:szCs w:val="24"/>
          <w:shd w:val="clear" w:color="auto" w:fill="FFFFFF"/>
        </w:rPr>
        <w:t xml:space="preserve">ral del Aire de San Javier, </w:t>
      </w:r>
      <w:r w:rsidRPr="008D5922">
        <w:rPr>
          <w:rFonts w:ascii="Times New Roman" w:hAnsi="Times New Roman" w:cs="Times New Roman"/>
          <w:sz w:val="24"/>
          <w:szCs w:val="24"/>
          <w:shd w:val="clear" w:color="auto" w:fill="FFFFFF"/>
        </w:rPr>
        <w:t>Centro Universitario de la Defensa en la Academia Gener</w:t>
      </w:r>
      <w:r>
        <w:rPr>
          <w:rFonts w:ascii="Times New Roman" w:hAnsi="Times New Roman" w:cs="Times New Roman"/>
          <w:sz w:val="24"/>
          <w:szCs w:val="24"/>
          <w:shd w:val="clear" w:color="auto" w:fill="FFFFFF"/>
        </w:rPr>
        <w:t xml:space="preserve">al Militar de Zaragoza, </w:t>
      </w:r>
      <w:r w:rsidRPr="008D5922">
        <w:rPr>
          <w:rFonts w:ascii="Times New Roman" w:hAnsi="Times New Roman" w:cs="Times New Roman"/>
          <w:sz w:val="24"/>
          <w:szCs w:val="24"/>
          <w:shd w:val="clear" w:color="auto" w:fill="FFFFFF"/>
        </w:rPr>
        <w:t>Centro Universitario de la Defensa en la Escuela Naval Militar</w:t>
      </w:r>
      <w:r>
        <w:rPr>
          <w:rFonts w:ascii="Times New Roman" w:hAnsi="Times New Roman" w:cs="Times New Roman"/>
          <w:sz w:val="24"/>
          <w:szCs w:val="24"/>
          <w:shd w:val="clear" w:color="auto" w:fill="FFFFFF"/>
        </w:rPr>
        <w:t xml:space="preserve"> de Marín, </w:t>
      </w:r>
      <w:r w:rsidRPr="008D5922">
        <w:rPr>
          <w:rFonts w:ascii="Times New Roman" w:hAnsi="Times New Roman" w:cs="Times New Roman"/>
          <w:sz w:val="24"/>
          <w:szCs w:val="24"/>
          <w:shd w:val="clear" w:color="auto" w:fill="FFFFFF"/>
        </w:rPr>
        <w:t>Centro Universitario de la Defensa en el Gru</w:t>
      </w:r>
      <w:r>
        <w:rPr>
          <w:rFonts w:ascii="Times New Roman" w:hAnsi="Times New Roman" w:cs="Times New Roman"/>
          <w:sz w:val="24"/>
          <w:szCs w:val="24"/>
          <w:shd w:val="clear" w:color="auto" w:fill="FFFFFF"/>
        </w:rPr>
        <w:t xml:space="preserve">po de Escuelas de la Defensa de </w:t>
      </w:r>
      <w:r w:rsidRPr="008D5922">
        <w:rPr>
          <w:rFonts w:ascii="Times New Roman" w:hAnsi="Times New Roman" w:cs="Times New Roman"/>
          <w:sz w:val="24"/>
          <w:szCs w:val="24"/>
          <w:shd w:val="clear" w:color="auto" w:fill="FFFFFF"/>
        </w:rPr>
        <w:t>Madri</w:t>
      </w:r>
      <w:r>
        <w:rPr>
          <w:rFonts w:ascii="Times New Roman" w:hAnsi="Times New Roman" w:cs="Times New Roman"/>
          <w:sz w:val="24"/>
          <w:szCs w:val="24"/>
          <w:shd w:val="clear" w:color="auto" w:fill="FFFFFF"/>
        </w:rPr>
        <w:t xml:space="preserve">d, </w:t>
      </w:r>
      <w:r w:rsidRPr="008D5922">
        <w:rPr>
          <w:rFonts w:ascii="Times New Roman" w:hAnsi="Times New Roman" w:cs="Times New Roman"/>
          <w:sz w:val="24"/>
          <w:szCs w:val="24"/>
          <w:shd w:val="clear" w:color="auto" w:fill="FFFFFF"/>
        </w:rPr>
        <w:t>Consorcio de Actividades Logísticas, Empresariales, Tecnológi</w:t>
      </w:r>
      <w:r>
        <w:rPr>
          <w:rFonts w:ascii="Times New Roman" w:hAnsi="Times New Roman" w:cs="Times New Roman"/>
          <w:sz w:val="24"/>
          <w:szCs w:val="24"/>
          <w:shd w:val="clear" w:color="auto" w:fill="FFFFFF"/>
        </w:rPr>
        <w:t xml:space="preserve">cas, Ambientales y </w:t>
      </w:r>
      <w:r w:rsidRPr="008D5922">
        <w:rPr>
          <w:rFonts w:ascii="Times New Roman" w:hAnsi="Times New Roman" w:cs="Times New Roman"/>
          <w:sz w:val="24"/>
          <w:szCs w:val="24"/>
          <w:shd w:val="clear" w:color="auto" w:fill="FFFFFF"/>
        </w:rPr>
        <w:t>de Servicios de la Bahía de Cádiz, Consor</w:t>
      </w:r>
      <w:r>
        <w:rPr>
          <w:rFonts w:ascii="Times New Roman" w:hAnsi="Times New Roman" w:cs="Times New Roman"/>
          <w:sz w:val="24"/>
          <w:szCs w:val="24"/>
          <w:shd w:val="clear" w:color="auto" w:fill="FFFFFF"/>
        </w:rPr>
        <w:t xml:space="preserve">cio Aletas,  </w:t>
      </w:r>
      <w:r w:rsidRPr="008D5922">
        <w:rPr>
          <w:rFonts w:ascii="Times New Roman" w:hAnsi="Times New Roman" w:cs="Times New Roman"/>
          <w:sz w:val="24"/>
          <w:szCs w:val="24"/>
          <w:shd w:val="clear" w:color="auto" w:fill="FFFFFF"/>
        </w:rPr>
        <w:t>Consorcio de la Zona Especial Canaria (CZE</w:t>
      </w:r>
      <w:r>
        <w:rPr>
          <w:rFonts w:ascii="Times New Roman" w:hAnsi="Times New Roman" w:cs="Times New Roman"/>
          <w:sz w:val="24"/>
          <w:szCs w:val="24"/>
          <w:shd w:val="clear" w:color="auto" w:fill="FFFFFF"/>
        </w:rPr>
        <w:t xml:space="preserve">C), </w:t>
      </w:r>
      <w:r w:rsidRPr="008D5922">
        <w:rPr>
          <w:rFonts w:ascii="Times New Roman" w:hAnsi="Times New Roman" w:cs="Times New Roman"/>
          <w:sz w:val="24"/>
          <w:szCs w:val="24"/>
          <w:shd w:val="clear" w:color="auto" w:fill="FFFFFF"/>
        </w:rPr>
        <w:t xml:space="preserve">Centro Universitario de </w:t>
      </w:r>
      <w:r>
        <w:rPr>
          <w:rFonts w:ascii="Times New Roman" w:hAnsi="Times New Roman" w:cs="Times New Roman"/>
          <w:sz w:val="24"/>
          <w:szCs w:val="24"/>
          <w:shd w:val="clear" w:color="auto" w:fill="FFFFFF"/>
        </w:rPr>
        <w:t xml:space="preserve">la Guardia Civil, </w:t>
      </w:r>
      <w:r w:rsidRPr="008D5922">
        <w:rPr>
          <w:rFonts w:ascii="Times New Roman" w:hAnsi="Times New Roman" w:cs="Times New Roman"/>
          <w:sz w:val="24"/>
          <w:szCs w:val="24"/>
          <w:shd w:val="clear" w:color="auto" w:fill="FFFFFF"/>
        </w:rPr>
        <w:t xml:space="preserve">Trabajo Penitenciario y Formación para el </w:t>
      </w:r>
      <w:r>
        <w:rPr>
          <w:rFonts w:ascii="Times New Roman" w:hAnsi="Times New Roman" w:cs="Times New Roman"/>
          <w:sz w:val="24"/>
          <w:szCs w:val="24"/>
          <w:shd w:val="clear" w:color="auto" w:fill="FFFFFF"/>
        </w:rPr>
        <w:t xml:space="preserve">Empleo, </w:t>
      </w:r>
      <w:r w:rsidRPr="008D5922">
        <w:rPr>
          <w:rFonts w:ascii="Times New Roman" w:hAnsi="Times New Roman" w:cs="Times New Roman"/>
          <w:sz w:val="24"/>
          <w:szCs w:val="24"/>
          <w:shd w:val="clear" w:color="auto" w:fill="FFFFFF"/>
        </w:rPr>
        <w:t>Consorcio para el Equipamiento y Explotación del Laborato</w:t>
      </w:r>
      <w:r>
        <w:rPr>
          <w:rFonts w:ascii="Times New Roman" w:hAnsi="Times New Roman" w:cs="Times New Roman"/>
          <w:sz w:val="24"/>
          <w:szCs w:val="24"/>
          <w:shd w:val="clear" w:color="auto" w:fill="FFFFFF"/>
        </w:rPr>
        <w:t xml:space="preserve">rio Subterráneo de </w:t>
      </w:r>
      <w:r w:rsidRPr="008D5922">
        <w:rPr>
          <w:rFonts w:ascii="Times New Roman" w:hAnsi="Times New Roman" w:cs="Times New Roman"/>
          <w:sz w:val="24"/>
          <w:szCs w:val="24"/>
          <w:shd w:val="clear" w:color="auto" w:fill="FFFFFF"/>
        </w:rPr>
        <w:t>Can</w:t>
      </w:r>
      <w:r>
        <w:rPr>
          <w:rFonts w:ascii="Times New Roman" w:hAnsi="Times New Roman" w:cs="Times New Roman"/>
          <w:sz w:val="24"/>
          <w:szCs w:val="24"/>
          <w:shd w:val="clear" w:color="auto" w:fill="FFFFFF"/>
        </w:rPr>
        <w:t xml:space="preserve">franc, </w:t>
      </w:r>
      <w:r w:rsidRPr="008D5922">
        <w:rPr>
          <w:rFonts w:ascii="Times New Roman" w:hAnsi="Times New Roman" w:cs="Times New Roman"/>
          <w:sz w:val="24"/>
          <w:szCs w:val="24"/>
          <w:shd w:val="clear" w:color="auto" w:fill="FFFFFF"/>
        </w:rPr>
        <w:t>Consorcio para la Creación, Construcción,</w:t>
      </w:r>
      <w:r>
        <w:rPr>
          <w:rFonts w:ascii="Times New Roman" w:hAnsi="Times New Roman" w:cs="Times New Roman"/>
          <w:sz w:val="24"/>
          <w:szCs w:val="24"/>
          <w:shd w:val="clear" w:color="auto" w:fill="FFFFFF"/>
        </w:rPr>
        <w:t xml:space="preserve"> Equipamiento y Explotación del </w:t>
      </w:r>
      <w:r w:rsidRPr="008D5922">
        <w:rPr>
          <w:rFonts w:ascii="Times New Roman" w:hAnsi="Times New Roman" w:cs="Times New Roman"/>
          <w:sz w:val="24"/>
          <w:szCs w:val="24"/>
          <w:shd w:val="clear" w:color="auto" w:fill="FFFFFF"/>
        </w:rPr>
        <w:t>Barcelona Supercomputing Center - Centro Nacional de S</w:t>
      </w:r>
      <w:r>
        <w:rPr>
          <w:rFonts w:ascii="Times New Roman" w:hAnsi="Times New Roman" w:cs="Times New Roman"/>
          <w:sz w:val="24"/>
          <w:szCs w:val="24"/>
          <w:shd w:val="clear" w:color="auto" w:fill="FFFFFF"/>
        </w:rPr>
        <w:t xml:space="preserve">upercomputación, </w:t>
      </w:r>
      <w:r w:rsidRPr="008D5922">
        <w:rPr>
          <w:rFonts w:ascii="Times New Roman" w:hAnsi="Times New Roman" w:cs="Times New Roman"/>
          <w:sz w:val="24"/>
          <w:szCs w:val="24"/>
          <w:shd w:val="clear" w:color="auto" w:fill="FFFFFF"/>
        </w:rPr>
        <w:t>Consorcio CIBER para el Área Temática de Enfermeda</w:t>
      </w:r>
      <w:r>
        <w:rPr>
          <w:rFonts w:ascii="Times New Roman" w:hAnsi="Times New Roman" w:cs="Times New Roman"/>
          <w:sz w:val="24"/>
          <w:szCs w:val="24"/>
          <w:shd w:val="clear" w:color="auto" w:fill="FFFFFF"/>
        </w:rPr>
        <w:t xml:space="preserve">des Neurodegenerativas, </w:t>
      </w:r>
      <w:r w:rsidRPr="008D5922">
        <w:rPr>
          <w:rFonts w:ascii="Times New Roman" w:hAnsi="Times New Roman" w:cs="Times New Roman"/>
          <w:sz w:val="24"/>
          <w:szCs w:val="24"/>
          <w:shd w:val="clear" w:color="auto" w:fill="FFFFFF"/>
        </w:rPr>
        <w:t>Centro de Investigación Biomédica en Re</w:t>
      </w:r>
      <w:r>
        <w:rPr>
          <w:rFonts w:ascii="Times New Roman" w:hAnsi="Times New Roman" w:cs="Times New Roman"/>
          <w:sz w:val="24"/>
          <w:szCs w:val="24"/>
          <w:shd w:val="clear" w:color="auto" w:fill="FFFFFF"/>
        </w:rPr>
        <w:t xml:space="preserve">d (CIBER), </w:t>
      </w:r>
      <w:r w:rsidRPr="008D5922">
        <w:rPr>
          <w:rFonts w:ascii="Times New Roman" w:hAnsi="Times New Roman" w:cs="Times New Roman"/>
          <w:sz w:val="24"/>
          <w:szCs w:val="24"/>
          <w:shd w:val="clear" w:color="auto" w:fill="FFFFFF"/>
        </w:rPr>
        <w:t>Consorcio Insti</w:t>
      </w:r>
      <w:r>
        <w:rPr>
          <w:rFonts w:ascii="Times New Roman" w:hAnsi="Times New Roman" w:cs="Times New Roman"/>
          <w:sz w:val="24"/>
          <w:szCs w:val="24"/>
          <w:shd w:val="clear" w:color="auto" w:fill="FFFFFF"/>
        </w:rPr>
        <w:t xml:space="preserve">tuto de Astrofísica de Canarias, </w:t>
      </w:r>
      <w:r w:rsidRPr="008D5922">
        <w:rPr>
          <w:rFonts w:ascii="Times New Roman" w:hAnsi="Times New Roman" w:cs="Times New Roman"/>
          <w:sz w:val="24"/>
          <w:szCs w:val="24"/>
          <w:shd w:val="clear" w:color="auto" w:fill="FFFFFF"/>
        </w:rPr>
        <w:t>Comisión Nacional del Mercado de Valor</w:t>
      </w:r>
      <w:r>
        <w:rPr>
          <w:rFonts w:ascii="Times New Roman" w:hAnsi="Times New Roman" w:cs="Times New Roman"/>
          <w:sz w:val="24"/>
          <w:szCs w:val="24"/>
          <w:shd w:val="clear" w:color="auto" w:fill="FFFFFF"/>
        </w:rPr>
        <w:t>es (CNMV).</w:t>
      </w:r>
    </w:p>
    <w:p w:rsidR="00F54CB0" w:rsidRDefault="00F54CB0" w:rsidP="00F54CB0">
      <w:pPr>
        <w:spacing w:line="240" w:lineRule="auto"/>
        <w:jc w:val="both"/>
        <w:rPr>
          <w:rFonts w:ascii="Times New Roman" w:hAnsi="Times New Roman" w:cs="Times New Roman"/>
          <w:sz w:val="24"/>
          <w:szCs w:val="24"/>
          <w:shd w:val="clear" w:color="auto" w:fill="FFFFFF"/>
        </w:rPr>
      </w:pPr>
      <w:r w:rsidRPr="008D5922">
        <w:rPr>
          <w:rFonts w:ascii="Times New Roman" w:hAnsi="Times New Roman" w:cs="Times New Roman"/>
          <w:sz w:val="24"/>
          <w:szCs w:val="24"/>
          <w:shd w:val="clear" w:color="auto" w:fill="FFFFFF"/>
        </w:rPr>
        <w:t>Fondos Públicos</w:t>
      </w:r>
    </w:p>
    <w:p w:rsidR="00F54CB0" w:rsidRDefault="00F54CB0" w:rsidP="00F54CB0">
      <w:pPr>
        <w:spacing w:line="240" w:lineRule="auto"/>
        <w:jc w:val="both"/>
        <w:rPr>
          <w:rFonts w:ascii="Times New Roman" w:hAnsi="Times New Roman" w:cs="Times New Roman"/>
          <w:sz w:val="24"/>
          <w:szCs w:val="24"/>
          <w:shd w:val="clear" w:color="auto" w:fill="FFFFFF"/>
        </w:rPr>
      </w:pPr>
      <w:r w:rsidRPr="008D5922">
        <w:rPr>
          <w:rFonts w:ascii="Times New Roman" w:hAnsi="Times New Roman" w:cs="Times New Roman"/>
          <w:sz w:val="24"/>
          <w:szCs w:val="24"/>
          <w:shd w:val="clear" w:color="auto" w:fill="FFFFFF"/>
        </w:rPr>
        <w:t>Fondo para la P</w:t>
      </w:r>
      <w:r>
        <w:rPr>
          <w:rFonts w:ascii="Times New Roman" w:hAnsi="Times New Roman" w:cs="Times New Roman"/>
          <w:sz w:val="24"/>
          <w:szCs w:val="24"/>
          <w:shd w:val="clear" w:color="auto" w:fill="FFFFFF"/>
        </w:rPr>
        <w:t xml:space="preserve">romoción del Desarrollo, </w:t>
      </w:r>
      <w:r w:rsidRPr="008D5922">
        <w:rPr>
          <w:rFonts w:ascii="Times New Roman" w:hAnsi="Times New Roman" w:cs="Times New Roman"/>
          <w:sz w:val="24"/>
          <w:szCs w:val="24"/>
          <w:shd w:val="clear" w:color="auto" w:fill="FFFFFF"/>
        </w:rPr>
        <w:t>Fondo de Cooperación para Agua y Sanea</w:t>
      </w:r>
      <w:r>
        <w:rPr>
          <w:rFonts w:ascii="Times New Roman" w:hAnsi="Times New Roman" w:cs="Times New Roman"/>
          <w:sz w:val="24"/>
          <w:szCs w:val="24"/>
          <w:shd w:val="clear" w:color="auto" w:fill="FFFFFF"/>
        </w:rPr>
        <w:t xml:space="preserve">miento, </w:t>
      </w:r>
      <w:r w:rsidRPr="008D5922">
        <w:rPr>
          <w:rFonts w:ascii="Times New Roman" w:hAnsi="Times New Roman" w:cs="Times New Roman"/>
          <w:sz w:val="24"/>
          <w:szCs w:val="24"/>
          <w:shd w:val="clear" w:color="auto" w:fill="FFFFFF"/>
        </w:rPr>
        <w:t>Fondo Garantía de Alime</w:t>
      </w:r>
      <w:r>
        <w:rPr>
          <w:rFonts w:ascii="Times New Roman" w:hAnsi="Times New Roman" w:cs="Times New Roman"/>
          <w:sz w:val="24"/>
          <w:szCs w:val="24"/>
          <w:shd w:val="clear" w:color="auto" w:fill="FFFFFF"/>
        </w:rPr>
        <w:t xml:space="preserve">ntos, </w:t>
      </w:r>
      <w:r w:rsidRPr="008D5922">
        <w:rPr>
          <w:rFonts w:ascii="Times New Roman" w:hAnsi="Times New Roman" w:cs="Times New Roman"/>
          <w:sz w:val="24"/>
          <w:szCs w:val="24"/>
          <w:shd w:val="clear" w:color="auto" w:fill="FFFFFF"/>
        </w:rPr>
        <w:t>Fondo Estatal de Inve</w:t>
      </w:r>
      <w:r>
        <w:rPr>
          <w:rFonts w:ascii="Times New Roman" w:hAnsi="Times New Roman" w:cs="Times New Roman"/>
          <w:sz w:val="24"/>
          <w:szCs w:val="24"/>
          <w:shd w:val="clear" w:color="auto" w:fill="FFFFFF"/>
        </w:rPr>
        <w:t xml:space="preserve">rsión Local, </w:t>
      </w:r>
      <w:r w:rsidRPr="008D5922">
        <w:rPr>
          <w:rFonts w:ascii="Times New Roman" w:hAnsi="Times New Roman" w:cs="Times New Roman"/>
          <w:sz w:val="24"/>
          <w:szCs w:val="24"/>
          <w:shd w:val="clear" w:color="auto" w:fill="FFFFFF"/>
        </w:rPr>
        <w:t>Fondo Estatal para el Empleo y la Sosteni</w:t>
      </w:r>
      <w:r>
        <w:rPr>
          <w:rFonts w:ascii="Times New Roman" w:hAnsi="Times New Roman" w:cs="Times New Roman"/>
          <w:sz w:val="24"/>
          <w:szCs w:val="24"/>
          <w:shd w:val="clear" w:color="auto" w:fill="FFFFFF"/>
        </w:rPr>
        <w:t xml:space="preserve">bilidad Local, </w:t>
      </w:r>
      <w:r w:rsidRPr="008D5922">
        <w:rPr>
          <w:rFonts w:ascii="Times New Roman" w:hAnsi="Times New Roman" w:cs="Times New Roman"/>
          <w:sz w:val="24"/>
          <w:szCs w:val="24"/>
          <w:shd w:val="clear" w:color="auto" w:fill="FFFFFF"/>
        </w:rPr>
        <w:t>Fondo de Financiación a Comunidades A</w:t>
      </w:r>
      <w:r>
        <w:rPr>
          <w:rFonts w:ascii="Times New Roman" w:hAnsi="Times New Roman" w:cs="Times New Roman"/>
          <w:sz w:val="24"/>
          <w:szCs w:val="24"/>
          <w:shd w:val="clear" w:color="auto" w:fill="FFFFFF"/>
        </w:rPr>
        <w:t xml:space="preserve">utónomas, </w:t>
      </w:r>
      <w:r w:rsidRPr="008D5922">
        <w:rPr>
          <w:rFonts w:ascii="Times New Roman" w:hAnsi="Times New Roman" w:cs="Times New Roman"/>
          <w:sz w:val="24"/>
          <w:szCs w:val="24"/>
          <w:shd w:val="clear" w:color="auto" w:fill="FFFFFF"/>
        </w:rPr>
        <w:t>Fondo de Fina</w:t>
      </w:r>
      <w:r>
        <w:rPr>
          <w:rFonts w:ascii="Times New Roman" w:hAnsi="Times New Roman" w:cs="Times New Roman"/>
          <w:sz w:val="24"/>
          <w:szCs w:val="24"/>
          <w:shd w:val="clear" w:color="auto" w:fill="FFFFFF"/>
        </w:rPr>
        <w:t xml:space="preserve">nciación a Entidades Locales, </w:t>
      </w:r>
      <w:r w:rsidRPr="008D5922">
        <w:rPr>
          <w:rFonts w:ascii="Times New Roman" w:hAnsi="Times New Roman" w:cs="Times New Roman"/>
          <w:sz w:val="24"/>
          <w:szCs w:val="24"/>
          <w:shd w:val="clear" w:color="auto" w:fill="FFFFFF"/>
        </w:rPr>
        <w:t xml:space="preserve">Fondo Financiero de Accesibilidad Terrestre </w:t>
      </w:r>
      <w:r>
        <w:rPr>
          <w:rFonts w:ascii="Times New Roman" w:hAnsi="Times New Roman" w:cs="Times New Roman"/>
          <w:sz w:val="24"/>
          <w:szCs w:val="24"/>
          <w:shd w:val="clear" w:color="auto" w:fill="FFFFFF"/>
        </w:rPr>
        <w:t xml:space="preserve">Portuaria, </w:t>
      </w:r>
      <w:r w:rsidRPr="008D5922">
        <w:rPr>
          <w:rFonts w:ascii="Times New Roman" w:hAnsi="Times New Roman" w:cs="Times New Roman"/>
          <w:sz w:val="24"/>
          <w:szCs w:val="24"/>
          <w:shd w:val="clear" w:color="auto" w:fill="FFFFFF"/>
        </w:rPr>
        <w:t>Fondo Financiero para la Modernización de la Infraestruc</w:t>
      </w:r>
      <w:r>
        <w:rPr>
          <w:rFonts w:ascii="Times New Roman" w:hAnsi="Times New Roman" w:cs="Times New Roman"/>
          <w:sz w:val="24"/>
          <w:szCs w:val="24"/>
          <w:shd w:val="clear" w:color="auto" w:fill="FFFFFF"/>
        </w:rPr>
        <w:t xml:space="preserve">tura Turística (FOMIT), </w:t>
      </w:r>
      <w:r w:rsidRPr="008D5922">
        <w:rPr>
          <w:rFonts w:ascii="Times New Roman" w:hAnsi="Times New Roman" w:cs="Times New Roman"/>
          <w:sz w:val="24"/>
          <w:szCs w:val="24"/>
          <w:shd w:val="clear" w:color="auto" w:fill="FFFFFF"/>
        </w:rPr>
        <w:t>Fondo de Apoyo a la diversificación del Sector Pesquero y Acuíco</w:t>
      </w:r>
      <w:r>
        <w:rPr>
          <w:rFonts w:ascii="Times New Roman" w:hAnsi="Times New Roman" w:cs="Times New Roman"/>
          <w:sz w:val="24"/>
          <w:szCs w:val="24"/>
          <w:shd w:val="clear" w:color="auto" w:fill="FFFFFF"/>
        </w:rPr>
        <w:t xml:space="preserve">la, </w:t>
      </w:r>
      <w:r w:rsidRPr="008D5922">
        <w:rPr>
          <w:rFonts w:ascii="Times New Roman" w:hAnsi="Times New Roman" w:cs="Times New Roman"/>
          <w:sz w:val="24"/>
          <w:szCs w:val="24"/>
          <w:shd w:val="clear" w:color="auto" w:fill="FFFFFF"/>
        </w:rPr>
        <w:t>Fondo de Carbono para una Economía Sos</w:t>
      </w:r>
      <w:r>
        <w:rPr>
          <w:rFonts w:ascii="Times New Roman" w:hAnsi="Times New Roman" w:cs="Times New Roman"/>
          <w:sz w:val="24"/>
          <w:szCs w:val="24"/>
          <w:shd w:val="clear" w:color="auto" w:fill="FFFFFF"/>
        </w:rPr>
        <w:t xml:space="preserve">tenible, </w:t>
      </w:r>
      <w:r w:rsidRPr="008D5922">
        <w:rPr>
          <w:rFonts w:ascii="Times New Roman" w:hAnsi="Times New Roman" w:cs="Times New Roman"/>
          <w:sz w:val="24"/>
          <w:szCs w:val="24"/>
          <w:shd w:val="clear" w:color="auto" w:fill="FFFFFF"/>
        </w:rPr>
        <w:t>Fondo de Apoyo para la Promoción y Desarrollo de I</w:t>
      </w:r>
      <w:r>
        <w:rPr>
          <w:rFonts w:ascii="Times New Roman" w:hAnsi="Times New Roman" w:cs="Times New Roman"/>
          <w:sz w:val="24"/>
          <w:szCs w:val="24"/>
          <w:shd w:val="clear" w:color="auto" w:fill="FFFFFF"/>
        </w:rPr>
        <w:t xml:space="preserve">nfraestructuras y Servicios del </w:t>
      </w:r>
      <w:r w:rsidRPr="008D5922">
        <w:rPr>
          <w:rFonts w:ascii="Times New Roman" w:hAnsi="Times New Roman" w:cs="Times New Roman"/>
          <w:sz w:val="24"/>
          <w:szCs w:val="24"/>
          <w:shd w:val="clear" w:color="auto" w:fill="FFFFFF"/>
        </w:rPr>
        <w:t>Sistema de Autonomía y Atención</w:t>
      </w:r>
      <w:r>
        <w:rPr>
          <w:rFonts w:ascii="Times New Roman" w:hAnsi="Times New Roman" w:cs="Times New Roman"/>
          <w:sz w:val="24"/>
          <w:szCs w:val="24"/>
          <w:shd w:val="clear" w:color="auto" w:fill="FFFFFF"/>
        </w:rPr>
        <w:t xml:space="preserve"> a la Dependencia (FAAD), </w:t>
      </w:r>
      <w:r w:rsidRPr="008D5922">
        <w:rPr>
          <w:rFonts w:ascii="Times New Roman" w:hAnsi="Times New Roman" w:cs="Times New Roman"/>
          <w:sz w:val="24"/>
          <w:szCs w:val="24"/>
          <w:shd w:val="clear" w:color="auto" w:fill="FFFFFF"/>
        </w:rPr>
        <w:t>Fondo para Inve</w:t>
      </w:r>
      <w:r>
        <w:rPr>
          <w:rFonts w:ascii="Times New Roman" w:hAnsi="Times New Roman" w:cs="Times New Roman"/>
          <w:sz w:val="24"/>
          <w:szCs w:val="24"/>
          <w:shd w:val="clear" w:color="auto" w:fill="FFFFFF"/>
        </w:rPr>
        <w:t xml:space="preserve">rsiones en el exterior (FIEX). </w:t>
      </w:r>
      <w:r w:rsidRPr="008D5922">
        <w:rPr>
          <w:rFonts w:ascii="Times New Roman" w:hAnsi="Times New Roman" w:cs="Times New Roman"/>
          <w:sz w:val="24"/>
          <w:szCs w:val="24"/>
          <w:shd w:val="clear" w:color="auto" w:fill="FFFFFF"/>
        </w:rPr>
        <w:t xml:space="preserve">Fondo para inversiones en el exterior </w:t>
      </w:r>
      <w:r>
        <w:rPr>
          <w:rFonts w:ascii="Times New Roman" w:hAnsi="Times New Roman" w:cs="Times New Roman"/>
          <w:sz w:val="24"/>
          <w:szCs w:val="24"/>
          <w:shd w:val="clear" w:color="auto" w:fill="FFFFFF"/>
        </w:rPr>
        <w:t xml:space="preserve">de la Pequeña y Mediana Empresa </w:t>
      </w:r>
      <w:r w:rsidRPr="008D5922">
        <w:rPr>
          <w:rFonts w:ascii="Times New Roman" w:hAnsi="Times New Roman" w:cs="Times New Roman"/>
          <w:sz w:val="24"/>
          <w:szCs w:val="24"/>
          <w:shd w:val="clear" w:color="auto" w:fill="FFFFFF"/>
        </w:rPr>
        <w:t>(FONPYME</w:t>
      </w:r>
      <w:r>
        <w:rPr>
          <w:rFonts w:ascii="Times New Roman" w:hAnsi="Times New Roman" w:cs="Times New Roman"/>
          <w:sz w:val="24"/>
          <w:szCs w:val="24"/>
          <w:shd w:val="clear" w:color="auto" w:fill="FFFFFF"/>
        </w:rPr>
        <w:t xml:space="preserve">),  </w:t>
      </w:r>
      <w:r w:rsidRPr="008D5922">
        <w:rPr>
          <w:rFonts w:ascii="Times New Roman" w:hAnsi="Times New Roman" w:cs="Times New Roman"/>
          <w:sz w:val="24"/>
          <w:szCs w:val="24"/>
          <w:shd w:val="clear" w:color="auto" w:fill="FFFFFF"/>
        </w:rPr>
        <w:t>Fondo de Ayud</w:t>
      </w:r>
      <w:r>
        <w:rPr>
          <w:rFonts w:ascii="Times New Roman" w:hAnsi="Times New Roman" w:cs="Times New Roman"/>
          <w:sz w:val="24"/>
          <w:szCs w:val="24"/>
          <w:shd w:val="clear" w:color="auto" w:fill="FFFFFF"/>
        </w:rPr>
        <w:t xml:space="preserve">a al Comercio Interior (FACI), </w:t>
      </w:r>
      <w:r w:rsidRPr="008D5922">
        <w:rPr>
          <w:rFonts w:ascii="Times New Roman" w:hAnsi="Times New Roman" w:cs="Times New Roman"/>
          <w:sz w:val="24"/>
          <w:szCs w:val="24"/>
          <w:shd w:val="clear" w:color="auto" w:fill="FFFFFF"/>
        </w:rPr>
        <w:t>Fondo para la Internaciona</w:t>
      </w:r>
      <w:r>
        <w:rPr>
          <w:rFonts w:ascii="Times New Roman" w:hAnsi="Times New Roman" w:cs="Times New Roman"/>
          <w:sz w:val="24"/>
          <w:szCs w:val="24"/>
          <w:shd w:val="clear" w:color="auto" w:fill="FFFFFF"/>
        </w:rPr>
        <w:t xml:space="preserve">lización de la Empresa, </w:t>
      </w:r>
      <w:r w:rsidRPr="008D5922">
        <w:rPr>
          <w:rFonts w:ascii="Times New Roman" w:hAnsi="Times New Roman" w:cs="Times New Roman"/>
          <w:sz w:val="24"/>
          <w:szCs w:val="24"/>
          <w:shd w:val="clear" w:color="auto" w:fill="FFFFFF"/>
        </w:rPr>
        <w:t>Fondos con ope</w:t>
      </w:r>
      <w:r>
        <w:rPr>
          <w:rFonts w:ascii="Times New Roman" w:hAnsi="Times New Roman" w:cs="Times New Roman"/>
          <w:sz w:val="24"/>
          <w:szCs w:val="24"/>
          <w:shd w:val="clear" w:color="auto" w:fill="FFFFFF"/>
        </w:rPr>
        <w:t xml:space="preserve">raciones de seguros,  </w:t>
      </w:r>
      <w:r w:rsidRPr="008D5922">
        <w:rPr>
          <w:rFonts w:ascii="Times New Roman" w:hAnsi="Times New Roman" w:cs="Times New Roman"/>
          <w:sz w:val="24"/>
          <w:szCs w:val="24"/>
          <w:shd w:val="clear" w:color="auto" w:fill="FFFFFF"/>
        </w:rPr>
        <w:t xml:space="preserve">Fondo de Reserva de los Riesgos de </w:t>
      </w:r>
      <w:r>
        <w:rPr>
          <w:rFonts w:ascii="Times New Roman" w:hAnsi="Times New Roman" w:cs="Times New Roman"/>
          <w:sz w:val="24"/>
          <w:szCs w:val="24"/>
          <w:shd w:val="clear" w:color="auto" w:fill="FFFFFF"/>
        </w:rPr>
        <w:t>la Internacionalización.</w:t>
      </w:r>
    </w:p>
    <w:p w:rsidR="00F54CB0" w:rsidRPr="00645510" w:rsidRDefault="00F54CB0" w:rsidP="00F54CB0">
      <w:pPr>
        <w:spacing w:line="240" w:lineRule="auto"/>
        <w:jc w:val="both"/>
        <w:rPr>
          <w:rFonts w:ascii="Times New Roman" w:hAnsi="Times New Roman" w:cs="Times New Roman"/>
          <w:sz w:val="24"/>
          <w:szCs w:val="24"/>
          <w:shd w:val="clear" w:color="auto" w:fill="FFFFFF"/>
        </w:rPr>
      </w:pPr>
      <w:r w:rsidRPr="00645510">
        <w:rPr>
          <w:rFonts w:ascii="Times New Roman" w:hAnsi="Times New Roman" w:cs="Times New Roman"/>
          <w:sz w:val="24"/>
          <w:szCs w:val="24"/>
          <w:shd w:val="clear" w:color="auto" w:fill="FFFFFF"/>
        </w:rPr>
        <w:t>Las universidades públicas no transferidas:</w:t>
      </w:r>
    </w:p>
    <w:p w:rsidR="00F54CB0" w:rsidRPr="00645510" w:rsidRDefault="00F54CB0" w:rsidP="00F54CB0">
      <w:pPr>
        <w:shd w:val="clear" w:color="auto" w:fill="FFFFFF"/>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w:t>
      </w:r>
      <w:r w:rsidRPr="00645510">
        <w:rPr>
          <w:rFonts w:ascii="Times New Roman" w:eastAsia="Times New Roman" w:hAnsi="Times New Roman" w:cs="Times New Roman"/>
          <w:sz w:val="24"/>
          <w:szCs w:val="24"/>
          <w:lang w:eastAsia="es-ES"/>
        </w:rPr>
        <w:t>as universidades públicas no transferidas son la Universidad Nacional de Educación a Distancia (UNED) y la Universidad Internacional Menéndez Pelayo (UIMP). Estas universidades no están adscritas a ninguna comunidad autónoma en particular y, por lo tanto, son gestionadas directamente por el Estado. Esto significa que su financiación y organización dependen directamente del gobierno central (Estado). </w:t>
      </w:r>
    </w:p>
    <w:p w:rsidR="00F54CB0" w:rsidRPr="00645510" w:rsidRDefault="00F54CB0" w:rsidP="00F54CB0">
      <w:pPr>
        <w:numPr>
          <w:ilvl w:val="0"/>
          <w:numId w:val="9"/>
        </w:numPr>
        <w:shd w:val="clear" w:color="auto" w:fill="FFFFFF"/>
        <w:spacing w:after="120" w:line="240" w:lineRule="auto"/>
        <w:ind w:left="0"/>
        <w:jc w:val="both"/>
        <w:rPr>
          <w:rFonts w:ascii="Times New Roman" w:eastAsia="Times New Roman" w:hAnsi="Times New Roman" w:cs="Times New Roman"/>
          <w:sz w:val="24"/>
          <w:szCs w:val="24"/>
          <w:lang w:eastAsia="es-ES"/>
        </w:rPr>
      </w:pPr>
      <w:r w:rsidRPr="00C31B3F">
        <w:rPr>
          <w:rFonts w:ascii="Times New Roman" w:eastAsia="Times New Roman" w:hAnsi="Times New Roman" w:cs="Times New Roman"/>
          <w:bCs/>
          <w:sz w:val="24"/>
          <w:szCs w:val="24"/>
          <w:lang w:eastAsia="es-ES"/>
        </w:rPr>
        <w:t>UNED:</w:t>
      </w:r>
      <w:r>
        <w:rPr>
          <w:rFonts w:ascii="Times New Roman" w:eastAsia="Times New Roman" w:hAnsi="Times New Roman" w:cs="Times New Roman"/>
          <w:sz w:val="24"/>
          <w:szCs w:val="24"/>
          <w:lang w:eastAsia="es-ES"/>
        </w:rPr>
        <w:t xml:space="preserve"> </w:t>
      </w:r>
      <w:r w:rsidRPr="00645510">
        <w:rPr>
          <w:rFonts w:ascii="Times New Roman" w:eastAsia="Times New Roman" w:hAnsi="Times New Roman" w:cs="Times New Roman"/>
          <w:spacing w:val="2"/>
          <w:sz w:val="24"/>
          <w:szCs w:val="24"/>
          <w:lang w:eastAsia="es-ES"/>
        </w:rPr>
        <w:t>La Universidad Nacional de Educación a Distancia es la universidad más grande de España por número de estudiantes y ofrece estudios a distancia a nivel nacional e internacional.</w:t>
      </w:r>
    </w:p>
    <w:p w:rsidR="00F54CB0" w:rsidRPr="00C31B3F" w:rsidRDefault="00F54CB0" w:rsidP="00F54CB0">
      <w:pPr>
        <w:numPr>
          <w:ilvl w:val="0"/>
          <w:numId w:val="9"/>
        </w:numPr>
        <w:shd w:val="clear" w:color="auto" w:fill="FFFFFF"/>
        <w:spacing w:after="0" w:line="240" w:lineRule="auto"/>
        <w:ind w:left="0"/>
        <w:jc w:val="both"/>
        <w:rPr>
          <w:rFonts w:ascii="Times New Roman" w:eastAsia="Times New Roman" w:hAnsi="Times New Roman" w:cs="Times New Roman"/>
          <w:sz w:val="24"/>
          <w:szCs w:val="24"/>
          <w:lang w:eastAsia="es-ES"/>
        </w:rPr>
      </w:pPr>
      <w:r w:rsidRPr="00C31B3F">
        <w:rPr>
          <w:rFonts w:ascii="Times New Roman" w:eastAsia="Times New Roman" w:hAnsi="Times New Roman" w:cs="Times New Roman"/>
          <w:bCs/>
          <w:sz w:val="24"/>
          <w:szCs w:val="24"/>
          <w:lang w:eastAsia="es-ES"/>
        </w:rPr>
        <w:t>UIMP:</w:t>
      </w:r>
      <w:r>
        <w:rPr>
          <w:rFonts w:ascii="Times New Roman" w:eastAsia="Times New Roman" w:hAnsi="Times New Roman" w:cs="Times New Roman"/>
          <w:sz w:val="24"/>
          <w:szCs w:val="24"/>
          <w:lang w:eastAsia="es-ES"/>
        </w:rPr>
        <w:t xml:space="preserve"> </w:t>
      </w:r>
      <w:r w:rsidRPr="00645510">
        <w:rPr>
          <w:rFonts w:ascii="Times New Roman" w:eastAsia="Times New Roman" w:hAnsi="Times New Roman" w:cs="Times New Roman"/>
          <w:spacing w:val="2"/>
          <w:sz w:val="24"/>
          <w:szCs w:val="24"/>
          <w:lang w:eastAsia="es-ES"/>
        </w:rPr>
        <w:t>La Universidad Internacional Menéndez Pelayo es una institución centrada en cursos de verano y actividades culturales, con sede principal en Santander, pero con actividades en diferentes lugares de España. </w:t>
      </w:r>
    </w:p>
    <w:p w:rsidR="00F54CB0" w:rsidRDefault="00F54CB0" w:rsidP="00F54CB0">
      <w:pPr>
        <w:shd w:val="clear" w:color="auto" w:fill="FFFFFF"/>
        <w:spacing w:after="0" w:line="240" w:lineRule="auto"/>
        <w:jc w:val="both"/>
        <w:rPr>
          <w:rFonts w:ascii="Times New Roman" w:eastAsia="Times New Roman" w:hAnsi="Times New Roman" w:cs="Times New Roman"/>
          <w:sz w:val="24"/>
          <w:szCs w:val="24"/>
          <w:lang w:eastAsia="es-ES"/>
        </w:rPr>
      </w:pPr>
    </w:p>
    <w:p w:rsidR="00F54CB0" w:rsidRPr="00553DB0" w:rsidRDefault="00F54CB0" w:rsidP="00F54CB0">
      <w:pPr>
        <w:spacing w:line="240" w:lineRule="auto"/>
        <w:jc w:val="both"/>
        <w:rPr>
          <w:rFonts w:ascii="Times New Roman" w:hAnsi="Times New Roman" w:cs="Times New Roman"/>
          <w:color w:val="FF0000"/>
          <w:sz w:val="24"/>
          <w:szCs w:val="24"/>
          <w:shd w:val="clear" w:color="auto" w:fill="FFFFFF"/>
        </w:rPr>
      </w:pPr>
      <w:r w:rsidRPr="00F54CB0">
        <w:rPr>
          <w:rFonts w:ascii="Times New Roman" w:eastAsia="Times New Roman" w:hAnsi="Times New Roman" w:cs="Times New Roman"/>
          <w:b/>
          <w:color w:val="FF0000"/>
          <w:sz w:val="24"/>
          <w:szCs w:val="24"/>
          <w:lang w:eastAsia="es-ES"/>
        </w:rPr>
        <w:t>Cometario final</w:t>
      </w:r>
      <w:r w:rsidRPr="00553DB0">
        <w:rPr>
          <w:rFonts w:ascii="Times New Roman" w:eastAsia="Times New Roman" w:hAnsi="Times New Roman" w:cs="Times New Roman"/>
          <w:color w:val="FF0000"/>
          <w:sz w:val="24"/>
          <w:szCs w:val="24"/>
          <w:lang w:eastAsia="es-ES"/>
        </w:rPr>
        <w:t>: si ustedes creen que no se pueden</w:t>
      </w:r>
      <w:r w:rsidRPr="00553DB0">
        <w:rPr>
          <w:rFonts w:ascii="Times New Roman" w:hAnsi="Times New Roman" w:cs="Times New Roman"/>
          <w:color w:val="FF0000"/>
          <w:sz w:val="24"/>
          <w:szCs w:val="24"/>
          <w:shd w:val="clear" w:color="auto" w:fill="FFFFFF"/>
        </w:rPr>
        <w:t xml:space="preserve"> cerrar un mínimo del 80% de empresas, organismos, entes reguladores, observatorios, redes, áreas, oficinas</w:t>
      </w:r>
      <w:r w:rsidR="00D5287E">
        <w:rPr>
          <w:rFonts w:ascii="Times New Roman" w:hAnsi="Times New Roman" w:cs="Times New Roman"/>
          <w:color w:val="FF0000"/>
          <w:sz w:val="24"/>
          <w:szCs w:val="24"/>
          <w:shd w:val="clear" w:color="auto" w:fill="FFFFFF"/>
        </w:rPr>
        <w:t>, etc. (nacionales, autonómicas</w:t>
      </w:r>
      <w:r w:rsidRPr="00553DB0">
        <w:rPr>
          <w:rFonts w:ascii="Times New Roman" w:hAnsi="Times New Roman" w:cs="Times New Roman"/>
          <w:color w:val="FF0000"/>
          <w:sz w:val="24"/>
          <w:szCs w:val="24"/>
          <w:shd w:val="clear" w:color="auto" w:fill="FFFFFF"/>
        </w:rPr>
        <w:t>, y municipales), citadas anteriormente (y las que se quedaron en el tintero por extenuación, o falta de tra</w:t>
      </w:r>
      <w:r>
        <w:rPr>
          <w:rFonts w:ascii="Times New Roman" w:hAnsi="Times New Roman" w:cs="Times New Roman"/>
          <w:color w:val="FF0000"/>
          <w:sz w:val="24"/>
          <w:szCs w:val="24"/>
          <w:shd w:val="clear" w:color="auto" w:fill="FFFFFF"/>
        </w:rPr>
        <w:t>n</w:t>
      </w:r>
      <w:r w:rsidRPr="00553DB0">
        <w:rPr>
          <w:rFonts w:ascii="Times New Roman" w:hAnsi="Times New Roman" w:cs="Times New Roman"/>
          <w:color w:val="FF0000"/>
          <w:sz w:val="24"/>
          <w:szCs w:val="24"/>
          <w:shd w:val="clear" w:color="auto" w:fill="FFFFFF"/>
        </w:rPr>
        <w:t>sparencia -autonómicas, municipales, y otros chiringuitos), es porque son “masoquistas” (les gusta que les roben su dinero para montar fincas privadas, cotos de caza, negocios para los amiguetes, centros de latrocinio, corrupción, tráfico de influencias, puertas giratorias, y otras “pecatta minuta”, de los que pastan en el presupuesto), son “ciegos voluntarios” o “miopes magnos espontáneos”</w:t>
      </w:r>
      <w:r>
        <w:rPr>
          <w:rFonts w:ascii="Times New Roman" w:hAnsi="Times New Roman" w:cs="Times New Roman"/>
          <w:color w:val="FF0000"/>
          <w:sz w:val="24"/>
          <w:szCs w:val="24"/>
          <w:shd w:val="clear" w:color="auto" w:fill="FFFFFF"/>
        </w:rPr>
        <w:t xml:space="preserve"> (porque lo malo, es despertar</w:t>
      </w:r>
      <w:r w:rsidRPr="00553DB0">
        <w:rPr>
          <w:rFonts w:ascii="Times New Roman" w:hAnsi="Times New Roman" w:cs="Times New Roman"/>
          <w:color w:val="FF0000"/>
          <w:sz w:val="24"/>
          <w:szCs w:val="24"/>
          <w:shd w:val="clear" w:color="auto" w:fill="FFFFFF"/>
        </w:rPr>
        <w:t>), o son miembros del “apparátchik” (funcionarios que ocupan puestos burocráticos o políticos en el aparato gubernamental) que están interesados en seguir chupando del bote, y bailando en la cubierta del Titanic (mientras siga la música).</w:t>
      </w:r>
    </w:p>
    <w:p w:rsidR="00F54CB0" w:rsidRDefault="00F54CB0" w:rsidP="00F54CB0">
      <w:pPr>
        <w:spacing w:line="240" w:lineRule="auto"/>
        <w:jc w:val="both"/>
        <w:rPr>
          <w:rFonts w:ascii="Times New Roman" w:hAnsi="Times New Roman" w:cs="Times New Roman"/>
          <w:color w:val="FF0000"/>
          <w:sz w:val="24"/>
          <w:szCs w:val="24"/>
          <w:shd w:val="clear" w:color="auto" w:fill="FFFFFF"/>
        </w:rPr>
      </w:pPr>
      <w:r w:rsidRPr="00553DB0">
        <w:rPr>
          <w:rFonts w:ascii="Times New Roman" w:hAnsi="Times New Roman" w:cs="Times New Roman"/>
          <w:b/>
          <w:color w:val="FF0000"/>
          <w:sz w:val="24"/>
          <w:szCs w:val="24"/>
          <w:shd w:val="clear" w:color="auto" w:fill="FFFFFF"/>
        </w:rPr>
        <w:t>Nota</w:t>
      </w:r>
      <w:r>
        <w:rPr>
          <w:rFonts w:ascii="Times New Roman" w:hAnsi="Times New Roman" w:cs="Times New Roman"/>
          <w:b/>
          <w:color w:val="FF0000"/>
          <w:sz w:val="24"/>
          <w:szCs w:val="24"/>
          <w:shd w:val="clear" w:color="auto" w:fill="FFFFFF"/>
        </w:rPr>
        <w:t xml:space="preserve"> I</w:t>
      </w:r>
      <w:r w:rsidRPr="00553DB0">
        <w:rPr>
          <w:rFonts w:ascii="Times New Roman" w:hAnsi="Times New Roman" w:cs="Times New Roman"/>
          <w:color w:val="FF0000"/>
          <w:sz w:val="24"/>
          <w:szCs w:val="24"/>
          <w:shd w:val="clear" w:color="auto" w:fill="FFFFFF"/>
        </w:rPr>
        <w:t>: En España, los ciudadanos destinan una parte considerable de sus ingresos al pago de impuestos y cargas sociales. Se estima que esta carga fiscal puede rondar el 40.6% de los ingresos brutos, incluyendo tanto impuestos directos como indirectos, así como las cotizaciones a la Seguridad Social. Este porcentaje supera la media de la OCDE, que se sitúa en torno al 34.9%. ¿Masoquistas, idiotas útiles, esclavos felices, viva las cadenas?</w:t>
      </w:r>
    </w:p>
    <w:p w:rsidR="00F54CB0" w:rsidRDefault="00F54CB0" w:rsidP="00F54CB0">
      <w:pPr>
        <w:spacing w:line="240" w:lineRule="auto"/>
        <w:jc w:val="both"/>
        <w:rPr>
          <w:rFonts w:ascii="Times New Roman" w:hAnsi="Times New Roman" w:cs="Times New Roman"/>
          <w:color w:val="FF0000"/>
          <w:sz w:val="24"/>
          <w:szCs w:val="24"/>
          <w:shd w:val="clear" w:color="auto" w:fill="FFFFFF"/>
        </w:rPr>
      </w:pPr>
      <w:r w:rsidRPr="00554468">
        <w:rPr>
          <w:rFonts w:ascii="Times New Roman" w:hAnsi="Times New Roman" w:cs="Times New Roman"/>
          <w:b/>
          <w:color w:val="FF0000"/>
          <w:sz w:val="24"/>
          <w:szCs w:val="24"/>
          <w:shd w:val="clear" w:color="auto" w:fill="FFFFFF"/>
        </w:rPr>
        <w:t>Nota II</w:t>
      </w:r>
      <w:r>
        <w:rPr>
          <w:rFonts w:ascii="Times New Roman" w:hAnsi="Times New Roman" w:cs="Times New Roman"/>
          <w:color w:val="FF0000"/>
          <w:sz w:val="24"/>
          <w:szCs w:val="24"/>
          <w:shd w:val="clear" w:color="auto" w:fill="FFFFFF"/>
        </w:rPr>
        <w:t>: “por si alguna duda chica sin querer se te ha olvidado”</w:t>
      </w:r>
    </w:p>
    <w:p w:rsidR="00F54CB0" w:rsidRDefault="00F54CB0" w:rsidP="00F54CB0">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3C5A27">
        <w:rPr>
          <w:rFonts w:ascii="Times New Roman" w:hAnsi="Times New Roman" w:cs="Times New Roman"/>
          <w:noProof/>
          <w:sz w:val="24"/>
          <w:szCs w:val="24"/>
          <w:lang w:eastAsia="es-ES"/>
        </w:rPr>
        <w:drawing>
          <wp:inline distT="0" distB="0" distL="0" distR="0" wp14:anchorId="66BE7F20" wp14:editId="351FD7AD">
            <wp:extent cx="4832350" cy="3943350"/>
            <wp:effectExtent l="0" t="0" r="635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832350" cy="3943350"/>
                    </a:xfrm>
                    <a:prstGeom prst="rect">
                      <a:avLst/>
                    </a:prstGeom>
                  </pic:spPr>
                </pic:pic>
              </a:graphicData>
            </a:graphic>
          </wp:inline>
        </w:drawing>
      </w:r>
    </w:p>
    <w:p w:rsidR="00F54CB0" w:rsidRPr="003C5A27" w:rsidRDefault="00F54CB0" w:rsidP="00F54CB0">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C5A27">
        <w:rPr>
          <w:rFonts w:ascii="Times New Roman" w:hAnsi="Times New Roman" w:cs="Times New Roman"/>
          <w:color w:val="000000"/>
          <w:sz w:val="24"/>
          <w:szCs w:val="24"/>
          <w:u w:val="single"/>
          <w:shd w:val="clear" w:color="auto" w:fill="FFFFFF"/>
        </w:rPr>
        <w:t>Las nóminas de los empleados públicos cuestan un 8% más que la media de la OCDE</w:t>
      </w:r>
      <w:r>
        <w:rPr>
          <w:rFonts w:ascii="Times New Roman" w:hAnsi="Times New Roman" w:cs="Times New Roman"/>
          <w:color w:val="000000"/>
          <w:sz w:val="24"/>
          <w:szCs w:val="24"/>
          <w:shd w:val="clear" w:color="auto" w:fill="FFFFFF"/>
        </w:rPr>
        <w:t xml:space="preserve"> (El Economista - </w:t>
      </w:r>
      <w:r w:rsidRPr="003C5A27">
        <w:rPr>
          <w:rFonts w:ascii="Times New Roman" w:hAnsi="Times New Roman" w:cs="Times New Roman"/>
          <w:b/>
          <w:color w:val="000000"/>
          <w:sz w:val="24"/>
          <w:szCs w:val="24"/>
          <w:shd w:val="clear" w:color="auto" w:fill="FFFFFF"/>
        </w:rPr>
        <w:t>30/6/25</w:t>
      </w:r>
      <w:r>
        <w:rPr>
          <w:rFonts w:ascii="Times New Roman" w:hAnsi="Times New Roman" w:cs="Times New Roman"/>
          <w:color w:val="000000"/>
          <w:sz w:val="24"/>
          <w:szCs w:val="24"/>
          <w:shd w:val="clear" w:color="auto" w:fill="FFFFFF"/>
        </w:rPr>
        <w:t>)</w:t>
      </w:r>
    </w:p>
    <w:p w:rsidR="00F54CB0" w:rsidRPr="003C5A27" w:rsidRDefault="00F54CB0" w:rsidP="00F54CB0">
      <w:pPr>
        <w:spacing w:line="240" w:lineRule="auto"/>
        <w:jc w:val="both"/>
        <w:rPr>
          <w:rFonts w:ascii="Times New Roman" w:hAnsi="Times New Roman" w:cs="Times New Roman"/>
          <w:color w:val="000000"/>
          <w:sz w:val="24"/>
          <w:szCs w:val="24"/>
          <w:shd w:val="clear" w:color="auto" w:fill="FFFFFF"/>
        </w:rPr>
      </w:pPr>
      <w:r w:rsidRPr="003C5A27">
        <w:rPr>
          <w:rFonts w:ascii="Times New Roman" w:hAnsi="Times New Roman" w:cs="Times New Roman"/>
          <w:color w:val="000000"/>
          <w:sz w:val="24"/>
          <w:szCs w:val="24"/>
          <w:shd w:val="clear" w:color="auto" w:fill="FFFFFF"/>
        </w:rPr>
        <w:t>España dedicó en 2023 un 50,1% de los costes de producción de los gobiernos a esta partida</w:t>
      </w:r>
    </w:p>
    <w:p w:rsidR="00F54CB0" w:rsidRPr="00554468" w:rsidRDefault="00F54CB0" w:rsidP="00F54CB0">
      <w:pPr>
        <w:spacing w:line="240" w:lineRule="auto"/>
        <w:jc w:val="both"/>
        <w:rPr>
          <w:rFonts w:ascii="Times New Roman" w:hAnsi="Times New Roman" w:cs="Times New Roman"/>
          <w:color w:val="000000"/>
          <w:sz w:val="24"/>
          <w:szCs w:val="24"/>
          <w:shd w:val="clear" w:color="auto" w:fill="FFFFFF"/>
        </w:rPr>
      </w:pPr>
      <w:r w:rsidRPr="003C5A27">
        <w:rPr>
          <w:rFonts w:ascii="Times New Roman" w:hAnsi="Times New Roman" w:cs="Times New Roman"/>
          <w:color w:val="000000"/>
          <w:sz w:val="24"/>
          <w:szCs w:val="24"/>
          <w:shd w:val="clear" w:color="auto" w:fill="FFFFFF"/>
        </w:rPr>
        <w:t xml:space="preserve">El gasto en nóminas del sector público llega a su máximo </w:t>
      </w:r>
      <w:r>
        <w:rPr>
          <w:rFonts w:ascii="Times New Roman" w:hAnsi="Times New Roman" w:cs="Times New Roman"/>
          <w:color w:val="000000"/>
          <w:sz w:val="24"/>
          <w:szCs w:val="24"/>
          <w:shd w:val="clear" w:color="auto" w:fill="FFFFFF"/>
        </w:rPr>
        <w:t>con 172.350 millones</w:t>
      </w:r>
    </w:p>
    <w:p w:rsidR="00F54CB0" w:rsidRDefault="00F54CB0" w:rsidP="00F54CB0">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F54CB0" w:rsidRPr="003C5A27" w:rsidRDefault="00F54CB0" w:rsidP="00F54CB0">
      <w:pPr>
        <w:spacing w:line="240" w:lineRule="auto"/>
        <w:jc w:val="both"/>
        <w:rPr>
          <w:rFonts w:ascii="Times New Roman" w:hAnsi="Times New Roman" w:cs="Times New Roman"/>
          <w:sz w:val="24"/>
          <w:szCs w:val="24"/>
        </w:rPr>
      </w:pPr>
      <w:r w:rsidRPr="003C5A27">
        <w:rPr>
          <w:rFonts w:ascii="Times New Roman" w:hAnsi="Times New Roman" w:cs="Times New Roman"/>
          <w:sz w:val="24"/>
          <w:szCs w:val="24"/>
        </w:rPr>
        <w:lastRenderedPageBreak/>
        <w:t xml:space="preserve">Con los datos sobre la mesa, se destaca que en el año 2023, el Ejecutivo nacional destinó un 50,1% de los costes de producción a la pagar las nóminas de los trabajadores del sector público, mientras que la media de </w:t>
      </w:r>
      <w:r w:rsidR="002439AA">
        <w:rPr>
          <w:rFonts w:ascii="Times New Roman" w:hAnsi="Times New Roman" w:cs="Times New Roman"/>
          <w:sz w:val="24"/>
          <w:szCs w:val="24"/>
        </w:rPr>
        <w:t>los países de la OCDE destinó un 42,1%</w:t>
      </w:r>
      <w:r w:rsidRPr="003C5A27">
        <w:rPr>
          <w:rFonts w:ascii="Times New Roman" w:hAnsi="Times New Roman" w:cs="Times New Roman"/>
          <w:sz w:val="24"/>
          <w:szCs w:val="24"/>
        </w:rPr>
        <w:t>.</w:t>
      </w:r>
    </w:p>
    <w:p w:rsidR="00F54CB0" w:rsidRPr="003C5A27" w:rsidRDefault="00F54CB0" w:rsidP="00F54CB0">
      <w:pPr>
        <w:spacing w:line="240" w:lineRule="auto"/>
        <w:jc w:val="both"/>
        <w:rPr>
          <w:rFonts w:ascii="Times New Roman" w:hAnsi="Times New Roman" w:cs="Times New Roman"/>
          <w:sz w:val="24"/>
          <w:szCs w:val="24"/>
        </w:rPr>
      </w:pPr>
      <w:r w:rsidRPr="003C5A27">
        <w:rPr>
          <w:rFonts w:ascii="Times New Roman" w:hAnsi="Times New Roman" w:cs="Times New Roman"/>
          <w:sz w:val="24"/>
          <w:szCs w:val="24"/>
        </w:rPr>
        <w:t>España se encuentra en la décima posición, solamente por detrás de Costa Rica (71,6%), México (71%), Dinamarca (54,7%), Lituania (53,7%), Portugal (52,7%), Letonia (41,4%), Luxemburgo (51,1%), Noruega (50,5%) e Islandia (50,5%).</w:t>
      </w:r>
    </w:p>
    <w:p w:rsidR="00F54CB0" w:rsidRPr="00554468" w:rsidRDefault="00F54CB0" w:rsidP="00F54CB0">
      <w:pPr>
        <w:spacing w:line="240" w:lineRule="auto"/>
        <w:jc w:val="both"/>
        <w:rPr>
          <w:rFonts w:ascii="Times New Roman" w:hAnsi="Times New Roman" w:cs="Times New Roman"/>
          <w:sz w:val="24"/>
          <w:szCs w:val="24"/>
        </w:rPr>
      </w:pPr>
      <w:r w:rsidRPr="003C5A27">
        <w:rPr>
          <w:rFonts w:ascii="Times New Roman" w:hAnsi="Times New Roman" w:cs="Times New Roman"/>
          <w:sz w:val="24"/>
          <w:szCs w:val="24"/>
        </w:rPr>
        <w:t>Si bien es cierto que hay países que se encuentran 21,5 y 20,9 puntos por encima (Costa Rica y México) -su alta financiación refleja la dependencia de estos países hacia la prestación de servicios públicos-, hay 26 países de la organización que destinan un menor porcentaje al pago de las nóminas de los trabajadores públicos, siendo Japón (22,7%), Países Bajos (30%) y Alemania (31,3%) los que menos gastan en esta partida. Por su parte, estos dos últimos países son los que priorizan los costes de bienes y servicios que utiliza y financia el gobierno -Japón destina un 60,9% a esto, Países Bajos un 59,3% y Alemania un 58%-</w:t>
      </w:r>
      <w:r>
        <w:rPr>
          <w:rFonts w:ascii="Times New Roman" w:hAnsi="Times New Roman" w:cs="Times New Roman"/>
          <w:sz w:val="24"/>
          <w:szCs w:val="24"/>
        </w:rPr>
        <w:t>…</w:t>
      </w:r>
    </w:p>
    <w:p w:rsidR="00855BCF" w:rsidRPr="00E07BD2" w:rsidRDefault="00855BCF" w:rsidP="00855BCF">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E07BD2">
        <w:rPr>
          <w:rFonts w:ascii="Times New Roman" w:hAnsi="Times New Roman" w:cs="Times New Roman"/>
          <w:color w:val="FF0000"/>
          <w:sz w:val="24"/>
          <w:szCs w:val="24"/>
          <w:shd w:val="clear" w:color="auto" w:fill="FFFFFF"/>
        </w:rPr>
        <w:t xml:space="preserve">Privatizar los servicios públicos nacionales, autonómicos y municipales </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Aeropuertos sin aviones (existen varios aero</w:t>
      </w:r>
      <w:r>
        <w:rPr>
          <w:rFonts w:ascii="Times New Roman" w:hAnsi="Times New Roman" w:cs="Times New Roman"/>
          <w:sz w:val="24"/>
          <w:szCs w:val="24"/>
          <w:shd w:val="clear" w:color="auto" w:fill="FFFFFF"/>
        </w:rPr>
        <w:t>puertos que se han considerado “fantasma”</w:t>
      </w:r>
      <w:r w:rsidRPr="00DA55C0">
        <w:rPr>
          <w:rFonts w:ascii="Times New Roman" w:hAnsi="Times New Roman" w:cs="Times New Roman"/>
          <w:sz w:val="24"/>
          <w:szCs w:val="24"/>
          <w:shd w:val="clear" w:color="auto" w:fill="FFFFFF"/>
        </w:rPr>
        <w:t xml:space="preserve"> o infrautilizados, principalmente debido a la falta de uso o a proyectos fallidos. No hay una cifra exacta de cuántos aeropuertos entran en esta categoría, pero se estima que hay alrededor de 11, algunos de los cuales han sido noticia por su construcción y posterior abandono o bajo rendimiento); trenes de alta velocidad que, cuando salen, van de ninguna parte, a ninguna parte (España es el segundo país del mundo con la red más extensa de vías para trenes de alta velocidad, con un total de más de 4.000 kilómetros, solo por detrás de China, aunque baja a la séptima posición cuando se tiene en cuenta el número de viajeros transportados en este tipo de red ferroviaria); cortes de luz que dejan a todo el país a oscuras por largas, e interminables, horas; pasajeros que se quedan encerrados en los trenes -parados en medio de la nada- sin agua, alimentos, aire acondicionado, explicación o auxilio de ningún tipo, principales aeropuertos que son utilizados para pernoctar por los sin techo, sin control, ni seguridad (se estima que, en su punto más álgido, cerca de 500 personas sin hogar pernoctaban en l</w:t>
      </w:r>
      <w:r>
        <w:rPr>
          <w:rFonts w:ascii="Times New Roman" w:hAnsi="Times New Roman" w:cs="Times New Roman"/>
          <w:sz w:val="24"/>
          <w:szCs w:val="24"/>
          <w:shd w:val="clear" w:color="auto" w:fill="FFFFFF"/>
        </w:rPr>
        <w:t xml:space="preserve">as instalaciones del </w:t>
      </w:r>
      <w:r w:rsidRPr="00DA55C0">
        <w:rPr>
          <w:rFonts w:ascii="Times New Roman" w:hAnsi="Times New Roman" w:cs="Times New Roman"/>
          <w:sz w:val="24"/>
          <w:szCs w:val="24"/>
          <w:shd w:val="clear" w:color="auto" w:fill="FFFFFF"/>
        </w:rPr>
        <w:t>Aeropuerto Adolfo Suárez Madrid-Barajas; trenes que no pueden pasar por los túneles… (y podría seguir inventariando el colapso de los servicios públicos), representan los estertores de un tiempo crepuscular abrumado de serias dudas.</w:t>
      </w:r>
    </w:p>
    <w:p w:rsidR="00855BCF"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Las autoridades (de turno) podrán disfrazar la realidad a su antojo… podrán demostrar, con reiteración y alevosía, un cinismo inmune a la evidencia… podrán seguir proclamando verdades alternativas que fabrican los mil asesores a tiempo completo… pero no podrán negar la coyuntura putrefacta de una España que está, entre lo patético y lo trágico. ¿Cómo podrán negar la evidencia del colapso de los servicios públicos? ¿Cómo podrán maquillar semejante fallo multiorgánico?</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A55C0">
        <w:rPr>
          <w:rFonts w:ascii="Times New Roman" w:hAnsi="Times New Roman" w:cs="Times New Roman"/>
          <w:sz w:val="24"/>
          <w:szCs w:val="24"/>
          <w:u w:val="single"/>
          <w:shd w:val="clear" w:color="auto" w:fill="FFFFFF"/>
        </w:rPr>
        <w:t>España acumula fallos en servicios esenciales que muestran el colapso estatal</w:t>
      </w:r>
      <w:r>
        <w:rPr>
          <w:rFonts w:ascii="Times New Roman" w:hAnsi="Times New Roman" w:cs="Times New Roman"/>
          <w:sz w:val="24"/>
          <w:szCs w:val="24"/>
          <w:shd w:val="clear" w:color="auto" w:fill="FFFFFF"/>
        </w:rPr>
        <w:t xml:space="preserve"> (totalnewsagency.com - </w:t>
      </w:r>
      <w:r w:rsidRPr="00B61562">
        <w:rPr>
          <w:rFonts w:ascii="Times New Roman" w:hAnsi="Times New Roman" w:cs="Times New Roman"/>
          <w:b/>
          <w:sz w:val="24"/>
          <w:szCs w:val="24"/>
          <w:shd w:val="clear" w:color="auto" w:fill="FFFFFF"/>
        </w:rPr>
        <w:t>10/7/25</w:t>
      </w:r>
      <w:r>
        <w:rPr>
          <w:rFonts w:ascii="Times New Roman" w:hAnsi="Times New Roman" w:cs="Times New Roman"/>
          <w:sz w:val="24"/>
          <w:szCs w:val="24"/>
          <w:shd w:val="clear" w:color="auto" w:fill="FFFFFF"/>
        </w:rPr>
        <w:t>)</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Una sucesión de fallos en servicios básicos como el transporte, la energía, la seguridad y la gestión pública refuerza en España una extendida percepción de caos institucional, en medio de crecientes cuestionamientos a la capacidad del Gobierno de Pedro Sánchez para gestio</w:t>
      </w:r>
      <w:r>
        <w:rPr>
          <w:rFonts w:ascii="Times New Roman" w:hAnsi="Times New Roman" w:cs="Times New Roman"/>
          <w:sz w:val="24"/>
          <w:szCs w:val="24"/>
          <w:shd w:val="clear" w:color="auto" w:fill="FFFFFF"/>
        </w:rPr>
        <w:t>nar las estructuras del Estado.</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A más de cuatro décadas del céle</w:t>
      </w:r>
      <w:r>
        <w:rPr>
          <w:rFonts w:ascii="Times New Roman" w:hAnsi="Times New Roman" w:cs="Times New Roman"/>
          <w:sz w:val="24"/>
          <w:szCs w:val="24"/>
          <w:shd w:val="clear" w:color="auto" w:fill="FFFFFF"/>
        </w:rPr>
        <w:t>bre eslogan de Felipe González -</w:t>
      </w:r>
      <w:r w:rsidRPr="00DA55C0">
        <w:rPr>
          <w:rFonts w:ascii="Times New Roman" w:hAnsi="Times New Roman" w:cs="Times New Roman"/>
          <w:sz w:val="24"/>
          <w:szCs w:val="24"/>
          <w:shd w:val="clear" w:color="auto" w:fill="FFFFFF"/>
        </w:rPr>
        <w:t>“el</w:t>
      </w:r>
      <w:r>
        <w:rPr>
          <w:rFonts w:ascii="Times New Roman" w:hAnsi="Times New Roman" w:cs="Times New Roman"/>
          <w:sz w:val="24"/>
          <w:szCs w:val="24"/>
          <w:shd w:val="clear" w:color="auto" w:fill="FFFFFF"/>
        </w:rPr>
        <w:t xml:space="preserve"> cambio es que España funciona”-</w:t>
      </w:r>
      <w:r w:rsidRPr="00DA55C0">
        <w:rPr>
          <w:rFonts w:ascii="Times New Roman" w:hAnsi="Times New Roman" w:cs="Times New Roman"/>
          <w:sz w:val="24"/>
          <w:szCs w:val="24"/>
          <w:shd w:val="clear" w:color="auto" w:fill="FFFFFF"/>
        </w:rPr>
        <w:t xml:space="preserve"> la sociedad española enfrenta la sensación opuesta: que España ha dejado de </w:t>
      </w:r>
      <w:r w:rsidRPr="00DA55C0">
        <w:rPr>
          <w:rFonts w:ascii="Times New Roman" w:hAnsi="Times New Roman" w:cs="Times New Roman"/>
          <w:sz w:val="24"/>
          <w:szCs w:val="24"/>
          <w:shd w:val="clear" w:color="auto" w:fill="FFFFFF"/>
        </w:rPr>
        <w:lastRenderedPageBreak/>
        <w:t>funcionar. Problemas persistentes en la red ferroviaria de alta velocidad, colapsos en aeropuertos, apagones eléctricos, demoras en el uso de fondos europeos y una política de vivienda sin resultados palpables han generado una pérdida de confianza que se refleja en en</w:t>
      </w:r>
      <w:r>
        <w:rPr>
          <w:rFonts w:ascii="Times New Roman" w:hAnsi="Times New Roman" w:cs="Times New Roman"/>
          <w:sz w:val="24"/>
          <w:szCs w:val="24"/>
          <w:shd w:val="clear" w:color="auto" w:fill="FFFFFF"/>
        </w:rPr>
        <w:t>cuestas y protestas ciudadanas.</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Trenes paralizados y caos ferroviar</w:t>
      </w:r>
      <w:r>
        <w:rPr>
          <w:rFonts w:ascii="Times New Roman" w:hAnsi="Times New Roman" w:cs="Times New Roman"/>
          <w:sz w:val="24"/>
          <w:szCs w:val="24"/>
          <w:shd w:val="clear" w:color="auto" w:fill="FFFFFF"/>
        </w:rPr>
        <w:t>io</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El último episodio tuvo lugar el lunes pasado, cuando 23 trenes con unos 15.000 pasajeros quedaron atrapados entre Yeles y La Sagra (Toledo) debido a un fallo en la catenaria. A este incidente se suma el caos del 4 de</w:t>
      </w:r>
      <w:r>
        <w:rPr>
          <w:rFonts w:ascii="Times New Roman" w:hAnsi="Times New Roman" w:cs="Times New Roman"/>
          <w:sz w:val="24"/>
          <w:szCs w:val="24"/>
          <w:shd w:val="clear" w:color="auto" w:fill="FFFFFF"/>
        </w:rPr>
        <w:t xml:space="preserve"> mayo, cuando un robo de cable -</w:t>
      </w:r>
      <w:r w:rsidRPr="00DA55C0">
        <w:rPr>
          <w:rFonts w:ascii="Times New Roman" w:hAnsi="Times New Roman" w:cs="Times New Roman"/>
          <w:sz w:val="24"/>
          <w:szCs w:val="24"/>
          <w:shd w:val="clear" w:color="auto" w:fill="FFFFFF"/>
        </w:rPr>
        <w:t>atribuido por el Gobierno a un acto de sab</w:t>
      </w:r>
      <w:r>
        <w:rPr>
          <w:rFonts w:ascii="Times New Roman" w:hAnsi="Times New Roman" w:cs="Times New Roman"/>
          <w:sz w:val="24"/>
          <w:szCs w:val="24"/>
          <w:shd w:val="clear" w:color="auto" w:fill="FFFFFF"/>
        </w:rPr>
        <w:t>otaje, aunque luego se descartó-</w:t>
      </w:r>
      <w:r w:rsidRPr="00DA55C0">
        <w:rPr>
          <w:rFonts w:ascii="Times New Roman" w:hAnsi="Times New Roman" w:cs="Times New Roman"/>
          <w:sz w:val="24"/>
          <w:szCs w:val="24"/>
          <w:shd w:val="clear" w:color="auto" w:fill="FFFFFF"/>
        </w:rPr>
        <w:t xml:space="preserve"> bloqueó la línea Madrid-Andalu</w:t>
      </w:r>
      <w:r>
        <w:rPr>
          <w:rFonts w:ascii="Times New Roman" w:hAnsi="Times New Roman" w:cs="Times New Roman"/>
          <w:sz w:val="24"/>
          <w:szCs w:val="24"/>
          <w:shd w:val="clear" w:color="auto" w:fill="FFFFFF"/>
        </w:rPr>
        <w:t>cía y afectó a 10.000 personas.</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No son casos aislados. Los fallos en los trenes Avril con destino a Galicia, las interrupciones en Atocha y Chamartín por obras, descarrilamientos y problemas diarios en Cercanías han elevado las quejas de los usuarios. Las reclamaciones se han duplicado desde la pandemia, y los servicios de Renfe y Adif son foco constante de críticas. La oposición denuncia la caída de la inversión en transporte, que descendió del 0,84% al 0,66% del PIB en una década, colocando a Espa</w:t>
      </w:r>
      <w:r>
        <w:rPr>
          <w:rFonts w:ascii="Times New Roman" w:hAnsi="Times New Roman" w:cs="Times New Roman"/>
          <w:sz w:val="24"/>
          <w:szCs w:val="24"/>
          <w:shd w:val="clear" w:color="auto" w:fill="FFFFFF"/>
        </w:rPr>
        <w:t>ña entre los últimos de Europa.</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Colapso en</w:t>
      </w:r>
      <w:r>
        <w:rPr>
          <w:rFonts w:ascii="Times New Roman" w:hAnsi="Times New Roman" w:cs="Times New Roman"/>
          <w:sz w:val="24"/>
          <w:szCs w:val="24"/>
          <w:shd w:val="clear" w:color="auto" w:fill="FFFFFF"/>
        </w:rPr>
        <w:t xml:space="preserve"> Barajas y crisis aeroportuaria</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El aeropuerto Adolfo Suárez Madrid-Barajas vivió el pasado 2 de julio una jornada crítica cuando el control de pasaportes de la Terminal 4 Satélite colapsó por falta de personal, dejando a unos 500 pasajeros varados. Solo ocho de los 16 puestos de control esta</w:t>
      </w:r>
      <w:r>
        <w:rPr>
          <w:rFonts w:ascii="Times New Roman" w:hAnsi="Times New Roman" w:cs="Times New Roman"/>
          <w:sz w:val="24"/>
          <w:szCs w:val="24"/>
          <w:shd w:val="clear" w:color="auto" w:fill="FFFFFF"/>
        </w:rPr>
        <w:t>ban operativos en horario pico.</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 xml:space="preserve">El Ministerio del Interior atribuyó el caos a un fallo informático, pero el sindicato policial Jupol responsabilizó a la falta de planificación. Esta situación no es nueva: desde hace veranos se reportan cuellos de botella en los controles de Barajas, en un contexto de crecimiento récord del turismo. Para este verano, se espera un aumento del 6% en la oferta de asientos, con 246 millones previstos hasta octubre. La falta de inversión y planificación amenaza con replicar la crisis en aeropuertos como los </w:t>
      </w:r>
      <w:r>
        <w:rPr>
          <w:rFonts w:ascii="Times New Roman" w:hAnsi="Times New Roman" w:cs="Times New Roman"/>
          <w:sz w:val="24"/>
          <w:szCs w:val="24"/>
          <w:shd w:val="clear" w:color="auto" w:fill="FFFFFF"/>
        </w:rPr>
        <w:t>de Palma, Barcelona y Canarias.</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Un apagón que dej</w:t>
      </w:r>
      <w:r>
        <w:rPr>
          <w:rFonts w:ascii="Times New Roman" w:hAnsi="Times New Roman" w:cs="Times New Roman"/>
          <w:sz w:val="24"/>
          <w:szCs w:val="24"/>
          <w:shd w:val="clear" w:color="auto" w:fill="FFFFFF"/>
        </w:rPr>
        <w:t>ó en evidencia la red eléctrica</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El gran apagón del 28 de abril expuso las fragilidades del sistema energético español. El Gobierno apuntó en primera instancia a un posible ciberataque, pero la investigación determinó una cadena de errores internos: mala programación por parte de Red Eléctrica, escaso respaldo gestionable y descone</w:t>
      </w:r>
      <w:r>
        <w:rPr>
          <w:rFonts w:ascii="Times New Roman" w:hAnsi="Times New Roman" w:cs="Times New Roman"/>
          <w:sz w:val="24"/>
          <w:szCs w:val="24"/>
          <w:shd w:val="clear" w:color="auto" w:fill="FFFFFF"/>
        </w:rPr>
        <w:t>xiones indebidas de renovables.</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La red demostró ser vulnerable, con normativas técnicas sin actualizar desde hace 25 años. El Ejecutivo aprobó luego un real decreto de urgencia y la CNMC modernizó el marco técnico, pero la crisis revitalizó el debate sobre el cierre de las centrales nucleares entre 2027 y 2035. Varios países europeos están retomando o reforzando su apuesta nuclear, mientras España mantiene su calendario de clausura, a contramano del entorno.</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Fondos europeos e</w:t>
      </w:r>
      <w:r>
        <w:rPr>
          <w:rFonts w:ascii="Times New Roman" w:hAnsi="Times New Roman" w:cs="Times New Roman"/>
          <w:sz w:val="24"/>
          <w:szCs w:val="24"/>
          <w:shd w:val="clear" w:color="auto" w:fill="FFFFFF"/>
        </w:rPr>
        <w:t>n riesgo por parálisis política</w:t>
      </w:r>
    </w:p>
    <w:p w:rsidR="00855BCF" w:rsidRPr="00DA55C0"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t>España es el segundo país más beneficiado por los fondos Next Generation de la Unión Europea, con €163.000 millones asignados. Sin embargo, el Gobierno solo ha cobrado el 30% del total y sig</w:t>
      </w:r>
      <w:r>
        <w:rPr>
          <w:rFonts w:ascii="Times New Roman" w:hAnsi="Times New Roman" w:cs="Times New Roman"/>
          <w:sz w:val="24"/>
          <w:szCs w:val="24"/>
          <w:shd w:val="clear" w:color="auto" w:fill="FFFFFF"/>
        </w:rPr>
        <w:t>ue bloqueado en el cuarto pago.</w:t>
      </w:r>
    </w:p>
    <w:p w:rsidR="00855BCF" w:rsidRDefault="00855BCF" w:rsidP="00855BCF">
      <w:pPr>
        <w:spacing w:line="240" w:lineRule="auto"/>
        <w:jc w:val="both"/>
        <w:rPr>
          <w:rFonts w:ascii="Times New Roman" w:hAnsi="Times New Roman" w:cs="Times New Roman"/>
          <w:sz w:val="24"/>
          <w:szCs w:val="24"/>
          <w:shd w:val="clear" w:color="auto" w:fill="FFFFFF"/>
        </w:rPr>
      </w:pPr>
      <w:r w:rsidRPr="00DA55C0">
        <w:rPr>
          <w:rFonts w:ascii="Times New Roman" w:hAnsi="Times New Roman" w:cs="Times New Roman"/>
          <w:sz w:val="24"/>
          <w:szCs w:val="24"/>
          <w:shd w:val="clear" w:color="auto" w:fill="FFFFFF"/>
        </w:rPr>
        <w:lastRenderedPageBreak/>
        <w:t>Mientras Italia ya ha recibido el 73% de sus fondos, España acumula retrasos en reformas clave, como la Ley de Movilidad o la subida del impuesto a</w:t>
      </w:r>
      <w:r>
        <w:rPr>
          <w:rFonts w:ascii="Times New Roman" w:hAnsi="Times New Roman" w:cs="Times New Roman"/>
          <w:sz w:val="24"/>
          <w:szCs w:val="24"/>
          <w:shd w:val="clear" w:color="auto" w:fill="FFFFFF"/>
        </w:rPr>
        <w:t>l diésel. El quinto desembolso -solicitado en diciembre de 2024-</w:t>
      </w:r>
      <w:r w:rsidRPr="00DA55C0">
        <w:rPr>
          <w:rFonts w:ascii="Times New Roman" w:hAnsi="Times New Roman" w:cs="Times New Roman"/>
          <w:sz w:val="24"/>
          <w:szCs w:val="24"/>
          <w:shd w:val="clear" w:color="auto" w:fill="FFFFFF"/>
        </w:rPr>
        <w:t xml:space="preserve"> podría recortarse hasta en €800 millones. Empresarios y sectores políticos temen la pérdida de hasta €20.000 millones si no se activan las reformas antes de agosto de 2026.</w:t>
      </w:r>
    </w:p>
    <w:p w:rsidR="00855BCF" w:rsidRPr="00D030F0" w:rsidRDefault="00855BCF" w:rsidP="00855BCF">
      <w:pPr>
        <w:spacing w:line="240" w:lineRule="auto"/>
        <w:jc w:val="both"/>
        <w:rPr>
          <w:rFonts w:ascii="Times New Roman" w:hAnsi="Times New Roman" w:cs="Times New Roman"/>
          <w:sz w:val="24"/>
          <w:szCs w:val="24"/>
          <w:u w:val="single"/>
          <w:shd w:val="clear" w:color="auto" w:fill="FFFFFF"/>
        </w:rPr>
      </w:pPr>
      <w:r w:rsidRPr="00D030F0">
        <w:rPr>
          <w:rFonts w:ascii="Times New Roman" w:hAnsi="Times New Roman" w:cs="Times New Roman"/>
          <w:sz w:val="24"/>
          <w:szCs w:val="24"/>
          <w:u w:val="single"/>
          <w:shd w:val="clear" w:color="auto" w:fill="FFFFFF"/>
        </w:rPr>
        <w:t>Fallos en los servicios públicos</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sidRPr="00D030F0">
        <w:rPr>
          <w:rFonts w:ascii="Times New Roman" w:hAnsi="Times New Roman" w:cs="Times New Roman"/>
          <w:sz w:val="24"/>
          <w:szCs w:val="24"/>
          <w:shd w:val="clear" w:color="auto" w:fill="FFFFFF"/>
        </w:rPr>
        <w:t xml:space="preserve">En España, los servicios públicos a menudo enfrentan fallos relacionados con la falta de profesionalización, la mala gestión, la falta de planificación y la dificultad para estimar costos. Estos problemas se manifiestan en áreas como la contratación pública, la gestión de proyectos y la prestación de servicios básicos como la sanidad y la educación. </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sidRPr="00D030F0">
        <w:rPr>
          <w:rFonts w:ascii="Times New Roman" w:hAnsi="Times New Roman" w:cs="Times New Roman"/>
          <w:sz w:val="24"/>
          <w:szCs w:val="24"/>
          <w:shd w:val="clear" w:color="auto" w:fill="FFFFFF"/>
        </w:rPr>
        <w:t>Problemas específicos:</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sidRPr="00D030F0">
        <w:rPr>
          <w:rFonts w:ascii="Times New Roman" w:hAnsi="Times New Roman" w:cs="Times New Roman"/>
          <w:sz w:val="24"/>
          <w:szCs w:val="24"/>
          <w:shd w:val="clear" w:color="auto" w:fill="FFFFFF"/>
        </w:rPr>
        <w:t xml:space="preserve">Contratación </w:t>
      </w:r>
      <w:r>
        <w:rPr>
          <w:rFonts w:ascii="Times New Roman" w:hAnsi="Times New Roman" w:cs="Times New Roman"/>
          <w:sz w:val="24"/>
          <w:szCs w:val="24"/>
          <w:shd w:val="clear" w:color="auto" w:fill="FFFFFF"/>
        </w:rPr>
        <w:t xml:space="preserve">pública: </w:t>
      </w:r>
      <w:r w:rsidRPr="00D030F0">
        <w:rPr>
          <w:rFonts w:ascii="Times New Roman" w:hAnsi="Times New Roman" w:cs="Times New Roman"/>
          <w:sz w:val="24"/>
          <w:szCs w:val="24"/>
          <w:shd w:val="clear" w:color="auto" w:fill="FFFFFF"/>
        </w:rPr>
        <w:t xml:space="preserve">Problemas en la planificación, la estimación de costos, la definición de pliegos y la gestión de ofertas anormalmente bajas son frecuentes. La falta de seguimiento y evaluación, así como la dificultad para conocer el mercado, también dificultan la contratación efectiva. </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Gestión de proyectos: </w:t>
      </w:r>
      <w:r w:rsidRPr="00D030F0">
        <w:rPr>
          <w:rFonts w:ascii="Times New Roman" w:hAnsi="Times New Roman" w:cs="Times New Roman"/>
          <w:sz w:val="24"/>
          <w:szCs w:val="24"/>
          <w:shd w:val="clear" w:color="auto" w:fill="FFFFFF"/>
        </w:rPr>
        <w:t xml:space="preserve">La falta de profesionalización transversal, la falta de control en la ejecución y la falta de evaluación son problemas comunes que afectan la calidad y capacidad de gestión de los proyectos. </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sidRPr="00D030F0">
        <w:rPr>
          <w:rFonts w:ascii="Times New Roman" w:hAnsi="Times New Roman" w:cs="Times New Roman"/>
          <w:sz w:val="24"/>
          <w:szCs w:val="24"/>
          <w:shd w:val="clear" w:color="auto" w:fill="FFFFFF"/>
        </w:rPr>
        <w:t>Servicios básicos</w:t>
      </w:r>
      <w:r>
        <w:rPr>
          <w:rFonts w:ascii="Times New Roman" w:hAnsi="Times New Roman" w:cs="Times New Roman"/>
          <w:sz w:val="24"/>
          <w:szCs w:val="24"/>
          <w:shd w:val="clear" w:color="auto" w:fill="FFFFFF"/>
        </w:rPr>
        <w:t xml:space="preserve">: </w:t>
      </w:r>
      <w:r w:rsidRPr="00D030F0">
        <w:rPr>
          <w:rFonts w:ascii="Times New Roman" w:hAnsi="Times New Roman" w:cs="Times New Roman"/>
          <w:sz w:val="24"/>
          <w:szCs w:val="24"/>
          <w:shd w:val="clear" w:color="auto" w:fill="FFFFFF"/>
        </w:rPr>
        <w:t xml:space="preserve">En servicios como la sanidad y la educación, se pueden observar problemas relacionados con la falta de recursos, la saturación de las instalaciones y la dificultad para acceder a servicios de calidad. </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Otros servicios: </w:t>
      </w:r>
      <w:r w:rsidRPr="00D030F0">
        <w:rPr>
          <w:rFonts w:ascii="Times New Roman" w:hAnsi="Times New Roman" w:cs="Times New Roman"/>
          <w:sz w:val="24"/>
          <w:szCs w:val="24"/>
          <w:shd w:val="clear" w:color="auto" w:fill="FFFFFF"/>
        </w:rPr>
        <w:t xml:space="preserve">La limpieza, el transporte público, el alumbrado público y la gestión de residuos también pueden verse afectados por fallos en la gestión, la falta de inversión o la falta de personal. </w:t>
      </w:r>
    </w:p>
    <w:p w:rsidR="00855BCF" w:rsidRDefault="00855BCF" w:rsidP="00855BC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Causas: </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sidRPr="00D030F0">
        <w:rPr>
          <w:rFonts w:ascii="Times New Roman" w:hAnsi="Times New Roman" w:cs="Times New Roman"/>
          <w:sz w:val="24"/>
          <w:szCs w:val="24"/>
          <w:shd w:val="clear" w:color="auto" w:fill="FFFFFF"/>
        </w:rPr>
        <w:t xml:space="preserve">Falta </w:t>
      </w:r>
      <w:r>
        <w:rPr>
          <w:rFonts w:ascii="Times New Roman" w:hAnsi="Times New Roman" w:cs="Times New Roman"/>
          <w:sz w:val="24"/>
          <w:szCs w:val="24"/>
          <w:shd w:val="clear" w:color="auto" w:fill="FFFFFF"/>
        </w:rPr>
        <w:t xml:space="preserve">de planificación y seguimiento: </w:t>
      </w:r>
      <w:r w:rsidRPr="00D030F0">
        <w:rPr>
          <w:rFonts w:ascii="Times New Roman" w:hAnsi="Times New Roman" w:cs="Times New Roman"/>
          <w:sz w:val="24"/>
          <w:szCs w:val="24"/>
          <w:shd w:val="clear" w:color="auto" w:fill="FFFFFF"/>
        </w:rPr>
        <w:t xml:space="preserve">La ausencia de una planificación realista y un seguimiento adecuado de los proyectos y servicios puede llevar a errores y retrasos. </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Falta de profesionalización: </w:t>
      </w:r>
      <w:r w:rsidRPr="00D030F0">
        <w:rPr>
          <w:rFonts w:ascii="Times New Roman" w:hAnsi="Times New Roman" w:cs="Times New Roman"/>
          <w:sz w:val="24"/>
          <w:szCs w:val="24"/>
          <w:shd w:val="clear" w:color="auto" w:fill="FFFFFF"/>
        </w:rPr>
        <w:t xml:space="preserve">La falta de personal capacitado y la falta de especialización en ciertas áreas pueden afectar la calidad de los servicios. </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Insuficiencia de recursos: </w:t>
      </w:r>
      <w:r w:rsidRPr="00D030F0">
        <w:rPr>
          <w:rFonts w:ascii="Times New Roman" w:hAnsi="Times New Roman" w:cs="Times New Roman"/>
          <w:sz w:val="24"/>
          <w:szCs w:val="24"/>
          <w:shd w:val="clear" w:color="auto" w:fill="FFFFFF"/>
        </w:rPr>
        <w:t xml:space="preserve">La falta de inversión y la mala asignación de recursos pueden limitar la capacidad de los servicios públicos para satisfacer las necesidades de la población. </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Burocracia: </w:t>
      </w:r>
      <w:r w:rsidRPr="00D030F0">
        <w:rPr>
          <w:rFonts w:ascii="Times New Roman" w:hAnsi="Times New Roman" w:cs="Times New Roman"/>
          <w:sz w:val="24"/>
          <w:szCs w:val="24"/>
          <w:shd w:val="clear" w:color="auto" w:fill="FFFFFF"/>
        </w:rPr>
        <w:t xml:space="preserve">La complejidad de los procesos administrativos y la falta de agilidad en la toma de decisiones pueden dificultar la prestación de servicios eficientes. </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sidRPr="00D030F0">
        <w:rPr>
          <w:rFonts w:ascii="Times New Roman" w:hAnsi="Times New Roman" w:cs="Times New Roman"/>
          <w:sz w:val="24"/>
          <w:szCs w:val="24"/>
          <w:shd w:val="clear" w:color="auto" w:fill="FFFFFF"/>
        </w:rPr>
        <w:t>Consecuencias:</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Insatisfacción ciudadana: </w:t>
      </w:r>
      <w:r w:rsidRPr="00D030F0">
        <w:rPr>
          <w:rFonts w:ascii="Times New Roman" w:hAnsi="Times New Roman" w:cs="Times New Roman"/>
          <w:sz w:val="24"/>
          <w:szCs w:val="24"/>
          <w:shd w:val="clear" w:color="auto" w:fill="FFFFFF"/>
        </w:rPr>
        <w:t xml:space="preserve">Los fallos en los servicios públicos pueden generar frustración y descontento entre los ciudadanos. </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Pérdida de confianza: </w:t>
      </w:r>
      <w:r w:rsidRPr="00D030F0">
        <w:rPr>
          <w:rFonts w:ascii="Times New Roman" w:hAnsi="Times New Roman" w:cs="Times New Roman"/>
          <w:sz w:val="24"/>
          <w:szCs w:val="24"/>
          <w:shd w:val="clear" w:color="auto" w:fill="FFFFFF"/>
        </w:rPr>
        <w:t xml:space="preserve">La mala gestión y la falta de resultados pueden erosionar la confianza en las instituciones públicas. </w:t>
      </w:r>
    </w:p>
    <w:p w:rsidR="00855BCF" w:rsidRPr="00D030F0" w:rsidRDefault="00855BCF" w:rsidP="00855BC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Impacto social y económico: </w:t>
      </w:r>
      <w:r w:rsidRPr="00D030F0">
        <w:rPr>
          <w:rFonts w:ascii="Times New Roman" w:hAnsi="Times New Roman" w:cs="Times New Roman"/>
          <w:sz w:val="24"/>
          <w:szCs w:val="24"/>
          <w:shd w:val="clear" w:color="auto" w:fill="FFFFFF"/>
        </w:rPr>
        <w:t xml:space="preserve">Los problemas en la prestación de servicios pueden tener consecuencias negativas en la calidad de vida de las personas y en el desarrollo económico. </w:t>
      </w:r>
    </w:p>
    <w:p w:rsidR="00855BCF" w:rsidRDefault="00855BCF" w:rsidP="00855BC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Algunos analistas opinan que e</w:t>
      </w:r>
      <w:r w:rsidRPr="00D030F0">
        <w:rPr>
          <w:rFonts w:ascii="Times New Roman" w:hAnsi="Times New Roman" w:cs="Times New Roman"/>
          <w:sz w:val="24"/>
          <w:szCs w:val="24"/>
          <w:shd w:val="clear" w:color="auto" w:fill="FFFFFF"/>
        </w:rPr>
        <w:t>s necesario abordar estos problemas mediante una gestión más eficiente, una mayor inversión en los servicios públicos y una mayor transparencia en la toma de decisiones para garantizar la satisfacción de las necesidades de los ciudadanos y fortalecer la confianza en las instituciones públicas.</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 xml:space="preserve">- </w:t>
      </w:r>
      <w:r w:rsidRPr="00C758AD">
        <w:rPr>
          <w:rFonts w:ascii="Times New Roman" w:hAnsi="Times New Roman" w:cs="Times New Roman"/>
          <w:sz w:val="24"/>
          <w:szCs w:val="24"/>
          <w:u w:val="single"/>
        </w:rPr>
        <w:t>Movilidad en España: del orgullo al hartazgo ciudadano</w:t>
      </w:r>
      <w:r w:rsidRPr="00C758AD">
        <w:rPr>
          <w:rFonts w:ascii="Times New Roman" w:hAnsi="Times New Roman" w:cs="Times New Roman"/>
          <w:sz w:val="24"/>
          <w:szCs w:val="24"/>
        </w:rPr>
        <w:t xml:space="preserve"> (El Confidencial - </w:t>
      </w:r>
      <w:r w:rsidRPr="00C758AD">
        <w:rPr>
          <w:rFonts w:ascii="Times New Roman" w:hAnsi="Times New Roman" w:cs="Times New Roman"/>
          <w:b/>
          <w:sz w:val="24"/>
          <w:szCs w:val="24"/>
        </w:rPr>
        <w:t>28/7/25</w:t>
      </w:r>
      <w:r w:rsidRPr="00C758AD">
        <w:rPr>
          <w:rFonts w:ascii="Times New Roman" w:hAnsi="Times New Roman" w:cs="Times New Roman"/>
          <w:sz w:val="24"/>
          <w:szCs w:val="24"/>
        </w:rPr>
        <w:t>)</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El transporte en España atraviesa una crisis sistémica: trenes averiados, aeropuertos saturados, carreteras degradadas y una ciudadanía cuya paciencia se encuentra al límite</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(Por Juan Manuel Martínez Mourín)</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Durante años, en España nos enorgullecíamos de contar con uno de los sistemas de alta velocidad ferroviaria más avanzados del mundo. El AVE era sinónimo de puntualidad, modernidad y eficiencia. Sin embargo, en julio de 2025, esa percepción se ha desplomado. Lo que antaño fue símbolo de progreso se ha transformado en una fuente de frustración e incertidumbre para los usuarios. Y lo más preocupante: ninguna institución parece asumir responsabilidades claras ante este deterioro. El problema no se limita al AVE, aunque su pérdida de prestigio ha sido particularmente visible. El conjunto del sistema de movilidad en España atraviesa una crisis de confianza sin precedentes. En el caso de la alta velocidad, el cambio ha sido drástico. En 2019, una avería era un hecho aislado; en 2025, se ha convertido en una constante. Los datos son claros: en corredores clave como Madrid-Barcelona, el número de circulaciones de trenes se ha triplicado mientras la infraestructura es prácticamente la misma. El resultado es un sistema sobrecargado, incapaz de absorber el crecimiento de la demanda sin una inversión equivalente en capacidad y resiliencia operativa.</w:t>
      </w:r>
    </w:p>
    <w:p w:rsidR="00855BCF" w:rsidRPr="00C758AD" w:rsidRDefault="00855BCF" w:rsidP="00855BC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La incidencia del 1 de julio -</w:t>
      </w:r>
      <w:r w:rsidRPr="00C758AD">
        <w:rPr>
          <w:rFonts w:ascii="Times New Roman" w:hAnsi="Times New Roman" w:cs="Times New Roman"/>
          <w:sz w:val="24"/>
          <w:szCs w:val="24"/>
        </w:rPr>
        <w:t>con 18 trenes paralizados entre La Sagra y Los Yeles, cerca de Toledo en la línea de alta velocid</w:t>
      </w:r>
      <w:r>
        <w:rPr>
          <w:rFonts w:ascii="Times New Roman" w:hAnsi="Times New Roman" w:cs="Times New Roman"/>
          <w:sz w:val="24"/>
          <w:szCs w:val="24"/>
        </w:rPr>
        <w:t>ad que une Madrid con Andalucía-</w:t>
      </w:r>
      <w:r w:rsidRPr="00C758AD">
        <w:rPr>
          <w:rFonts w:ascii="Times New Roman" w:hAnsi="Times New Roman" w:cs="Times New Roman"/>
          <w:sz w:val="24"/>
          <w:szCs w:val="24"/>
        </w:rPr>
        <w:t xml:space="preserve"> no puede considerarse un mero fallo técnico. Es la manifestación de un problema estructural: la falta de mantenimiento preventivo, la carencia de protocolos eficaces y, sobre todo, la opacidad inaceptable con la que se están gestionando incidencias que afectan a miles de personas.</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A esta situación se suma el deterioro de Cercanías, especialmente en áreas metropolitanas como Madrid. Mientras en 2019 la puntualidad media alcanzaba el 95 %, en 2025 oscila habitualmente entre el 80 % y el 85 %. Esta caída en la fiabilidad supone miles de horas perdidas, compromisos incumplidos y empleos en riesgo. Un deterioro constante que erosiona la confianza ciudadana en el sistema y nuestra imagen como país en el extranjero, especialmente en Europa. ADIF, como entidad responsable de la infraestructura, no puede seguir eludiendo su responsabilidad. La existencia de catenarias con más de 30 años de antigüedad, la ausencia de sistemas redundantes y una gestión carente de transparencia, son elementos que agravan la situación. La desatención de la red ferroviaria tiene consecuencias directas en la calidad de vida y en la percepción social e institucional, cuya recuperación requerirá de mucho tiempo, recursos y un compromiso sostenido.</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Más vuelos y retrasos, pero menos explicaciones</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 xml:space="preserve">El sector aéreo no presenta un panorama más alentador. Entre enero y mayo de 2025, los aeropuertos españoles gestionaron 145 millones de pasajeros, lo que representa un incremento del 38 % respecto al mismo periodo de 2019. Sin embargo, la capacidad de las infraestructuras no ha evolucionado al mismo ritmo. El resultado: un aumento sostenido de </w:t>
      </w:r>
      <w:r w:rsidRPr="00C758AD">
        <w:rPr>
          <w:rFonts w:ascii="Times New Roman" w:hAnsi="Times New Roman" w:cs="Times New Roman"/>
          <w:sz w:val="24"/>
          <w:szCs w:val="24"/>
        </w:rPr>
        <w:lastRenderedPageBreak/>
        <w:t>retrasos y cancelaciones. El pasajero, mientras tanto, afronta una experiencia cada vez más degradada: escasa información, atención deficiente y un servicio cada vez más encarecido. A ello se suma una creciente sensación de desprotección ante incidencias, mientras las políticas comerciales de las aerolíneas recortan derechos y elevan costes.</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Carreteras: más coches y camiones, pero menos calidad</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La red viaria constituye el tercer pilar de esta crisis global de la movilidad en España. Según datos de la DGT, la Intensidad Media Diaria en la Red de Carreteras del Estado ha aumentado un 7 % respecto a 2019, con especial presión en accesos a núcleos urbanos y zonas turísticas. Este incremento no solo implica un mayor volumen e intensidad de movimientos, sino también una mayor complejidad. El auge del transporte de mercancías tras la pandemia ha elevado significativamente la presencia de vehículos pesados, que conviven con tráfico particular y colectivo en vías con firme deteriorado, señalización obsoleta y tramos sin mantenimiento desde hace más de un lustro.</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Conductores particulares y profesionales coinciden en el diagnóstico: falta de alternativas a los peajes, obras interminables y ausencia de inversión en mejoras estructurales. Esto se traduce en un aumento de la siniestralidad, atascos más frecuentes y mayores costes para ciudadanos y empresas.</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Un modelo insostenible y una urgencia política</w:t>
      </w:r>
    </w:p>
    <w:p w:rsidR="00855BCF"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España se enfrenta a una crisis de movilidad estructural, nacida de una paradoja: la de haber desarrollado una de las redes ferroviarias de alta velocidad más avanzadas del mundo, la segunda después de China y la más desarrollada de Europa, al tiempo que se descuidaban los servicios de transporte cotidiano que sostienen la vida diaria de millones de personas. El "caos" de 2025 no es un fenómeno repentino, sino la consecuencia previsible de años de desinversión en infraestructuras esenciales y de una planificación basada en la inercia y la reactividad. La liberalización del AVE y el auge turístico han actuado como catalizadores que han puesto de manifiesto la fragilidad de un sistema ya tensionado y que ha sido llevado al límite de su capacidad. Superar esta crisis requiere algo más que medidas puntuales: se impone un cambio de paradigma, liderado desde lo público, que implique un compromiso financiero sostenido, una visión de Estado a largo plazo y la voluntad firme de situar al ciudadano en el centro de la política de transportes. Fracasar en este objetivo no solo perpetuará el colapso actual, sino que comprometerá la competitividad económica y la cohesión social del país. Hay que hacer mucha más gestión y mucha menos política con el transporte.</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 xml:space="preserve">- </w:t>
      </w:r>
      <w:r w:rsidRPr="00C758AD">
        <w:rPr>
          <w:rFonts w:ascii="Times New Roman" w:hAnsi="Times New Roman" w:cs="Times New Roman"/>
          <w:sz w:val="24"/>
          <w:szCs w:val="24"/>
          <w:u w:val="single"/>
        </w:rPr>
        <w:t>La España incomunicada: el mapa de la pesadilla de no subirse al AVE</w:t>
      </w:r>
      <w:r w:rsidRPr="00C758AD">
        <w:rPr>
          <w:rFonts w:ascii="Times New Roman" w:hAnsi="Times New Roman" w:cs="Times New Roman"/>
          <w:sz w:val="24"/>
          <w:szCs w:val="24"/>
        </w:rPr>
        <w:t xml:space="preserve"> (El Confidencial - </w:t>
      </w:r>
      <w:r w:rsidRPr="00C758AD">
        <w:rPr>
          <w:rFonts w:ascii="Times New Roman" w:hAnsi="Times New Roman" w:cs="Times New Roman"/>
          <w:b/>
          <w:sz w:val="24"/>
          <w:szCs w:val="24"/>
        </w:rPr>
        <w:t>28/7/25</w:t>
      </w:r>
      <w:r w:rsidRPr="00C758AD">
        <w:rPr>
          <w:rFonts w:ascii="Times New Roman" w:hAnsi="Times New Roman" w:cs="Times New Roman"/>
          <w:sz w:val="24"/>
          <w:szCs w:val="24"/>
        </w:rPr>
        <w:t>)</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España tiene la mayor red de AVE de la UE, pero fuera de sus c</w:t>
      </w:r>
      <w:r>
        <w:rPr>
          <w:rFonts w:ascii="Times New Roman" w:hAnsi="Times New Roman" w:cs="Times New Roman"/>
          <w:sz w:val="24"/>
          <w:szCs w:val="24"/>
        </w:rPr>
        <w:t>orredores rápidos persiste una “España del trenecito”</w:t>
      </w:r>
      <w:r w:rsidRPr="00C758AD">
        <w:rPr>
          <w:rFonts w:ascii="Times New Roman" w:hAnsi="Times New Roman" w:cs="Times New Roman"/>
          <w:sz w:val="24"/>
          <w:szCs w:val="24"/>
        </w:rPr>
        <w:t>, donde trayectos cortos se eternizan por una red radial obsoleta</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(Por Giulio Maria Piantadosi y Ernesto Torrico)</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España presume de la red de alta velocidad más extensa de la UE, pero fuera de sus 4.000 km de vías rápidas sobrevive una “España del trenecito” donde los recorridos cortos se convierten en odiseas y los trayectos transversales siguen obligando a rodeos que añaden dos o más horas frente al coche. La explicación reside en un sistema heredado del siglo XIX: un diseño radial centrado en Madrid, tres anchos de vía incompatibles, solo un 70 % de la red electrificada y largas secciones de vía única que constriñen la operativa diaria.</w:t>
      </w:r>
    </w:p>
    <w:p w:rsidR="00855BCF" w:rsidRPr="00C758AD"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lastRenderedPageBreak/>
        <w:t>El desequilibrio se acentuó a partir de los años noventa, cuando la inversión pública se volcó casi por completo en el AVE. Mientras los trenes rápidos absorben la mayor parte del presupue</w:t>
      </w:r>
      <w:r>
        <w:rPr>
          <w:rFonts w:ascii="Times New Roman" w:hAnsi="Times New Roman" w:cs="Times New Roman"/>
          <w:sz w:val="24"/>
          <w:szCs w:val="24"/>
        </w:rPr>
        <w:t>sto, las líneas convencionales -</w:t>
      </w:r>
      <w:r w:rsidRPr="00C758AD">
        <w:rPr>
          <w:rFonts w:ascii="Times New Roman" w:hAnsi="Times New Roman" w:cs="Times New Roman"/>
          <w:sz w:val="24"/>
          <w:szCs w:val="24"/>
        </w:rPr>
        <w:t>11.200 km en anch</w:t>
      </w:r>
      <w:r>
        <w:rPr>
          <w:rFonts w:ascii="Times New Roman" w:hAnsi="Times New Roman" w:cs="Times New Roman"/>
          <w:sz w:val="24"/>
          <w:szCs w:val="24"/>
        </w:rPr>
        <w:t>o ibérico más 1.190 km métricos-</w:t>
      </w:r>
      <w:r w:rsidRPr="00C758AD">
        <w:rPr>
          <w:rFonts w:ascii="Times New Roman" w:hAnsi="Times New Roman" w:cs="Times New Roman"/>
          <w:sz w:val="24"/>
          <w:szCs w:val="24"/>
        </w:rPr>
        <w:t xml:space="preserve"> se han quedado con infraestructuras obsoletas, escaso mantenimiento y material diésel vetusto. Resultado: velocidades medias de 40‑60 km/h, cierres de líneas, desaparición de trenes nocturnos e internacionales y un aluvión de quejas que plataformas ciudadanas y defensores del consumidor trasladan a Renfe y Adif año tras año.</w:t>
      </w:r>
    </w:p>
    <w:p w:rsidR="00855BCF" w:rsidRDefault="00855BCF" w:rsidP="00855BCF">
      <w:pPr>
        <w:spacing w:line="240" w:lineRule="auto"/>
        <w:jc w:val="both"/>
        <w:rPr>
          <w:rFonts w:ascii="Times New Roman" w:hAnsi="Times New Roman" w:cs="Times New Roman"/>
          <w:sz w:val="24"/>
          <w:szCs w:val="24"/>
        </w:rPr>
      </w:pPr>
      <w:r w:rsidRPr="00C758AD">
        <w:rPr>
          <w:rFonts w:ascii="Times New Roman" w:hAnsi="Times New Roman" w:cs="Times New Roman"/>
          <w:sz w:val="24"/>
          <w:szCs w:val="24"/>
        </w:rPr>
        <w:t xml:space="preserve"> Pese a todo, el ferrocarril convencional concentra el 90 % del tráfico de pasajeros: en 2024 las Cercanías movieron 591 millones de viajeros, frente a los 39 millones del AVE. La AIReF advierte de la baja rentabilidad socioeconómica de muchos corredores de alta velocidad y recomienda reequilibrar las inversiones hacia Cercanías y Media Distancia. El Gobierno ha empezado a destinar más fondos a la red clásica desde 2023 y la liberalización ferroviaria añade nuevos operadores y desafíos técnicos, pero mientras no se completen la electrificación, los ejes transversales y el mantenimiento integral, España seguirá partida entre la modernidad del AVE y una vasta periferia de trenes lentos, escasos y poco fiables.</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 xml:space="preserve">- </w:t>
      </w:r>
      <w:r w:rsidRPr="00F84EA5">
        <w:rPr>
          <w:rFonts w:ascii="Times New Roman" w:hAnsi="Times New Roman" w:cs="Times New Roman"/>
          <w:sz w:val="24"/>
          <w:szCs w:val="24"/>
          <w:u w:val="single"/>
        </w:rPr>
        <w:t>Caos en Renfe, incendios... ¿Falta inversión o gestión? ¿En qué gastan el dinero Puente y compañía</w:t>
      </w:r>
      <w:r w:rsidRPr="00F84EA5">
        <w:rPr>
          <w:rFonts w:ascii="Times New Roman" w:hAnsi="Times New Roman" w:cs="Times New Roman"/>
          <w:sz w:val="24"/>
          <w:szCs w:val="24"/>
        </w:rPr>
        <w:t xml:space="preserve">? (Libertad Digital - </w:t>
      </w:r>
      <w:r w:rsidRPr="00F84EA5">
        <w:rPr>
          <w:rFonts w:ascii="Times New Roman" w:hAnsi="Times New Roman" w:cs="Times New Roman"/>
          <w:b/>
          <w:sz w:val="24"/>
          <w:szCs w:val="24"/>
        </w:rPr>
        <w:t>16/8/25</w:t>
      </w:r>
      <w:r w:rsidRPr="00F84EA5">
        <w:rPr>
          <w:rFonts w:ascii="Times New Roman" w:hAnsi="Times New Roman" w:cs="Times New Roman"/>
          <w:sz w:val="24"/>
          <w:szCs w:val="24"/>
        </w:rPr>
        <w:t>)</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¿En qué se gastan el dinero Óscar Puente y compañía? Los presupuestos en mantenimiento ferroviario se han multiplicado.</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(Por Luis F. Quintero)</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Como sucedió con el volcán de la Palma, donde todavía quedan más de 300 millones en ayudas por llegar, o más recientemente con la dana que arrasó Valencia, y de donde el presidente del Gobierno literalmente salió corriendo, este verano la oleada de incendios que ha consumido decenas de miles de hectáreas en España y que, a la hora de escribir estas líneas ha terminado con la vida de tres personas, el Estado vuelve a adivinarse inoperante.</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Más allá de la gresca política puesta en marcha por el ministro de Transportes, Óscar Puente, o de la manera más o menos acertada del PP de entrar al trapo, lo que queda de manifiesto, una vez más, es que los deberes no se hacen. No se limpiaron los barrancos de Valencia pese a que los técnicos así lo pedían, ni se desbrozan los campos en invierno para evitar la propagación de los incendios en verano.</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Ante esta realidad, cabría suponer, como nos suelen indicar nuestros políticos, que esto depende de tener más o menos presupuesto. ¿Pero mayor dotación presupuestaria es sinónimo de mejor funcionamiento de los servicios? No.</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En paralelo a la evolución de los incendios, otro de los desastres que sufrimos es el de la cada vez más deficiente red ferroviaria española, donde se acumulan cientos de miles de incidencias y retrasos anualmente. Este verano está siendo especialmente sangrante para los sufridos usuarios españoles (y extranjeros) que fían a Renfe sus desplazamientos por España. Mientras escribimos, el servicio ferroviario Madrid-Galicia, está suspendido por los incendios, pero es que hace sólo unos días, un convoy se quedaba parado en mitad de la provincia de Córdoba a 40 grados y sin aire acondicionado durante 3 horas por problemas en la vía.</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Todo parece indicar que los problem</w:t>
      </w:r>
      <w:r>
        <w:rPr>
          <w:rFonts w:ascii="Times New Roman" w:hAnsi="Times New Roman" w:cs="Times New Roman"/>
          <w:sz w:val="24"/>
          <w:szCs w:val="24"/>
        </w:rPr>
        <w:t>a</w:t>
      </w:r>
      <w:r w:rsidRPr="00F84EA5">
        <w:rPr>
          <w:rFonts w:ascii="Times New Roman" w:hAnsi="Times New Roman" w:cs="Times New Roman"/>
          <w:sz w:val="24"/>
          <w:szCs w:val="24"/>
        </w:rPr>
        <w:t>s en la red ferroviaria tienen mucho que ver con el m</w:t>
      </w:r>
      <w:r>
        <w:rPr>
          <w:rFonts w:ascii="Times New Roman" w:hAnsi="Times New Roman" w:cs="Times New Roman"/>
          <w:sz w:val="24"/>
          <w:szCs w:val="24"/>
        </w:rPr>
        <w:t>antenimiento de las mismas. En “politiqués”</w:t>
      </w:r>
      <w:r w:rsidRPr="00F84EA5">
        <w:rPr>
          <w:rFonts w:ascii="Times New Roman" w:hAnsi="Times New Roman" w:cs="Times New Roman"/>
          <w:sz w:val="24"/>
          <w:szCs w:val="24"/>
        </w:rPr>
        <w:t xml:space="preserve">, esto se traduciría en falta de inversión. Falta de presupuesto para arreglar las vías y las catenarias. Pero si observamos la evolución de los </w:t>
      </w:r>
      <w:r w:rsidRPr="00F84EA5">
        <w:rPr>
          <w:rFonts w:ascii="Times New Roman" w:hAnsi="Times New Roman" w:cs="Times New Roman"/>
          <w:sz w:val="24"/>
          <w:szCs w:val="24"/>
        </w:rPr>
        <w:lastRenderedPageBreak/>
        <w:t>presupuestos del Ministerio de Transportes observamos que en los últimos años, la dotación presupuestaria destinada al mantenimiento de la red ferroviaria no ha disminuido, sino que se ha multiplicado.</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Más dinero para las vías y cada vez peores servicios</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Si observamos las cifras que nos ofrece Adif, hemos pasado de invertir en mantenimiento de la red ferroviaria para alta velocidad de los 1.011 millones de 2020 a los 1.974 millones de 2023. En total si además contamos con la ejecución presupuestaria para el mantenimiento de la red convencional, nos vamos en total a 3.404 millones de euros.</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Siendo estos los datos, profundizamos estrictamente en el presupuesto de mantenimiento de la red, en 2024 se invierte entre red convencional y alta velocidad 637 millones de euros, un 46% más que diez años antes. En cuanto a 2025 la proyección habla de alcanzar los 681 millones de euros, lo que supone un nuevo incremento presupuestario. Si nos fijamos únicamente en la Alta velocidad pasamos de 187,7 millones en 2024 a 200 millones en 2025.</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Pues bien, ¿cuál es el resultado de este incremento pres</w:t>
      </w:r>
      <w:r w:rsidR="002439AA">
        <w:rPr>
          <w:rFonts w:ascii="Times New Roman" w:hAnsi="Times New Roman" w:cs="Times New Roman"/>
          <w:sz w:val="24"/>
          <w:szCs w:val="24"/>
        </w:rPr>
        <w:t>upuestario? Si sólo habláramos “politiqués”</w:t>
      </w:r>
      <w:r w:rsidRPr="00F84EA5">
        <w:rPr>
          <w:rFonts w:ascii="Times New Roman" w:hAnsi="Times New Roman" w:cs="Times New Roman"/>
          <w:sz w:val="24"/>
          <w:szCs w:val="24"/>
        </w:rPr>
        <w:t xml:space="preserve"> estaríamos ante una paradoja imposible: ¿Cómo aumentando el presupuesto los servicios son peores? Quizá por eso Óscar Puente sigue presumiendo, pese al acreditado desastre en que se ha convertido Renfe, que España tiene el servicio ferroviario más puntual de Europa.</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¿Qué pasa con la financiación de la prevención?</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En el caso de las partidas destinadas a la prevención de incendios con desbroces y el despeje de los cortafuegos, entre otras actuaciones, el camino que se ha llevado a cabo ha sido el contrario. Siempre según los datos del Ministerio de Transición Ecológica y la Asociación Española de Municipios Forestales, en los últimos 12 años la financiación de la prevención de incendios forestales ha caído un 51%. Pero no ha sido por igual en toda España. En Castilla y León el retroceso habría sido del 90% mientras que en Extremadura habría subido un 17%.</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Sin embargo, esta evolución de nada sirve si no se gestiona, y especialistas como el exdirector general de Medioambiente de Extremadura, Paco Castañares, el problema no es tanto de financiación, como de gestión del territorio rural y forestal. El abandono del campo, la acumulación de biomasa y la falta de previsión efectiva que han convertido los bosques en polvorines, según denuncia.</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 xml:space="preserve">Y es que, a menudo, los intereses de los especialistas en gestión forestal y prevención de incendios, chocan con la de algunos otros organismos, como </w:t>
      </w:r>
      <w:r w:rsidR="00FE562B" w:rsidRPr="00F84EA5">
        <w:rPr>
          <w:rFonts w:ascii="Times New Roman" w:hAnsi="Times New Roman" w:cs="Times New Roman"/>
          <w:sz w:val="24"/>
          <w:szCs w:val="24"/>
        </w:rPr>
        <w:t>Greenpeace</w:t>
      </w:r>
      <w:r w:rsidRPr="00F84EA5">
        <w:rPr>
          <w:rFonts w:ascii="Times New Roman" w:hAnsi="Times New Roman" w:cs="Times New Roman"/>
          <w:sz w:val="24"/>
          <w:szCs w:val="24"/>
        </w:rPr>
        <w:t xml:space="preserve"> o Ecologistas en Acción, que ins</w:t>
      </w:r>
      <w:r>
        <w:rPr>
          <w:rFonts w:ascii="Times New Roman" w:hAnsi="Times New Roman" w:cs="Times New Roman"/>
          <w:sz w:val="24"/>
          <w:szCs w:val="24"/>
        </w:rPr>
        <w:t>tan a las autoridades a evitar “la mutilación”</w:t>
      </w:r>
      <w:r w:rsidRPr="00F84EA5">
        <w:rPr>
          <w:rFonts w:ascii="Times New Roman" w:hAnsi="Times New Roman" w:cs="Times New Roman"/>
          <w:sz w:val="24"/>
          <w:szCs w:val="24"/>
        </w:rPr>
        <w:t xml:space="preserve"> de los mo</w:t>
      </w:r>
      <w:r>
        <w:rPr>
          <w:rFonts w:ascii="Times New Roman" w:hAnsi="Times New Roman" w:cs="Times New Roman"/>
          <w:sz w:val="24"/>
          <w:szCs w:val="24"/>
        </w:rPr>
        <w:t>ntes. Para estas asociaciones, “</w:t>
      </w:r>
      <w:r w:rsidRPr="00F84EA5">
        <w:rPr>
          <w:rFonts w:ascii="Times New Roman" w:hAnsi="Times New Roman" w:cs="Times New Roman"/>
          <w:sz w:val="24"/>
          <w:szCs w:val="24"/>
        </w:rPr>
        <w:t>la eliminación indiscriminada de vegetación puede dañar ecosistemas y no necesariamente</w:t>
      </w:r>
      <w:r>
        <w:rPr>
          <w:rFonts w:ascii="Times New Roman" w:hAnsi="Times New Roman" w:cs="Times New Roman"/>
          <w:sz w:val="24"/>
          <w:szCs w:val="24"/>
        </w:rPr>
        <w:t xml:space="preserve"> reducir el riesgo de incendios”</w:t>
      </w:r>
      <w:r w:rsidRPr="00F84EA5">
        <w:rPr>
          <w:rFonts w:ascii="Times New Roman" w:hAnsi="Times New Roman" w:cs="Times New Roman"/>
          <w:sz w:val="24"/>
          <w:szCs w:val="24"/>
        </w:rPr>
        <w:t>.</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 xml:space="preserve">Por su </w:t>
      </w:r>
      <w:r>
        <w:rPr>
          <w:rFonts w:ascii="Times New Roman" w:hAnsi="Times New Roman" w:cs="Times New Roman"/>
          <w:sz w:val="24"/>
          <w:szCs w:val="24"/>
        </w:rPr>
        <w:t>parte Greenpeace considera que “</w:t>
      </w:r>
      <w:r w:rsidRPr="00F84EA5">
        <w:rPr>
          <w:rFonts w:ascii="Times New Roman" w:hAnsi="Times New Roman" w:cs="Times New Roman"/>
          <w:sz w:val="24"/>
          <w:szCs w:val="24"/>
        </w:rPr>
        <w:t>aunque la acumulación de biomasa pueda aumentar el riesgo de incendios, la solución no es simplemente eliminarla sin considerar el contexto ecológico. Además, subraya que los incendios no se apagan en invierno y que los bosques requieren una ges</w:t>
      </w:r>
      <w:r>
        <w:rPr>
          <w:rFonts w:ascii="Times New Roman" w:hAnsi="Times New Roman" w:cs="Times New Roman"/>
          <w:sz w:val="24"/>
          <w:szCs w:val="24"/>
        </w:rPr>
        <w:t>tión activa durante todo el año”</w:t>
      </w:r>
      <w:r w:rsidRPr="00F84EA5">
        <w:rPr>
          <w:rFonts w:ascii="Times New Roman" w:hAnsi="Times New Roman" w:cs="Times New Roman"/>
          <w:sz w:val="24"/>
          <w:szCs w:val="24"/>
        </w:rPr>
        <w:t>.</w:t>
      </w:r>
    </w:p>
    <w:p w:rsidR="00855BCF" w:rsidRPr="00F84EA5" w:rsidRDefault="00855BCF" w:rsidP="00855BCF">
      <w:pPr>
        <w:spacing w:line="240" w:lineRule="auto"/>
        <w:jc w:val="both"/>
        <w:rPr>
          <w:rFonts w:ascii="Times New Roman" w:hAnsi="Times New Roman" w:cs="Times New Roman"/>
          <w:sz w:val="24"/>
          <w:szCs w:val="24"/>
        </w:rPr>
      </w:pPr>
      <w:r>
        <w:rPr>
          <w:rFonts w:ascii="Times New Roman" w:hAnsi="Times New Roman" w:cs="Times New Roman"/>
          <w:sz w:val="24"/>
          <w:szCs w:val="24"/>
        </w:rPr>
        <w:t>En el caso de la dana de V</w:t>
      </w:r>
      <w:r w:rsidRPr="00F84EA5">
        <w:rPr>
          <w:rFonts w:ascii="Times New Roman" w:hAnsi="Times New Roman" w:cs="Times New Roman"/>
          <w:sz w:val="24"/>
          <w:szCs w:val="24"/>
        </w:rPr>
        <w:t xml:space="preserve">alencia, recordemos que un informe poco menos que imploraba al Gobierno una solución de limpieza de barrancos ante el riesgo de inundaciones, dos años </w:t>
      </w:r>
      <w:r w:rsidRPr="00F84EA5">
        <w:rPr>
          <w:rFonts w:ascii="Times New Roman" w:hAnsi="Times New Roman" w:cs="Times New Roman"/>
          <w:sz w:val="24"/>
          <w:szCs w:val="24"/>
        </w:rPr>
        <w:lastRenderedPageBreak/>
        <w:t>antes de la dana de octubre de 2024. Un informe que, por supuesto, desoyó la entonces titular de Transición Ecológica, Teresa Ribera.</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En definitiva, que con más o menos presupuesto, lo que deberían hacer los administradores políticos que disponen de los fondos, es gestionarlos de la mejor manera posible. Da la sensación de que el debate suele reducirse a si se invierte más o menos. El problema, sin embargo, es si ese dinero se invierte y gestiona bien o mal. A juzgar por lo sucedido en la dana de octubre de 2024, o en el caos ferroviario de este verano, o en los incendios que calcinan estos días buena parte de España, el problema trasciende la suficiencia de financiación. El problema apunta básicamente a una gestión inexistente: ¿Qué hacen estos políticos con el dinero?</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 xml:space="preserve">- </w:t>
      </w:r>
      <w:r w:rsidRPr="00F84EA5">
        <w:rPr>
          <w:rFonts w:ascii="Times New Roman" w:hAnsi="Times New Roman" w:cs="Times New Roman"/>
          <w:sz w:val="24"/>
          <w:szCs w:val="24"/>
          <w:u w:val="single"/>
        </w:rPr>
        <w:t>Más de la mitad de las carreteras españolas necesitan obras urgentes</w:t>
      </w:r>
      <w:r w:rsidRPr="00F84EA5">
        <w:rPr>
          <w:rFonts w:ascii="Times New Roman" w:hAnsi="Times New Roman" w:cs="Times New Roman"/>
          <w:sz w:val="24"/>
          <w:szCs w:val="24"/>
        </w:rPr>
        <w:t xml:space="preserve"> (Libertad Digital - </w:t>
      </w:r>
      <w:r w:rsidRPr="00F84EA5">
        <w:rPr>
          <w:rFonts w:ascii="Times New Roman" w:hAnsi="Times New Roman" w:cs="Times New Roman"/>
          <w:b/>
          <w:sz w:val="24"/>
          <w:szCs w:val="24"/>
        </w:rPr>
        <w:t>27/8/25</w:t>
      </w:r>
      <w:r w:rsidRPr="00F84EA5">
        <w:rPr>
          <w:rFonts w:ascii="Times New Roman" w:hAnsi="Times New Roman" w:cs="Times New Roman"/>
          <w:sz w:val="24"/>
          <w:szCs w:val="24"/>
        </w:rPr>
        <w:t xml:space="preserve">) </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Un informe de la AEC revela que 34.000 kilómetros de carreteras españolas están en mal estado y requieren intervención urgente.</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 xml:space="preserve">(Por Andrea </w:t>
      </w:r>
      <w:r w:rsidR="002439AA" w:rsidRPr="00F84EA5">
        <w:rPr>
          <w:rFonts w:ascii="Times New Roman" w:hAnsi="Times New Roman" w:cs="Times New Roman"/>
          <w:sz w:val="24"/>
          <w:szCs w:val="24"/>
        </w:rPr>
        <w:t>Echeverría</w:t>
      </w:r>
      <w:r w:rsidRPr="00F84EA5">
        <w:rPr>
          <w:rFonts w:ascii="Times New Roman" w:hAnsi="Times New Roman" w:cs="Times New Roman"/>
          <w:sz w:val="24"/>
          <w:szCs w:val="24"/>
        </w:rPr>
        <w:t xml:space="preserve">) </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El último informe de la Asociación Española de la Carretera (AEC) revela que el 52% de las vías españolas presentan deficiencias graves o muy graves en su pavimento, lo que supone 34.000 kilómetros que precisan intervención en menos de un año. La cifra triplica la registrada en 2022 y sitúa la red viaria en su peor estado desde que en 1985 comenzaran estas evaluaciones.</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Un déficit de inversión creciente</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Según el estudio, presentado el 3 de julio en Madrid, el déficit acumulado en conservación asciende a 13.491 millones de euros, frente a los 9.453 millones estimados en 2022.</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Este incremento del 43% se explica por dos factores: un 20% derivado del aumento de los precios de materiales, energía y personal, y un 23% asociado al deterioro progresivo de las infraestructuras, que pierden calidad a un ritmo anual del 8%. De los más de 13.400 millones necesarios, 4.721 millones corresponden a la Red del Estado y 8.770 millones a las redes autonómicas y forales.</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Avances en la metodología de análisis</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 xml:space="preserve">El presidente de la AEC, Juan Francisco Lazcano, </w:t>
      </w:r>
      <w:r>
        <w:rPr>
          <w:rFonts w:ascii="Times New Roman" w:hAnsi="Times New Roman" w:cs="Times New Roman"/>
          <w:sz w:val="24"/>
          <w:szCs w:val="24"/>
        </w:rPr>
        <w:t>recordó que las carreteras son “</w:t>
      </w:r>
      <w:r w:rsidRPr="00F84EA5">
        <w:rPr>
          <w:rFonts w:ascii="Times New Roman" w:hAnsi="Times New Roman" w:cs="Times New Roman"/>
          <w:sz w:val="24"/>
          <w:szCs w:val="24"/>
        </w:rPr>
        <w:t>un servicio público universal, abie</w:t>
      </w:r>
      <w:r>
        <w:rPr>
          <w:rFonts w:ascii="Times New Roman" w:hAnsi="Times New Roman" w:cs="Times New Roman"/>
          <w:sz w:val="24"/>
          <w:szCs w:val="24"/>
        </w:rPr>
        <w:t>rto y operativo 24 horas al día”</w:t>
      </w:r>
      <w:r w:rsidRPr="00F84EA5">
        <w:rPr>
          <w:rFonts w:ascii="Times New Roman" w:hAnsi="Times New Roman" w:cs="Times New Roman"/>
          <w:sz w:val="24"/>
          <w:szCs w:val="24"/>
        </w:rPr>
        <w:t>, y destacó que este informe introduce un cambio relevante en la metodología.</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El análisis ha incorporado tecnología de inteligencia artificial mediante el sistema ASIMOB, que utiliza cámaras instaladas en vehículos en circulación para detectar defectos en el pavimento. Esto ha permitido examinar 4.000 kilómetros de carretera, frente a los 300 analizados en estudios previos, que se basaban en la inspección visual de equipos humanos.</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Evolución de la red viaria y movilidad</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La red de carreteras española suma 165.705 kilómetros, de los cuales 26.525 corresponden a la Red de Carreteras del Estado. Desde 1985, el número de kilómetros se ha duplicado, al tiempo que el parque de vehículos ha pasado de 12 millones a más de 37 millones en la actualidad.</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lastRenderedPageBreak/>
        <w:t>El aumento del tráfico también ha sido constante. En 2023, los desplazamientos de largo recorrido por vías interurbanas crecieron un 2% respecto al año anterior, y en 2024 lo hicieron en un 3,15%, alcanzando los 448 millones de viajes.</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Carreteras deterioradas y seguridad vial</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Aunque el informe no establece una relación directa entre el estado del pavimento y la siniestralidad, Jacobo Díaz, el director general de la AEC, señaló que una mala conservación reduce la seguridad al dificultar la reacción de los conductores. Sin embargo, puntualizó que las vías en peor estado no son necesariamente las que concentran más accidentes, ya que los conductores suelen ajustar su velocidad a las condiciones del firme. Díaz subrayó que cuando una administración limita la velocidad por debajo de lo que la carretera permitiría por diseño, es una señal de que la vía está en mal estado.</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La inversión pública y el papel de las CCAA</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En materia de inversión, el Ministerio de Transportes anunció a finales de 2024 una inversión récord de 1.548 millones de euros en conservación de la Red del Estado. Por su parte, la Asociación de Empresas de Conservación y Explotación de Infraestructuras (ACEX) estima que serían necesarios 1.610 millones anuales para un mantenimiento óptimo, a lo que habría que añadir 1.628 millones en la red autonómica y 694 millones en la red provincial.</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El Instituto Valenciano de Investigaciones Económicas (IVIE) también ha constatado que la inversión en infraestructuras viarias ha recuperado peso en los últimos años, alcanzando más del 30% del total de inversión en infraestructuras en 2024.</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Un reto de conservación urgente</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Durante la presentación, Lazcano advirtió de que sin presupuestos suficientes el deterioro seguirá un patrón exponencial. Tanto él como Enrique Miralles, director técnico de la AEC, insistieron en que existe capacidad empresarial y compromiso por parte de las comunidades autónomas para afrontar las actuaciones necesarias, siempre que dispongan de financiación adecuada.</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 xml:space="preserve">- </w:t>
      </w:r>
      <w:r w:rsidRPr="00F84EA5">
        <w:rPr>
          <w:rFonts w:ascii="Times New Roman" w:hAnsi="Times New Roman" w:cs="Times New Roman"/>
          <w:sz w:val="24"/>
          <w:szCs w:val="24"/>
          <w:u w:val="single"/>
        </w:rPr>
        <w:t>Bruselas señala a España como el país con más incendios pero a la cola en gasto para prevenirlos</w:t>
      </w:r>
      <w:r w:rsidRPr="00F84EA5">
        <w:rPr>
          <w:rFonts w:ascii="Times New Roman" w:hAnsi="Times New Roman" w:cs="Times New Roman"/>
          <w:sz w:val="24"/>
          <w:szCs w:val="24"/>
        </w:rPr>
        <w:t xml:space="preserve"> (Vozpópuli - </w:t>
      </w:r>
      <w:r w:rsidRPr="00F84EA5">
        <w:rPr>
          <w:rFonts w:ascii="Times New Roman" w:hAnsi="Times New Roman" w:cs="Times New Roman"/>
          <w:b/>
          <w:sz w:val="24"/>
          <w:szCs w:val="24"/>
        </w:rPr>
        <w:t>27/8/25</w:t>
      </w:r>
      <w:r w:rsidRPr="00F84EA5">
        <w:rPr>
          <w:rFonts w:ascii="Times New Roman" w:hAnsi="Times New Roman" w:cs="Times New Roman"/>
          <w:sz w:val="24"/>
          <w:szCs w:val="24"/>
        </w:rPr>
        <w:t xml:space="preserve">) </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España dedica un 0,4% del gasto público a la prevención de incendios, por debajo de la media de la UE, pese a ser el país que más sufre</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(Por Beatriz Triguero)</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Conociendo con la ola de incendios forestales que ha arrasado ya más de 400.000 hectáreas en España, Bruselas ha publicado un nuevo análisis sobre los esfuerzos de los países para luchar contra ellos. Y aunque España es el país de la Unión Europea (UE) que más sufre, es el decimoquinto en gasto para prevenirlos.</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Las estadísticas que difunde la Comisión Europea, actualizadas con datos referentes al año 2023, reflejan cómo en aquel año registró 7.748 incendios, récord entre los Estados miembros de la UE. Se quemaron cerca de 90.000 hectáreas, una cifra que en aquel año sólo superó Grecia y que este año ya se ha cuadruplicado.</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 xml:space="preserve">Para tener una fotografía más completa, Bruselas acumula los datos de los últimos 40 años. En esta imagen España y Portugal también quedan retratados como los países más afectados </w:t>
      </w:r>
      <w:r w:rsidRPr="00F84EA5">
        <w:rPr>
          <w:rFonts w:ascii="Times New Roman" w:hAnsi="Times New Roman" w:cs="Times New Roman"/>
          <w:sz w:val="24"/>
          <w:szCs w:val="24"/>
        </w:rPr>
        <w:lastRenderedPageBreak/>
        <w:t>históricamente por los incendios, con 600.000 y 800.000 acumulados desde 1980, respectivamente.</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noProof/>
          <w:sz w:val="24"/>
          <w:szCs w:val="24"/>
          <w:lang w:eastAsia="es-ES"/>
        </w:rPr>
        <w:drawing>
          <wp:inline distT="0" distB="0" distL="0" distR="0" wp14:anchorId="1EFAA836" wp14:editId="1113E36E">
            <wp:extent cx="5727700" cy="2997200"/>
            <wp:effectExtent l="0" t="0" r="6350" b="0"/>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2999194"/>
                    </a:xfrm>
                    <a:prstGeom prst="rect">
                      <a:avLst/>
                    </a:prstGeom>
                  </pic:spPr>
                </pic:pic>
              </a:graphicData>
            </a:graphic>
          </wp:inline>
        </w:drawing>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Dos países que, por el contrario, no destacan por su gasto en prevención y lucha contra los incendios forestales. Según la estadística de Eurostat, España se sitúa a la cola en inversión al dedicar a estos servicios de protección un 0,4% del gasto público, lo que en 2023 equivalía a menos de 3.000 millones de euros anuales.</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 xml:space="preserve">Desde 2015 las administraciones españolas dedican el mismo porcentaje del gasto público a esta partida, situándose desde 2017 por debajo de la media de la UE (0,5%). Rumanía destaca como el país con más gasto, un 0,9%; seguido de Estonia (0,7%), Grecia (0,7%), República Checa (0,6%) y Alemania (0,6%). </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noProof/>
          <w:sz w:val="24"/>
          <w:szCs w:val="24"/>
          <w:lang w:eastAsia="es-ES"/>
        </w:rPr>
        <w:drawing>
          <wp:inline distT="0" distB="0" distL="0" distR="0" wp14:anchorId="4308B533" wp14:editId="401C2EE2">
            <wp:extent cx="5726954" cy="3390900"/>
            <wp:effectExtent l="0" t="0" r="7620" b="0"/>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3393598"/>
                    </a:xfrm>
                    <a:prstGeom prst="rect">
                      <a:avLst/>
                    </a:prstGeom>
                  </pic:spPr>
                </pic:pic>
              </a:graphicData>
            </a:graphic>
          </wp:inline>
        </w:drawing>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lastRenderedPageBreak/>
        <w:t>El papel de las CCAA y el Estado</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La mayor parte del gasto lo ejecutan las comunidades autónomas y las entidades locales al ser las competentes en materia de prevención y extinción de incendios forestales en sus territorios. Según los datos de Eurostat, aportan un 69% del total, cerca de 1.900 millones de euros.</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Por su parte, la Administración General del Estado (AGE) apoya a las autonomías con una inversión próxima a los 1.000 millones, según los mismos datos. El Gobierno aprueba cada verano un Plan con medidas que implican a la Unidad Militar de Emergencias (UME) y a las Brigadas de Refuerzo en Incendios Forestales (BRIF).</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En el ámbito de la AGE, el mayor peso en las tareas de prevención y extinción recae en el Ministerio para la Transición Ecológica y el Reto Demográfico, que asumió esa misión tras la activación -en 2021- del Plan de Recuperación, Transformación y Resiliencia. Anteriormente, esa responsabilidad recaía en el Ministerio de Agricultura.</w:t>
      </w:r>
    </w:p>
    <w:p w:rsidR="00855BCF" w:rsidRPr="00F84EA5" w:rsidRDefault="00855BCF" w:rsidP="00855BCF">
      <w:pPr>
        <w:spacing w:line="240" w:lineRule="auto"/>
        <w:jc w:val="both"/>
        <w:rPr>
          <w:rFonts w:ascii="Times New Roman" w:hAnsi="Times New Roman" w:cs="Times New Roman"/>
          <w:sz w:val="24"/>
          <w:szCs w:val="24"/>
        </w:rPr>
      </w:pPr>
      <w:r w:rsidRPr="00F84EA5">
        <w:rPr>
          <w:rFonts w:ascii="Times New Roman" w:hAnsi="Times New Roman" w:cs="Times New Roman"/>
          <w:sz w:val="24"/>
          <w:szCs w:val="24"/>
        </w:rPr>
        <w:t>La Comisión también analiza el porcentaje de bomberos con los que cuentan los países y España, de nuevo, se sitúa en una posición intermedia. Con datos actualizados a 2024, los cerca de 22.000 profesionales suponen un 0,18% de todos los trabajadores del país, también ligeramente por debajo de la media europea.</w:t>
      </w:r>
    </w:p>
    <w:p w:rsidR="00855BCF" w:rsidRPr="00855BCF" w:rsidRDefault="00855BCF" w:rsidP="00855BCF">
      <w:pPr>
        <w:spacing w:line="240" w:lineRule="auto"/>
        <w:jc w:val="both"/>
        <w:rPr>
          <w:rFonts w:ascii="Times New Roman" w:hAnsi="Times New Roman" w:cs="Times New Roman"/>
          <w:color w:val="FF0000"/>
          <w:sz w:val="24"/>
          <w:szCs w:val="24"/>
        </w:rPr>
      </w:pPr>
      <w:r w:rsidRPr="00855BCF">
        <w:rPr>
          <w:rFonts w:ascii="Times New Roman" w:hAnsi="Times New Roman" w:cs="Times New Roman"/>
          <w:b/>
          <w:color w:val="FF0000"/>
          <w:sz w:val="24"/>
          <w:szCs w:val="24"/>
        </w:rPr>
        <w:t xml:space="preserve">Nota: </w:t>
      </w:r>
      <w:r w:rsidRPr="00855BCF">
        <w:rPr>
          <w:rFonts w:ascii="Times New Roman" w:hAnsi="Times New Roman" w:cs="Times New Roman"/>
          <w:color w:val="FF0000"/>
          <w:sz w:val="24"/>
          <w:szCs w:val="24"/>
        </w:rPr>
        <w:t>Del día del “caos”</w:t>
      </w:r>
      <w:r w:rsidR="002439AA">
        <w:rPr>
          <w:rFonts w:ascii="Times New Roman" w:hAnsi="Times New Roman" w:cs="Times New Roman"/>
          <w:color w:val="FF0000"/>
          <w:sz w:val="24"/>
          <w:szCs w:val="24"/>
        </w:rPr>
        <w:t>,</w:t>
      </w:r>
      <w:r w:rsidRPr="00855BCF">
        <w:rPr>
          <w:rFonts w:ascii="Times New Roman" w:hAnsi="Times New Roman" w:cs="Times New Roman"/>
          <w:color w:val="FF0000"/>
          <w:sz w:val="24"/>
          <w:szCs w:val="24"/>
        </w:rPr>
        <w:t xml:space="preserve"> al día de la “marmota” (¿Y usted dónde se encuentra más a gusto: en el lado del “caos”, o en el lado de la “marmota”?)</w:t>
      </w:r>
    </w:p>
    <w:p w:rsidR="00855BCF" w:rsidRPr="00855BCF" w:rsidRDefault="00855BCF" w:rsidP="00855BCF">
      <w:pPr>
        <w:spacing w:line="240" w:lineRule="auto"/>
        <w:jc w:val="both"/>
        <w:rPr>
          <w:rFonts w:ascii="Times New Roman" w:hAnsi="Times New Roman" w:cs="Times New Roman"/>
          <w:color w:val="FF0000"/>
          <w:sz w:val="24"/>
          <w:szCs w:val="24"/>
        </w:rPr>
      </w:pPr>
      <w:r w:rsidRPr="00855BCF">
        <w:rPr>
          <w:rFonts w:ascii="Times New Roman" w:hAnsi="Times New Roman" w:cs="Times New Roman"/>
          <w:color w:val="FF0000"/>
          <w:sz w:val="24"/>
          <w:szCs w:val="24"/>
        </w:rPr>
        <w:t>Un modelo insostenible (como le gustaría decir a Dalí exagerando la “l” “insostenibllle”)</w:t>
      </w:r>
    </w:p>
    <w:p w:rsidR="00855BCF" w:rsidRPr="00553DB0" w:rsidRDefault="00855BCF" w:rsidP="00855BCF">
      <w:pPr>
        <w:spacing w:line="240" w:lineRule="auto"/>
        <w:jc w:val="both"/>
        <w:rPr>
          <w:rFonts w:ascii="Times New Roman" w:hAnsi="Times New Roman" w:cs="Times New Roman"/>
          <w:color w:val="FF0000"/>
          <w:sz w:val="24"/>
          <w:szCs w:val="24"/>
          <w:shd w:val="clear" w:color="auto" w:fill="FFFFFF"/>
        </w:rPr>
      </w:pPr>
      <w:r w:rsidRPr="00553DB0">
        <w:rPr>
          <w:rFonts w:ascii="Times New Roman" w:hAnsi="Times New Roman" w:cs="Times New Roman"/>
          <w:color w:val="FF0000"/>
          <w:sz w:val="24"/>
          <w:szCs w:val="24"/>
          <w:shd w:val="clear" w:color="auto" w:fill="FFFFFF"/>
        </w:rPr>
        <w:t>Mi propuesta pasa por privatizar la mayoría de los servicios públicos nacionales, autonómicos y municipales, y concentrar el esfuerzo (y gasto) público en controlar el resultado de la prestación del servicio por parte del sector privado.</w:t>
      </w:r>
    </w:p>
    <w:p w:rsidR="00855BCF" w:rsidRPr="00B61562" w:rsidRDefault="00855BCF" w:rsidP="00855BCF">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En España, varios servicios públicos han sido objeto de privatización o podrían serlo en el futuro, incluyendo partes de la sanidad, la educación, la gestión de residuos y el transporte público. La privatización implica la transferencia de la titularidad, gestión o control de estos servicios a empresas privadas. </w:t>
      </w:r>
    </w:p>
    <w:p w:rsidR="00855BCF" w:rsidRPr="00B61562" w:rsidRDefault="00855BCF" w:rsidP="00855BCF">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Servicios con potencial de privatización:</w:t>
      </w:r>
    </w:p>
    <w:p w:rsidR="00855BCF" w:rsidRPr="00B61562" w:rsidRDefault="00855BCF" w:rsidP="00855BCF">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Sanidad: La gestión de hospitales y centros de salud, así como la contratación de servicios sanitarios a empresas privadas, es un área donde la privatización ha sido una práctica común, aunque controvertida. (Este asunto se tratará más adelante)</w:t>
      </w:r>
    </w:p>
    <w:p w:rsidR="00855BCF" w:rsidRPr="00B61562" w:rsidRDefault="00855BCF" w:rsidP="00855BCF">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Educación: La gestión de colegios y universidades, así como la contratación de servicios educativos a empresas privadas, es otro ámbito donde se ha explorado la privatización. (Este asunto se tratará más adelante)</w:t>
      </w:r>
    </w:p>
    <w:p w:rsidR="00855BCF" w:rsidRPr="00B61562" w:rsidRDefault="00855BCF" w:rsidP="00855BCF">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Gestión de residuos: La recogida, tratamiento y eliminación de residuos son servicios que a menudo son gestionados por empresas privadas, con diferentes niveles de involucración del sector público. </w:t>
      </w:r>
    </w:p>
    <w:p w:rsidR="00855BCF" w:rsidRPr="00B61562" w:rsidRDefault="00855BCF" w:rsidP="00855BCF">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Transporte público: La gestión de líneas de autobús, metro y trenes puede ser privatizada, ya sea en su totalidad o en parte, a través de concesiones a empresas privadas. </w:t>
      </w:r>
    </w:p>
    <w:p w:rsidR="00855BCF" w:rsidRPr="00B61562" w:rsidRDefault="00855BCF" w:rsidP="00855BCF">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lastRenderedPageBreak/>
        <w:t xml:space="preserve">Servicios de atención al ciudadano: Algunas administraciones públicas han externalizado servicios de atención al ciudadano a empresas privadas, como la gestión de oficinas de información o atención telefónica. </w:t>
      </w:r>
    </w:p>
    <w:p w:rsidR="00855BCF" w:rsidRPr="00B61562" w:rsidRDefault="00855BCF" w:rsidP="00855BCF">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Infraestructuras: La construcción y gestión de infraestructuras como carreteras, aeropuertos y puertos pueden ser objeto de privatización, ya sea mediante concesiones o venta de activos. </w:t>
      </w:r>
    </w:p>
    <w:p w:rsidR="00855BCF" w:rsidRPr="00B61562" w:rsidRDefault="00855BCF" w:rsidP="00855BCF">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Justicia: La administración de centros penitenciarios y la prestación de servicios legales a través de empresas privadas son ejemplos de áreas donde la privatización ha sido discutida. </w:t>
      </w:r>
    </w:p>
    <w:p w:rsidR="00855BCF" w:rsidRPr="00B61562" w:rsidRDefault="00855BCF" w:rsidP="00855BCF">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Energía y agua: La gestión de empresas públicas de energía y agua ha sido objeto de privatizaciones parciales o totales en el pasado, y podría seguir siendo un área de interés en el futuro. </w:t>
      </w:r>
    </w:p>
    <w:p w:rsidR="00855BCF" w:rsidRPr="00B61562" w:rsidRDefault="00855BCF" w:rsidP="00855BCF">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Según algunos analistas, la privatización de servicios públicos es un tema complejo con implicaciones tanto positivas como negativas. Algunos argumentos a favor de la privatización incluyen una mayor eficiencia, reducción de costos y la introducción de innovación y tecnología. Sin embargo, también existen preocupaciones sobre la calidad del servicio, el acceso equitativo, el impacto en los trabajadores y el posible aumento de precios. Es crucial evaluar cuidadosamente los beneficios y riesgos de la privatización en cada caso particular, teniendo en cuenta las necesidades y prioridades de la sociedad.  </w:t>
      </w:r>
    </w:p>
    <w:p w:rsidR="00855BCF" w:rsidRPr="00B61562" w:rsidRDefault="00855BCF" w:rsidP="00855BCF">
      <w:pPr>
        <w:shd w:val="clear" w:color="auto" w:fill="FFFFFF"/>
        <w:spacing w:after="180" w:line="240" w:lineRule="auto"/>
        <w:jc w:val="both"/>
        <w:rPr>
          <w:rFonts w:ascii="Times New Roman" w:eastAsia="Times New Roman" w:hAnsi="Times New Roman" w:cs="Times New Roman"/>
          <w:sz w:val="24"/>
          <w:szCs w:val="24"/>
          <w:lang w:eastAsia="es-ES"/>
        </w:rPr>
      </w:pPr>
      <w:r w:rsidRPr="00B61562">
        <w:rPr>
          <w:rFonts w:ascii="Times New Roman" w:eastAsia="Times New Roman" w:hAnsi="Times New Roman" w:cs="Times New Roman"/>
          <w:sz w:val="24"/>
          <w:szCs w:val="24"/>
          <w:lang w:eastAsia="es-ES"/>
        </w:rPr>
        <w:t>¿Cuáles son algunos argumentos a favor de la privatización?</w:t>
      </w:r>
    </w:p>
    <w:p w:rsidR="00855BCF" w:rsidRPr="00B61562" w:rsidRDefault="00855BCF" w:rsidP="00855BCF">
      <w:pPr>
        <w:shd w:val="clear" w:color="auto" w:fill="FFFFFF"/>
        <w:spacing w:after="150" w:line="240" w:lineRule="auto"/>
        <w:jc w:val="both"/>
        <w:rPr>
          <w:rFonts w:ascii="Times New Roman" w:eastAsia="Times New Roman" w:hAnsi="Times New Roman" w:cs="Times New Roman"/>
          <w:sz w:val="24"/>
          <w:szCs w:val="24"/>
          <w:lang w:eastAsia="es-ES"/>
        </w:rPr>
      </w:pPr>
      <w:r w:rsidRPr="00B61562">
        <w:rPr>
          <w:rFonts w:ascii="Times New Roman" w:eastAsia="Times New Roman" w:hAnsi="Times New Roman" w:cs="Times New Roman"/>
          <w:sz w:val="24"/>
          <w:szCs w:val="24"/>
          <w:lang w:eastAsia="es-ES"/>
        </w:rPr>
        <w:t>La privatización se lleva a cabo por muchas razones. Algunas de las más importantes son: disminuir gastos del gobierno, proporcionar a las empresas una administración más eficiente, con tecnologías mejoradas, y atraer la inversión privada.</w:t>
      </w:r>
    </w:p>
    <w:p w:rsidR="00855BCF" w:rsidRPr="00B61562" w:rsidRDefault="00855BCF" w:rsidP="00855BCF">
      <w:pPr>
        <w:shd w:val="clear" w:color="auto" w:fill="FFFFFF"/>
        <w:spacing w:after="180" w:line="240" w:lineRule="auto"/>
        <w:jc w:val="both"/>
        <w:rPr>
          <w:rFonts w:ascii="Times New Roman" w:eastAsia="Times New Roman" w:hAnsi="Times New Roman" w:cs="Times New Roman"/>
          <w:sz w:val="24"/>
          <w:szCs w:val="24"/>
          <w:lang w:eastAsia="es-ES"/>
        </w:rPr>
      </w:pPr>
      <w:r w:rsidRPr="00B61562">
        <w:rPr>
          <w:rFonts w:ascii="Times New Roman" w:eastAsia="Times New Roman" w:hAnsi="Times New Roman" w:cs="Times New Roman"/>
          <w:sz w:val="24"/>
          <w:szCs w:val="24"/>
          <w:lang w:eastAsia="es-ES"/>
        </w:rPr>
        <w:t>¿Cuáles son las ventajas de la privatización?</w:t>
      </w:r>
    </w:p>
    <w:p w:rsidR="00855BCF" w:rsidRPr="00B61562" w:rsidRDefault="00855BCF" w:rsidP="00855BCF">
      <w:pPr>
        <w:numPr>
          <w:ilvl w:val="0"/>
          <w:numId w:val="10"/>
        </w:numPr>
        <w:shd w:val="clear" w:color="auto" w:fill="FFFFFF"/>
        <w:spacing w:after="60" w:line="240" w:lineRule="auto"/>
        <w:ind w:left="0"/>
        <w:jc w:val="both"/>
        <w:rPr>
          <w:rFonts w:ascii="Times New Roman" w:eastAsia="Times New Roman" w:hAnsi="Times New Roman" w:cs="Times New Roman"/>
          <w:sz w:val="24"/>
          <w:szCs w:val="24"/>
          <w:lang w:eastAsia="es-ES"/>
        </w:rPr>
      </w:pPr>
      <w:r w:rsidRPr="00B61562">
        <w:rPr>
          <w:rFonts w:ascii="Times New Roman" w:eastAsia="Times New Roman" w:hAnsi="Times New Roman" w:cs="Times New Roman"/>
          <w:sz w:val="24"/>
          <w:szCs w:val="24"/>
          <w:lang w:eastAsia="es-ES"/>
        </w:rPr>
        <w:t>Imponer ciertos principios de competencia que todo proceso de </w:t>
      </w:r>
      <w:r w:rsidRPr="00B61562">
        <w:rPr>
          <w:rFonts w:ascii="Times New Roman" w:eastAsia="Times New Roman" w:hAnsi="Times New Roman" w:cs="Times New Roman"/>
          <w:bCs/>
          <w:sz w:val="24"/>
          <w:szCs w:val="24"/>
          <w:lang w:eastAsia="es-ES"/>
        </w:rPr>
        <w:t>privatización</w:t>
      </w:r>
      <w:r w:rsidRPr="00B61562">
        <w:rPr>
          <w:rFonts w:ascii="Times New Roman" w:eastAsia="Times New Roman" w:hAnsi="Times New Roman" w:cs="Times New Roman"/>
          <w:sz w:val="24"/>
          <w:szCs w:val="24"/>
          <w:lang w:eastAsia="es-ES"/>
        </w:rPr>
        <w:t xml:space="preserve"> debe llevar consigo. </w:t>
      </w:r>
    </w:p>
    <w:p w:rsidR="00855BCF" w:rsidRPr="00B61562" w:rsidRDefault="00855BCF" w:rsidP="00855BCF">
      <w:pPr>
        <w:numPr>
          <w:ilvl w:val="0"/>
          <w:numId w:val="10"/>
        </w:numPr>
        <w:shd w:val="clear" w:color="auto" w:fill="FFFFFF"/>
        <w:spacing w:after="60" w:line="240" w:lineRule="auto"/>
        <w:ind w:left="0"/>
        <w:jc w:val="both"/>
        <w:rPr>
          <w:rFonts w:ascii="Times New Roman" w:eastAsia="Times New Roman" w:hAnsi="Times New Roman" w:cs="Times New Roman"/>
          <w:sz w:val="24"/>
          <w:szCs w:val="24"/>
          <w:lang w:eastAsia="es-ES"/>
        </w:rPr>
      </w:pPr>
      <w:r w:rsidRPr="00B61562">
        <w:rPr>
          <w:rFonts w:ascii="Times New Roman" w:eastAsia="Times New Roman" w:hAnsi="Times New Roman" w:cs="Times New Roman"/>
          <w:sz w:val="24"/>
          <w:szCs w:val="24"/>
          <w:lang w:eastAsia="es-ES"/>
        </w:rPr>
        <w:t xml:space="preserve">Reducir las distorsiones económicas provocadas por las interferencias políticas en el sector público empresarial. </w:t>
      </w:r>
    </w:p>
    <w:p w:rsidR="00855BCF" w:rsidRPr="00B61562" w:rsidRDefault="00855BCF" w:rsidP="00855BCF">
      <w:pPr>
        <w:numPr>
          <w:ilvl w:val="0"/>
          <w:numId w:val="10"/>
        </w:numPr>
        <w:shd w:val="clear" w:color="auto" w:fill="FFFFFF"/>
        <w:spacing w:line="240" w:lineRule="auto"/>
        <w:ind w:left="0"/>
        <w:jc w:val="both"/>
        <w:rPr>
          <w:rFonts w:ascii="Times New Roman" w:eastAsia="Times New Roman" w:hAnsi="Times New Roman" w:cs="Times New Roman"/>
          <w:sz w:val="24"/>
          <w:szCs w:val="24"/>
          <w:lang w:eastAsia="es-ES"/>
        </w:rPr>
      </w:pPr>
      <w:r w:rsidRPr="00B61562">
        <w:rPr>
          <w:rFonts w:ascii="Times New Roman" w:eastAsia="Times New Roman" w:hAnsi="Times New Roman" w:cs="Times New Roman"/>
          <w:sz w:val="24"/>
          <w:szCs w:val="24"/>
          <w:lang w:eastAsia="es-ES"/>
        </w:rPr>
        <w:t>Disminución del déficit del Estado.</w:t>
      </w:r>
    </w:p>
    <w:p w:rsidR="00855BCF" w:rsidRPr="00B61562" w:rsidRDefault="00855BCF" w:rsidP="00855BCF">
      <w:pPr>
        <w:shd w:val="clear" w:color="auto" w:fill="FFFFFF"/>
        <w:spacing w:line="240" w:lineRule="auto"/>
        <w:jc w:val="both"/>
        <w:rPr>
          <w:rFonts w:ascii="Times New Roman" w:eastAsia="Times New Roman" w:hAnsi="Times New Roman" w:cs="Times New Roman"/>
          <w:sz w:val="24"/>
          <w:szCs w:val="24"/>
          <w:lang w:eastAsia="es-ES"/>
        </w:rPr>
      </w:pPr>
      <w:r w:rsidRPr="00B61562">
        <w:rPr>
          <w:rFonts w:ascii="Times New Roman" w:eastAsia="Times New Roman" w:hAnsi="Times New Roman" w:cs="Times New Roman"/>
          <w:sz w:val="24"/>
          <w:szCs w:val="24"/>
          <w:lang w:eastAsia="es-ES"/>
        </w:rPr>
        <w:t xml:space="preserve">La privatización de servicios públicos en España puede ocurrir a través de varios mecanismos, como la venta de activos públicos, la concesión de servicios a empresas privadas, o la liberalización de mercados que antes eran monopolios estatales. Estos procesos pueden implicar la transferencia de la propiedad de empresas o la externalización de funciones y servicios públicos a entidades privadas. </w:t>
      </w:r>
    </w:p>
    <w:p w:rsidR="00855BCF" w:rsidRPr="00B61562" w:rsidRDefault="00855BCF" w:rsidP="00855BCF">
      <w:pPr>
        <w:shd w:val="clear" w:color="auto" w:fill="FFFFFF"/>
        <w:spacing w:line="240" w:lineRule="auto"/>
        <w:jc w:val="both"/>
        <w:rPr>
          <w:rFonts w:ascii="Times New Roman" w:eastAsia="Times New Roman" w:hAnsi="Times New Roman" w:cs="Times New Roman"/>
          <w:sz w:val="24"/>
          <w:szCs w:val="24"/>
          <w:lang w:eastAsia="es-ES"/>
        </w:rPr>
      </w:pPr>
      <w:r w:rsidRPr="00B61562">
        <w:rPr>
          <w:rFonts w:ascii="Times New Roman" w:eastAsia="Times New Roman" w:hAnsi="Times New Roman" w:cs="Times New Roman"/>
          <w:sz w:val="24"/>
          <w:szCs w:val="24"/>
          <w:lang w:eastAsia="es-ES"/>
        </w:rPr>
        <w:t>Formas de Privatización:</w:t>
      </w:r>
    </w:p>
    <w:p w:rsidR="00855BCF" w:rsidRPr="00B61562" w:rsidRDefault="00855BCF" w:rsidP="00855BCF">
      <w:pPr>
        <w:shd w:val="clear" w:color="auto" w:fill="FFFFFF"/>
        <w:spacing w:line="240" w:lineRule="auto"/>
        <w:jc w:val="both"/>
        <w:rPr>
          <w:rFonts w:ascii="Times New Roman" w:eastAsia="Times New Roman" w:hAnsi="Times New Roman" w:cs="Times New Roman"/>
          <w:sz w:val="24"/>
          <w:szCs w:val="24"/>
          <w:lang w:eastAsia="es-ES"/>
        </w:rPr>
      </w:pPr>
      <w:r w:rsidRPr="00B61562">
        <w:rPr>
          <w:rFonts w:ascii="Times New Roman" w:eastAsia="Times New Roman" w:hAnsi="Times New Roman" w:cs="Times New Roman"/>
          <w:sz w:val="24"/>
          <w:szCs w:val="24"/>
          <w:lang w:eastAsia="es-ES"/>
        </w:rPr>
        <w:t xml:space="preserve">Venta de activos: El Estado puede vender empresas públicas o participaciones en ellas al sector privado. </w:t>
      </w:r>
    </w:p>
    <w:p w:rsidR="00855BCF" w:rsidRPr="00B61562" w:rsidRDefault="00855BCF" w:rsidP="00855BCF">
      <w:pPr>
        <w:shd w:val="clear" w:color="auto" w:fill="FFFFFF"/>
        <w:spacing w:line="240" w:lineRule="auto"/>
        <w:jc w:val="both"/>
        <w:rPr>
          <w:rFonts w:ascii="Times New Roman" w:eastAsia="Times New Roman" w:hAnsi="Times New Roman" w:cs="Times New Roman"/>
          <w:sz w:val="24"/>
          <w:szCs w:val="24"/>
          <w:lang w:eastAsia="es-ES"/>
        </w:rPr>
      </w:pPr>
      <w:r w:rsidRPr="00B61562">
        <w:rPr>
          <w:rFonts w:ascii="Times New Roman" w:eastAsia="Times New Roman" w:hAnsi="Times New Roman" w:cs="Times New Roman"/>
          <w:sz w:val="24"/>
          <w:szCs w:val="24"/>
          <w:lang w:eastAsia="es-ES"/>
        </w:rPr>
        <w:t xml:space="preserve">Concesiones: Se otorgan contratos a empresas privadas para que gestionen y exploten servicios públicos por un período determinado. </w:t>
      </w:r>
    </w:p>
    <w:p w:rsidR="00855BCF" w:rsidRPr="00B61562" w:rsidRDefault="00855BCF" w:rsidP="00855BCF">
      <w:pPr>
        <w:shd w:val="clear" w:color="auto" w:fill="FFFFFF"/>
        <w:spacing w:line="240" w:lineRule="auto"/>
        <w:jc w:val="both"/>
        <w:rPr>
          <w:rFonts w:ascii="Times New Roman" w:eastAsia="Times New Roman" w:hAnsi="Times New Roman" w:cs="Times New Roman"/>
          <w:sz w:val="24"/>
          <w:szCs w:val="24"/>
          <w:lang w:eastAsia="es-ES"/>
        </w:rPr>
      </w:pPr>
      <w:r w:rsidRPr="00B61562">
        <w:rPr>
          <w:rFonts w:ascii="Times New Roman" w:eastAsia="Times New Roman" w:hAnsi="Times New Roman" w:cs="Times New Roman"/>
          <w:sz w:val="24"/>
          <w:szCs w:val="24"/>
          <w:lang w:eastAsia="es-ES"/>
        </w:rPr>
        <w:t xml:space="preserve">Externalización: Se contrata a empresas privadas para que realicen funciones o servicios que antes eran gestionados por el Estado. </w:t>
      </w:r>
    </w:p>
    <w:p w:rsidR="00855BCF" w:rsidRPr="00B61562" w:rsidRDefault="00855BCF" w:rsidP="00855BCF">
      <w:pPr>
        <w:shd w:val="clear" w:color="auto" w:fill="FFFFFF"/>
        <w:spacing w:line="240" w:lineRule="auto"/>
        <w:jc w:val="both"/>
        <w:rPr>
          <w:rFonts w:ascii="Times New Roman" w:eastAsia="Times New Roman" w:hAnsi="Times New Roman" w:cs="Times New Roman"/>
          <w:sz w:val="24"/>
          <w:szCs w:val="24"/>
          <w:lang w:eastAsia="es-ES"/>
        </w:rPr>
      </w:pPr>
      <w:r w:rsidRPr="00B61562">
        <w:rPr>
          <w:rFonts w:ascii="Times New Roman" w:eastAsia="Times New Roman" w:hAnsi="Times New Roman" w:cs="Times New Roman"/>
          <w:sz w:val="24"/>
          <w:szCs w:val="24"/>
          <w:lang w:eastAsia="es-ES"/>
        </w:rPr>
        <w:lastRenderedPageBreak/>
        <w:t>Liberalización de mercados: Se abren mercados previamente monopolizados por el Estado a la competencia privada.</w:t>
      </w:r>
    </w:p>
    <w:p w:rsidR="00855BCF" w:rsidRDefault="00855BCF" w:rsidP="00855BCF">
      <w:pPr>
        <w:spacing w:line="240" w:lineRule="auto"/>
        <w:jc w:val="both"/>
        <w:rPr>
          <w:rFonts w:ascii="Times New Roman" w:hAnsi="Times New Roman" w:cs="Times New Roman"/>
          <w:color w:val="FF0000"/>
          <w:sz w:val="24"/>
          <w:szCs w:val="24"/>
          <w:shd w:val="clear" w:color="auto" w:fill="FFFFFF"/>
        </w:rPr>
      </w:pPr>
      <w:r w:rsidRPr="00A00D3C">
        <w:rPr>
          <w:rFonts w:ascii="Times New Roman" w:hAnsi="Times New Roman" w:cs="Times New Roman"/>
          <w:color w:val="FF0000"/>
          <w:sz w:val="24"/>
          <w:szCs w:val="24"/>
          <w:shd w:val="clear" w:color="auto" w:fill="FFFFFF"/>
        </w:rPr>
        <w:t>- Reducir el gabinete de ministros del Gobierno a un máximo de 8/10 miembros</w:t>
      </w:r>
    </w:p>
    <w:p w:rsidR="00855BCF" w:rsidRPr="00C758AD" w:rsidRDefault="00855BCF" w:rsidP="00855BCF">
      <w:pPr>
        <w:spacing w:line="240" w:lineRule="auto"/>
        <w:jc w:val="both"/>
        <w:rPr>
          <w:rFonts w:ascii="Times New Roman" w:hAnsi="Times New Roman" w:cs="Times New Roman"/>
          <w:sz w:val="24"/>
          <w:szCs w:val="24"/>
          <w:shd w:val="clear" w:color="auto" w:fill="FFFFFF"/>
        </w:rPr>
      </w:pPr>
      <w:r w:rsidRPr="00C758AD">
        <w:rPr>
          <w:rFonts w:ascii="Times New Roman" w:hAnsi="Times New Roman" w:cs="Times New Roman"/>
          <w:sz w:val="24"/>
          <w:szCs w:val="24"/>
          <w:shd w:val="clear" w:color="auto" w:fill="FFFFFF"/>
        </w:rPr>
        <w:t>Presidencia del Gobierno</w:t>
      </w:r>
    </w:p>
    <w:p w:rsidR="00855BCF" w:rsidRPr="00C758AD" w:rsidRDefault="00855BCF" w:rsidP="00855BCF">
      <w:pPr>
        <w:spacing w:line="240" w:lineRule="auto"/>
        <w:jc w:val="both"/>
        <w:rPr>
          <w:rFonts w:ascii="Times New Roman" w:hAnsi="Times New Roman" w:cs="Times New Roman"/>
          <w:color w:val="FF0000"/>
          <w:sz w:val="24"/>
          <w:szCs w:val="24"/>
          <w:shd w:val="clear" w:color="auto" w:fill="FFFFFF"/>
        </w:rPr>
      </w:pPr>
      <w:r w:rsidRPr="00C758AD">
        <w:rPr>
          <w:rFonts w:ascii="Times New Roman" w:hAnsi="Times New Roman" w:cs="Times New Roman"/>
          <w:color w:val="FF0000"/>
          <w:sz w:val="24"/>
          <w:szCs w:val="24"/>
          <w:shd w:val="clear" w:color="auto" w:fill="FFFFFF"/>
        </w:rPr>
        <w:t>Agricultura, Pesca y Alimentación</w:t>
      </w:r>
    </w:p>
    <w:p w:rsidR="00855BCF" w:rsidRPr="00A00D3C" w:rsidRDefault="00855BCF" w:rsidP="00855BCF">
      <w:pPr>
        <w:spacing w:line="240" w:lineRule="auto"/>
        <w:jc w:val="both"/>
        <w:rPr>
          <w:rFonts w:ascii="Times New Roman" w:hAnsi="Times New Roman" w:cs="Times New Roman"/>
          <w:sz w:val="24"/>
          <w:szCs w:val="24"/>
          <w:shd w:val="clear" w:color="auto" w:fill="FFFFFF"/>
        </w:rPr>
      </w:pPr>
      <w:r w:rsidRPr="00A00D3C">
        <w:rPr>
          <w:rFonts w:ascii="Times New Roman" w:hAnsi="Times New Roman" w:cs="Times New Roman"/>
          <w:sz w:val="24"/>
          <w:szCs w:val="24"/>
          <w:shd w:val="clear" w:color="auto" w:fill="FFFFFF"/>
        </w:rPr>
        <w:t>Asuntos Exteriores</w:t>
      </w:r>
      <w:r w:rsidRPr="007711E1">
        <w:rPr>
          <w:rFonts w:ascii="Times New Roman" w:hAnsi="Times New Roman" w:cs="Times New Roman"/>
          <w:sz w:val="24"/>
          <w:szCs w:val="24"/>
          <w:shd w:val="clear" w:color="auto" w:fill="FFFFFF"/>
        </w:rPr>
        <w:t xml:space="preserve">, Unión Europea </w:t>
      </w:r>
      <w:r w:rsidRPr="007711E1">
        <w:rPr>
          <w:rFonts w:ascii="Times New Roman" w:hAnsi="Times New Roman" w:cs="Times New Roman"/>
          <w:color w:val="FF0000"/>
          <w:sz w:val="24"/>
          <w:szCs w:val="24"/>
          <w:shd w:val="clear" w:color="auto" w:fill="FFFFFF"/>
        </w:rPr>
        <w:t>y Cooperación</w:t>
      </w:r>
    </w:p>
    <w:p w:rsidR="00855BCF" w:rsidRPr="00C758AD" w:rsidRDefault="00855BCF" w:rsidP="00855BCF">
      <w:pPr>
        <w:spacing w:line="240" w:lineRule="auto"/>
        <w:jc w:val="both"/>
        <w:rPr>
          <w:rFonts w:ascii="Times New Roman" w:hAnsi="Times New Roman" w:cs="Times New Roman"/>
          <w:color w:val="FF0000"/>
          <w:sz w:val="24"/>
          <w:szCs w:val="24"/>
          <w:shd w:val="clear" w:color="auto" w:fill="FFFFFF"/>
        </w:rPr>
      </w:pPr>
      <w:r w:rsidRPr="00C758AD">
        <w:rPr>
          <w:rFonts w:ascii="Times New Roman" w:hAnsi="Times New Roman" w:cs="Times New Roman"/>
          <w:color w:val="FF0000"/>
          <w:sz w:val="24"/>
          <w:szCs w:val="24"/>
          <w:shd w:val="clear" w:color="auto" w:fill="FFFFFF"/>
        </w:rPr>
        <w:t>Ciencia, Innovación y Universidades</w:t>
      </w:r>
    </w:p>
    <w:p w:rsidR="00855BCF" w:rsidRPr="00C758AD" w:rsidRDefault="00855BCF" w:rsidP="00855BCF">
      <w:pPr>
        <w:spacing w:line="240" w:lineRule="auto"/>
        <w:jc w:val="both"/>
        <w:rPr>
          <w:rFonts w:ascii="Times New Roman" w:hAnsi="Times New Roman" w:cs="Times New Roman"/>
          <w:color w:val="FF0000"/>
          <w:sz w:val="24"/>
          <w:szCs w:val="24"/>
          <w:shd w:val="clear" w:color="auto" w:fill="FFFFFF"/>
        </w:rPr>
      </w:pPr>
      <w:r w:rsidRPr="00C758AD">
        <w:rPr>
          <w:rFonts w:ascii="Times New Roman" w:hAnsi="Times New Roman" w:cs="Times New Roman"/>
          <w:color w:val="FF0000"/>
          <w:sz w:val="24"/>
          <w:szCs w:val="24"/>
          <w:shd w:val="clear" w:color="auto" w:fill="FFFFFF"/>
        </w:rPr>
        <w:t>Cultura</w:t>
      </w:r>
    </w:p>
    <w:p w:rsidR="00855BCF" w:rsidRPr="00A00D3C" w:rsidRDefault="00855BCF" w:rsidP="00855BCF">
      <w:pPr>
        <w:spacing w:line="240" w:lineRule="auto"/>
        <w:jc w:val="both"/>
        <w:rPr>
          <w:rFonts w:ascii="Times New Roman" w:hAnsi="Times New Roman" w:cs="Times New Roman"/>
          <w:sz w:val="24"/>
          <w:szCs w:val="24"/>
          <w:shd w:val="clear" w:color="auto" w:fill="FFFFFF"/>
        </w:rPr>
      </w:pPr>
      <w:r w:rsidRPr="00A00D3C">
        <w:rPr>
          <w:rFonts w:ascii="Times New Roman" w:hAnsi="Times New Roman" w:cs="Times New Roman"/>
          <w:sz w:val="24"/>
          <w:szCs w:val="24"/>
          <w:shd w:val="clear" w:color="auto" w:fill="FFFFFF"/>
        </w:rPr>
        <w:t>Defensa</w:t>
      </w:r>
    </w:p>
    <w:p w:rsidR="00855BCF" w:rsidRPr="00C758AD" w:rsidRDefault="00855BCF" w:rsidP="00855BCF">
      <w:pPr>
        <w:spacing w:line="240" w:lineRule="auto"/>
        <w:jc w:val="both"/>
        <w:rPr>
          <w:rFonts w:ascii="Times New Roman" w:hAnsi="Times New Roman" w:cs="Times New Roman"/>
          <w:color w:val="FF0000"/>
          <w:sz w:val="24"/>
          <w:szCs w:val="24"/>
          <w:shd w:val="clear" w:color="auto" w:fill="FFFFFF"/>
        </w:rPr>
      </w:pPr>
      <w:r w:rsidRPr="00C758AD">
        <w:rPr>
          <w:rFonts w:ascii="Times New Roman" w:hAnsi="Times New Roman" w:cs="Times New Roman"/>
          <w:color w:val="FF0000"/>
          <w:sz w:val="24"/>
          <w:szCs w:val="24"/>
          <w:shd w:val="clear" w:color="auto" w:fill="FFFFFF"/>
        </w:rPr>
        <w:t>Derechos Sociales, Consumo y Agenda 2030</w:t>
      </w:r>
    </w:p>
    <w:p w:rsidR="00855BCF" w:rsidRPr="00A00D3C" w:rsidRDefault="00855BCF" w:rsidP="00855BCF">
      <w:pPr>
        <w:spacing w:line="240" w:lineRule="auto"/>
        <w:jc w:val="both"/>
        <w:rPr>
          <w:rFonts w:ascii="Times New Roman" w:hAnsi="Times New Roman" w:cs="Times New Roman"/>
          <w:sz w:val="24"/>
          <w:szCs w:val="24"/>
          <w:shd w:val="clear" w:color="auto" w:fill="FFFFFF"/>
        </w:rPr>
      </w:pPr>
      <w:r w:rsidRPr="00A00D3C">
        <w:rPr>
          <w:rFonts w:ascii="Times New Roman" w:hAnsi="Times New Roman" w:cs="Times New Roman"/>
          <w:sz w:val="24"/>
          <w:szCs w:val="24"/>
          <w:shd w:val="clear" w:color="auto" w:fill="FFFFFF"/>
        </w:rPr>
        <w:t>Economía</w:t>
      </w:r>
      <w:r w:rsidRPr="007711E1">
        <w:rPr>
          <w:rFonts w:ascii="Times New Roman" w:hAnsi="Times New Roman" w:cs="Times New Roman"/>
          <w:color w:val="FF0000"/>
          <w:sz w:val="24"/>
          <w:szCs w:val="24"/>
          <w:shd w:val="clear" w:color="auto" w:fill="FFFFFF"/>
        </w:rPr>
        <w:t xml:space="preserve">, Comercio y Empresa </w:t>
      </w:r>
      <w:r>
        <w:rPr>
          <w:rFonts w:ascii="Times New Roman" w:hAnsi="Times New Roman" w:cs="Times New Roman"/>
          <w:sz w:val="24"/>
          <w:szCs w:val="24"/>
          <w:shd w:val="clear" w:color="auto" w:fill="FFFFFF"/>
        </w:rPr>
        <w:t>(Economía, absorbe Comercio, Industria, Agricultura, Pesca, y Turismo)</w:t>
      </w:r>
    </w:p>
    <w:p w:rsidR="00855BCF" w:rsidRPr="007711E1" w:rsidRDefault="00855BCF" w:rsidP="00855BCF">
      <w:pPr>
        <w:spacing w:line="240" w:lineRule="auto"/>
        <w:jc w:val="both"/>
        <w:rPr>
          <w:rFonts w:ascii="Times New Roman" w:hAnsi="Times New Roman" w:cs="Times New Roman"/>
          <w:sz w:val="24"/>
          <w:szCs w:val="24"/>
          <w:shd w:val="clear" w:color="auto" w:fill="FFFFFF"/>
        </w:rPr>
      </w:pPr>
      <w:r w:rsidRPr="00A00D3C">
        <w:rPr>
          <w:rFonts w:ascii="Times New Roman" w:hAnsi="Times New Roman" w:cs="Times New Roman"/>
          <w:sz w:val="24"/>
          <w:szCs w:val="24"/>
          <w:shd w:val="clear" w:color="auto" w:fill="FFFFFF"/>
        </w:rPr>
        <w:t xml:space="preserve">Educación, </w:t>
      </w:r>
      <w:r w:rsidRPr="007711E1">
        <w:rPr>
          <w:rFonts w:ascii="Times New Roman" w:hAnsi="Times New Roman" w:cs="Times New Roman"/>
          <w:color w:val="FF0000"/>
          <w:sz w:val="24"/>
          <w:szCs w:val="24"/>
          <w:shd w:val="clear" w:color="auto" w:fill="FFFFFF"/>
        </w:rPr>
        <w:t>Formación Profesional y Deportes</w:t>
      </w:r>
      <w:r>
        <w:rPr>
          <w:rFonts w:ascii="Times New Roman" w:hAnsi="Times New Roman" w:cs="Times New Roman"/>
          <w:color w:val="FF0000"/>
          <w:sz w:val="24"/>
          <w:szCs w:val="24"/>
          <w:shd w:val="clear" w:color="auto" w:fill="FFFFFF"/>
        </w:rPr>
        <w:t xml:space="preserve"> </w:t>
      </w:r>
      <w:r w:rsidRPr="007711E1">
        <w:rPr>
          <w:rFonts w:ascii="Times New Roman" w:hAnsi="Times New Roman" w:cs="Times New Roman"/>
          <w:sz w:val="24"/>
          <w:szCs w:val="24"/>
          <w:shd w:val="clear" w:color="auto" w:fill="FFFFFF"/>
        </w:rPr>
        <w:t>(Educación</w:t>
      </w:r>
      <w:r>
        <w:rPr>
          <w:rFonts w:ascii="Times New Roman" w:hAnsi="Times New Roman" w:cs="Times New Roman"/>
          <w:sz w:val="24"/>
          <w:szCs w:val="24"/>
          <w:shd w:val="clear" w:color="auto" w:fill="FFFFFF"/>
        </w:rPr>
        <w:t>,</w:t>
      </w:r>
      <w:r w:rsidRPr="007711E1">
        <w:rPr>
          <w:rFonts w:ascii="Times New Roman" w:hAnsi="Times New Roman" w:cs="Times New Roman"/>
          <w:sz w:val="24"/>
          <w:szCs w:val="24"/>
          <w:shd w:val="clear" w:color="auto" w:fill="FFFFFF"/>
        </w:rPr>
        <w:t xml:space="preserve"> absorbe Ciencia y Cultura)</w:t>
      </w:r>
    </w:p>
    <w:p w:rsidR="00855BCF" w:rsidRPr="00A00D3C" w:rsidRDefault="00855BCF" w:rsidP="00855BCF">
      <w:pPr>
        <w:spacing w:line="240" w:lineRule="auto"/>
        <w:jc w:val="both"/>
        <w:rPr>
          <w:rFonts w:ascii="Times New Roman" w:hAnsi="Times New Roman" w:cs="Times New Roman"/>
          <w:sz w:val="24"/>
          <w:szCs w:val="24"/>
          <w:shd w:val="clear" w:color="auto" w:fill="FFFFFF"/>
        </w:rPr>
      </w:pPr>
      <w:r w:rsidRPr="00A00D3C">
        <w:rPr>
          <w:rFonts w:ascii="Times New Roman" w:hAnsi="Times New Roman" w:cs="Times New Roman"/>
          <w:sz w:val="24"/>
          <w:szCs w:val="24"/>
          <w:shd w:val="clear" w:color="auto" w:fill="FFFFFF"/>
        </w:rPr>
        <w:t>Hacienda</w:t>
      </w:r>
    </w:p>
    <w:p w:rsidR="00855BCF" w:rsidRPr="00C758AD" w:rsidRDefault="00855BCF" w:rsidP="00855BCF">
      <w:pPr>
        <w:spacing w:line="240" w:lineRule="auto"/>
        <w:jc w:val="both"/>
        <w:rPr>
          <w:rFonts w:ascii="Times New Roman" w:hAnsi="Times New Roman" w:cs="Times New Roman"/>
          <w:color w:val="FF0000"/>
          <w:sz w:val="24"/>
          <w:szCs w:val="24"/>
          <w:shd w:val="clear" w:color="auto" w:fill="FFFFFF"/>
        </w:rPr>
      </w:pPr>
      <w:r w:rsidRPr="00C758AD">
        <w:rPr>
          <w:rFonts w:ascii="Times New Roman" w:hAnsi="Times New Roman" w:cs="Times New Roman"/>
          <w:color w:val="FF0000"/>
          <w:sz w:val="24"/>
          <w:szCs w:val="24"/>
          <w:shd w:val="clear" w:color="auto" w:fill="FFFFFF"/>
        </w:rPr>
        <w:t>Igualdad</w:t>
      </w:r>
    </w:p>
    <w:p w:rsidR="00855BCF" w:rsidRPr="00C758AD" w:rsidRDefault="00855BCF" w:rsidP="00855BCF">
      <w:pPr>
        <w:spacing w:line="240" w:lineRule="auto"/>
        <w:jc w:val="both"/>
        <w:rPr>
          <w:rFonts w:ascii="Times New Roman" w:hAnsi="Times New Roman" w:cs="Times New Roman"/>
          <w:color w:val="FF0000"/>
          <w:sz w:val="24"/>
          <w:szCs w:val="24"/>
          <w:shd w:val="clear" w:color="auto" w:fill="FFFFFF"/>
        </w:rPr>
      </w:pPr>
      <w:r w:rsidRPr="00C758AD">
        <w:rPr>
          <w:rFonts w:ascii="Times New Roman" w:hAnsi="Times New Roman" w:cs="Times New Roman"/>
          <w:color w:val="FF0000"/>
          <w:sz w:val="24"/>
          <w:szCs w:val="24"/>
          <w:shd w:val="clear" w:color="auto" w:fill="FFFFFF"/>
        </w:rPr>
        <w:t>Inclusión, Seguridad Social y Migraciones</w:t>
      </w:r>
    </w:p>
    <w:p w:rsidR="00855BCF" w:rsidRPr="00C758AD" w:rsidRDefault="00855BCF" w:rsidP="00855BCF">
      <w:pPr>
        <w:spacing w:line="240" w:lineRule="auto"/>
        <w:jc w:val="both"/>
        <w:rPr>
          <w:rFonts w:ascii="Times New Roman" w:hAnsi="Times New Roman" w:cs="Times New Roman"/>
          <w:color w:val="FF0000"/>
          <w:sz w:val="24"/>
          <w:szCs w:val="24"/>
          <w:shd w:val="clear" w:color="auto" w:fill="FFFFFF"/>
        </w:rPr>
      </w:pPr>
      <w:r w:rsidRPr="00C758AD">
        <w:rPr>
          <w:rFonts w:ascii="Times New Roman" w:hAnsi="Times New Roman" w:cs="Times New Roman"/>
          <w:color w:val="FF0000"/>
          <w:sz w:val="24"/>
          <w:szCs w:val="24"/>
          <w:shd w:val="clear" w:color="auto" w:fill="FFFFFF"/>
        </w:rPr>
        <w:t>Industria y Turismo</w:t>
      </w:r>
      <w:r>
        <w:rPr>
          <w:rFonts w:ascii="Times New Roman" w:hAnsi="Times New Roman" w:cs="Times New Roman"/>
          <w:color w:val="FF0000"/>
          <w:sz w:val="24"/>
          <w:szCs w:val="24"/>
          <w:shd w:val="clear" w:color="auto" w:fill="FFFFFF"/>
        </w:rPr>
        <w:t xml:space="preserve"> </w:t>
      </w:r>
    </w:p>
    <w:p w:rsidR="00855BCF" w:rsidRPr="00A00D3C" w:rsidRDefault="00855BCF" w:rsidP="00855BCF">
      <w:pPr>
        <w:spacing w:line="240" w:lineRule="auto"/>
        <w:jc w:val="both"/>
        <w:rPr>
          <w:rFonts w:ascii="Times New Roman" w:hAnsi="Times New Roman" w:cs="Times New Roman"/>
          <w:sz w:val="24"/>
          <w:szCs w:val="24"/>
          <w:shd w:val="clear" w:color="auto" w:fill="FFFFFF"/>
        </w:rPr>
      </w:pPr>
      <w:r w:rsidRPr="00A00D3C">
        <w:rPr>
          <w:rFonts w:ascii="Times New Roman" w:hAnsi="Times New Roman" w:cs="Times New Roman"/>
          <w:sz w:val="24"/>
          <w:szCs w:val="24"/>
          <w:shd w:val="clear" w:color="auto" w:fill="FFFFFF"/>
        </w:rPr>
        <w:t>Interior</w:t>
      </w:r>
    </w:p>
    <w:p w:rsidR="00855BCF" w:rsidRPr="00C758AD" w:rsidRDefault="00855BCF" w:rsidP="00855BCF">
      <w:pPr>
        <w:spacing w:line="240" w:lineRule="auto"/>
        <w:jc w:val="both"/>
        <w:rPr>
          <w:rFonts w:ascii="Times New Roman" w:hAnsi="Times New Roman" w:cs="Times New Roman"/>
          <w:color w:val="FF0000"/>
          <w:sz w:val="24"/>
          <w:szCs w:val="24"/>
          <w:shd w:val="clear" w:color="auto" w:fill="FFFFFF"/>
        </w:rPr>
      </w:pPr>
      <w:r w:rsidRPr="00C758AD">
        <w:rPr>
          <w:rFonts w:ascii="Times New Roman" w:hAnsi="Times New Roman" w:cs="Times New Roman"/>
          <w:color w:val="FF0000"/>
          <w:sz w:val="24"/>
          <w:szCs w:val="24"/>
          <w:shd w:val="clear" w:color="auto" w:fill="FFFFFF"/>
        </w:rPr>
        <w:t>Juventud e Infancia</w:t>
      </w:r>
    </w:p>
    <w:p w:rsidR="00855BCF" w:rsidRPr="00C758AD" w:rsidRDefault="00855BCF" w:rsidP="00855BCF">
      <w:pPr>
        <w:spacing w:line="240" w:lineRule="auto"/>
        <w:jc w:val="both"/>
        <w:rPr>
          <w:rFonts w:ascii="Times New Roman" w:hAnsi="Times New Roman" w:cs="Times New Roman"/>
          <w:color w:val="FF0000"/>
          <w:sz w:val="24"/>
          <w:szCs w:val="24"/>
          <w:shd w:val="clear" w:color="auto" w:fill="FFFFFF"/>
        </w:rPr>
      </w:pPr>
      <w:r w:rsidRPr="00C758AD">
        <w:rPr>
          <w:rFonts w:ascii="Times New Roman" w:hAnsi="Times New Roman" w:cs="Times New Roman"/>
          <w:color w:val="FF0000"/>
          <w:sz w:val="24"/>
          <w:szCs w:val="24"/>
          <w:shd w:val="clear" w:color="auto" w:fill="FFFFFF"/>
        </w:rPr>
        <w:t>Política Territorial y Memoria Democrática</w:t>
      </w:r>
    </w:p>
    <w:p w:rsidR="00855BCF" w:rsidRPr="00B201CE" w:rsidRDefault="00855BCF" w:rsidP="00855BCF">
      <w:pPr>
        <w:spacing w:line="240" w:lineRule="auto"/>
        <w:jc w:val="both"/>
        <w:rPr>
          <w:rFonts w:ascii="Times New Roman" w:hAnsi="Times New Roman" w:cs="Times New Roman"/>
          <w:sz w:val="24"/>
          <w:szCs w:val="24"/>
          <w:shd w:val="clear" w:color="auto" w:fill="FFFFFF"/>
        </w:rPr>
      </w:pPr>
      <w:r w:rsidRPr="00C758AD">
        <w:rPr>
          <w:rFonts w:ascii="Times New Roman" w:hAnsi="Times New Roman" w:cs="Times New Roman"/>
          <w:color w:val="FF0000"/>
          <w:sz w:val="24"/>
          <w:szCs w:val="24"/>
          <w:shd w:val="clear" w:color="auto" w:fill="FFFFFF"/>
        </w:rPr>
        <w:t>Presidencia, Justicia y Relaciones con las Cortes</w:t>
      </w:r>
      <w:r>
        <w:rPr>
          <w:rFonts w:ascii="Times New Roman" w:hAnsi="Times New Roman" w:cs="Times New Roman"/>
          <w:color w:val="FF0000"/>
          <w:sz w:val="24"/>
          <w:szCs w:val="24"/>
          <w:shd w:val="clear" w:color="auto" w:fill="FFFFFF"/>
        </w:rPr>
        <w:t xml:space="preserve"> </w:t>
      </w:r>
      <w:r w:rsidRPr="00B201CE">
        <w:rPr>
          <w:rFonts w:ascii="Times New Roman" w:hAnsi="Times New Roman" w:cs="Times New Roman"/>
          <w:sz w:val="24"/>
          <w:szCs w:val="24"/>
          <w:shd w:val="clear" w:color="auto" w:fill="FFFFFF"/>
        </w:rPr>
        <w:t>(Solo quedaría</w:t>
      </w:r>
      <w:r>
        <w:rPr>
          <w:rFonts w:ascii="Times New Roman" w:hAnsi="Times New Roman" w:cs="Times New Roman"/>
          <w:sz w:val="24"/>
          <w:szCs w:val="24"/>
          <w:shd w:val="clear" w:color="auto" w:fill="FFFFFF"/>
        </w:rPr>
        <w:t xml:space="preserve"> el M. d</w:t>
      </w:r>
      <w:r w:rsidR="002439AA">
        <w:rPr>
          <w:rFonts w:ascii="Times New Roman" w:hAnsi="Times New Roman" w:cs="Times New Roman"/>
          <w:sz w:val="24"/>
          <w:szCs w:val="24"/>
          <w:shd w:val="clear" w:color="auto" w:fill="FFFFFF"/>
        </w:rPr>
        <w:t>e</w:t>
      </w:r>
      <w:r w:rsidRPr="00B201CE">
        <w:rPr>
          <w:rFonts w:ascii="Times New Roman" w:hAnsi="Times New Roman" w:cs="Times New Roman"/>
          <w:sz w:val="24"/>
          <w:szCs w:val="24"/>
          <w:shd w:val="clear" w:color="auto" w:fill="FFFFFF"/>
        </w:rPr>
        <w:t xml:space="preserve"> Justicia)</w:t>
      </w:r>
    </w:p>
    <w:p w:rsidR="00855BCF" w:rsidRPr="00A00D3C" w:rsidRDefault="00855BCF" w:rsidP="00855BCF">
      <w:pPr>
        <w:spacing w:line="240" w:lineRule="auto"/>
        <w:jc w:val="both"/>
        <w:rPr>
          <w:rFonts w:ascii="Times New Roman" w:hAnsi="Times New Roman" w:cs="Times New Roman"/>
          <w:sz w:val="24"/>
          <w:szCs w:val="24"/>
          <w:shd w:val="clear" w:color="auto" w:fill="FFFFFF"/>
        </w:rPr>
      </w:pPr>
      <w:r w:rsidRPr="00A00D3C">
        <w:rPr>
          <w:rFonts w:ascii="Times New Roman" w:hAnsi="Times New Roman" w:cs="Times New Roman"/>
          <w:sz w:val="24"/>
          <w:szCs w:val="24"/>
          <w:shd w:val="clear" w:color="auto" w:fill="FFFFFF"/>
        </w:rPr>
        <w:t>Sanidad</w:t>
      </w:r>
    </w:p>
    <w:p w:rsidR="00855BCF" w:rsidRPr="00A00D3C" w:rsidRDefault="00855BCF" w:rsidP="00855BCF">
      <w:pPr>
        <w:spacing w:line="240" w:lineRule="auto"/>
        <w:jc w:val="both"/>
        <w:rPr>
          <w:rFonts w:ascii="Times New Roman" w:hAnsi="Times New Roman" w:cs="Times New Roman"/>
          <w:sz w:val="24"/>
          <w:szCs w:val="24"/>
          <w:shd w:val="clear" w:color="auto" w:fill="FFFFFF"/>
        </w:rPr>
      </w:pPr>
      <w:r w:rsidRPr="00A00D3C">
        <w:rPr>
          <w:rFonts w:ascii="Times New Roman" w:hAnsi="Times New Roman" w:cs="Times New Roman"/>
          <w:sz w:val="24"/>
          <w:szCs w:val="24"/>
          <w:shd w:val="clear" w:color="auto" w:fill="FFFFFF"/>
        </w:rPr>
        <w:t xml:space="preserve">Trabajo </w:t>
      </w:r>
      <w:r w:rsidRPr="007711E1">
        <w:rPr>
          <w:rFonts w:ascii="Times New Roman" w:hAnsi="Times New Roman" w:cs="Times New Roman"/>
          <w:color w:val="FF0000"/>
          <w:sz w:val="24"/>
          <w:szCs w:val="24"/>
          <w:shd w:val="clear" w:color="auto" w:fill="FFFFFF"/>
        </w:rPr>
        <w:t xml:space="preserve">y Economía Social </w:t>
      </w:r>
      <w:r>
        <w:rPr>
          <w:rFonts w:ascii="Times New Roman" w:hAnsi="Times New Roman" w:cs="Times New Roman"/>
          <w:sz w:val="24"/>
          <w:szCs w:val="24"/>
          <w:shd w:val="clear" w:color="auto" w:fill="FFFFFF"/>
        </w:rPr>
        <w:t>(Trabajo, absorbe Seguridad Social)</w:t>
      </w:r>
    </w:p>
    <w:p w:rsidR="00855BCF" w:rsidRPr="00C758AD" w:rsidRDefault="00855BCF" w:rsidP="00855BCF">
      <w:pPr>
        <w:spacing w:line="240" w:lineRule="auto"/>
        <w:jc w:val="both"/>
        <w:rPr>
          <w:rFonts w:ascii="Times New Roman" w:hAnsi="Times New Roman" w:cs="Times New Roman"/>
          <w:color w:val="FF0000"/>
          <w:sz w:val="24"/>
          <w:szCs w:val="24"/>
          <w:shd w:val="clear" w:color="auto" w:fill="FFFFFF"/>
        </w:rPr>
      </w:pPr>
      <w:r w:rsidRPr="00C758AD">
        <w:rPr>
          <w:rFonts w:ascii="Times New Roman" w:hAnsi="Times New Roman" w:cs="Times New Roman"/>
          <w:color w:val="FF0000"/>
          <w:sz w:val="24"/>
          <w:szCs w:val="24"/>
          <w:shd w:val="clear" w:color="auto" w:fill="FFFFFF"/>
        </w:rPr>
        <w:t>Transformación Digital y de la Función Pública</w:t>
      </w:r>
    </w:p>
    <w:p w:rsidR="00855BCF" w:rsidRPr="00C758AD" w:rsidRDefault="00855BCF" w:rsidP="00855BCF">
      <w:pPr>
        <w:spacing w:line="240" w:lineRule="auto"/>
        <w:jc w:val="both"/>
        <w:rPr>
          <w:rFonts w:ascii="Times New Roman" w:hAnsi="Times New Roman" w:cs="Times New Roman"/>
          <w:color w:val="FF0000"/>
          <w:sz w:val="24"/>
          <w:szCs w:val="24"/>
          <w:shd w:val="clear" w:color="auto" w:fill="FFFFFF"/>
        </w:rPr>
      </w:pPr>
      <w:r w:rsidRPr="00C758AD">
        <w:rPr>
          <w:rFonts w:ascii="Times New Roman" w:hAnsi="Times New Roman" w:cs="Times New Roman"/>
          <w:color w:val="FF0000"/>
          <w:sz w:val="24"/>
          <w:szCs w:val="24"/>
          <w:shd w:val="clear" w:color="auto" w:fill="FFFFFF"/>
        </w:rPr>
        <w:t>Transición Ecológica y el Reto Demográfico</w:t>
      </w:r>
    </w:p>
    <w:p w:rsidR="00855BCF" w:rsidRPr="007711E1" w:rsidRDefault="00855BCF" w:rsidP="00855BCF">
      <w:pPr>
        <w:spacing w:line="240" w:lineRule="auto"/>
        <w:jc w:val="both"/>
        <w:rPr>
          <w:rFonts w:ascii="Times New Roman" w:hAnsi="Times New Roman" w:cs="Times New Roman"/>
          <w:sz w:val="24"/>
          <w:szCs w:val="24"/>
          <w:shd w:val="clear" w:color="auto" w:fill="FFFFFF"/>
        </w:rPr>
      </w:pPr>
      <w:r w:rsidRPr="007711E1">
        <w:rPr>
          <w:rFonts w:ascii="Times New Roman" w:hAnsi="Times New Roman" w:cs="Times New Roman"/>
          <w:sz w:val="24"/>
          <w:szCs w:val="24"/>
          <w:shd w:val="clear" w:color="auto" w:fill="FFFFFF"/>
        </w:rPr>
        <w:t>Transportes</w:t>
      </w:r>
      <w:r w:rsidRPr="00C758AD">
        <w:rPr>
          <w:rFonts w:ascii="Times New Roman" w:hAnsi="Times New Roman" w:cs="Times New Roman"/>
          <w:color w:val="FF0000"/>
          <w:sz w:val="24"/>
          <w:szCs w:val="24"/>
          <w:shd w:val="clear" w:color="auto" w:fill="FFFFFF"/>
        </w:rPr>
        <w:t xml:space="preserve"> y Movilidad Sostenible</w:t>
      </w:r>
      <w:r>
        <w:rPr>
          <w:rFonts w:ascii="Times New Roman" w:hAnsi="Times New Roman" w:cs="Times New Roman"/>
          <w:color w:val="FF0000"/>
          <w:sz w:val="24"/>
          <w:szCs w:val="24"/>
          <w:shd w:val="clear" w:color="auto" w:fill="FFFFFF"/>
        </w:rPr>
        <w:t xml:space="preserve"> </w:t>
      </w:r>
      <w:r w:rsidRPr="007711E1">
        <w:rPr>
          <w:rFonts w:ascii="Times New Roman" w:hAnsi="Times New Roman" w:cs="Times New Roman"/>
          <w:sz w:val="24"/>
          <w:szCs w:val="24"/>
          <w:shd w:val="clear" w:color="auto" w:fill="FFFFFF"/>
        </w:rPr>
        <w:t>(Pasa a ser llamado M. de Obras y Servicios  Públicos)</w:t>
      </w:r>
    </w:p>
    <w:p w:rsidR="00855BCF" w:rsidRDefault="00855BCF" w:rsidP="00855BCF">
      <w:pPr>
        <w:spacing w:line="240" w:lineRule="auto"/>
        <w:jc w:val="both"/>
        <w:rPr>
          <w:rFonts w:ascii="Times New Roman" w:hAnsi="Times New Roman" w:cs="Times New Roman"/>
          <w:color w:val="FF0000"/>
          <w:sz w:val="24"/>
          <w:szCs w:val="24"/>
          <w:shd w:val="clear" w:color="auto" w:fill="FFFFFF"/>
        </w:rPr>
      </w:pPr>
      <w:r w:rsidRPr="00C758AD">
        <w:rPr>
          <w:rFonts w:ascii="Times New Roman" w:hAnsi="Times New Roman" w:cs="Times New Roman"/>
          <w:color w:val="FF0000"/>
          <w:sz w:val="24"/>
          <w:szCs w:val="24"/>
          <w:shd w:val="clear" w:color="auto" w:fill="FFFFFF"/>
        </w:rPr>
        <w:t>Vivienda y Agenda Urbana</w:t>
      </w:r>
    </w:p>
    <w:p w:rsidR="00855BCF" w:rsidRPr="00C758AD" w:rsidRDefault="00855BCF" w:rsidP="00855BCF">
      <w:pPr>
        <w:spacing w:line="240" w:lineRule="auto"/>
        <w:jc w:val="both"/>
        <w:rPr>
          <w:rFonts w:ascii="Times New Roman" w:hAnsi="Times New Roman" w:cs="Times New Roman"/>
          <w:color w:val="FF0000"/>
          <w:sz w:val="24"/>
          <w:szCs w:val="24"/>
          <w:shd w:val="clear" w:color="auto" w:fill="FFFFFF"/>
        </w:rPr>
      </w:pPr>
      <w:r w:rsidRPr="007711E1">
        <w:rPr>
          <w:rFonts w:ascii="Times New Roman" w:hAnsi="Times New Roman" w:cs="Times New Roman"/>
          <w:b/>
          <w:color w:val="FF0000"/>
          <w:sz w:val="24"/>
          <w:szCs w:val="24"/>
          <w:shd w:val="clear" w:color="auto" w:fill="FFFFFF"/>
        </w:rPr>
        <w:t>Nota</w:t>
      </w:r>
      <w:r>
        <w:rPr>
          <w:rFonts w:ascii="Times New Roman" w:hAnsi="Times New Roman" w:cs="Times New Roman"/>
          <w:color w:val="FF0000"/>
          <w:sz w:val="24"/>
          <w:szCs w:val="24"/>
          <w:shd w:val="clear" w:color="auto" w:fill="FFFFFF"/>
        </w:rPr>
        <w:t>: los señalados en rojo, son los ministerios propuestos para su eliminación</w:t>
      </w:r>
      <w:r w:rsidR="002439AA">
        <w:rPr>
          <w:rFonts w:ascii="Times New Roman" w:hAnsi="Times New Roman" w:cs="Times New Roman"/>
          <w:color w:val="FF0000"/>
          <w:sz w:val="24"/>
          <w:szCs w:val="24"/>
          <w:shd w:val="clear" w:color="auto" w:fill="FFFFFF"/>
        </w:rPr>
        <w:t>.</w:t>
      </w:r>
    </w:p>
    <w:p w:rsidR="00855BCF" w:rsidRDefault="00855BCF" w:rsidP="00855BC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7A6C6E">
        <w:rPr>
          <w:rFonts w:ascii="Times New Roman" w:hAnsi="Times New Roman" w:cs="Times New Roman"/>
          <w:noProof/>
          <w:sz w:val="24"/>
          <w:szCs w:val="24"/>
          <w:shd w:val="clear" w:color="auto" w:fill="FFFFFF"/>
          <w:lang w:eastAsia="es-ES"/>
        </w:rPr>
        <w:drawing>
          <wp:inline distT="0" distB="0" distL="0" distR="0" wp14:anchorId="7EE80865" wp14:editId="2696F4DE">
            <wp:extent cx="5099050" cy="4616450"/>
            <wp:effectExtent l="0" t="0" r="635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102443" cy="4619522"/>
                    </a:xfrm>
                    <a:prstGeom prst="rect">
                      <a:avLst/>
                    </a:prstGeom>
                  </pic:spPr>
                </pic:pic>
              </a:graphicData>
            </a:graphic>
          </wp:inline>
        </w:drawing>
      </w:r>
    </w:p>
    <w:p w:rsidR="00855BCF" w:rsidRDefault="00855BCF" w:rsidP="00855BCF">
      <w:pPr>
        <w:spacing w:line="240" w:lineRule="auto"/>
        <w:jc w:val="both"/>
        <w:rPr>
          <w:rFonts w:ascii="Times New Roman" w:hAnsi="Times New Roman" w:cs="Times New Roman"/>
          <w:sz w:val="24"/>
          <w:szCs w:val="24"/>
          <w:shd w:val="clear" w:color="auto" w:fill="FFFFFF"/>
        </w:rPr>
      </w:pPr>
      <w:r w:rsidRPr="00627320">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Fuente: newtral.es - 22/4/21)</w:t>
      </w:r>
    </w:p>
    <w:p w:rsidR="00855BCF" w:rsidRPr="00627320" w:rsidRDefault="00855BCF" w:rsidP="00855BCF">
      <w:pPr>
        <w:spacing w:line="240" w:lineRule="auto"/>
        <w:jc w:val="both"/>
        <w:rPr>
          <w:rFonts w:ascii="Times New Roman" w:hAnsi="Times New Roman" w:cs="Times New Roman"/>
          <w:sz w:val="24"/>
          <w:szCs w:val="24"/>
          <w:shd w:val="clear" w:color="auto" w:fill="FFFFFF"/>
        </w:rPr>
      </w:pPr>
    </w:p>
    <w:p w:rsidR="00855BCF" w:rsidRPr="00D07FD3" w:rsidRDefault="002439AA" w:rsidP="00855BCF">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 xml:space="preserve">Nota: </w:t>
      </w:r>
      <w:r w:rsidR="00855BCF" w:rsidRPr="00D07FD3">
        <w:rPr>
          <w:rFonts w:ascii="Times New Roman" w:hAnsi="Times New Roman" w:cs="Times New Roman"/>
          <w:b/>
          <w:color w:val="FF0000"/>
          <w:sz w:val="24"/>
          <w:szCs w:val="24"/>
          <w:shd w:val="clear" w:color="auto" w:fill="FFFFFF"/>
        </w:rPr>
        <w:t>“Tócala otra vez, Sam”</w:t>
      </w:r>
    </w:p>
    <w:p w:rsidR="00855BCF" w:rsidRPr="00D07FD3" w:rsidRDefault="00855BCF" w:rsidP="00855BCF">
      <w:pPr>
        <w:spacing w:line="240" w:lineRule="auto"/>
        <w:jc w:val="both"/>
        <w:rPr>
          <w:rFonts w:ascii="Times New Roman" w:hAnsi="Times New Roman" w:cs="Times New Roman"/>
          <w:color w:val="FF0000"/>
          <w:sz w:val="24"/>
          <w:szCs w:val="24"/>
          <w:shd w:val="clear" w:color="auto" w:fill="FFFFFF"/>
        </w:rPr>
      </w:pPr>
      <w:r w:rsidRPr="00D07FD3">
        <w:rPr>
          <w:rFonts w:ascii="Times New Roman" w:hAnsi="Times New Roman" w:cs="Times New Roman"/>
          <w:color w:val="FF0000"/>
          <w:sz w:val="24"/>
          <w:szCs w:val="24"/>
          <w:shd w:val="clear" w:color="auto" w:fill="FFFFFF"/>
        </w:rPr>
        <w:t>Ante la pregunta sobre el presupuesto de cada ministerio, la respuesta del Portal de Transparencia (al 28/7/25) ha sido: “seguimos en obras”… solo les falta decir, disculpen las molestias, estamos trabajando para ustedes (como ponen cuando cortan una calle, o cavan una zanja). Tal vez, alguno de los mil asesores de la Moncloa, alumbre la “ideica”, y pongan el huevo. No perdamos la esperanza que nos sigan tomando por idiotas. O sea.</w:t>
      </w:r>
    </w:p>
    <w:p w:rsidR="00855BCF" w:rsidRDefault="00855BCF" w:rsidP="00855BCF">
      <w:pPr>
        <w:spacing w:line="240" w:lineRule="auto"/>
        <w:jc w:val="both"/>
        <w:rPr>
          <w:rFonts w:ascii="Times New Roman" w:hAnsi="Times New Roman" w:cs="Times New Roman"/>
          <w:sz w:val="24"/>
          <w:szCs w:val="24"/>
          <w:shd w:val="clear" w:color="auto" w:fill="FFFFFF"/>
          <w:lang w:val="en-GB"/>
        </w:rPr>
      </w:pPr>
      <w:r w:rsidRPr="007A6C6E">
        <w:rPr>
          <w:rFonts w:ascii="Times New Roman" w:hAnsi="Times New Roman" w:cs="Times New Roman"/>
          <w:noProof/>
          <w:sz w:val="24"/>
          <w:szCs w:val="24"/>
          <w:shd w:val="clear" w:color="auto" w:fill="FFFFFF"/>
          <w:lang w:eastAsia="es-ES"/>
        </w:rPr>
        <w:drawing>
          <wp:inline distT="0" distB="0" distL="0" distR="0" wp14:anchorId="083CAAF7" wp14:editId="1A776FB1">
            <wp:extent cx="5731510" cy="1538200"/>
            <wp:effectExtent l="0" t="0" r="2540" b="508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1538200"/>
                    </a:xfrm>
                    <a:prstGeom prst="rect">
                      <a:avLst/>
                    </a:prstGeom>
                  </pic:spPr>
                </pic:pic>
              </a:graphicData>
            </a:graphic>
          </wp:inline>
        </w:drawing>
      </w:r>
    </w:p>
    <w:p w:rsidR="00855BCF" w:rsidRDefault="00855BCF" w:rsidP="00855BCF">
      <w:pPr>
        <w:spacing w:line="240" w:lineRule="auto"/>
        <w:jc w:val="both"/>
        <w:rPr>
          <w:rFonts w:ascii="Times New Roman" w:hAnsi="Times New Roman" w:cs="Times New Roman"/>
          <w:sz w:val="24"/>
          <w:szCs w:val="24"/>
          <w:shd w:val="clear" w:color="auto" w:fill="FFFFFF"/>
          <w:lang w:val="en-GB"/>
        </w:rPr>
      </w:pPr>
    </w:p>
    <w:p w:rsidR="00855BCF" w:rsidRDefault="00855BCF" w:rsidP="00855BCF">
      <w:pPr>
        <w:spacing w:line="240" w:lineRule="auto"/>
        <w:jc w:val="both"/>
        <w:rPr>
          <w:rFonts w:ascii="Times New Roman" w:hAnsi="Times New Roman" w:cs="Times New Roman"/>
          <w:sz w:val="24"/>
          <w:szCs w:val="24"/>
          <w:shd w:val="clear" w:color="auto" w:fill="FFFFFF"/>
          <w:lang w:val="en-GB"/>
        </w:rPr>
      </w:pPr>
      <w:r w:rsidRPr="00CD3220">
        <w:rPr>
          <w:rFonts w:ascii="Times New Roman" w:hAnsi="Times New Roman" w:cs="Times New Roman"/>
          <w:noProof/>
          <w:sz w:val="24"/>
          <w:szCs w:val="24"/>
          <w:shd w:val="clear" w:color="auto" w:fill="FFFFFF"/>
          <w:lang w:eastAsia="es-ES"/>
        </w:rPr>
        <w:lastRenderedPageBreak/>
        <w:drawing>
          <wp:inline distT="0" distB="0" distL="0" distR="0" wp14:anchorId="7304A859" wp14:editId="14BB5060">
            <wp:extent cx="5734050" cy="5003800"/>
            <wp:effectExtent l="0" t="0" r="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5001583"/>
                    </a:xfrm>
                    <a:prstGeom prst="rect">
                      <a:avLst/>
                    </a:prstGeom>
                  </pic:spPr>
                </pic:pic>
              </a:graphicData>
            </a:graphic>
          </wp:inline>
        </w:drawing>
      </w:r>
    </w:p>
    <w:p w:rsidR="00855BCF" w:rsidRDefault="00855BCF" w:rsidP="00855BCF">
      <w:pPr>
        <w:spacing w:line="240" w:lineRule="auto"/>
        <w:jc w:val="both"/>
        <w:rPr>
          <w:rFonts w:ascii="Times New Roman" w:hAnsi="Times New Roman" w:cs="Times New Roman"/>
          <w:sz w:val="24"/>
          <w:szCs w:val="24"/>
          <w:shd w:val="clear" w:color="auto" w:fill="FFFFFF"/>
          <w:lang w:val="en-GB"/>
        </w:rPr>
      </w:pPr>
      <w:r w:rsidRPr="00CD3220">
        <w:rPr>
          <w:rFonts w:ascii="Times New Roman" w:hAnsi="Times New Roman" w:cs="Times New Roman"/>
          <w:noProof/>
          <w:sz w:val="24"/>
          <w:szCs w:val="24"/>
          <w:shd w:val="clear" w:color="auto" w:fill="FFFFFF"/>
          <w:lang w:eastAsia="es-ES"/>
        </w:rPr>
        <w:drawing>
          <wp:inline distT="0" distB="0" distL="0" distR="0" wp14:anchorId="71073808" wp14:editId="3CFD7DD9">
            <wp:extent cx="5727700" cy="1828800"/>
            <wp:effectExtent l="0" t="0" r="635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1830016"/>
                    </a:xfrm>
                    <a:prstGeom prst="rect">
                      <a:avLst/>
                    </a:prstGeom>
                  </pic:spPr>
                </pic:pic>
              </a:graphicData>
            </a:graphic>
          </wp:inline>
        </w:drawing>
      </w:r>
    </w:p>
    <w:p w:rsidR="00855BCF" w:rsidRDefault="00855BCF" w:rsidP="00855BCF">
      <w:pPr>
        <w:spacing w:line="240" w:lineRule="auto"/>
        <w:jc w:val="both"/>
        <w:rPr>
          <w:rFonts w:ascii="Times New Roman" w:hAnsi="Times New Roman" w:cs="Times New Roman"/>
          <w:sz w:val="24"/>
          <w:szCs w:val="24"/>
          <w:shd w:val="clear" w:color="auto" w:fill="FFFFFF"/>
        </w:rPr>
      </w:pPr>
      <w:r w:rsidRPr="00B201CE">
        <w:rPr>
          <w:rFonts w:ascii="Times New Roman" w:hAnsi="Times New Roman" w:cs="Times New Roman"/>
          <w:sz w:val="24"/>
          <w:szCs w:val="24"/>
          <w:shd w:val="clear" w:color="auto" w:fill="FFFFFF"/>
        </w:rPr>
        <w:t>(Fuente: RTVE - 6/10/22)</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 xml:space="preserve">- </w:t>
      </w:r>
      <w:r w:rsidR="00D07FD3">
        <w:rPr>
          <w:rFonts w:ascii="Times New Roman" w:hAnsi="Times New Roman" w:cs="Times New Roman"/>
          <w:sz w:val="24"/>
          <w:szCs w:val="24"/>
          <w:u w:val="single"/>
        </w:rPr>
        <w:t>El Gobierno dispone de una “Administración paralela”</w:t>
      </w:r>
      <w:r w:rsidRPr="00854E72">
        <w:rPr>
          <w:rFonts w:ascii="Times New Roman" w:hAnsi="Times New Roman" w:cs="Times New Roman"/>
          <w:sz w:val="24"/>
          <w:szCs w:val="24"/>
          <w:u w:val="single"/>
        </w:rPr>
        <w:t xml:space="preserve"> con 500 entes públicos para colocar afines</w:t>
      </w:r>
      <w:r w:rsidRPr="00854E72">
        <w:rPr>
          <w:rFonts w:ascii="Times New Roman" w:hAnsi="Times New Roman" w:cs="Times New Roman"/>
          <w:sz w:val="24"/>
          <w:szCs w:val="24"/>
        </w:rPr>
        <w:t xml:space="preserve"> (Vozpópuli - </w:t>
      </w:r>
      <w:r w:rsidRPr="00854E72">
        <w:rPr>
          <w:rFonts w:ascii="Times New Roman" w:hAnsi="Times New Roman" w:cs="Times New Roman"/>
          <w:b/>
          <w:sz w:val="24"/>
          <w:szCs w:val="24"/>
        </w:rPr>
        <w:t>3/8/25</w:t>
      </w:r>
      <w:r w:rsidRPr="00854E72">
        <w:rPr>
          <w:rFonts w:ascii="Times New Roman" w:hAnsi="Times New Roman" w:cs="Times New Roman"/>
          <w:sz w:val="24"/>
          <w:szCs w:val="24"/>
        </w:rPr>
        <w:t>)</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Existe</w:t>
      </w:r>
      <w:r w:rsidR="00D07FD3">
        <w:rPr>
          <w:rFonts w:ascii="Times New Roman" w:hAnsi="Times New Roman" w:cs="Times New Roman"/>
          <w:sz w:val="24"/>
          <w:szCs w:val="24"/>
        </w:rPr>
        <w:t xml:space="preserve"> un número importante de entes “fantasmas”</w:t>
      </w:r>
      <w:r w:rsidRPr="00854E72">
        <w:rPr>
          <w:rFonts w:ascii="Times New Roman" w:hAnsi="Times New Roman" w:cs="Times New Roman"/>
          <w:sz w:val="24"/>
          <w:szCs w:val="24"/>
        </w:rPr>
        <w:t xml:space="preserve"> de los que se desconoce el sentido de su existencia, de su actividad y de su eficiencia económica.</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(Por Francisco Núñez)</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lastRenderedPageBreak/>
        <w:t xml:space="preserve">La colocación por parte de Ábalos de algunas de sus amistades en los organismos del ministerio de Transporte cuando era el titular del departamento, sin tener que ir siquiera al trabajo, ha confirmado la eterna sospecha de que el Gobierno, también ha ocurrido en anteriores legislaturas, utiliza </w:t>
      </w:r>
      <w:r w:rsidR="00D07FD3">
        <w:rPr>
          <w:rFonts w:ascii="Times New Roman" w:hAnsi="Times New Roman" w:cs="Times New Roman"/>
          <w:sz w:val="24"/>
          <w:szCs w:val="24"/>
        </w:rPr>
        <w:t>la Administración instrumental “paralela”</w:t>
      </w:r>
      <w:r w:rsidRPr="00854E72">
        <w:rPr>
          <w:rFonts w:ascii="Times New Roman" w:hAnsi="Times New Roman" w:cs="Times New Roman"/>
          <w:sz w:val="24"/>
          <w:szCs w:val="24"/>
        </w:rPr>
        <w:t xml:space="preserve"> de que dispone para colocar sin control alguno en el sector público a sus compromisos, allegados, afines y hasta familiares.</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Se trata de un puzzle de casi 500 entes públicos que figuran colgados de los ministerios y que, a la hora de contratar efectivos e incluso en la adquisición de bienes y servicios y adjudicaciones, no se rigen por los criterios de transparencia y de publicidad que deben aplicarse en la Administración General.</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Cuentan además en algunos casos con presupuestos y cuentas propias y, como sucede en las empresas públicas, pueden obtener ingresos. Es decir, mantienen una autonomía administrativa que les permite realizar contrataciones a ‘dedo’, sin convocatoria alguna. Además, existe un número importante de entes ‘fantasmas’ de los que se desconoce el sentido de su existencia, de su actividad y de su eficiencia económica.</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Según la información de la Intervención General del Estado, los ministerios disponen de 215 entes instrumentales en el denominado sector público estatal administrativo, así como de 200 entidades en el empresarial y 35 más en el sector fundacional. En total, suman 450. Pero, a esta cifra hay que añadir 43 entidades más que no se han adscrito aún a un departamento. Se trata de una proliferación de organismos autónomos, agencias estatales, entidades públicas empresariales, sociedades mercantiles, consorcios, autoridades administrativas de todo tipo, fundaciones e incluso universidades no transferidas a las autonomías.</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Presionado por Bruselas, el PP inició en 2012 un programa de reducción de estas entidades que en la gran recesión de 2008 superaban con creces el medio millar y dónde se dio cobijo laboral a los compromisos de los partidos mientras se desangraba el empleo del sector privado. En 2017, la cifra se situó en 417, pero la reducción no se produjo por la supresión o eliminación de entes sino por las fusiones acometidas</w:t>
      </w:r>
      <w:r w:rsidR="00D07FD3">
        <w:rPr>
          <w:rFonts w:ascii="Times New Roman" w:hAnsi="Times New Roman" w:cs="Times New Roman"/>
          <w:sz w:val="24"/>
          <w:szCs w:val="24"/>
        </w:rPr>
        <w:t xml:space="preserve"> de entidades “fantasmas”</w:t>
      </w:r>
      <w:r w:rsidRPr="00854E72">
        <w:rPr>
          <w:rFonts w:ascii="Times New Roman" w:hAnsi="Times New Roman" w:cs="Times New Roman"/>
          <w:sz w:val="24"/>
          <w:szCs w:val="24"/>
        </w:rPr>
        <w:t xml:space="preserve"> o inactivas así como por las liquidaciones que deberían haberse realizado hace muchos años.</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En todo caso, se ha producido un nuevo repunte tras la llegada de Sánchez a La Moncloa y la inflación de ministerios que ha acometido. Ningún Gobierno ha procedido a una necesaria reforma o revisión. Su reasignación o la supresión de muchos de estos entes, que también tienen autonomías y ayuntamientos, sería una tabla de salvación para que el Estado pudiera acometer otras partidas de gasto más urgente para la economía nacional como el incremento de los planes de inversión pública (incluso en vivienda), cumplir las exigencias de la contribución fijada, por ejemplo, por la OTAN, bajar el déficit y la deuda pública o incluso proceder a una reducción de impuestos.</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Todos los entes, incluso los que se encuentran en liquidación (por ejemplo el de la expropiada Rumasa), tienen sus propias plantillas, que en algún casos han crecido en los últimos años. La lista de organismos cuya existencia resulta curiosa es larga. Por ejemplo, el Instituto de Cinematografía dispone de 171 empleados mientras que el de Artes Escénicas y de Música llega a 1.300.</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 xml:space="preserve">El Consejo de Administración del Patrimonio Nacional cuenta con 1.120 nóminas; el Parque Móvil de los Ministerios (coches oficiales) supera ya por primera vez el millar; el Instituto para la Transición Justa asigna medio centenar; el Instituto de la Juventud ha aumentado hasta casi 200 y a un centenar de puestos se aproxima el Instituto de la Mujer. Por su parte, el </w:t>
      </w:r>
      <w:r w:rsidRPr="00854E72">
        <w:rPr>
          <w:rFonts w:ascii="Times New Roman" w:hAnsi="Times New Roman" w:cs="Times New Roman"/>
          <w:sz w:val="24"/>
          <w:szCs w:val="24"/>
        </w:rPr>
        <w:lastRenderedPageBreak/>
        <w:t>Centro de Estudios Políticos y Constitucionales supera los cincuenta y a esta cifra se aproxima el de Estudios Jurídicos mientras que el Instituto de Mayores y Servicios Sociales dispone de 2.728 nóminas cuando las autonomías tienen la transferencia realizada.</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 xml:space="preserve">Además, todos los consorcios provinciales y locales de la Universidad a Distancia, los de intercambio cultural (Casa África, América o Asia) y las Confederaciones Hidrográficas cuentan también con personal consignado e incluso la Agencia que edita el BOE suma 300 personas. Existe un Consorcio Valencia 2007 (sin auditar y sin información oficial alguna) con 28 trabajadores mientras que en cada provincia en que se ha instalado la alta velocidad se ha creado una empresa pública propia que no se liquida cuando se concluye la obra. Es una de las constantes en cada obra pública y otra es la de trocear la matriz (por ejemplo, en Renfe, Enaire o Correos) en varias sociedades. </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 xml:space="preserve">El Administrador de Infraestructuras Ferroviarias (Adif), cuya ex presidenta aparece imputada en el caso Ábalos, cuenta con casi 13.000 nóminas, mil más que el año precedente mientras que Correos, en plena expansión de personal, acumula más de 50.000 para competir con el sector privado mientras existe una entidad denominada Correos Express de Portugal con 171 puestos. También aparecen otras empresas públicas españolas en el exterior como: Aeroportos do Nordeste do Brasil con 364 nóminas; Bloco de Onze Aeroportos do Brasil S.A. con 128 cuando el año anterior no tenía ninguno; o Londo Lutton Airport Holding Limited con más de 1.500 en dos sociedades.   </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Por su parte, la sociedad Tecnologías y Servicios Agrarios cuenta con más de 11.600 nóminas frente a las 9.000 del año anterior y la Empresa de Transformación Agraria tiene casi 12.000, unas 1.500 más que el año precedente. Mientras, la Corporación de RTVE (que externaliza gran parte de su programación) no para de crecer y suma ya 7.000 empleos; el Consorcio de Barcelona Supercomputing acumula casi 900; Equipos Nucleares, 533; la Empresa Nacional del Uranio, más de 600; Hulleras del Norte, 475; Imprenta de Billetes S.A. Medio Propio del Banco de España, casi 300; la Fábrica Nacional de Moneda y Timbre, sin apenas actividad operativa, añade más de 1.200; la Jefatura Central de Tráfico acumula 12.200 efectivos; y por ejemplo, la finca con hotel La Almoraima llega a casi un centenar de puestos públicos y el Hipódromo de La Zarzuela (carreras de caballos) acumula medio centenar.</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 xml:space="preserve">Incluso, la Obra Pía de los Santos Lugares cuenta con tres nóminas y el Consejo Económico y Social suma 57 mientras que la Agencia de Evaluación y Calidad de los servicios públicos se apunta 84 y a 224 alcanza el número de empleos de la Compañía de Tabaco en Rama.   </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Existe además una S.L. denominada Servicios Documentales de Andalucía con una veintena de empleados y Serviport Andalucía S.A. con siete. Y figura también Suelo Empresarial del Atlántico S.A. con cinco nóminas y la Sociedad Mercantil Estatal de Acción Cultural S.A. con 53.</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El sector público fundacional (se supone que no tienen fines no lucrativos) es, sin embargo, el más llamativo. La Fundación del Teatro Real cuenta con 402 nóminas; la del Liceu catalán alcanza casi 400 mientras que la del Teatro Clásico de Almagro dispone de 14.</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 xml:space="preserve">Todas las instituciones y organismos tienen su propia fundación (son los organismos más opacos): desde del ICO, Ferrocarriles Españoles, la Colección Thyssen (146 empleados) o la Sepi. También figuran: la Fundación Carolina, de acción cultural con Latinoamérica y que controla directamente el Gobierno; la Fundación Internacional para Iberoamérica de Administración y Políticas Públicas (con 281 empleados); la de Pluralismo y Convivencia (nueve); la de Residencia de Estudiantes (32); la de Formación en el Empleo (370 frente a los </w:t>
      </w:r>
      <w:r w:rsidRPr="00854E72">
        <w:rPr>
          <w:rFonts w:ascii="Times New Roman" w:hAnsi="Times New Roman" w:cs="Times New Roman"/>
          <w:sz w:val="24"/>
          <w:szCs w:val="24"/>
        </w:rPr>
        <w:lastRenderedPageBreak/>
        <w:t xml:space="preserve">350 del año anterior); y la Fundación Instituto de Cultura Gitana suma cuatro nóminas. Mientras, la llamativa Fundación del Centro de Estudios Monetarios y Financieros dispone de 71 puestos; la del Instituto Iberoamericano de Mercado de Valores cuenta con tres; y la del Centro Nacional del Vidrio añade 44. </w:t>
      </w:r>
    </w:p>
    <w:p w:rsidR="00855BCF" w:rsidRPr="00854E72" w:rsidRDefault="00855BCF" w:rsidP="00855BCF">
      <w:pPr>
        <w:spacing w:line="240" w:lineRule="auto"/>
        <w:jc w:val="both"/>
        <w:rPr>
          <w:rFonts w:ascii="Times New Roman" w:hAnsi="Times New Roman" w:cs="Times New Roman"/>
          <w:sz w:val="24"/>
          <w:szCs w:val="24"/>
        </w:rPr>
      </w:pPr>
      <w:r w:rsidRPr="00854E72">
        <w:rPr>
          <w:rFonts w:ascii="Times New Roman" w:hAnsi="Times New Roman" w:cs="Times New Roman"/>
          <w:sz w:val="24"/>
          <w:szCs w:val="24"/>
        </w:rPr>
        <w:t>Y particularmente llama también la atención que todavía exista la Fundación de la Santa Cruz del Valle de los Caídos. Se creó en 1957 bajo el “Alto Patronato” de Franco. Ejerce la titularidad del monumento aunque sus funciones han sido asumidas por el Patrimonio Nacional. No se le realiza auditoria alguna ni el Gobierno facilita información de su situación mientras sigue sin publicarse el real decreto de disolución que prevé el artículo 54 de la Ley de Memoria Democrática de Sánchez.</w:t>
      </w:r>
    </w:p>
    <w:p w:rsidR="00855BCF" w:rsidRDefault="00855BCF" w:rsidP="00855BCF">
      <w:pPr>
        <w:spacing w:line="240" w:lineRule="auto"/>
        <w:jc w:val="both"/>
        <w:rPr>
          <w:rFonts w:ascii="Times New Roman" w:hAnsi="Times New Roman" w:cs="Times New Roman"/>
          <w:color w:val="FF0000"/>
          <w:sz w:val="24"/>
          <w:szCs w:val="24"/>
        </w:rPr>
      </w:pPr>
      <w:r w:rsidRPr="00854E72">
        <w:rPr>
          <w:rFonts w:ascii="Times New Roman" w:hAnsi="Times New Roman" w:cs="Times New Roman"/>
          <w:sz w:val="24"/>
          <w:szCs w:val="24"/>
        </w:rPr>
        <w:t>Da la sensación que el sector público se ha convertido en una agencia de colocación particular del partido que gobierna e incluso de sus altos cargos</w:t>
      </w:r>
      <w:r>
        <w:rPr>
          <w:rFonts w:ascii="Times New Roman" w:hAnsi="Times New Roman" w:cs="Times New Roman"/>
          <w:color w:val="FF0000"/>
          <w:sz w:val="24"/>
          <w:szCs w:val="24"/>
        </w:rPr>
        <w:t>.</w:t>
      </w:r>
    </w:p>
    <w:p w:rsidR="00D07FD3" w:rsidRDefault="00D07FD3" w:rsidP="00D07FD3">
      <w:pPr>
        <w:spacing w:line="240" w:lineRule="auto"/>
        <w:jc w:val="both"/>
        <w:rPr>
          <w:rFonts w:ascii="Times New Roman" w:hAnsi="Times New Roman" w:cs="Times New Roman"/>
          <w:color w:val="FF0000"/>
          <w:sz w:val="24"/>
          <w:szCs w:val="24"/>
          <w:shd w:val="clear" w:color="auto" w:fill="FFFFFF"/>
        </w:rPr>
      </w:pPr>
      <w:r w:rsidRPr="00B201CE">
        <w:rPr>
          <w:rFonts w:ascii="Times New Roman" w:hAnsi="Times New Roman" w:cs="Times New Roman"/>
          <w:color w:val="FF0000"/>
          <w:sz w:val="24"/>
          <w:szCs w:val="24"/>
          <w:shd w:val="clear" w:color="auto" w:fill="FFFFFF"/>
        </w:rPr>
        <w:t>- Los altos funcionarios (Ministros, Secretarios, Subsecretarios, Directores, y Asesores de libre designación), una vez que cesen en su función, no podrán realizar actividades afines a su cargo, en la actividad privada,</w:t>
      </w:r>
      <w:r w:rsidR="0057323A">
        <w:rPr>
          <w:rFonts w:ascii="Times New Roman" w:hAnsi="Times New Roman" w:cs="Times New Roman"/>
          <w:color w:val="FF0000"/>
          <w:sz w:val="24"/>
          <w:szCs w:val="24"/>
          <w:shd w:val="clear" w:color="auto" w:fill="FFFFFF"/>
        </w:rPr>
        <w:t xml:space="preserve"> por un plazo mínimo de 10 años</w:t>
      </w:r>
      <w:r w:rsidRPr="00B201CE">
        <w:rPr>
          <w:rFonts w:ascii="Times New Roman" w:hAnsi="Times New Roman" w:cs="Times New Roman"/>
          <w:color w:val="FF0000"/>
          <w:sz w:val="24"/>
          <w:szCs w:val="24"/>
          <w:shd w:val="clear" w:color="auto" w:fill="FFFFFF"/>
        </w:rPr>
        <w:t xml:space="preserve"> </w:t>
      </w:r>
    </w:p>
    <w:p w:rsidR="00D07FD3" w:rsidRDefault="00D07FD3" w:rsidP="00D07FD3">
      <w:pPr>
        <w:spacing w:line="240" w:lineRule="auto"/>
        <w:jc w:val="both"/>
        <w:rPr>
          <w:rFonts w:ascii="Times New Roman" w:hAnsi="Times New Roman" w:cs="Times New Roman"/>
          <w:sz w:val="24"/>
          <w:szCs w:val="24"/>
          <w:shd w:val="clear" w:color="auto" w:fill="FFFFFF"/>
        </w:rPr>
      </w:pPr>
      <w:r w:rsidRPr="00B201CE">
        <w:rPr>
          <w:rFonts w:ascii="Times New Roman" w:hAnsi="Times New Roman" w:cs="Times New Roman"/>
          <w:sz w:val="24"/>
          <w:szCs w:val="24"/>
          <w:shd w:val="clear" w:color="auto" w:fill="FFFFFF"/>
        </w:rPr>
        <w:t>Esta</w:t>
      </w:r>
      <w:r>
        <w:rPr>
          <w:rFonts w:ascii="Times New Roman" w:hAnsi="Times New Roman" w:cs="Times New Roman"/>
          <w:sz w:val="24"/>
          <w:szCs w:val="24"/>
          <w:shd w:val="clear" w:color="auto" w:fill="FFFFFF"/>
        </w:rPr>
        <w:t xml:space="preserve"> propuesta no tiene “memoria” económica, pero sí tiene “memoria” histórica. </w:t>
      </w:r>
    </w:p>
    <w:p w:rsidR="00D07FD3" w:rsidRDefault="00D07FD3" w:rsidP="00D07FD3">
      <w:pPr>
        <w:spacing w:line="240" w:lineRule="auto"/>
        <w:jc w:val="both"/>
        <w:rPr>
          <w:rFonts w:ascii="Times New Roman" w:hAnsi="Times New Roman" w:cs="Times New Roman"/>
          <w:sz w:val="24"/>
          <w:szCs w:val="24"/>
          <w:shd w:val="clear" w:color="auto" w:fill="FFFFFF"/>
        </w:rPr>
      </w:pPr>
      <w:r w:rsidRPr="002213C5">
        <w:rPr>
          <w:rFonts w:ascii="Times New Roman" w:hAnsi="Times New Roman" w:cs="Times New Roman"/>
          <w:sz w:val="24"/>
          <w:szCs w:val="24"/>
          <w:shd w:val="clear" w:color="auto" w:fill="FFFFFF"/>
        </w:rPr>
        <w:t xml:space="preserve">En el contexto político y </w:t>
      </w:r>
      <w:r>
        <w:rPr>
          <w:rFonts w:ascii="Times New Roman" w:hAnsi="Times New Roman" w:cs="Times New Roman"/>
          <w:sz w:val="24"/>
          <w:szCs w:val="24"/>
          <w:shd w:val="clear" w:color="auto" w:fill="FFFFFF"/>
        </w:rPr>
        <w:t>administrativo, se conoce como “puerta giratoria”</w:t>
      </w:r>
      <w:r w:rsidRPr="002213C5">
        <w:rPr>
          <w:rFonts w:ascii="Times New Roman" w:hAnsi="Times New Roman" w:cs="Times New Roman"/>
          <w:sz w:val="24"/>
          <w:szCs w:val="24"/>
          <w:shd w:val="clear" w:color="auto" w:fill="FFFFFF"/>
        </w:rPr>
        <w:t xml:space="preserve"> a la práctica de exfuncionarios públicos que, tras dejar sus cargos, se incorporan al sector privado, a menudo en empresas o industrias relacionadas con sus áreas de responsabilidad anterior. Esta transición puede generar conflictos de intereses, especialmente si los exfuncionarios utilizan su conocimiento y contactos adquiridos en el servicio público para beneficiar a sus nuevos empleadores. </w:t>
      </w:r>
    </w:p>
    <w:p w:rsidR="00D07FD3" w:rsidRDefault="00D07FD3" w:rsidP="00D07FD3">
      <w:pPr>
        <w:spacing w:line="240" w:lineRule="auto"/>
        <w:jc w:val="both"/>
        <w:rPr>
          <w:rFonts w:ascii="Times New Roman" w:hAnsi="Times New Roman" w:cs="Times New Roman"/>
          <w:sz w:val="24"/>
          <w:szCs w:val="24"/>
          <w:shd w:val="clear" w:color="auto" w:fill="FFFFFF"/>
        </w:rPr>
      </w:pPr>
      <w:r w:rsidRPr="002213C5">
        <w:rPr>
          <w:rFonts w:ascii="Times New Roman" w:hAnsi="Times New Roman" w:cs="Times New Roman"/>
          <w:sz w:val="24"/>
          <w:szCs w:val="24"/>
          <w:shd w:val="clear" w:color="auto" w:fill="FFFFFF"/>
        </w:rPr>
        <w:t xml:space="preserve">En España, la incidencia del fenómeno es considerable. De los gobiernos de Felipe González, José María Aznar y José Luis Rodríguez Zapatero, tres de cada diez ministros dejan la política al cesar en sus cargos y se embarcan en actividades en la empresa privada, del Consejo de ministros </w:t>
      </w:r>
      <w:r>
        <w:rPr>
          <w:rFonts w:ascii="Times New Roman" w:hAnsi="Times New Roman" w:cs="Times New Roman"/>
          <w:sz w:val="24"/>
          <w:szCs w:val="24"/>
          <w:shd w:val="clear" w:color="auto" w:fill="FFFFFF"/>
        </w:rPr>
        <w:t>al consejo de administración,</w:t>
      </w:r>
      <w:r w:rsidRPr="002213C5">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w:t>
      </w:r>
      <w:r w:rsidRPr="002213C5">
        <w:rPr>
          <w:rFonts w:ascii="Times New Roman" w:hAnsi="Times New Roman" w:cs="Times New Roman"/>
          <w:sz w:val="24"/>
          <w:szCs w:val="24"/>
          <w:shd w:val="clear" w:color="auto" w:fill="FFFFFF"/>
        </w:rPr>
        <w:t xml:space="preserve">en muchos de los casos en labores de representación y tareas de lobby, </w:t>
      </w:r>
      <w:r>
        <w:rPr>
          <w:rFonts w:ascii="Times New Roman" w:hAnsi="Times New Roman" w:cs="Times New Roman"/>
          <w:sz w:val="24"/>
          <w:szCs w:val="24"/>
          <w:shd w:val="clear" w:color="auto" w:fill="FFFFFF"/>
        </w:rPr>
        <w:t>aunque también de dirección.</w:t>
      </w:r>
    </w:p>
    <w:p w:rsidR="00D07FD3" w:rsidRDefault="00D07FD3" w:rsidP="00D07FD3">
      <w:pPr>
        <w:spacing w:line="240" w:lineRule="auto"/>
        <w:jc w:val="both"/>
        <w:rPr>
          <w:rFonts w:ascii="Times New Roman" w:hAnsi="Times New Roman" w:cs="Times New Roman"/>
          <w:sz w:val="24"/>
          <w:szCs w:val="24"/>
          <w:shd w:val="clear" w:color="auto" w:fill="FFFFFF"/>
        </w:rPr>
      </w:pPr>
      <w:r w:rsidRPr="002213C5">
        <w:rPr>
          <w:rFonts w:ascii="Times New Roman" w:hAnsi="Times New Roman" w:cs="Times New Roman"/>
          <w:sz w:val="24"/>
          <w:szCs w:val="24"/>
          <w:shd w:val="clear" w:color="auto" w:fill="FFFFFF"/>
        </w:rPr>
        <w:t>En España existe una ley de incompatibilidades vigente: la Ley 5/2006, de 10 de abril, de regulación de los conflictos de intereses de los miembros del Gobierno y de los Altos Cargos de la Administración General del Estado. Según esta ley, los altos cargos que abandonen su puesto tienen un periodo de dos años en los que existen una serie de limitaciones a la asunción de responsabilidades en empresas privadas, así como la obligación de presentar ante la Oficina de Conflictos de Intereses un informe acerca de las actividades a realizar (art. 7). Además, deben abstenerse de realizar cualquier actividad que guarde relación con las responsabilidades ejercidas en el cargo público anteriormente ejercido</w:t>
      </w:r>
      <w:r>
        <w:rPr>
          <w:rFonts w:ascii="Times New Roman" w:hAnsi="Times New Roman" w:cs="Times New Roman"/>
          <w:sz w:val="24"/>
          <w:szCs w:val="24"/>
          <w:shd w:val="clear" w:color="auto" w:fill="FFFFFF"/>
        </w:rPr>
        <w:t>.</w:t>
      </w:r>
    </w:p>
    <w:p w:rsidR="00D07FD3" w:rsidRPr="002213C5" w:rsidRDefault="00D07FD3" w:rsidP="00D07FD3">
      <w:pPr>
        <w:spacing w:line="240" w:lineRule="auto"/>
        <w:jc w:val="both"/>
        <w:rPr>
          <w:rFonts w:ascii="Times New Roman" w:hAnsi="Times New Roman" w:cs="Times New Roman"/>
          <w:sz w:val="24"/>
          <w:szCs w:val="24"/>
          <w:shd w:val="clear" w:color="auto" w:fill="FFFFFF"/>
        </w:rPr>
      </w:pPr>
      <w:r w:rsidRPr="002213C5">
        <w:rPr>
          <w:rFonts w:ascii="Times New Roman" w:hAnsi="Times New Roman" w:cs="Times New Roman"/>
          <w:sz w:val="24"/>
          <w:szCs w:val="24"/>
          <w:shd w:val="clear" w:color="auto" w:fill="FFFFFF"/>
        </w:rPr>
        <w:t>El Consejo de Ministros aprobó en noviembre</w:t>
      </w:r>
      <w:r>
        <w:rPr>
          <w:rFonts w:ascii="Times New Roman" w:hAnsi="Times New Roman" w:cs="Times New Roman"/>
          <w:sz w:val="24"/>
          <w:szCs w:val="24"/>
          <w:shd w:val="clear" w:color="auto" w:fill="FFFFFF"/>
        </w:rPr>
        <w:t xml:space="preserve"> de 2022</w:t>
      </w:r>
      <w:r w:rsidRPr="002213C5">
        <w:rPr>
          <w:rFonts w:ascii="Times New Roman" w:hAnsi="Times New Roman" w:cs="Times New Roman"/>
          <w:sz w:val="24"/>
          <w:szCs w:val="24"/>
          <w:shd w:val="clear" w:color="auto" w:fill="FFFFFF"/>
        </w:rPr>
        <w:t xml:space="preserve"> el texto del Anteproyecto de Ley de Transparencia e Integridad en las Actividades de los Grupos de Interés, una norma que busca regular por primera vez en España las relaciones entre los grupos de interés o lobbies y los altos cargos de la Administración General </w:t>
      </w:r>
      <w:r>
        <w:rPr>
          <w:rFonts w:ascii="Times New Roman" w:hAnsi="Times New Roman" w:cs="Times New Roman"/>
          <w:sz w:val="24"/>
          <w:szCs w:val="24"/>
          <w:shd w:val="clear" w:color="auto" w:fill="FFFFFF"/>
        </w:rPr>
        <w:t>del Estado y el Sector Público.</w:t>
      </w:r>
    </w:p>
    <w:p w:rsidR="00D07FD3" w:rsidRDefault="00D07FD3" w:rsidP="00D07FD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Tal y como explicó el presidente del gobierno</w:t>
      </w:r>
      <w:r w:rsidRPr="002213C5">
        <w:rPr>
          <w:rFonts w:ascii="Times New Roman" w:hAnsi="Times New Roman" w:cs="Times New Roman"/>
          <w:sz w:val="24"/>
          <w:szCs w:val="24"/>
          <w:shd w:val="clear" w:color="auto" w:fill="FFFFFF"/>
        </w:rPr>
        <w:t xml:space="preserve">, si esta norma llega a aprobarse, sería la primera vez que se regularía la relación entre los altos cargos y los grupos de presión o lobbies. Esto sería otra forma de evitar puertas giratorias, ya que los altos cargos no podrían realizar actividades de grupos de presión relacionadas con sus competencias en los dos años </w:t>
      </w:r>
      <w:r w:rsidRPr="002213C5">
        <w:rPr>
          <w:rFonts w:ascii="Times New Roman" w:hAnsi="Times New Roman" w:cs="Times New Roman"/>
          <w:sz w:val="24"/>
          <w:szCs w:val="24"/>
          <w:shd w:val="clear" w:color="auto" w:fill="FFFFFF"/>
        </w:rPr>
        <w:lastRenderedPageBreak/>
        <w:t>siguientes a su cese, precisa la experta. Un paso más al que establece la Oficina de Conflictos de Intereses.</w:t>
      </w:r>
    </w:p>
    <w:p w:rsidR="00D07FD3" w:rsidRPr="00DB4C6B" w:rsidRDefault="00D07FD3" w:rsidP="00D07FD3">
      <w:pPr>
        <w:spacing w:line="240" w:lineRule="auto"/>
        <w:jc w:val="both"/>
        <w:rPr>
          <w:rFonts w:ascii="Times New Roman" w:hAnsi="Times New Roman" w:cs="Times New Roman"/>
          <w:sz w:val="24"/>
          <w:szCs w:val="24"/>
          <w:shd w:val="clear" w:color="auto" w:fill="FFFFFF"/>
        </w:rPr>
      </w:pPr>
      <w:r w:rsidRPr="00DB4C6B">
        <w:rPr>
          <w:rFonts w:ascii="Times New Roman" w:hAnsi="Times New Roman" w:cs="Times New Roman"/>
          <w:sz w:val="24"/>
          <w:szCs w:val="24"/>
          <w:shd w:val="clear" w:color="auto" w:fill="FFFFFF"/>
        </w:rPr>
        <w:t xml:space="preserve">Algunos de los casos más evidentes de puertas giratorias en España incluyen: </w:t>
      </w:r>
    </w:p>
    <w:p w:rsidR="00D07FD3" w:rsidRPr="00DB4C6B" w:rsidRDefault="00D07FD3" w:rsidP="00D07FD3">
      <w:pPr>
        <w:spacing w:line="240" w:lineRule="auto"/>
        <w:jc w:val="both"/>
        <w:rPr>
          <w:rFonts w:ascii="Times New Roman" w:hAnsi="Times New Roman" w:cs="Times New Roman"/>
          <w:sz w:val="24"/>
          <w:szCs w:val="24"/>
          <w:shd w:val="clear" w:color="auto" w:fill="FFFFFF"/>
        </w:rPr>
      </w:pPr>
      <w:r w:rsidRPr="00DB4C6B">
        <w:rPr>
          <w:rFonts w:ascii="Times New Roman" w:hAnsi="Times New Roman" w:cs="Times New Roman"/>
          <w:sz w:val="24"/>
          <w:szCs w:val="24"/>
          <w:shd w:val="clear" w:color="auto" w:fill="FFFFFF"/>
        </w:rPr>
        <w:t xml:space="preserve">Exministros y ex altos </w:t>
      </w:r>
      <w:r>
        <w:rPr>
          <w:rFonts w:ascii="Times New Roman" w:hAnsi="Times New Roman" w:cs="Times New Roman"/>
          <w:sz w:val="24"/>
          <w:szCs w:val="24"/>
          <w:shd w:val="clear" w:color="auto" w:fill="FFFFFF"/>
        </w:rPr>
        <w:t xml:space="preserve">cargos en empresas energéticas: </w:t>
      </w:r>
      <w:r w:rsidRPr="00DB4C6B">
        <w:rPr>
          <w:rFonts w:ascii="Times New Roman" w:hAnsi="Times New Roman" w:cs="Times New Roman"/>
          <w:sz w:val="24"/>
          <w:szCs w:val="24"/>
          <w:shd w:val="clear" w:color="auto" w:fill="FFFFFF"/>
        </w:rPr>
        <w:t>Es común que exministros de Industria o Energía, o altos cargos de la administración relacionados con el sector energético, acaben trabajando en empresas como Repsol, Iberdrola, o Endesa.</w:t>
      </w:r>
    </w:p>
    <w:p w:rsidR="00D07FD3" w:rsidRPr="00DB4C6B" w:rsidRDefault="00D07FD3" w:rsidP="00D07FD3">
      <w:pPr>
        <w:spacing w:line="240" w:lineRule="auto"/>
        <w:jc w:val="both"/>
        <w:rPr>
          <w:rFonts w:ascii="Times New Roman" w:hAnsi="Times New Roman" w:cs="Times New Roman"/>
          <w:sz w:val="24"/>
          <w:szCs w:val="24"/>
          <w:shd w:val="clear" w:color="auto" w:fill="FFFFFF"/>
        </w:rPr>
      </w:pPr>
      <w:r w:rsidRPr="00DB4C6B">
        <w:rPr>
          <w:rFonts w:ascii="Times New Roman" w:hAnsi="Times New Roman" w:cs="Times New Roman"/>
          <w:sz w:val="24"/>
          <w:szCs w:val="24"/>
          <w:shd w:val="clear" w:color="auto" w:fill="FFFFFF"/>
        </w:rPr>
        <w:t>Exdirectivos de empresas</w:t>
      </w:r>
      <w:r>
        <w:rPr>
          <w:rFonts w:ascii="Times New Roman" w:hAnsi="Times New Roman" w:cs="Times New Roman"/>
          <w:sz w:val="24"/>
          <w:szCs w:val="24"/>
          <w:shd w:val="clear" w:color="auto" w:fill="FFFFFF"/>
        </w:rPr>
        <w:t xml:space="preserve"> públicas en la administración: </w:t>
      </w:r>
      <w:r w:rsidRPr="00DB4C6B">
        <w:rPr>
          <w:rFonts w:ascii="Times New Roman" w:hAnsi="Times New Roman" w:cs="Times New Roman"/>
          <w:sz w:val="24"/>
          <w:szCs w:val="24"/>
          <w:shd w:val="clear" w:color="auto" w:fill="FFFFFF"/>
        </w:rPr>
        <w:t>También se dan casos de directivos de empresas públicas que, tras dejar sus cargos, son nombrados para puestos de responsabilidad en ministerios o consejerías relacionadas con su antiguo sector.</w:t>
      </w:r>
    </w:p>
    <w:p w:rsidR="00D07FD3" w:rsidRPr="00DB4C6B" w:rsidRDefault="00D07FD3" w:rsidP="00D07FD3">
      <w:pPr>
        <w:spacing w:line="240" w:lineRule="auto"/>
        <w:jc w:val="both"/>
        <w:rPr>
          <w:rFonts w:ascii="Times New Roman" w:hAnsi="Times New Roman" w:cs="Times New Roman"/>
          <w:sz w:val="24"/>
          <w:szCs w:val="24"/>
          <w:shd w:val="clear" w:color="auto" w:fill="FFFFFF"/>
        </w:rPr>
      </w:pPr>
      <w:r w:rsidRPr="00DB4C6B">
        <w:rPr>
          <w:rFonts w:ascii="Times New Roman" w:hAnsi="Times New Roman" w:cs="Times New Roman"/>
          <w:sz w:val="24"/>
          <w:szCs w:val="24"/>
          <w:shd w:val="clear" w:color="auto" w:fill="FFFFFF"/>
        </w:rPr>
        <w:t>Abogados y consultores que pasan a la política:</w:t>
      </w:r>
      <w:r>
        <w:rPr>
          <w:rFonts w:ascii="Times New Roman" w:hAnsi="Times New Roman" w:cs="Times New Roman"/>
          <w:sz w:val="24"/>
          <w:szCs w:val="24"/>
          <w:shd w:val="clear" w:color="auto" w:fill="FFFFFF"/>
        </w:rPr>
        <w:t xml:space="preserve"> </w:t>
      </w:r>
      <w:r w:rsidRPr="00DB4C6B">
        <w:rPr>
          <w:rFonts w:ascii="Times New Roman" w:hAnsi="Times New Roman" w:cs="Times New Roman"/>
          <w:sz w:val="24"/>
          <w:szCs w:val="24"/>
          <w:shd w:val="clear" w:color="auto" w:fill="FFFFFF"/>
        </w:rPr>
        <w:t>Es frecuente que abogados o consultores que han asesorado a grandes empresas o lobbies, accedan a cargos políticos y luego regresen a sus despachos o empresas tras finalizar su etapa en la administración.</w:t>
      </w:r>
    </w:p>
    <w:p w:rsidR="00D07FD3" w:rsidRPr="00DB4C6B" w:rsidRDefault="00D07FD3" w:rsidP="00D07FD3">
      <w:pPr>
        <w:spacing w:line="240" w:lineRule="auto"/>
        <w:jc w:val="both"/>
        <w:rPr>
          <w:rFonts w:ascii="Times New Roman" w:hAnsi="Times New Roman" w:cs="Times New Roman"/>
          <w:sz w:val="24"/>
          <w:szCs w:val="24"/>
          <w:shd w:val="clear" w:color="auto" w:fill="FFFFFF"/>
        </w:rPr>
      </w:pPr>
      <w:r w:rsidRPr="00DB4C6B">
        <w:rPr>
          <w:rFonts w:ascii="Times New Roman" w:hAnsi="Times New Roman" w:cs="Times New Roman"/>
          <w:sz w:val="24"/>
          <w:szCs w:val="24"/>
          <w:shd w:val="clear" w:color="auto" w:fill="FFFFFF"/>
        </w:rPr>
        <w:t>Antiguos miembro</w:t>
      </w:r>
      <w:r>
        <w:rPr>
          <w:rFonts w:ascii="Times New Roman" w:hAnsi="Times New Roman" w:cs="Times New Roman"/>
          <w:sz w:val="24"/>
          <w:szCs w:val="24"/>
          <w:shd w:val="clear" w:color="auto" w:fill="FFFFFF"/>
        </w:rPr>
        <w:t xml:space="preserve">s de gabinetes de comunicación: </w:t>
      </w:r>
      <w:r w:rsidRPr="00DB4C6B">
        <w:rPr>
          <w:rFonts w:ascii="Times New Roman" w:hAnsi="Times New Roman" w:cs="Times New Roman"/>
          <w:sz w:val="24"/>
          <w:szCs w:val="24"/>
          <w:shd w:val="clear" w:color="auto" w:fill="FFFFFF"/>
        </w:rPr>
        <w:t>Profesionales de la comunicación y las relaciones públicas que han trabajado para partidos políticos o instituciones, pueden pasar a ocupar puestos en agencias de comunicación o empresas privadas, a menudo con contratos relacionados con la administración.</w:t>
      </w:r>
    </w:p>
    <w:p w:rsidR="00D07FD3" w:rsidRDefault="00D07FD3" w:rsidP="00D07FD3">
      <w:pPr>
        <w:spacing w:line="240" w:lineRule="auto"/>
        <w:jc w:val="both"/>
        <w:rPr>
          <w:rFonts w:ascii="Times New Roman" w:hAnsi="Times New Roman" w:cs="Times New Roman"/>
          <w:sz w:val="24"/>
          <w:szCs w:val="24"/>
          <w:shd w:val="clear" w:color="auto" w:fill="FFFFFF"/>
        </w:rPr>
      </w:pPr>
      <w:r w:rsidRPr="00DB4C6B">
        <w:rPr>
          <w:rFonts w:ascii="Times New Roman" w:hAnsi="Times New Roman" w:cs="Times New Roman"/>
          <w:sz w:val="24"/>
          <w:szCs w:val="24"/>
          <w:shd w:val="clear" w:color="auto" w:fill="FFFFFF"/>
        </w:rPr>
        <w:t>Estos casos, entre otros, son considerados ejemplos de puertas giratorias, ya que sugieren una conexión entre el sector público y el privado que podría generar conflictos de interés y socavar la transparencia en la gestión pública. La metáfora de la puerta giratoria se refiere a este movimiento constante de personas entre ambos sectores, lo que genera dudas sobre la independencia y objetividad de las decisiones tomadas por los cargos públicos.</w:t>
      </w:r>
    </w:p>
    <w:p w:rsidR="00D07FD3" w:rsidRDefault="00D07FD3" w:rsidP="00D07FD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Los casos de José Blanco - Acento (ex Ministro de Fomento en el gobierno de Rodríguez Zapatero), y de </w:t>
      </w:r>
      <w:r w:rsidR="0057323A">
        <w:rPr>
          <w:rFonts w:ascii="Times New Roman" w:hAnsi="Times New Roman" w:cs="Times New Roman"/>
          <w:sz w:val="24"/>
          <w:szCs w:val="24"/>
          <w:shd w:val="clear" w:color="auto" w:fill="FFFFFF"/>
        </w:rPr>
        <w:t>Cristóbal</w:t>
      </w:r>
      <w:r>
        <w:rPr>
          <w:rFonts w:ascii="Times New Roman" w:hAnsi="Times New Roman" w:cs="Times New Roman"/>
          <w:sz w:val="24"/>
          <w:szCs w:val="24"/>
          <w:shd w:val="clear" w:color="auto" w:fill="FFFFFF"/>
        </w:rPr>
        <w:t xml:space="preserve"> Montoro - Estudio Económico (ex Ministro de Hacienda en el gobierno de Rajoy), son los más citados en la prensa recientemente, tanto por la cercanía al poder, como por la importancia de la cartera de clientes y actividades realizadas. En ambos casos, se realizaron gestiones “dudosas” (supuestamente ilegales), estando en funciones.</w:t>
      </w:r>
    </w:p>
    <w:p w:rsidR="00D07FD3" w:rsidRPr="00553DB0" w:rsidRDefault="00D07FD3" w:rsidP="00D07FD3">
      <w:pPr>
        <w:spacing w:line="240" w:lineRule="auto"/>
        <w:jc w:val="both"/>
        <w:rPr>
          <w:rFonts w:ascii="Times New Roman" w:hAnsi="Times New Roman" w:cs="Times New Roman"/>
          <w:color w:val="FF0000"/>
          <w:sz w:val="24"/>
          <w:szCs w:val="24"/>
          <w:shd w:val="clear" w:color="auto" w:fill="FFFFFF"/>
        </w:rPr>
      </w:pPr>
      <w:r w:rsidRPr="00553DB0">
        <w:rPr>
          <w:rFonts w:ascii="Times New Roman" w:hAnsi="Times New Roman" w:cs="Times New Roman"/>
          <w:color w:val="FF0000"/>
          <w:sz w:val="24"/>
          <w:szCs w:val="24"/>
          <w:shd w:val="clear" w:color="auto" w:fill="FFFFFF"/>
        </w:rPr>
        <w:t xml:space="preserve">Por todo ello, y mucho más, mi propuesta es llevar a los 10 años, la prohibición a los altos funcionarios de realizar actividades profesionales vinculadas al sector de responsabilidad que ocuparon, con multa, inhabilitación profesional, y prisión (sin libertad condicional). </w:t>
      </w:r>
    </w:p>
    <w:p w:rsidR="00D07FD3" w:rsidRDefault="00D07FD3" w:rsidP="00D07FD3">
      <w:pPr>
        <w:spacing w:line="240" w:lineRule="auto"/>
        <w:jc w:val="both"/>
        <w:rPr>
          <w:rFonts w:ascii="Times New Roman" w:hAnsi="Times New Roman" w:cs="Times New Roman"/>
          <w:color w:val="FF0000"/>
          <w:sz w:val="24"/>
          <w:szCs w:val="24"/>
          <w:shd w:val="clear" w:color="auto" w:fill="FFFFFF"/>
        </w:rPr>
      </w:pPr>
      <w:r w:rsidRPr="007D710D">
        <w:rPr>
          <w:rFonts w:ascii="Times New Roman" w:hAnsi="Times New Roman" w:cs="Times New Roman"/>
          <w:color w:val="FF0000"/>
          <w:sz w:val="24"/>
          <w:szCs w:val="24"/>
          <w:shd w:val="clear" w:color="auto" w:fill="FFFFFF"/>
        </w:rPr>
        <w:t>- Volver a centralizar la Sanidad, la Educación</w:t>
      </w:r>
      <w:r>
        <w:rPr>
          <w:rFonts w:ascii="Times New Roman" w:hAnsi="Times New Roman" w:cs="Times New Roman"/>
          <w:color w:val="FF0000"/>
          <w:sz w:val="24"/>
          <w:szCs w:val="24"/>
          <w:shd w:val="clear" w:color="auto" w:fill="FFFFFF"/>
        </w:rPr>
        <w:t>,</w:t>
      </w:r>
      <w:r w:rsidRPr="007D710D">
        <w:rPr>
          <w:rFonts w:ascii="Times New Roman" w:hAnsi="Times New Roman" w:cs="Times New Roman"/>
          <w:color w:val="FF0000"/>
          <w:sz w:val="24"/>
          <w:szCs w:val="24"/>
          <w:shd w:val="clear" w:color="auto" w:fill="FFFFFF"/>
        </w:rPr>
        <w:t xml:space="preserve"> y otras responsabilidades delegadas</w:t>
      </w:r>
    </w:p>
    <w:p w:rsidR="00D07FD3" w:rsidRPr="007D710D" w:rsidRDefault="00D07FD3" w:rsidP="00D07FD3">
      <w:pPr>
        <w:spacing w:line="240" w:lineRule="auto"/>
        <w:jc w:val="both"/>
        <w:rPr>
          <w:rFonts w:ascii="Times New Roman" w:hAnsi="Times New Roman" w:cs="Times New Roman"/>
          <w:sz w:val="24"/>
          <w:szCs w:val="24"/>
          <w:shd w:val="clear" w:color="auto" w:fill="FFFFFF"/>
        </w:rPr>
      </w:pPr>
      <w:r w:rsidRPr="00F86446">
        <w:rPr>
          <w:rFonts w:ascii="Times New Roman" w:hAnsi="Times New Roman" w:cs="Times New Roman"/>
          <w:b/>
          <w:sz w:val="24"/>
          <w:szCs w:val="24"/>
          <w:u w:val="single"/>
          <w:shd w:val="clear" w:color="auto" w:fill="FFFFFF"/>
        </w:rPr>
        <w:t>La sanidad delegada</w:t>
      </w:r>
      <w:r w:rsidRPr="007D710D">
        <w:rPr>
          <w:rFonts w:ascii="Times New Roman" w:hAnsi="Times New Roman" w:cs="Times New Roman"/>
          <w:sz w:val="24"/>
          <w:szCs w:val="24"/>
          <w:shd w:val="clear" w:color="auto" w:fill="FFFFFF"/>
        </w:rPr>
        <w:t xml:space="preserve">, donde las Comunidades Autónomas gestionan sus propios sistemas de salud, presenta ventajas como la cercanía a las necesidades locales y la posibilidad de adaptar los servicios, pero también desventajas como la posible desigualdad en la inversión y la calidad entre comunidades, además de listas de espera y dificultades para acceder a especialistas. </w:t>
      </w:r>
    </w:p>
    <w:p w:rsidR="00D07FD3" w:rsidRPr="007D710D" w:rsidRDefault="00D07FD3" w:rsidP="00D07FD3">
      <w:pPr>
        <w:spacing w:line="240" w:lineRule="auto"/>
        <w:jc w:val="both"/>
        <w:rPr>
          <w:rFonts w:ascii="Times New Roman" w:hAnsi="Times New Roman" w:cs="Times New Roman"/>
          <w:sz w:val="24"/>
          <w:szCs w:val="24"/>
          <w:shd w:val="clear" w:color="auto" w:fill="FFFFFF"/>
        </w:rPr>
      </w:pPr>
      <w:r w:rsidRPr="007D710D">
        <w:rPr>
          <w:rFonts w:ascii="Times New Roman" w:hAnsi="Times New Roman" w:cs="Times New Roman"/>
          <w:sz w:val="24"/>
          <w:szCs w:val="24"/>
          <w:shd w:val="clear" w:color="auto" w:fill="FFFFFF"/>
        </w:rPr>
        <w:t>Ventajas de la sanidad delegada:</w:t>
      </w:r>
    </w:p>
    <w:p w:rsidR="00D07FD3" w:rsidRPr="007D710D" w:rsidRDefault="00D07FD3" w:rsidP="00D07FD3">
      <w:pPr>
        <w:spacing w:line="240" w:lineRule="auto"/>
        <w:jc w:val="both"/>
        <w:rPr>
          <w:rFonts w:ascii="Times New Roman" w:hAnsi="Times New Roman" w:cs="Times New Roman"/>
          <w:sz w:val="24"/>
          <w:szCs w:val="24"/>
          <w:shd w:val="clear" w:color="auto" w:fill="FFFFFF"/>
        </w:rPr>
      </w:pPr>
      <w:r w:rsidRPr="007D710D">
        <w:rPr>
          <w:rFonts w:ascii="Times New Roman" w:hAnsi="Times New Roman" w:cs="Times New Roman"/>
          <w:sz w:val="24"/>
          <w:szCs w:val="24"/>
          <w:shd w:val="clear" w:color="auto" w:fill="FFFFFF"/>
        </w:rPr>
        <w:t>Adapta</w:t>
      </w:r>
      <w:r>
        <w:rPr>
          <w:rFonts w:ascii="Times New Roman" w:hAnsi="Times New Roman" w:cs="Times New Roman"/>
          <w:sz w:val="24"/>
          <w:szCs w:val="24"/>
          <w:shd w:val="clear" w:color="auto" w:fill="FFFFFF"/>
        </w:rPr>
        <w:t xml:space="preserve">ción a las necesidades locales: </w:t>
      </w:r>
      <w:r w:rsidRPr="007D710D">
        <w:rPr>
          <w:rFonts w:ascii="Times New Roman" w:hAnsi="Times New Roman" w:cs="Times New Roman"/>
          <w:sz w:val="24"/>
          <w:szCs w:val="24"/>
          <w:shd w:val="clear" w:color="auto" w:fill="FFFFFF"/>
        </w:rPr>
        <w:t>Las comunidades autónomas pueden diseñar políticas y servicios de salud que respondan a las características y demandas específicas de su población.</w:t>
      </w:r>
    </w:p>
    <w:p w:rsidR="00D07FD3" w:rsidRPr="007D710D" w:rsidRDefault="00D07FD3" w:rsidP="00D07FD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Mayor participación y control: </w:t>
      </w:r>
      <w:r w:rsidRPr="007D710D">
        <w:rPr>
          <w:rFonts w:ascii="Times New Roman" w:hAnsi="Times New Roman" w:cs="Times New Roman"/>
          <w:sz w:val="24"/>
          <w:szCs w:val="24"/>
          <w:shd w:val="clear" w:color="auto" w:fill="FFFFFF"/>
        </w:rPr>
        <w:t>La gestión descentralizada permite una mayor participación de los ciudadanos y profesionales en la toma de decisiones, generando mayor transparencia y responsabilidad.</w:t>
      </w:r>
    </w:p>
    <w:p w:rsidR="00D07FD3" w:rsidRPr="007D710D" w:rsidRDefault="00D07FD3" w:rsidP="00D07FD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Mayor flexibilidad y agilidad: </w:t>
      </w:r>
      <w:r w:rsidRPr="007D710D">
        <w:rPr>
          <w:rFonts w:ascii="Times New Roman" w:hAnsi="Times New Roman" w:cs="Times New Roman"/>
          <w:sz w:val="24"/>
          <w:szCs w:val="24"/>
          <w:shd w:val="clear" w:color="auto" w:fill="FFFFFF"/>
        </w:rPr>
        <w:t>La gestión más cercana a los centros sanitarios facilita la adaptación a cambios y la implementación de soluciones innovadoras.</w:t>
      </w:r>
    </w:p>
    <w:p w:rsidR="00D07FD3" w:rsidRPr="007D710D" w:rsidRDefault="00D07FD3" w:rsidP="00D07FD3">
      <w:pPr>
        <w:spacing w:line="240" w:lineRule="auto"/>
        <w:jc w:val="both"/>
        <w:rPr>
          <w:rFonts w:ascii="Times New Roman" w:hAnsi="Times New Roman" w:cs="Times New Roman"/>
          <w:sz w:val="24"/>
          <w:szCs w:val="24"/>
          <w:shd w:val="clear" w:color="auto" w:fill="FFFFFF"/>
        </w:rPr>
      </w:pPr>
      <w:r w:rsidRPr="007D710D">
        <w:rPr>
          <w:rFonts w:ascii="Times New Roman" w:hAnsi="Times New Roman" w:cs="Times New Roman"/>
          <w:sz w:val="24"/>
          <w:szCs w:val="24"/>
          <w:shd w:val="clear" w:color="auto" w:fill="FFFFFF"/>
        </w:rPr>
        <w:t>P</w:t>
      </w:r>
      <w:r>
        <w:rPr>
          <w:rFonts w:ascii="Times New Roman" w:hAnsi="Times New Roman" w:cs="Times New Roman"/>
          <w:sz w:val="24"/>
          <w:szCs w:val="24"/>
          <w:shd w:val="clear" w:color="auto" w:fill="FFFFFF"/>
        </w:rPr>
        <w:t xml:space="preserve">osible mejora en la eficiencia: </w:t>
      </w:r>
      <w:r w:rsidRPr="007D710D">
        <w:rPr>
          <w:rFonts w:ascii="Times New Roman" w:hAnsi="Times New Roman" w:cs="Times New Roman"/>
          <w:sz w:val="24"/>
          <w:szCs w:val="24"/>
          <w:shd w:val="clear" w:color="auto" w:fill="FFFFFF"/>
        </w:rPr>
        <w:t xml:space="preserve">La competencia entre comunidades autónomas, en teoría, puede fomentar la eficiencia en la gestión de recursos y la prestación de servicios. </w:t>
      </w:r>
    </w:p>
    <w:p w:rsidR="00D07FD3" w:rsidRPr="007D710D" w:rsidRDefault="00D07FD3" w:rsidP="00D07FD3">
      <w:pPr>
        <w:spacing w:line="240" w:lineRule="auto"/>
        <w:jc w:val="both"/>
        <w:rPr>
          <w:rFonts w:ascii="Times New Roman" w:hAnsi="Times New Roman" w:cs="Times New Roman"/>
          <w:sz w:val="24"/>
          <w:szCs w:val="24"/>
          <w:shd w:val="clear" w:color="auto" w:fill="FFFFFF"/>
        </w:rPr>
      </w:pPr>
      <w:r w:rsidRPr="007D710D">
        <w:rPr>
          <w:rFonts w:ascii="Times New Roman" w:hAnsi="Times New Roman" w:cs="Times New Roman"/>
          <w:sz w:val="24"/>
          <w:szCs w:val="24"/>
          <w:shd w:val="clear" w:color="auto" w:fill="FFFFFF"/>
        </w:rPr>
        <w:t>Desventajas de la sanidad delegada:</w:t>
      </w:r>
    </w:p>
    <w:p w:rsidR="00D07FD3" w:rsidRPr="007D710D" w:rsidRDefault="00D07FD3" w:rsidP="00D07FD3">
      <w:pPr>
        <w:spacing w:line="240" w:lineRule="auto"/>
        <w:jc w:val="both"/>
        <w:rPr>
          <w:rFonts w:ascii="Times New Roman" w:hAnsi="Times New Roman" w:cs="Times New Roman"/>
          <w:sz w:val="24"/>
          <w:szCs w:val="24"/>
          <w:shd w:val="clear" w:color="auto" w:fill="FFFFFF"/>
        </w:rPr>
      </w:pPr>
      <w:r w:rsidRPr="007D710D">
        <w:rPr>
          <w:rFonts w:ascii="Times New Roman" w:hAnsi="Times New Roman" w:cs="Times New Roman"/>
          <w:sz w:val="24"/>
          <w:szCs w:val="24"/>
          <w:shd w:val="clear" w:color="auto" w:fill="FFFFFF"/>
        </w:rPr>
        <w:t>Desigua</w:t>
      </w:r>
      <w:r>
        <w:rPr>
          <w:rFonts w:ascii="Times New Roman" w:hAnsi="Times New Roman" w:cs="Times New Roman"/>
          <w:sz w:val="24"/>
          <w:szCs w:val="24"/>
          <w:shd w:val="clear" w:color="auto" w:fill="FFFFFF"/>
        </w:rPr>
        <w:t xml:space="preserve">ldad en la inversión y calidad: </w:t>
      </w:r>
      <w:r w:rsidRPr="007D710D">
        <w:rPr>
          <w:rFonts w:ascii="Times New Roman" w:hAnsi="Times New Roman" w:cs="Times New Roman"/>
          <w:sz w:val="24"/>
          <w:szCs w:val="24"/>
          <w:shd w:val="clear" w:color="auto" w:fill="FFFFFF"/>
        </w:rPr>
        <w:t xml:space="preserve">La distribución de recursos y la calidad de los servicios pueden variar significativamente entre comunidades autónomas, generando diferencias en el acceso y la atención. </w:t>
      </w:r>
    </w:p>
    <w:p w:rsidR="00D07FD3" w:rsidRPr="007D710D" w:rsidRDefault="00D07FD3" w:rsidP="00D07FD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Listas de espera: </w:t>
      </w:r>
      <w:r w:rsidRPr="007D710D">
        <w:rPr>
          <w:rFonts w:ascii="Times New Roman" w:hAnsi="Times New Roman" w:cs="Times New Roman"/>
          <w:sz w:val="24"/>
          <w:szCs w:val="24"/>
          <w:shd w:val="clear" w:color="auto" w:fill="FFFFFF"/>
        </w:rPr>
        <w:t xml:space="preserve">La gestión autónoma no garantiza la ausencia de listas de espera, especialmente para consultas con especialistas o intervenciones quirúrgicas. </w:t>
      </w:r>
    </w:p>
    <w:p w:rsidR="00D07FD3" w:rsidRPr="007D710D" w:rsidRDefault="00D07FD3" w:rsidP="00D07FD3">
      <w:pPr>
        <w:spacing w:line="240" w:lineRule="auto"/>
        <w:jc w:val="both"/>
        <w:rPr>
          <w:rFonts w:ascii="Times New Roman" w:hAnsi="Times New Roman" w:cs="Times New Roman"/>
          <w:sz w:val="24"/>
          <w:szCs w:val="24"/>
          <w:shd w:val="clear" w:color="auto" w:fill="FFFFFF"/>
        </w:rPr>
      </w:pPr>
      <w:r w:rsidRPr="007D710D">
        <w:rPr>
          <w:rFonts w:ascii="Times New Roman" w:hAnsi="Times New Roman" w:cs="Times New Roman"/>
          <w:sz w:val="24"/>
          <w:szCs w:val="24"/>
          <w:shd w:val="clear" w:color="auto" w:fill="FFFFFF"/>
        </w:rPr>
        <w:t>Dificultades para acceder a especialistas:</w:t>
      </w:r>
      <w:r>
        <w:rPr>
          <w:rFonts w:ascii="Times New Roman" w:hAnsi="Times New Roman" w:cs="Times New Roman"/>
          <w:sz w:val="24"/>
          <w:szCs w:val="24"/>
          <w:shd w:val="clear" w:color="auto" w:fill="FFFFFF"/>
        </w:rPr>
        <w:t xml:space="preserve"> </w:t>
      </w:r>
      <w:r w:rsidRPr="007D710D">
        <w:rPr>
          <w:rFonts w:ascii="Times New Roman" w:hAnsi="Times New Roman" w:cs="Times New Roman"/>
          <w:sz w:val="24"/>
          <w:szCs w:val="24"/>
          <w:shd w:val="clear" w:color="auto" w:fill="FFFFFF"/>
        </w:rPr>
        <w:t xml:space="preserve">En algunos casos, la derivación a especialistas puede ser un proceso largo y complicado, incluso con la posibilidad de tener que pasar por un médico de cabecera. </w:t>
      </w:r>
    </w:p>
    <w:p w:rsidR="00D07FD3" w:rsidRPr="007D710D" w:rsidRDefault="00D07FD3" w:rsidP="00D07FD3">
      <w:pPr>
        <w:spacing w:line="240" w:lineRule="auto"/>
        <w:jc w:val="both"/>
        <w:rPr>
          <w:rFonts w:ascii="Times New Roman" w:hAnsi="Times New Roman" w:cs="Times New Roman"/>
          <w:sz w:val="24"/>
          <w:szCs w:val="24"/>
          <w:shd w:val="clear" w:color="auto" w:fill="FFFFFF"/>
        </w:rPr>
      </w:pPr>
      <w:r w:rsidRPr="007D710D">
        <w:rPr>
          <w:rFonts w:ascii="Times New Roman" w:hAnsi="Times New Roman" w:cs="Times New Roman"/>
          <w:sz w:val="24"/>
          <w:szCs w:val="24"/>
          <w:shd w:val="clear" w:color="auto" w:fill="FFFFFF"/>
        </w:rPr>
        <w:t>P</w:t>
      </w:r>
      <w:r>
        <w:rPr>
          <w:rFonts w:ascii="Times New Roman" w:hAnsi="Times New Roman" w:cs="Times New Roman"/>
          <w:sz w:val="24"/>
          <w:szCs w:val="24"/>
          <w:shd w:val="clear" w:color="auto" w:fill="FFFFFF"/>
        </w:rPr>
        <w:t xml:space="preserve">osible duplicación de recursos: </w:t>
      </w:r>
      <w:r w:rsidRPr="007D710D">
        <w:rPr>
          <w:rFonts w:ascii="Times New Roman" w:hAnsi="Times New Roman" w:cs="Times New Roman"/>
          <w:sz w:val="24"/>
          <w:szCs w:val="24"/>
          <w:shd w:val="clear" w:color="auto" w:fill="FFFFFF"/>
        </w:rPr>
        <w:t xml:space="preserve">La gestión descentralizada puede llevar a la duplicación de recursos y a la falta de coordinación entre comunidades autónomas en algunos casos. </w:t>
      </w:r>
    </w:p>
    <w:p w:rsidR="00D07FD3" w:rsidRDefault="00D07FD3" w:rsidP="00D07FD3">
      <w:pPr>
        <w:spacing w:line="240" w:lineRule="auto"/>
        <w:jc w:val="both"/>
        <w:rPr>
          <w:rFonts w:ascii="Times New Roman" w:hAnsi="Times New Roman" w:cs="Times New Roman"/>
          <w:sz w:val="24"/>
          <w:szCs w:val="24"/>
          <w:shd w:val="clear" w:color="auto" w:fill="FFFFFF"/>
        </w:rPr>
      </w:pPr>
      <w:r w:rsidRPr="007D710D">
        <w:rPr>
          <w:rFonts w:ascii="Times New Roman" w:hAnsi="Times New Roman" w:cs="Times New Roman"/>
          <w:sz w:val="24"/>
          <w:szCs w:val="24"/>
          <w:shd w:val="clear" w:color="auto" w:fill="FFFFFF"/>
        </w:rPr>
        <w:t>Ma</w:t>
      </w:r>
      <w:r>
        <w:rPr>
          <w:rFonts w:ascii="Times New Roman" w:hAnsi="Times New Roman" w:cs="Times New Roman"/>
          <w:sz w:val="24"/>
          <w:szCs w:val="24"/>
          <w:shd w:val="clear" w:color="auto" w:fill="FFFFFF"/>
        </w:rPr>
        <w:t xml:space="preserve">yor complejidad administrativa: </w:t>
      </w:r>
      <w:r w:rsidRPr="007D710D">
        <w:rPr>
          <w:rFonts w:ascii="Times New Roman" w:hAnsi="Times New Roman" w:cs="Times New Roman"/>
          <w:sz w:val="24"/>
          <w:szCs w:val="24"/>
          <w:shd w:val="clear" w:color="auto" w:fill="FFFFFF"/>
        </w:rPr>
        <w:t>La gestión descentralizada puede aumentar la complejidad administrativa y burocrática, dificultando la eficiencia y la coordinación.</w:t>
      </w:r>
    </w:p>
    <w:p w:rsidR="00D07FD3" w:rsidRDefault="00D07FD3" w:rsidP="00D07FD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BE314B">
        <w:rPr>
          <w:rFonts w:ascii="Times New Roman" w:hAnsi="Times New Roman" w:cs="Times New Roman"/>
          <w:noProof/>
          <w:sz w:val="24"/>
          <w:szCs w:val="24"/>
          <w:shd w:val="clear" w:color="auto" w:fill="FFFFFF"/>
          <w:lang w:eastAsia="es-ES"/>
        </w:rPr>
        <w:drawing>
          <wp:inline distT="0" distB="0" distL="0" distR="0" wp14:anchorId="20AEA757" wp14:editId="67566A8D">
            <wp:extent cx="5073650" cy="48641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077534" cy="4867824"/>
                    </a:xfrm>
                    <a:prstGeom prst="rect">
                      <a:avLst/>
                    </a:prstGeom>
                  </pic:spPr>
                </pic:pic>
              </a:graphicData>
            </a:graphic>
          </wp:inline>
        </w:drawing>
      </w:r>
    </w:p>
    <w:p w:rsidR="00D07FD3" w:rsidRPr="00F86446" w:rsidRDefault="00D07FD3" w:rsidP="00D07FD3">
      <w:pPr>
        <w:spacing w:line="240" w:lineRule="auto"/>
        <w:jc w:val="both"/>
        <w:rPr>
          <w:rFonts w:ascii="Times New Roman" w:hAnsi="Times New Roman" w:cs="Times New Roman"/>
          <w:sz w:val="24"/>
          <w:szCs w:val="24"/>
          <w:shd w:val="clear" w:color="auto" w:fill="FFFFFF"/>
        </w:rPr>
      </w:pPr>
      <w:r w:rsidRPr="00BE314B">
        <w:rPr>
          <w:rFonts w:ascii="Times New Roman" w:hAnsi="Times New Roman" w:cs="Times New Roman"/>
          <w:sz w:val="24"/>
          <w:szCs w:val="24"/>
          <w:shd w:val="clear" w:color="auto" w:fill="FFFFFF"/>
        </w:rPr>
        <w:lastRenderedPageBreak/>
        <w:t>Las comunidades de Madrid, Euskadi y Baleares son las que mejores cifras presentan a junio de 2024 en cuanto a tasas de pacientes en espera para ser atendidos en procedimientos quirúrgicos en el Sistema Nacional de Salud (SNS) por cada 1.000 habitantes, según la actualización del Sistema de Información de Listas de Espera del Sistema Nacional de Salud (Sisle) del Ministerio de Sanidad.</w:t>
      </w:r>
    </w:p>
    <w:p w:rsidR="00D07FD3" w:rsidRPr="00F27481" w:rsidRDefault="00D07FD3" w:rsidP="00D07FD3">
      <w:pPr>
        <w:pStyle w:val="Ttulo2"/>
        <w:shd w:val="clear" w:color="auto" w:fill="FFFFFF"/>
        <w:spacing w:before="0" w:line="240" w:lineRule="auto"/>
        <w:jc w:val="both"/>
        <w:rPr>
          <w:rFonts w:ascii="Times New Roman" w:hAnsi="Times New Roman" w:cs="Times New Roman"/>
          <w:b w:val="0"/>
          <w:color w:val="auto"/>
          <w:sz w:val="24"/>
          <w:szCs w:val="24"/>
        </w:rPr>
      </w:pPr>
      <w:r w:rsidRPr="00F27481">
        <w:rPr>
          <w:rFonts w:ascii="Times New Roman" w:hAnsi="Times New Roman" w:cs="Times New Roman"/>
          <w:b w:val="0"/>
          <w:color w:val="auto"/>
          <w:sz w:val="24"/>
          <w:szCs w:val="24"/>
        </w:rPr>
        <w:t>Más de 6 meses de espera quirúrgica</w:t>
      </w:r>
    </w:p>
    <w:p w:rsidR="0057323A" w:rsidRDefault="00D07FD3" w:rsidP="00D07FD3">
      <w:pPr>
        <w:spacing w:line="240" w:lineRule="auto"/>
        <w:jc w:val="both"/>
        <w:rPr>
          <w:rFonts w:ascii="Times New Roman" w:hAnsi="Times New Roman" w:cs="Times New Roman"/>
          <w:sz w:val="24"/>
          <w:szCs w:val="24"/>
          <w:shd w:val="clear" w:color="auto" w:fill="FFFFFF"/>
        </w:rPr>
      </w:pPr>
      <w:r w:rsidRPr="00F27481">
        <w:rPr>
          <w:rFonts w:ascii="Times New Roman" w:hAnsi="Times New Roman" w:cs="Times New Roman"/>
          <w:sz w:val="24"/>
          <w:szCs w:val="24"/>
        </w:rPr>
        <w:br/>
      </w:r>
      <w:r w:rsidRPr="00D07FD3">
        <w:rPr>
          <w:rFonts w:ascii="Times New Roman" w:hAnsi="Times New Roman" w:cs="Times New Roman"/>
          <w:sz w:val="24"/>
          <w:szCs w:val="24"/>
          <w:shd w:val="clear" w:color="auto" w:fill="FFFFFF"/>
        </w:rPr>
        <w:t>El informe de Sanidad también detalla el porcentaje de pacientes con </w:t>
      </w:r>
      <w:r w:rsidRPr="00D07FD3">
        <w:rPr>
          <w:rStyle w:val="Textoennegrita"/>
          <w:rFonts w:ascii="Times New Roman" w:hAnsi="Times New Roman" w:cs="Times New Roman"/>
          <w:b w:val="0"/>
          <w:sz w:val="24"/>
          <w:szCs w:val="24"/>
          <w:shd w:val="clear" w:color="auto" w:fill="FFFFFF"/>
        </w:rPr>
        <w:t>más de seis meses de espera </w:t>
      </w:r>
      <w:r w:rsidRPr="00D07FD3">
        <w:rPr>
          <w:rFonts w:ascii="Times New Roman" w:hAnsi="Times New Roman" w:cs="Times New Roman"/>
          <w:sz w:val="24"/>
          <w:szCs w:val="24"/>
          <w:shd w:val="clear" w:color="auto" w:fill="FFFFFF"/>
        </w:rPr>
        <w:t>para ser intervenidos en estos mismos procedimientos. En ese sentido, las cifras posicionan nuevamente a Madrid como la mejor con un 0,1 por ciento de pacientes en espera, seguida de País Vasco con 0,9 por ciento y Galicia con 1,9 por ciento.</w:t>
      </w:r>
    </w:p>
    <w:p w:rsidR="00D07FD3" w:rsidRPr="0057323A" w:rsidRDefault="00D07FD3" w:rsidP="00D07FD3">
      <w:pPr>
        <w:spacing w:line="240" w:lineRule="auto"/>
        <w:jc w:val="both"/>
        <w:rPr>
          <w:rFonts w:ascii="Times New Roman" w:hAnsi="Times New Roman" w:cs="Times New Roman"/>
          <w:sz w:val="24"/>
          <w:szCs w:val="24"/>
          <w:shd w:val="clear" w:color="auto" w:fill="FFFFFF"/>
        </w:rPr>
      </w:pPr>
      <w:r w:rsidRPr="00D07FD3">
        <w:rPr>
          <w:rFonts w:ascii="Times New Roman" w:hAnsi="Times New Roman" w:cs="Times New Roman"/>
          <w:sz w:val="24"/>
          <w:szCs w:val="24"/>
        </w:rPr>
        <w:br/>
      </w:r>
      <w:r w:rsidRPr="00D07FD3">
        <w:rPr>
          <w:rFonts w:ascii="Times New Roman" w:hAnsi="Times New Roman" w:cs="Times New Roman"/>
          <w:sz w:val="24"/>
          <w:szCs w:val="24"/>
          <w:shd w:val="clear" w:color="auto" w:fill="FFFFFF"/>
        </w:rPr>
        <w:t>En un año, </w:t>
      </w:r>
      <w:r w:rsidRPr="00D07FD3">
        <w:rPr>
          <w:rStyle w:val="Textoennegrita"/>
          <w:rFonts w:ascii="Times New Roman" w:hAnsi="Times New Roman" w:cs="Times New Roman"/>
          <w:b w:val="0"/>
          <w:sz w:val="24"/>
          <w:szCs w:val="24"/>
          <w:shd w:val="clear" w:color="auto" w:fill="FFFFFF"/>
        </w:rPr>
        <w:t>Madrid ha mejorado sus cifras </w:t>
      </w:r>
      <w:r w:rsidRPr="00D07FD3">
        <w:rPr>
          <w:rFonts w:ascii="Times New Roman" w:hAnsi="Times New Roman" w:cs="Times New Roman"/>
          <w:sz w:val="24"/>
          <w:szCs w:val="24"/>
          <w:shd w:val="clear" w:color="auto" w:fill="FFFFFF"/>
        </w:rPr>
        <w:t>ya que en 2023 contaba con 0,4 por ciento de pacientes en espera, aunque no ha sido la única. Lo mismo ha pasado con Galicia que ese momento tenía 1,4 y País Vasco, con 2,1. Las tres mantienen su liderazgo.</w:t>
      </w:r>
    </w:p>
    <w:p w:rsidR="00D07FD3" w:rsidRPr="00D07FD3" w:rsidRDefault="00D07FD3" w:rsidP="00D07FD3">
      <w:pPr>
        <w:pStyle w:val="Ttulo2"/>
        <w:shd w:val="clear" w:color="auto" w:fill="FFFFFF"/>
        <w:spacing w:before="0" w:line="240" w:lineRule="auto"/>
        <w:jc w:val="both"/>
        <w:rPr>
          <w:rFonts w:ascii="Times New Roman" w:hAnsi="Times New Roman" w:cs="Times New Roman"/>
          <w:b w:val="0"/>
          <w:color w:val="auto"/>
          <w:sz w:val="24"/>
          <w:szCs w:val="24"/>
        </w:rPr>
      </w:pPr>
      <w:r w:rsidRPr="00D07FD3">
        <w:rPr>
          <w:rFonts w:ascii="Times New Roman" w:hAnsi="Times New Roman" w:cs="Times New Roman"/>
          <w:b w:val="0"/>
          <w:color w:val="auto"/>
          <w:sz w:val="24"/>
          <w:szCs w:val="24"/>
        </w:rPr>
        <w:t>Lista de espera para consultas en el SNS</w:t>
      </w:r>
    </w:p>
    <w:p w:rsidR="00D07FD3" w:rsidRPr="00D07FD3" w:rsidRDefault="00D07FD3" w:rsidP="00D07FD3">
      <w:pPr>
        <w:spacing w:line="240" w:lineRule="auto"/>
        <w:jc w:val="both"/>
        <w:rPr>
          <w:rFonts w:ascii="Times New Roman" w:hAnsi="Times New Roman" w:cs="Times New Roman"/>
          <w:sz w:val="24"/>
          <w:szCs w:val="24"/>
          <w:shd w:val="clear" w:color="auto" w:fill="FFFFFF"/>
        </w:rPr>
      </w:pPr>
      <w:r w:rsidRPr="00D07FD3">
        <w:rPr>
          <w:rFonts w:ascii="Times New Roman" w:hAnsi="Times New Roman" w:cs="Times New Roman"/>
          <w:sz w:val="24"/>
          <w:szCs w:val="24"/>
        </w:rPr>
        <w:br/>
      </w:r>
      <w:r w:rsidRPr="00D07FD3">
        <w:rPr>
          <w:rFonts w:ascii="Times New Roman" w:hAnsi="Times New Roman" w:cs="Times New Roman"/>
          <w:sz w:val="24"/>
          <w:szCs w:val="24"/>
          <w:shd w:val="clear" w:color="auto" w:fill="FFFFFF"/>
        </w:rPr>
        <w:t>En cuanto a las </w:t>
      </w:r>
      <w:r w:rsidRPr="00D07FD3">
        <w:rPr>
          <w:rStyle w:val="Textoennegrita"/>
          <w:rFonts w:ascii="Times New Roman" w:hAnsi="Times New Roman" w:cs="Times New Roman"/>
          <w:b w:val="0"/>
          <w:sz w:val="24"/>
          <w:szCs w:val="24"/>
          <w:shd w:val="clear" w:color="auto" w:fill="FFFFFF"/>
        </w:rPr>
        <w:t>listas de espera de consultas </w:t>
      </w:r>
      <w:r w:rsidRPr="00D07FD3">
        <w:rPr>
          <w:rFonts w:ascii="Times New Roman" w:hAnsi="Times New Roman" w:cs="Times New Roman"/>
          <w:sz w:val="24"/>
          <w:szCs w:val="24"/>
          <w:shd w:val="clear" w:color="auto" w:fill="FFFFFF"/>
        </w:rPr>
        <w:t>en el Sistema Nacional de Salud (SNS) por cada 1.000 habitantes a junio de este año, </w:t>
      </w:r>
      <w:r w:rsidRPr="00D07FD3">
        <w:rPr>
          <w:rStyle w:val="Textoennegrita"/>
          <w:rFonts w:ascii="Times New Roman" w:hAnsi="Times New Roman" w:cs="Times New Roman"/>
          <w:b w:val="0"/>
          <w:sz w:val="24"/>
          <w:szCs w:val="24"/>
          <w:shd w:val="clear" w:color="auto" w:fill="FFFFFF"/>
        </w:rPr>
        <w:t>el escenario cambia</w:t>
      </w:r>
      <w:r w:rsidRPr="00D07FD3">
        <w:rPr>
          <w:rFonts w:ascii="Times New Roman" w:hAnsi="Times New Roman" w:cs="Times New Roman"/>
          <w:sz w:val="24"/>
          <w:szCs w:val="24"/>
          <w:shd w:val="clear" w:color="auto" w:fill="FFFFFF"/>
        </w:rPr>
        <w:t>. Las comunidades con menor espera son </w:t>
      </w:r>
      <w:r w:rsidRPr="00D07FD3">
        <w:rPr>
          <w:rStyle w:val="Textoennegrita"/>
          <w:rFonts w:ascii="Times New Roman" w:hAnsi="Times New Roman" w:cs="Times New Roman"/>
          <w:b w:val="0"/>
          <w:sz w:val="24"/>
          <w:szCs w:val="24"/>
          <w:shd w:val="clear" w:color="auto" w:fill="FFFFFF"/>
        </w:rPr>
        <w:t>Castilla-La Mancha con 28,86 días</w:t>
      </w:r>
      <w:r w:rsidRPr="00D07FD3">
        <w:rPr>
          <w:rFonts w:ascii="Times New Roman" w:hAnsi="Times New Roman" w:cs="Times New Roman"/>
          <w:sz w:val="24"/>
          <w:szCs w:val="24"/>
          <w:shd w:val="clear" w:color="auto" w:fill="FFFFFF"/>
        </w:rPr>
        <w:t>; País Vasco, con 30,26 y La Rioja con 48,45. Por el contrario, la comunidad que más espera tiene es Madrid con 118,59 días; seguida del Principado de Asturias con 109,98 y Andalucía con 101,53.</w:t>
      </w:r>
    </w:p>
    <w:p w:rsidR="00D07FD3" w:rsidRPr="00D07FD3" w:rsidRDefault="00D07FD3" w:rsidP="00D07FD3">
      <w:pPr>
        <w:spacing w:line="240" w:lineRule="auto"/>
        <w:jc w:val="both"/>
        <w:rPr>
          <w:rFonts w:ascii="Times New Roman" w:hAnsi="Times New Roman" w:cs="Times New Roman"/>
          <w:sz w:val="24"/>
          <w:szCs w:val="24"/>
          <w:shd w:val="clear" w:color="auto" w:fill="FFFFFF"/>
        </w:rPr>
      </w:pPr>
      <w:r w:rsidRPr="00D07FD3">
        <w:rPr>
          <w:rFonts w:ascii="Times New Roman" w:hAnsi="Times New Roman" w:cs="Times New Roman"/>
          <w:sz w:val="24"/>
          <w:szCs w:val="24"/>
          <w:shd w:val="clear" w:color="auto" w:fill="FFFFFF"/>
        </w:rPr>
        <w:t>En el resto de </w:t>
      </w:r>
      <w:r w:rsidRPr="00D07FD3">
        <w:rPr>
          <w:rStyle w:val="Textoennegrita"/>
          <w:rFonts w:ascii="Times New Roman" w:hAnsi="Times New Roman" w:cs="Times New Roman"/>
          <w:b w:val="0"/>
          <w:sz w:val="24"/>
          <w:szCs w:val="24"/>
          <w:shd w:val="clear" w:color="auto" w:fill="FFFFFF"/>
        </w:rPr>
        <w:t>comunidades</w:t>
      </w:r>
      <w:r w:rsidRPr="00D07FD3">
        <w:rPr>
          <w:rFonts w:ascii="Times New Roman" w:hAnsi="Times New Roman" w:cs="Times New Roman"/>
          <w:sz w:val="24"/>
          <w:szCs w:val="24"/>
          <w:shd w:val="clear" w:color="auto" w:fill="FFFFFF"/>
        </w:rPr>
        <w:t>, los datos actualizados quedan de la siguiente forma:</w:t>
      </w:r>
    </w:p>
    <w:p w:rsidR="00D07FD3" w:rsidRPr="00F27481" w:rsidRDefault="00D07FD3" w:rsidP="00D07FD3">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F27481">
        <w:rPr>
          <w:rFonts w:ascii="Times New Roman" w:hAnsi="Times New Roman" w:cs="Times New Roman"/>
          <w:sz w:val="24"/>
          <w:szCs w:val="24"/>
        </w:rPr>
        <w:t>Aragón: 79,98</w:t>
      </w:r>
    </w:p>
    <w:p w:rsidR="00D07FD3" w:rsidRPr="00F27481" w:rsidRDefault="00D07FD3" w:rsidP="00D07FD3">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F27481">
        <w:rPr>
          <w:rFonts w:ascii="Times New Roman" w:hAnsi="Times New Roman" w:cs="Times New Roman"/>
          <w:sz w:val="24"/>
          <w:szCs w:val="24"/>
        </w:rPr>
        <w:t>Baleares: 68,04</w:t>
      </w:r>
    </w:p>
    <w:p w:rsidR="00D07FD3" w:rsidRPr="00F27481" w:rsidRDefault="00D07FD3" w:rsidP="00D07FD3">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F27481">
        <w:rPr>
          <w:rFonts w:ascii="Times New Roman" w:hAnsi="Times New Roman" w:cs="Times New Roman"/>
          <w:sz w:val="24"/>
          <w:szCs w:val="24"/>
        </w:rPr>
        <w:t>Canarias: 65,18</w:t>
      </w:r>
    </w:p>
    <w:p w:rsidR="00D07FD3" w:rsidRPr="00F27481" w:rsidRDefault="00D07FD3" w:rsidP="00D07FD3">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F27481">
        <w:rPr>
          <w:rFonts w:ascii="Times New Roman" w:hAnsi="Times New Roman" w:cs="Times New Roman"/>
          <w:sz w:val="24"/>
          <w:szCs w:val="24"/>
        </w:rPr>
        <w:t>Cantabria: 60,71</w:t>
      </w:r>
    </w:p>
    <w:p w:rsidR="00D07FD3" w:rsidRPr="00F27481" w:rsidRDefault="00D07FD3" w:rsidP="00D07FD3">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F27481">
        <w:rPr>
          <w:rFonts w:ascii="Times New Roman" w:hAnsi="Times New Roman" w:cs="Times New Roman"/>
          <w:sz w:val="24"/>
          <w:szCs w:val="24"/>
        </w:rPr>
        <w:t>Castilla y León: 75,32</w:t>
      </w:r>
    </w:p>
    <w:p w:rsidR="00D07FD3" w:rsidRPr="00F27481" w:rsidRDefault="00D07FD3" w:rsidP="00D07FD3">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F27481">
        <w:rPr>
          <w:rFonts w:ascii="Times New Roman" w:hAnsi="Times New Roman" w:cs="Times New Roman"/>
          <w:sz w:val="24"/>
          <w:szCs w:val="24"/>
        </w:rPr>
        <w:t>Cataluña: 68,62</w:t>
      </w:r>
    </w:p>
    <w:p w:rsidR="00D07FD3" w:rsidRPr="00F27481" w:rsidRDefault="00D07FD3" w:rsidP="00D07FD3">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F27481">
        <w:rPr>
          <w:rFonts w:ascii="Times New Roman" w:hAnsi="Times New Roman" w:cs="Times New Roman"/>
          <w:sz w:val="24"/>
          <w:szCs w:val="24"/>
        </w:rPr>
        <w:t>Comunidad Valenciana: 91,53</w:t>
      </w:r>
    </w:p>
    <w:p w:rsidR="00D07FD3" w:rsidRPr="00F27481" w:rsidRDefault="00D07FD3" w:rsidP="00D07FD3">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F27481">
        <w:rPr>
          <w:rFonts w:ascii="Times New Roman" w:hAnsi="Times New Roman" w:cs="Times New Roman"/>
          <w:sz w:val="24"/>
          <w:szCs w:val="24"/>
        </w:rPr>
        <w:t>Extremadura: 97,86</w:t>
      </w:r>
    </w:p>
    <w:p w:rsidR="00D07FD3" w:rsidRPr="00F27481" w:rsidRDefault="00D07FD3" w:rsidP="00D07FD3">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F27481">
        <w:rPr>
          <w:rFonts w:ascii="Times New Roman" w:hAnsi="Times New Roman" w:cs="Times New Roman"/>
          <w:sz w:val="24"/>
          <w:szCs w:val="24"/>
        </w:rPr>
        <w:t>Galicia: 84,42</w:t>
      </w:r>
    </w:p>
    <w:p w:rsidR="00D07FD3" w:rsidRPr="00F27481" w:rsidRDefault="00D07FD3" w:rsidP="00D07FD3">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F27481">
        <w:rPr>
          <w:rFonts w:ascii="Times New Roman" w:hAnsi="Times New Roman" w:cs="Times New Roman"/>
          <w:sz w:val="24"/>
          <w:szCs w:val="24"/>
        </w:rPr>
        <w:t>Murcia: 71,78</w:t>
      </w:r>
    </w:p>
    <w:p w:rsidR="00D07FD3" w:rsidRPr="00F27481" w:rsidRDefault="00D07FD3" w:rsidP="00D07FD3">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F27481">
        <w:rPr>
          <w:rFonts w:ascii="Times New Roman" w:hAnsi="Times New Roman" w:cs="Times New Roman"/>
          <w:sz w:val="24"/>
          <w:szCs w:val="24"/>
        </w:rPr>
        <w:t>C. Foral de Navarra: 94,26</w:t>
      </w:r>
    </w:p>
    <w:p w:rsidR="00D07FD3" w:rsidRPr="00F27481" w:rsidRDefault="00D07FD3" w:rsidP="00D07FD3">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F27481">
        <w:rPr>
          <w:rFonts w:ascii="Times New Roman" w:hAnsi="Times New Roman" w:cs="Times New Roman"/>
          <w:sz w:val="24"/>
          <w:szCs w:val="24"/>
        </w:rPr>
        <w:t>Rioja: 48,45</w:t>
      </w:r>
    </w:p>
    <w:p w:rsidR="00D07FD3" w:rsidRPr="00F27481" w:rsidRDefault="00D07FD3" w:rsidP="00D07FD3">
      <w:pPr>
        <w:numPr>
          <w:ilvl w:val="0"/>
          <w:numId w:val="11"/>
        </w:numPr>
        <w:shd w:val="clear" w:color="auto" w:fill="FFFFFF"/>
        <w:spacing w:before="100" w:beforeAutospacing="1" w:after="100" w:afterAutospacing="1" w:line="240" w:lineRule="auto"/>
        <w:jc w:val="both"/>
        <w:rPr>
          <w:rFonts w:ascii="Times New Roman" w:hAnsi="Times New Roman" w:cs="Times New Roman"/>
          <w:sz w:val="24"/>
          <w:szCs w:val="24"/>
        </w:rPr>
      </w:pPr>
      <w:r w:rsidRPr="00F27481">
        <w:rPr>
          <w:rFonts w:ascii="Times New Roman" w:hAnsi="Times New Roman" w:cs="Times New Roman"/>
          <w:sz w:val="24"/>
          <w:szCs w:val="24"/>
        </w:rPr>
        <w:t>Melilla: 42,51</w:t>
      </w:r>
    </w:p>
    <w:p w:rsidR="00D07FD3" w:rsidRDefault="00D07FD3" w:rsidP="00D07FD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(Fuente: redaccionmedica.com - </w:t>
      </w:r>
      <w:r w:rsidRPr="0057323A">
        <w:rPr>
          <w:rFonts w:ascii="Times New Roman" w:hAnsi="Times New Roman" w:cs="Times New Roman"/>
          <w:b/>
          <w:sz w:val="24"/>
          <w:szCs w:val="24"/>
          <w:shd w:val="clear" w:color="auto" w:fill="FFFFFF"/>
        </w:rPr>
        <w:t>16/10/24</w:t>
      </w:r>
      <w:r>
        <w:rPr>
          <w:rFonts w:ascii="Times New Roman" w:hAnsi="Times New Roman" w:cs="Times New Roman"/>
          <w:sz w:val="24"/>
          <w:szCs w:val="24"/>
          <w:shd w:val="clear" w:color="auto" w:fill="FFFFFF"/>
        </w:rPr>
        <w:t>)</w:t>
      </w:r>
    </w:p>
    <w:p w:rsidR="00D07FD3" w:rsidRPr="00F86446" w:rsidRDefault="00D07FD3" w:rsidP="00D07FD3">
      <w:pPr>
        <w:pStyle w:val="NormalWeb"/>
        <w:spacing w:after="0"/>
        <w:jc w:val="both"/>
      </w:pPr>
      <w:r w:rsidRPr="00F86446">
        <w:t xml:space="preserve">- </w:t>
      </w:r>
      <w:r w:rsidRPr="00F86446">
        <w:rPr>
          <w:u w:val="single"/>
        </w:rPr>
        <w:t>Récord histórico de desigualdad en el gasto sanitario: diferencias del 69% entre regiones</w:t>
      </w:r>
      <w:r w:rsidRPr="00F86446">
        <w:t xml:space="preserve"> (The Objective - </w:t>
      </w:r>
      <w:r w:rsidRPr="00F86446">
        <w:rPr>
          <w:b/>
        </w:rPr>
        <w:t>18/8/25</w:t>
      </w:r>
      <w:r w:rsidRPr="00F86446">
        <w:t xml:space="preserve">) </w:t>
      </w:r>
    </w:p>
    <w:p w:rsidR="00D07FD3" w:rsidRPr="00F86446" w:rsidRDefault="00D07FD3" w:rsidP="00D07FD3">
      <w:pPr>
        <w:pStyle w:val="NormalWeb"/>
        <w:spacing w:after="0"/>
        <w:jc w:val="both"/>
      </w:pPr>
      <w:r w:rsidRPr="00F86446">
        <w:t>Asturias destinará 2.436 euros por habitante a su sistema sanitario, frente a los 1.442 euros de Cataluña</w:t>
      </w:r>
    </w:p>
    <w:p w:rsidR="00D07FD3" w:rsidRPr="00F86446" w:rsidRDefault="00D07FD3" w:rsidP="00D07FD3">
      <w:pPr>
        <w:pStyle w:val="NormalWeb"/>
        <w:spacing w:after="0"/>
        <w:jc w:val="both"/>
      </w:pPr>
      <w:r w:rsidRPr="00F86446">
        <w:t>(Por Lidia Ramírez)</w:t>
      </w:r>
    </w:p>
    <w:p w:rsidR="00D07FD3" w:rsidRPr="00F86446" w:rsidRDefault="00D07FD3" w:rsidP="00D07FD3">
      <w:pPr>
        <w:pStyle w:val="NormalWeb"/>
        <w:spacing w:after="0"/>
        <w:jc w:val="both"/>
      </w:pPr>
      <w:r w:rsidRPr="00F86446">
        <w:lastRenderedPageBreak/>
        <w:t>La sanidad pública española afronta 2025 con un récord poco alentador: la brecha en gasto sanitario por habitante entre comunidades autónomas alcanza su máximo histórico, con una diferencia de casi un 69% (68,9 %) entre la comunidad que más invierte, Asturias, y la que menos, Cataluña. Según el informe Recursos Económicos del Sistema Nacional de Salud publicado por el Ministerio de Sanidad, Asturias destinará 2.436 euros por habitante a su sistema sanitario, frente a los 1.442 euros de Cataluña.</w:t>
      </w:r>
    </w:p>
    <w:p w:rsidR="00D07FD3" w:rsidRPr="00F86446" w:rsidRDefault="00D07FD3" w:rsidP="00D07FD3">
      <w:pPr>
        <w:pStyle w:val="NormalWeb"/>
        <w:spacing w:after="0"/>
        <w:jc w:val="both"/>
      </w:pPr>
      <w:r w:rsidRPr="00F86446">
        <w:t>Este diferencial, que ya venía ampliándose en los últimos años, consolida una tendencia de sanidad a dos velocidades en el territorio nacional. Los datos del informe muestran que, de media, las comunidades autónomas presupuestan en 2025 1.757 euros por habitante, lo que supone un incremento del 2% respecto a 2024. Sin embargo, las disparidades territoriales hacen que esta media oculte realidades muy distintas.</w:t>
      </w:r>
    </w:p>
    <w:p w:rsidR="00D07FD3" w:rsidRPr="00F86446" w:rsidRDefault="00D07FD3" w:rsidP="00D07FD3">
      <w:pPr>
        <w:pStyle w:val="NormalWeb"/>
        <w:spacing w:after="0"/>
        <w:jc w:val="both"/>
      </w:pPr>
      <w:r w:rsidRPr="00F86446">
        <w:t>Evolución de la inversión sanitaria por habitante</w:t>
      </w:r>
    </w:p>
    <w:p w:rsidR="00D07FD3" w:rsidRPr="00F86446" w:rsidRDefault="00D07FD3" w:rsidP="00D07FD3">
      <w:pPr>
        <w:pStyle w:val="NormalWeb"/>
        <w:spacing w:after="0"/>
        <w:jc w:val="both"/>
      </w:pPr>
      <w:r w:rsidRPr="00F86446">
        <w:t>La serie histórica recogida en el informe arranca en 2007, cuando el gasto medio por habitante era de 1.172 euros. Tras años de incrementos moderados, la crisis económica de 2010 y los recortes posteriores frenaron el crecimiento, llegando a mínimos en 2013 con 1.143 euros de media. Desde entonces, la cifra ha ido recuperándose, aunque con oscilaciones, hasta situarse en 1.757 euros en 2025 (presupuesto inicial). No obstante, esta media nacional esconde diferencias persistentes. Comunidades como Extremadura (2.259 euros), País Vasco (2.305 euros) y Navarra (2.211 euros) figuran sistemáticamente entre las más inversoras, mientras que Comunidad Valenciana (1.595 euros), Madrid (1.468 euros) y Cataluña (1.442 euros) se sitúan en la cola.</w:t>
      </w:r>
    </w:p>
    <w:p w:rsidR="00D07FD3" w:rsidRPr="00F86446" w:rsidRDefault="00D07FD3" w:rsidP="00D07FD3">
      <w:pPr>
        <w:pStyle w:val="NormalWeb"/>
        <w:spacing w:after="0"/>
        <w:jc w:val="both"/>
      </w:pPr>
      <w:r w:rsidRPr="00F86446">
        <w:t>Asturias encabeza la clasificación desde hace años y en 2025 consolida su liderazgo con 2.436 euros por habitante, un 4,9% más que en 2024 (2.323 euros). Este incremento le permite ampliar la distancia con las comunidades de menor gasto y marcar el récord histórico de desigualdad. La comunidad asturiana ha mantenido en la última década una estrategia de refuerzo del presupuesto sanitario, especialmente en atención hospitalaria y en el envejecimiento poblacional, factores clave en su elevado gasto per cápita.</w:t>
      </w:r>
    </w:p>
    <w:p w:rsidR="00D07FD3" w:rsidRPr="00F86446" w:rsidRDefault="00D07FD3" w:rsidP="00D07FD3">
      <w:pPr>
        <w:pStyle w:val="NormalWeb"/>
        <w:spacing w:after="0"/>
        <w:jc w:val="both"/>
      </w:pPr>
      <w:r w:rsidRPr="00F86446">
        <w:t>Cataluña, a la cola pese al incremento presupuestario</w:t>
      </w:r>
    </w:p>
    <w:p w:rsidR="00D07FD3" w:rsidRPr="00F86446" w:rsidRDefault="00D07FD3" w:rsidP="00D07FD3">
      <w:pPr>
        <w:pStyle w:val="NormalWeb"/>
        <w:spacing w:after="0"/>
        <w:jc w:val="both"/>
      </w:pPr>
      <w:r w:rsidRPr="00F86446">
        <w:t>En el extremo opuesto, Cataluña registra en 2025 una inversión por habitante de 1.442 euros, una leve reducción respecto a los 1.461 de 2024. A pesar de que su gasto total en sanidad ha crecido en términos absolutos, el aumento de población y la priorización de otras partidas presupuestarias han provocado que la inversión per cápita se mantenga baja en comparación con otras regiones. El contraste con Asturias es abrumador: la diferencia de 994 euros por habitante equivale a un 68,9 % más de gasto en la región líder.</w:t>
      </w:r>
    </w:p>
    <w:p w:rsidR="00D07FD3" w:rsidRDefault="00D07FD3" w:rsidP="00D07FD3">
      <w:pPr>
        <w:pStyle w:val="NormalWeb"/>
        <w:spacing w:after="0"/>
        <w:jc w:val="both"/>
      </w:pPr>
      <w:r w:rsidRPr="00F86446">
        <w:t>Entre ambos extremos se encuentra un bloque de comunidades con un gasto por habitante cercano a la media nacional. Galicia (2.010 €), Cantabria (2.061 €) y Aragón (2.055 €) se sitúan ligeramente por encima, mientras que Castilla y León (2.040 €) y Canarias (2.036 €) también destacan por su esfuerzo inversor. En el lado inferior, Comunidad Valenciana (1.595 €), Murcia (1.580 €) y Madrid (1.468 €) se mantienen con cifras modestas, aunque superiores a las de la década pasada.</w:t>
      </w:r>
    </w:p>
    <w:p w:rsidR="00D07FD3" w:rsidRPr="00F86446" w:rsidRDefault="00D07FD3" w:rsidP="00D07FD3">
      <w:pPr>
        <w:pStyle w:val="NormalWeb"/>
        <w:spacing w:after="0"/>
        <w:jc w:val="both"/>
      </w:pPr>
    </w:p>
    <w:p w:rsidR="00D07FD3" w:rsidRPr="00F86446" w:rsidRDefault="00D07FD3" w:rsidP="00D07FD3">
      <w:pPr>
        <w:pStyle w:val="NormalWeb"/>
        <w:spacing w:after="0"/>
        <w:jc w:val="both"/>
      </w:pPr>
      <w:r w:rsidRPr="00F86446">
        <w:lastRenderedPageBreak/>
        <w:t>Seis regiones recortan su gasto sanitario</w:t>
      </w:r>
    </w:p>
    <w:p w:rsidR="00D07FD3" w:rsidRPr="00F86446" w:rsidRDefault="00D07FD3" w:rsidP="00D07FD3">
      <w:pPr>
        <w:pStyle w:val="NormalWeb"/>
        <w:spacing w:after="0"/>
        <w:jc w:val="both"/>
      </w:pPr>
      <w:r w:rsidRPr="00F86446">
        <w:t>Además, según los datos del Ministerio de Sanidad, seis regiones prevén reducir su gasto sanitario por persona este año. Estas son: Aragón (0,09%), Castilla y León (0,2%), Castilla-La Mancha (4,6%), Comunidad Valenciana (0,25%), Cataluña (1,3%) y Región de Murcia (1,1%). La comunidad de Emiliano García-Page es la que más ha recortado su gasto sanitario, pasando de 1.859 euros por persona en 2023 a 1.777 en 2024, lo que supone una reducción de un 4,6%. Cataluña es la segunda región que más recortará en salud, pasando de 1.461 por persona en 2024 a 1.442 en 2025 (-1,3%).</w:t>
      </w:r>
    </w:p>
    <w:p w:rsidR="00D07FD3" w:rsidRPr="00F86446" w:rsidRDefault="00D07FD3" w:rsidP="00D07FD3">
      <w:pPr>
        <w:pStyle w:val="NormalWeb"/>
        <w:spacing w:after="0"/>
        <w:jc w:val="both"/>
      </w:pPr>
      <w:r w:rsidRPr="00F86446">
        <w:t>En el otro lado de la balanza se encuentran Andalucía, Cantabria y Baleares, con un aumento del gasto sanitario del 6,9, 5,9 y 5,3 puntos porcentuales, respectivamente. Así, la región de Juanma Moreno pasará de 1.649 euros por persona a 1.764; Cantabria, de 1.946 euros por persona a 2.061; y Baleares, de 1.893 euros por persona a 1.995.</w:t>
      </w:r>
    </w:p>
    <w:p w:rsidR="00D07FD3" w:rsidRDefault="00D07FD3" w:rsidP="00D07FD3">
      <w:pPr>
        <w:pStyle w:val="NormalWeb"/>
        <w:spacing w:before="0" w:beforeAutospacing="0" w:after="0" w:afterAutospacing="0"/>
        <w:jc w:val="both"/>
      </w:pPr>
      <w:r w:rsidRPr="00F86446">
        <w:t xml:space="preserve">Expertos en política sanitaria advierten que esta disparidad no solo es una cuestión estadística, sino que tiene consecuencias reales en el acceso y la calidad de los servicios. La financiación sanitaria autonómica depende de múltiples factores: el modelo de financiación general, las decisiones políticas regionales, la presión asistencial y el peso de la población envejecida. Para la Federación de Asociaciones para la Defensa </w:t>
      </w:r>
      <w:r w:rsidR="0057323A">
        <w:t>de la Sanidad Pública (FADSP), “</w:t>
      </w:r>
      <w:r w:rsidRPr="00F86446">
        <w:t>esta brecha es insostenible y contradice el principio de equida</w:t>
      </w:r>
      <w:r w:rsidR="0057323A">
        <w:t>d del Sistema Nacional de Salud”</w:t>
      </w:r>
      <w:r w:rsidRPr="00F86446">
        <w:t>. La organización reclama una revisión urgente del sistema de financiación autonómica que garantice un mínimo de inversión per cápita en todas las comunidades.</w:t>
      </w:r>
    </w:p>
    <w:p w:rsidR="00D07FD3" w:rsidRPr="00F86446" w:rsidRDefault="00D07FD3" w:rsidP="00D07FD3">
      <w:pPr>
        <w:pStyle w:val="NormalWeb"/>
        <w:spacing w:before="0" w:beforeAutospacing="0" w:after="0" w:afterAutospacing="0"/>
        <w:jc w:val="both"/>
      </w:pPr>
    </w:p>
    <w:p w:rsidR="00D07FD3" w:rsidRPr="00BE314B" w:rsidRDefault="00D07FD3" w:rsidP="00D07FD3">
      <w:pPr>
        <w:spacing w:line="240" w:lineRule="auto"/>
        <w:jc w:val="both"/>
        <w:rPr>
          <w:rFonts w:ascii="Times New Roman" w:hAnsi="Times New Roman" w:cs="Times New Roman"/>
          <w:color w:val="000000"/>
          <w:sz w:val="24"/>
          <w:szCs w:val="24"/>
          <w:shd w:val="clear" w:color="auto" w:fill="FFFFFF"/>
        </w:rPr>
      </w:pPr>
      <w:r w:rsidRPr="00F86446">
        <w:rPr>
          <w:rFonts w:ascii="Times New Roman" w:hAnsi="Times New Roman" w:cs="Times New Roman"/>
          <w:b/>
          <w:color w:val="000000"/>
          <w:sz w:val="24"/>
          <w:szCs w:val="24"/>
          <w:u w:val="single"/>
          <w:shd w:val="clear" w:color="auto" w:fill="FFFFFF"/>
        </w:rPr>
        <w:t>La delegación de la educación</w:t>
      </w:r>
      <w:r w:rsidRPr="00BE314B">
        <w:rPr>
          <w:rFonts w:ascii="Times New Roman" w:hAnsi="Times New Roman" w:cs="Times New Roman"/>
          <w:color w:val="000000"/>
          <w:sz w:val="24"/>
          <w:szCs w:val="24"/>
          <w:shd w:val="clear" w:color="auto" w:fill="FFFFFF"/>
        </w:rPr>
        <w:t xml:space="preserve"> en diferentes comunidades autónomas en España implica una serie de ventajas y desventajas que varían según las necesidades y realidades locales. En términos generales, la descentralización permite una mayor adaptación a las características específicas de cada región, pero también puede generar desigualdades y falta de coordinación a nivel nacional. </w:t>
      </w:r>
    </w:p>
    <w:p w:rsidR="00D07FD3" w:rsidRPr="00BE314B" w:rsidRDefault="00D07FD3" w:rsidP="00D07FD3">
      <w:pPr>
        <w:spacing w:line="240" w:lineRule="auto"/>
        <w:jc w:val="both"/>
        <w:rPr>
          <w:rFonts w:ascii="Times New Roman" w:hAnsi="Times New Roman" w:cs="Times New Roman"/>
          <w:color w:val="000000"/>
          <w:sz w:val="24"/>
          <w:szCs w:val="24"/>
          <w:shd w:val="clear" w:color="auto" w:fill="FFFFFF"/>
        </w:rPr>
      </w:pPr>
      <w:r w:rsidRPr="00BE314B">
        <w:rPr>
          <w:rFonts w:ascii="Times New Roman" w:hAnsi="Times New Roman" w:cs="Times New Roman"/>
          <w:color w:val="000000"/>
          <w:sz w:val="24"/>
          <w:szCs w:val="24"/>
          <w:shd w:val="clear" w:color="auto" w:fill="FFFFFF"/>
        </w:rPr>
        <w:t>Ventajas de la educación delegada:</w:t>
      </w:r>
    </w:p>
    <w:p w:rsidR="00D07FD3" w:rsidRPr="00BE314B" w:rsidRDefault="00D07FD3" w:rsidP="00D07FD3">
      <w:pPr>
        <w:spacing w:line="240" w:lineRule="auto"/>
        <w:jc w:val="both"/>
        <w:rPr>
          <w:rFonts w:ascii="Times New Roman" w:hAnsi="Times New Roman" w:cs="Times New Roman"/>
          <w:color w:val="000000"/>
          <w:sz w:val="24"/>
          <w:szCs w:val="24"/>
          <w:shd w:val="clear" w:color="auto" w:fill="FFFFFF"/>
        </w:rPr>
      </w:pPr>
      <w:r w:rsidRPr="00BE314B">
        <w:rPr>
          <w:rFonts w:ascii="Times New Roman" w:hAnsi="Times New Roman" w:cs="Times New Roman"/>
          <w:color w:val="000000"/>
          <w:sz w:val="24"/>
          <w:szCs w:val="24"/>
          <w:shd w:val="clear" w:color="auto" w:fill="FFFFFF"/>
        </w:rPr>
        <w:t>Mayor adapta</w:t>
      </w:r>
      <w:r>
        <w:rPr>
          <w:rFonts w:ascii="Times New Roman" w:hAnsi="Times New Roman" w:cs="Times New Roman"/>
          <w:color w:val="000000"/>
          <w:sz w:val="24"/>
          <w:szCs w:val="24"/>
          <w:shd w:val="clear" w:color="auto" w:fill="FFFFFF"/>
        </w:rPr>
        <w:t xml:space="preserve">ción a las necesidades locales: </w:t>
      </w:r>
      <w:r w:rsidRPr="00BE314B">
        <w:rPr>
          <w:rFonts w:ascii="Times New Roman" w:hAnsi="Times New Roman" w:cs="Times New Roman"/>
          <w:color w:val="000000"/>
          <w:sz w:val="24"/>
          <w:szCs w:val="24"/>
          <w:shd w:val="clear" w:color="auto" w:fill="FFFFFF"/>
        </w:rPr>
        <w:t>Las comunidades autónomas pueden diseñar currículos y programas educativos que respondan mejor a las características culturales, lingüísticas y socioeconómicas de sus ciudadanos.</w:t>
      </w:r>
    </w:p>
    <w:p w:rsidR="00D07FD3" w:rsidRPr="00BE314B" w:rsidRDefault="00D07FD3" w:rsidP="00D07FD3">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Mayor autonomía: </w:t>
      </w:r>
      <w:r w:rsidRPr="00BE314B">
        <w:rPr>
          <w:rFonts w:ascii="Times New Roman" w:hAnsi="Times New Roman" w:cs="Times New Roman"/>
          <w:color w:val="000000"/>
          <w:sz w:val="24"/>
          <w:szCs w:val="24"/>
          <w:shd w:val="clear" w:color="auto" w:fill="FFFFFF"/>
        </w:rPr>
        <w:t>Las administraciones autonómicas tienen mayor control sobre la gestión de los centros educativos, la contratación de profesores y la distribución de recursos, lo que puede traducirse en una mayor eficiencia y flexibilidad.</w:t>
      </w:r>
    </w:p>
    <w:p w:rsidR="00D07FD3" w:rsidRPr="00BE314B" w:rsidRDefault="00D07FD3" w:rsidP="00D07FD3">
      <w:pPr>
        <w:spacing w:line="240" w:lineRule="auto"/>
        <w:jc w:val="both"/>
        <w:rPr>
          <w:rFonts w:ascii="Times New Roman" w:hAnsi="Times New Roman" w:cs="Times New Roman"/>
          <w:color w:val="000000"/>
          <w:sz w:val="24"/>
          <w:szCs w:val="24"/>
          <w:shd w:val="clear" w:color="auto" w:fill="FFFFFF"/>
        </w:rPr>
      </w:pPr>
      <w:r w:rsidRPr="00BE314B">
        <w:rPr>
          <w:rFonts w:ascii="Times New Roman" w:hAnsi="Times New Roman" w:cs="Times New Roman"/>
          <w:color w:val="000000"/>
          <w:sz w:val="24"/>
          <w:szCs w:val="24"/>
          <w:shd w:val="clear" w:color="auto" w:fill="FFFFFF"/>
        </w:rPr>
        <w:t>Mayor</w:t>
      </w:r>
      <w:r>
        <w:rPr>
          <w:rFonts w:ascii="Times New Roman" w:hAnsi="Times New Roman" w:cs="Times New Roman"/>
          <w:color w:val="000000"/>
          <w:sz w:val="24"/>
          <w:szCs w:val="24"/>
          <w:shd w:val="clear" w:color="auto" w:fill="FFFFFF"/>
        </w:rPr>
        <w:t xml:space="preserve"> participación de la comunidad: </w:t>
      </w:r>
      <w:r w:rsidRPr="00BE314B">
        <w:rPr>
          <w:rFonts w:ascii="Times New Roman" w:hAnsi="Times New Roman" w:cs="Times New Roman"/>
          <w:color w:val="000000"/>
          <w:sz w:val="24"/>
          <w:szCs w:val="24"/>
          <w:shd w:val="clear" w:color="auto" w:fill="FFFFFF"/>
        </w:rPr>
        <w:t>La descentralización puede fomentar una mayor participación de padres, profesores y otros miembros de la comunidad en la toma de decisiones educativas.</w:t>
      </w:r>
    </w:p>
    <w:p w:rsidR="00D07FD3" w:rsidRPr="00BE314B" w:rsidRDefault="00D07FD3" w:rsidP="00D07FD3">
      <w:pPr>
        <w:spacing w:line="240" w:lineRule="auto"/>
        <w:jc w:val="both"/>
        <w:rPr>
          <w:rFonts w:ascii="Times New Roman" w:hAnsi="Times New Roman" w:cs="Times New Roman"/>
          <w:color w:val="000000"/>
          <w:sz w:val="24"/>
          <w:szCs w:val="24"/>
          <w:shd w:val="clear" w:color="auto" w:fill="FFFFFF"/>
        </w:rPr>
      </w:pPr>
      <w:r w:rsidRPr="00BE314B">
        <w:rPr>
          <w:rFonts w:ascii="Times New Roman" w:hAnsi="Times New Roman" w:cs="Times New Roman"/>
          <w:color w:val="000000"/>
          <w:sz w:val="24"/>
          <w:szCs w:val="24"/>
          <w:shd w:val="clear" w:color="auto" w:fill="FFFFFF"/>
        </w:rPr>
        <w:t>Fomento de la div</w:t>
      </w:r>
      <w:r>
        <w:rPr>
          <w:rFonts w:ascii="Times New Roman" w:hAnsi="Times New Roman" w:cs="Times New Roman"/>
          <w:color w:val="000000"/>
          <w:sz w:val="24"/>
          <w:szCs w:val="24"/>
          <w:shd w:val="clear" w:color="auto" w:fill="FFFFFF"/>
        </w:rPr>
        <w:t xml:space="preserve">ersidad cultural y lingüística: </w:t>
      </w:r>
      <w:r w:rsidRPr="00BE314B">
        <w:rPr>
          <w:rFonts w:ascii="Times New Roman" w:hAnsi="Times New Roman" w:cs="Times New Roman"/>
          <w:color w:val="000000"/>
          <w:sz w:val="24"/>
          <w:szCs w:val="24"/>
          <w:shd w:val="clear" w:color="auto" w:fill="FFFFFF"/>
        </w:rPr>
        <w:t xml:space="preserve">La educación delegada permite la promoción y protección de lenguas y culturas propias de cada región. </w:t>
      </w:r>
    </w:p>
    <w:p w:rsidR="00D07FD3" w:rsidRPr="00BE314B" w:rsidRDefault="00D07FD3" w:rsidP="00D07FD3">
      <w:pPr>
        <w:spacing w:line="240" w:lineRule="auto"/>
        <w:jc w:val="both"/>
        <w:rPr>
          <w:rFonts w:ascii="Times New Roman" w:hAnsi="Times New Roman" w:cs="Times New Roman"/>
          <w:color w:val="000000"/>
          <w:sz w:val="24"/>
          <w:szCs w:val="24"/>
          <w:shd w:val="clear" w:color="auto" w:fill="FFFFFF"/>
        </w:rPr>
      </w:pPr>
      <w:r w:rsidRPr="00BE314B">
        <w:rPr>
          <w:rFonts w:ascii="Times New Roman" w:hAnsi="Times New Roman" w:cs="Times New Roman"/>
          <w:color w:val="000000"/>
          <w:sz w:val="24"/>
          <w:szCs w:val="24"/>
          <w:shd w:val="clear" w:color="auto" w:fill="FFFFFF"/>
        </w:rPr>
        <w:t>Desventajas de la educación delegada:</w:t>
      </w:r>
    </w:p>
    <w:p w:rsidR="00D07FD3" w:rsidRPr="00BE314B" w:rsidRDefault="00D07FD3" w:rsidP="00D07FD3">
      <w:pPr>
        <w:spacing w:line="240" w:lineRule="auto"/>
        <w:jc w:val="both"/>
        <w:rPr>
          <w:rFonts w:ascii="Times New Roman" w:hAnsi="Times New Roman" w:cs="Times New Roman"/>
          <w:color w:val="000000"/>
          <w:sz w:val="24"/>
          <w:szCs w:val="24"/>
          <w:shd w:val="clear" w:color="auto" w:fill="FFFFFF"/>
        </w:rPr>
      </w:pPr>
      <w:r w:rsidRPr="00BE314B">
        <w:rPr>
          <w:rFonts w:ascii="Times New Roman" w:hAnsi="Times New Roman" w:cs="Times New Roman"/>
          <w:color w:val="000000"/>
          <w:sz w:val="24"/>
          <w:szCs w:val="24"/>
          <w:shd w:val="clear" w:color="auto" w:fill="FFFFFF"/>
        </w:rPr>
        <w:lastRenderedPageBreak/>
        <w:t>D</w:t>
      </w:r>
      <w:r>
        <w:rPr>
          <w:rFonts w:ascii="Times New Roman" w:hAnsi="Times New Roman" w:cs="Times New Roman"/>
          <w:color w:val="000000"/>
          <w:sz w:val="24"/>
          <w:szCs w:val="24"/>
          <w:shd w:val="clear" w:color="auto" w:fill="FFFFFF"/>
        </w:rPr>
        <w:t xml:space="preserve">esigualdades entre comunidades: </w:t>
      </w:r>
      <w:r w:rsidRPr="00BE314B">
        <w:rPr>
          <w:rFonts w:ascii="Times New Roman" w:hAnsi="Times New Roman" w:cs="Times New Roman"/>
          <w:color w:val="000000"/>
          <w:sz w:val="24"/>
          <w:szCs w:val="24"/>
          <w:shd w:val="clear" w:color="auto" w:fill="FFFFFF"/>
        </w:rPr>
        <w:t>La autonomía puede llevar a diferencias significativas en la calidad y los recursos disponibles para la educación en diferentes regiones, creando desigualdades entre estudiantes.</w:t>
      </w:r>
    </w:p>
    <w:p w:rsidR="00D07FD3" w:rsidRPr="00BE314B" w:rsidRDefault="00D07FD3" w:rsidP="00D07FD3">
      <w:pPr>
        <w:spacing w:line="240" w:lineRule="auto"/>
        <w:jc w:val="both"/>
        <w:rPr>
          <w:rFonts w:ascii="Times New Roman" w:hAnsi="Times New Roman" w:cs="Times New Roman"/>
          <w:color w:val="000000"/>
          <w:sz w:val="24"/>
          <w:szCs w:val="24"/>
          <w:shd w:val="clear" w:color="auto" w:fill="FFFFFF"/>
        </w:rPr>
      </w:pPr>
      <w:r w:rsidRPr="00BE314B">
        <w:rPr>
          <w:rFonts w:ascii="Times New Roman" w:hAnsi="Times New Roman" w:cs="Times New Roman"/>
          <w:color w:val="000000"/>
          <w:sz w:val="24"/>
          <w:szCs w:val="24"/>
          <w:shd w:val="clear" w:color="auto" w:fill="FFFFFF"/>
        </w:rPr>
        <w:t>Falta de</w:t>
      </w:r>
      <w:r>
        <w:rPr>
          <w:rFonts w:ascii="Times New Roman" w:hAnsi="Times New Roman" w:cs="Times New Roman"/>
          <w:color w:val="000000"/>
          <w:sz w:val="24"/>
          <w:szCs w:val="24"/>
          <w:shd w:val="clear" w:color="auto" w:fill="FFFFFF"/>
        </w:rPr>
        <w:t xml:space="preserve"> coordinación a nivel nacional: </w:t>
      </w:r>
      <w:r w:rsidRPr="00BE314B">
        <w:rPr>
          <w:rFonts w:ascii="Times New Roman" w:hAnsi="Times New Roman" w:cs="Times New Roman"/>
          <w:color w:val="000000"/>
          <w:sz w:val="24"/>
          <w:szCs w:val="24"/>
          <w:shd w:val="clear" w:color="auto" w:fill="FFFFFF"/>
        </w:rPr>
        <w:t>La descentralización puede dificultar la creación de un sistema educativo común y homogéneo, lo que puede generar problemas de movilidad estudiantil y profesional.</w:t>
      </w:r>
    </w:p>
    <w:p w:rsidR="00D07FD3" w:rsidRPr="00BE314B" w:rsidRDefault="00D07FD3" w:rsidP="00D07FD3">
      <w:pPr>
        <w:spacing w:line="240" w:lineRule="auto"/>
        <w:jc w:val="both"/>
        <w:rPr>
          <w:rFonts w:ascii="Times New Roman" w:hAnsi="Times New Roman" w:cs="Times New Roman"/>
          <w:color w:val="000000"/>
          <w:sz w:val="24"/>
          <w:szCs w:val="24"/>
          <w:shd w:val="clear" w:color="auto" w:fill="FFFFFF"/>
        </w:rPr>
      </w:pPr>
      <w:r w:rsidRPr="00BE314B">
        <w:rPr>
          <w:rFonts w:ascii="Times New Roman" w:hAnsi="Times New Roman" w:cs="Times New Roman"/>
          <w:color w:val="000000"/>
          <w:sz w:val="24"/>
          <w:szCs w:val="24"/>
          <w:shd w:val="clear" w:color="auto" w:fill="FFFFFF"/>
        </w:rPr>
        <w:t xml:space="preserve">Riesgo de </w:t>
      </w:r>
      <w:r>
        <w:rPr>
          <w:rFonts w:ascii="Times New Roman" w:hAnsi="Times New Roman" w:cs="Times New Roman"/>
          <w:color w:val="000000"/>
          <w:sz w:val="24"/>
          <w:szCs w:val="24"/>
          <w:shd w:val="clear" w:color="auto" w:fill="FFFFFF"/>
        </w:rPr>
        <w:t xml:space="preserve">politización de la educación: </w:t>
      </w:r>
      <w:r w:rsidRPr="00BE314B">
        <w:rPr>
          <w:rFonts w:ascii="Times New Roman" w:hAnsi="Times New Roman" w:cs="Times New Roman"/>
          <w:color w:val="000000"/>
          <w:sz w:val="24"/>
          <w:szCs w:val="24"/>
          <w:shd w:val="clear" w:color="auto" w:fill="FFFFFF"/>
        </w:rPr>
        <w:t>La gestión educativa en manos de las comunidades autónomas puede estar sujeta a influencias políticas, lo que puede afectar la calidad y la objetividad de la enseñanza.</w:t>
      </w:r>
    </w:p>
    <w:p w:rsidR="00D07FD3" w:rsidRPr="00BE314B" w:rsidRDefault="00D07FD3" w:rsidP="00D07FD3">
      <w:pPr>
        <w:spacing w:line="240" w:lineRule="auto"/>
        <w:jc w:val="both"/>
        <w:rPr>
          <w:rFonts w:ascii="Times New Roman" w:hAnsi="Times New Roman" w:cs="Times New Roman"/>
          <w:color w:val="000000"/>
          <w:sz w:val="24"/>
          <w:szCs w:val="24"/>
          <w:shd w:val="clear" w:color="auto" w:fill="FFFFFF"/>
        </w:rPr>
      </w:pPr>
      <w:r w:rsidRPr="00BE314B">
        <w:rPr>
          <w:rFonts w:ascii="Times New Roman" w:hAnsi="Times New Roman" w:cs="Times New Roman"/>
          <w:color w:val="000000"/>
          <w:sz w:val="24"/>
          <w:szCs w:val="24"/>
          <w:shd w:val="clear" w:color="auto" w:fill="FFFFFF"/>
        </w:rPr>
        <w:t>Dificultad para garantiza</w:t>
      </w:r>
      <w:r>
        <w:rPr>
          <w:rFonts w:ascii="Times New Roman" w:hAnsi="Times New Roman" w:cs="Times New Roman"/>
          <w:color w:val="000000"/>
          <w:sz w:val="24"/>
          <w:szCs w:val="24"/>
          <w:shd w:val="clear" w:color="auto" w:fill="FFFFFF"/>
        </w:rPr>
        <w:t xml:space="preserve">r la igualdad de oportunidades: </w:t>
      </w:r>
      <w:r w:rsidRPr="00BE314B">
        <w:rPr>
          <w:rFonts w:ascii="Times New Roman" w:hAnsi="Times New Roman" w:cs="Times New Roman"/>
          <w:color w:val="000000"/>
          <w:sz w:val="24"/>
          <w:szCs w:val="24"/>
          <w:shd w:val="clear" w:color="auto" w:fill="FFFFFF"/>
        </w:rPr>
        <w:t xml:space="preserve">La autonomía puede dificultar la garantía de la igualdad de oportunidades educativas para todos los estudiantes, independientemente de su lugar de residencia. </w:t>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sidRPr="00BE314B">
        <w:rPr>
          <w:rFonts w:ascii="Times New Roman" w:hAnsi="Times New Roman" w:cs="Times New Roman"/>
          <w:color w:val="000000"/>
          <w:sz w:val="24"/>
          <w:szCs w:val="24"/>
          <w:shd w:val="clear" w:color="auto" w:fill="FFFFFF"/>
        </w:rPr>
        <w:t>En resumen, la educación delegada en España ofrece ventajas como la adaptación a las necesidades locales y una mayor autonomía, pero también presenta desventajas como las desigualdades entre comunidades y la falta de coordinación a nivel nacional. El equilibrio entre la autonomía y la homogeneidad del sistema educativo es un desafío constante.</w:t>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sidRPr="00F27481">
        <w:rPr>
          <w:rFonts w:ascii="Times New Roman" w:hAnsi="Times New Roman" w:cs="Times New Roman"/>
          <w:noProof/>
          <w:color w:val="000000"/>
          <w:sz w:val="24"/>
          <w:szCs w:val="24"/>
          <w:shd w:val="clear" w:color="auto" w:fill="FFFFFF"/>
          <w:lang w:eastAsia="es-ES"/>
        </w:rPr>
        <w:drawing>
          <wp:inline distT="0" distB="0" distL="0" distR="0" wp14:anchorId="1CFA8EB0" wp14:editId="5340B1BB">
            <wp:extent cx="5726592" cy="2927350"/>
            <wp:effectExtent l="0" t="0" r="7620"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2929864"/>
                    </a:xfrm>
                    <a:prstGeom prst="rect">
                      <a:avLst/>
                    </a:prstGeom>
                  </pic:spPr>
                </pic:pic>
              </a:graphicData>
            </a:graphic>
          </wp:inline>
        </w:drawing>
      </w:r>
    </w:p>
    <w:p w:rsidR="00D07FD3" w:rsidRPr="00F27481" w:rsidRDefault="00D07FD3" w:rsidP="00D07FD3">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4C76E7">
        <w:rPr>
          <w:rFonts w:ascii="Times New Roman" w:hAnsi="Times New Roman" w:cs="Times New Roman"/>
          <w:color w:val="000000"/>
          <w:sz w:val="24"/>
          <w:szCs w:val="24"/>
          <w:u w:val="single"/>
          <w:shd w:val="clear" w:color="auto" w:fill="FFFFFF"/>
        </w:rPr>
        <w:t>Los alumnos españoles caen en todas las áreas del Informe PISA y logran los peores resultados de la historia en Ciencias y Matemáticas</w:t>
      </w:r>
      <w:r>
        <w:rPr>
          <w:rFonts w:ascii="Times New Roman" w:hAnsi="Times New Roman" w:cs="Times New Roman"/>
          <w:color w:val="000000"/>
          <w:sz w:val="24"/>
          <w:szCs w:val="24"/>
          <w:shd w:val="clear" w:color="auto" w:fill="FFFFFF"/>
        </w:rPr>
        <w:t xml:space="preserve"> (El Mundo - </w:t>
      </w:r>
      <w:r w:rsidRPr="00B61562">
        <w:rPr>
          <w:rFonts w:ascii="Times New Roman" w:hAnsi="Times New Roman" w:cs="Times New Roman"/>
          <w:b/>
          <w:color w:val="000000"/>
          <w:sz w:val="24"/>
          <w:szCs w:val="24"/>
          <w:shd w:val="clear" w:color="auto" w:fill="FFFFFF"/>
        </w:rPr>
        <w:t>5/12/23</w:t>
      </w:r>
      <w:r>
        <w:rPr>
          <w:rFonts w:ascii="Times New Roman" w:hAnsi="Times New Roman" w:cs="Times New Roman"/>
          <w:color w:val="000000"/>
          <w:sz w:val="24"/>
          <w:szCs w:val="24"/>
          <w:shd w:val="clear" w:color="auto" w:fill="FFFFFF"/>
        </w:rPr>
        <w:t>)</w:t>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sidRPr="00F27481">
        <w:rPr>
          <w:rFonts w:ascii="Times New Roman" w:hAnsi="Times New Roman" w:cs="Times New Roman"/>
          <w:color w:val="000000"/>
          <w:sz w:val="24"/>
          <w:szCs w:val="24"/>
          <w:shd w:val="clear" w:color="auto" w:fill="FFFFFF"/>
        </w:rPr>
        <w:t>Los malos datos no sólo se explican por el Covid. El 33% de los adolescentes admite que se distrae con las pantallas en el aula</w:t>
      </w:r>
      <w:r>
        <w:rPr>
          <w:rFonts w:ascii="Times New Roman" w:hAnsi="Times New Roman" w:cs="Times New Roman"/>
          <w:color w:val="000000"/>
          <w:sz w:val="24"/>
          <w:szCs w:val="24"/>
          <w:shd w:val="clear" w:color="auto" w:fill="FFFFFF"/>
        </w:rPr>
        <w:t>…</w:t>
      </w:r>
    </w:p>
    <w:p w:rsidR="00D07FD3" w:rsidRPr="00F27481" w:rsidRDefault="00D07FD3" w:rsidP="00D07FD3">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4C76E7">
        <w:rPr>
          <w:rFonts w:ascii="Times New Roman" w:hAnsi="Times New Roman" w:cs="Times New Roman"/>
          <w:color w:val="000000"/>
          <w:sz w:val="24"/>
          <w:szCs w:val="24"/>
          <w:u w:val="single"/>
          <w:shd w:val="clear" w:color="auto" w:fill="FFFFFF"/>
        </w:rPr>
        <w:t>Informe PISA: España obtiene su peor resultado, pero resiste el batacazo educativo global mejor que su entorno</w:t>
      </w:r>
      <w:r>
        <w:rPr>
          <w:rFonts w:ascii="Times New Roman" w:hAnsi="Times New Roman" w:cs="Times New Roman"/>
          <w:color w:val="000000"/>
          <w:sz w:val="24"/>
          <w:szCs w:val="24"/>
          <w:shd w:val="clear" w:color="auto" w:fill="FFFFFF"/>
        </w:rPr>
        <w:t xml:space="preserve"> (El País - </w:t>
      </w:r>
      <w:r w:rsidRPr="00B61562">
        <w:rPr>
          <w:rFonts w:ascii="Times New Roman" w:hAnsi="Times New Roman" w:cs="Times New Roman"/>
          <w:b/>
          <w:color w:val="000000"/>
          <w:sz w:val="24"/>
          <w:szCs w:val="24"/>
          <w:shd w:val="clear" w:color="auto" w:fill="FFFFFF"/>
        </w:rPr>
        <w:t>5/12/23</w:t>
      </w:r>
      <w:r>
        <w:rPr>
          <w:rFonts w:ascii="Times New Roman" w:hAnsi="Times New Roman" w:cs="Times New Roman"/>
          <w:color w:val="000000"/>
          <w:sz w:val="24"/>
          <w:szCs w:val="24"/>
          <w:shd w:val="clear" w:color="auto" w:fill="FFFFFF"/>
        </w:rPr>
        <w:t>)</w:t>
      </w:r>
    </w:p>
    <w:p w:rsidR="00D07FD3" w:rsidRPr="00F27481" w:rsidRDefault="00D07FD3" w:rsidP="00D07FD3">
      <w:pPr>
        <w:spacing w:line="240" w:lineRule="auto"/>
        <w:jc w:val="both"/>
        <w:rPr>
          <w:rFonts w:ascii="Times New Roman" w:hAnsi="Times New Roman" w:cs="Times New Roman"/>
          <w:color w:val="000000"/>
          <w:sz w:val="24"/>
          <w:szCs w:val="24"/>
          <w:shd w:val="clear" w:color="auto" w:fill="FFFFFF"/>
        </w:rPr>
      </w:pPr>
      <w:r w:rsidRPr="00F27481">
        <w:rPr>
          <w:rFonts w:ascii="Times New Roman" w:hAnsi="Times New Roman" w:cs="Times New Roman"/>
          <w:color w:val="000000"/>
          <w:sz w:val="24"/>
          <w:szCs w:val="24"/>
          <w:shd w:val="clear" w:color="auto" w:fill="FFFFFF"/>
        </w:rPr>
        <w:t xml:space="preserve">España ha obtenido este martes sus peores resultados en el informe PISA desde que la prueba educativa, la más importante del mundo, empezó a publicarse en el año 2000. Pero al mismo tiempo, paradójicamente, también ha conseguido en cierta forma el mejor resultado. Los alumnos españoles del último curso de la ESO han bajado 8 puntos en matemáticas respecto </w:t>
      </w:r>
      <w:r>
        <w:rPr>
          <w:rFonts w:ascii="Times New Roman" w:hAnsi="Times New Roman" w:cs="Times New Roman"/>
          <w:color w:val="000000"/>
          <w:sz w:val="24"/>
          <w:szCs w:val="24"/>
          <w:shd w:val="clear" w:color="auto" w:fill="FFFFFF"/>
        </w:rPr>
        <w:t>a la edición anterior, de 2018 -en la que ya cayeron mucho-</w:t>
      </w:r>
      <w:r w:rsidRPr="00F27481">
        <w:rPr>
          <w:rFonts w:ascii="Times New Roman" w:hAnsi="Times New Roman" w:cs="Times New Roman"/>
          <w:color w:val="000000"/>
          <w:sz w:val="24"/>
          <w:szCs w:val="24"/>
          <w:shd w:val="clear" w:color="auto" w:fill="FFFFFF"/>
        </w:rPr>
        <w:t xml:space="preserve">, hasta quedarse en 473. Han </w:t>
      </w:r>
      <w:r w:rsidRPr="00F27481">
        <w:rPr>
          <w:rFonts w:ascii="Times New Roman" w:hAnsi="Times New Roman" w:cs="Times New Roman"/>
          <w:color w:val="000000"/>
          <w:sz w:val="24"/>
          <w:szCs w:val="24"/>
          <w:shd w:val="clear" w:color="auto" w:fill="FFFFFF"/>
        </w:rPr>
        <w:lastRenderedPageBreak/>
        <w:t>retrocedido tres en comprensión lectora, hasta los 474. Y han subido dos puntos en ciencias, hasta los 485. El batacazo global ha sido, sin embargo, de tal calibre, con un descenso medio de los países de la OCDE, la organización integrada por los países ricos que organiza la prueba, de 17 puntos en matemáticas, 11 en lectura, y 4 en Ciencias, y una caída aún más acusada en la Unión Europea, con bajadas medias de 20, 14 y 6 puntos respectivamente, que España nunca se había situado tan cerca del promedio de ambas organizaciones, a solo un punto.</w:t>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sidRPr="00F27481">
        <w:rPr>
          <w:rFonts w:ascii="Times New Roman" w:hAnsi="Times New Roman" w:cs="Times New Roman"/>
          <w:color w:val="000000"/>
          <w:sz w:val="24"/>
          <w:szCs w:val="24"/>
          <w:shd w:val="clear" w:color="auto" w:fill="FFFFFF"/>
        </w:rPr>
        <w:t>En la octava edición de PISA han participado 690.000 estudiantes de 81 países de 15 y 16 años, 30.800 de ellos españoles. Los exámenes se realizaron, con un año de retraso debido a la pandemia, en la primavera de 2022. Y la caída general de los resultados solo puede entenderse por la covid, que afectó al funcionamiento del sistema educativo, en mayor o menor grado, durante tres cursos. El hecho de que España salga relativamente mejor parada, aunque con fuertes diferencias territoriales, es una muestra más de que el protocolo para prevenir los contagios en la escuela, diseñado en 2020 por los ministerios de Educación y Sanidad y aplicado disciplinadamente por las comunidades escolares, la campaña de vacunación de los adolescentes, y los fondos inyectados por el Gobierno (1.600 millones solo el primer curso de pandemia) para contratar profesores, fueron eficaces.</w:t>
      </w:r>
    </w:p>
    <w:p w:rsidR="00D07FD3" w:rsidRPr="00F27481" w:rsidRDefault="00D07FD3" w:rsidP="00D07FD3">
      <w:pPr>
        <w:spacing w:line="240" w:lineRule="auto"/>
        <w:jc w:val="both"/>
        <w:rPr>
          <w:rFonts w:ascii="Times New Roman" w:hAnsi="Times New Roman" w:cs="Times New Roman"/>
          <w:color w:val="000000"/>
          <w:sz w:val="24"/>
          <w:szCs w:val="24"/>
          <w:shd w:val="clear" w:color="auto" w:fill="FFFFFF"/>
        </w:rPr>
      </w:pPr>
      <w:r w:rsidRPr="00F27481">
        <w:rPr>
          <w:rFonts w:ascii="Times New Roman" w:hAnsi="Times New Roman" w:cs="Times New Roman"/>
          <w:noProof/>
          <w:color w:val="000000"/>
          <w:sz w:val="24"/>
          <w:szCs w:val="24"/>
          <w:shd w:val="clear" w:color="auto" w:fill="FFFFFF"/>
          <w:lang w:eastAsia="es-ES"/>
        </w:rPr>
        <w:drawing>
          <wp:inline distT="0" distB="0" distL="0" distR="0" wp14:anchorId="60C43BDC" wp14:editId="63396014">
            <wp:extent cx="5727933" cy="2825750"/>
            <wp:effectExtent l="0" t="0" r="635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2827515"/>
                    </a:xfrm>
                    <a:prstGeom prst="rect">
                      <a:avLst/>
                    </a:prstGeom>
                  </pic:spPr>
                </pic:pic>
              </a:graphicData>
            </a:graphic>
          </wp:inline>
        </w:drawing>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sidRPr="00F27481">
        <w:rPr>
          <w:rFonts w:ascii="Times New Roman" w:hAnsi="Times New Roman" w:cs="Times New Roman"/>
          <w:color w:val="000000"/>
          <w:sz w:val="24"/>
          <w:szCs w:val="24"/>
          <w:shd w:val="clear" w:color="auto" w:fill="FFFFFF"/>
        </w:rPr>
        <w:t>Las matemáticas han sido los conocimientos más perjudicados, tanto globalmente como en España, porque son los que más requieren el acompañamiento directo del profesor y en los que más difícil resulta para los chavales aprender por su cuenta o con ayuda de sus familias. Históricamente se ha estimado que 40 puntos de diferencia en una prueba de PISA equivalen a un curso académico (aunque algunos estudios lo reducen a 30, o incluso a menos porque no es un dato oficial de la OCDE). Y el informe refleja impactos muy elevados en la prueba de matemáticas en la mayoría de países del entorno europeo de España, como Portugal, Suecia y Dinamarca, que pierden 20 puntos; Francia, 21; Finlandia, 23; Alemania, 25; Países Bajos, 26; Polonia, 27, o Islandia, 36. España queda por primera vez por delante de países como Noruega, donde los resultados en matemáticas han caído 33 puntos.</w:t>
      </w:r>
    </w:p>
    <w:p w:rsidR="00D07FD3" w:rsidRPr="00F27481" w:rsidRDefault="00D07FD3" w:rsidP="00D07FD3">
      <w:pPr>
        <w:spacing w:line="240" w:lineRule="auto"/>
        <w:jc w:val="both"/>
        <w:rPr>
          <w:rFonts w:ascii="Times New Roman" w:hAnsi="Times New Roman" w:cs="Times New Roman"/>
          <w:color w:val="000000"/>
          <w:sz w:val="24"/>
          <w:szCs w:val="24"/>
          <w:shd w:val="clear" w:color="auto" w:fill="FFFFFF"/>
        </w:rPr>
      </w:pPr>
      <w:r w:rsidRPr="00C06F08">
        <w:rPr>
          <w:rFonts w:ascii="Times New Roman" w:hAnsi="Times New Roman" w:cs="Times New Roman"/>
          <w:noProof/>
          <w:color w:val="000000"/>
          <w:sz w:val="24"/>
          <w:szCs w:val="24"/>
          <w:shd w:val="clear" w:color="auto" w:fill="FFFFFF"/>
          <w:lang w:eastAsia="es-ES"/>
        </w:rPr>
        <w:lastRenderedPageBreak/>
        <w:drawing>
          <wp:inline distT="0" distB="0" distL="0" distR="0" wp14:anchorId="6837CC2A" wp14:editId="3FA04B23">
            <wp:extent cx="5734050" cy="27241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2722943"/>
                    </a:xfrm>
                    <a:prstGeom prst="rect">
                      <a:avLst/>
                    </a:prstGeom>
                  </pic:spPr>
                </pic:pic>
              </a:graphicData>
            </a:graphic>
          </wp:inline>
        </w:drawing>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sidRPr="00F27481">
        <w:rPr>
          <w:rFonts w:ascii="Times New Roman" w:hAnsi="Times New Roman" w:cs="Times New Roman"/>
          <w:color w:val="000000"/>
          <w:sz w:val="24"/>
          <w:szCs w:val="24"/>
          <w:shd w:val="clear" w:color="auto" w:fill="FFFFFF"/>
        </w:rPr>
        <w:t>El informe apunta que los descensos globales en el rendimiento educativo no se deben, probablemente, solo a la pandemia. Y el estudio no encuentra una relación directa entre la duración de los cierres escolares generales adoptados por los países, sobr</w:t>
      </w:r>
      <w:r>
        <w:rPr>
          <w:rFonts w:ascii="Times New Roman" w:hAnsi="Times New Roman" w:cs="Times New Roman"/>
          <w:color w:val="000000"/>
          <w:sz w:val="24"/>
          <w:szCs w:val="24"/>
          <w:shd w:val="clear" w:color="auto" w:fill="FFFFFF"/>
        </w:rPr>
        <w:t>e todo en la primavera de 2020 -</w:t>
      </w:r>
      <w:r w:rsidRPr="00F27481">
        <w:rPr>
          <w:rFonts w:ascii="Times New Roman" w:hAnsi="Times New Roman" w:cs="Times New Roman"/>
          <w:color w:val="000000"/>
          <w:sz w:val="24"/>
          <w:szCs w:val="24"/>
          <w:shd w:val="clear" w:color="auto" w:fill="FFFFFF"/>
        </w:rPr>
        <w:t>que no abarca otro tipo de perturbaciones educativas generadas por la covid, como los confinamientos de aul</w:t>
      </w:r>
      <w:r>
        <w:rPr>
          <w:rFonts w:ascii="Times New Roman" w:hAnsi="Times New Roman" w:cs="Times New Roman"/>
          <w:color w:val="000000"/>
          <w:sz w:val="24"/>
          <w:szCs w:val="24"/>
          <w:shd w:val="clear" w:color="auto" w:fill="FFFFFF"/>
        </w:rPr>
        <w:t>as concretas o los individuales-</w:t>
      </w:r>
      <w:r w:rsidRPr="00F27481">
        <w:rPr>
          <w:rFonts w:ascii="Times New Roman" w:hAnsi="Times New Roman" w:cs="Times New Roman"/>
          <w:color w:val="000000"/>
          <w:sz w:val="24"/>
          <w:szCs w:val="24"/>
          <w:shd w:val="clear" w:color="auto" w:fill="FFFFFF"/>
        </w:rPr>
        <w:t>. Dicha conexión entre semanas de cierre y pérdida de aprendizaje de los estudiantes sí se observado en otras pruebas, como PIRLS, otra gran evaluación internacional centrada en la educación primaria, quizá porque la mayor madurez de los chavales de secundaria que analiza PISA les permitió aprender mejor de forma autónoma. En esta edición, por otra parte, el formato de la prueba de matemáticas ha vuelto a cambiar para hacerse todavía más competencial, un planteamiento educativo que exige a los alumnos un mayor esfuerzo a la hora de razonar y relacionar saberes para aplicarlos a la resolución de problemas muy pegados a la realidad, lo que también puede haber hecho mella en los alumnos.</w:t>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sidRPr="00C06F08">
        <w:rPr>
          <w:rFonts w:ascii="Times New Roman" w:hAnsi="Times New Roman" w:cs="Times New Roman"/>
          <w:noProof/>
          <w:color w:val="000000"/>
          <w:sz w:val="24"/>
          <w:szCs w:val="24"/>
          <w:shd w:val="clear" w:color="auto" w:fill="FFFFFF"/>
          <w:lang w:eastAsia="es-ES"/>
        </w:rPr>
        <w:drawing>
          <wp:inline distT="0" distB="0" distL="0" distR="0" wp14:anchorId="54B70442" wp14:editId="0C2B3E8F">
            <wp:extent cx="5734048" cy="2819400"/>
            <wp:effectExtent l="0" t="0" r="63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2818152"/>
                    </a:xfrm>
                    <a:prstGeom prst="rect">
                      <a:avLst/>
                    </a:prstGeom>
                  </pic:spPr>
                </pic:pic>
              </a:graphicData>
            </a:graphic>
          </wp:inline>
        </w:drawing>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sidRPr="00C06F08">
        <w:rPr>
          <w:rFonts w:ascii="Times New Roman" w:hAnsi="Times New Roman" w:cs="Times New Roman"/>
          <w:noProof/>
          <w:color w:val="000000"/>
          <w:sz w:val="24"/>
          <w:szCs w:val="24"/>
          <w:shd w:val="clear" w:color="auto" w:fill="FFFFFF"/>
          <w:lang w:eastAsia="es-ES"/>
        </w:rPr>
        <w:lastRenderedPageBreak/>
        <w:drawing>
          <wp:inline distT="0" distB="0" distL="0" distR="0" wp14:anchorId="42374862" wp14:editId="5DE0BF3A">
            <wp:extent cx="5729033" cy="3524250"/>
            <wp:effectExtent l="0" t="0" r="508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3525774"/>
                    </a:xfrm>
                    <a:prstGeom prst="rect">
                      <a:avLst/>
                    </a:prstGeom>
                  </pic:spPr>
                </pic:pic>
              </a:graphicData>
            </a:graphic>
          </wp:inline>
        </w:drawing>
      </w:r>
    </w:p>
    <w:p w:rsidR="00D07FD3" w:rsidRPr="00F27481" w:rsidRDefault="00D07FD3" w:rsidP="00D07FD3">
      <w:pPr>
        <w:spacing w:line="240" w:lineRule="auto"/>
        <w:jc w:val="both"/>
        <w:rPr>
          <w:rFonts w:ascii="Times New Roman" w:hAnsi="Times New Roman" w:cs="Times New Roman"/>
          <w:color w:val="000000"/>
          <w:sz w:val="24"/>
          <w:szCs w:val="24"/>
          <w:shd w:val="clear" w:color="auto" w:fill="FFFFFF"/>
        </w:rPr>
      </w:pP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sidRPr="00C06F08">
        <w:rPr>
          <w:rFonts w:ascii="Times New Roman" w:hAnsi="Times New Roman" w:cs="Times New Roman"/>
          <w:noProof/>
          <w:color w:val="000000"/>
          <w:sz w:val="24"/>
          <w:szCs w:val="24"/>
          <w:shd w:val="clear" w:color="auto" w:fill="FFFFFF"/>
          <w:lang w:eastAsia="es-ES"/>
        </w:rPr>
        <w:drawing>
          <wp:inline distT="0" distB="0" distL="0" distR="0" wp14:anchorId="212DA01E" wp14:editId="6E646ED8">
            <wp:extent cx="5731510" cy="3987563"/>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3987563"/>
                    </a:xfrm>
                    <a:prstGeom prst="rect">
                      <a:avLst/>
                    </a:prstGeom>
                  </pic:spPr>
                </pic:pic>
              </a:graphicData>
            </a:graphic>
          </wp:inline>
        </w:drawing>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sidRPr="00C06F08">
        <w:rPr>
          <w:rFonts w:ascii="Times New Roman" w:hAnsi="Times New Roman" w:cs="Times New Roman"/>
          <w:noProof/>
          <w:color w:val="000000"/>
          <w:sz w:val="24"/>
          <w:szCs w:val="24"/>
          <w:shd w:val="clear" w:color="auto" w:fill="FFFFFF"/>
          <w:lang w:eastAsia="es-ES"/>
        </w:rPr>
        <w:lastRenderedPageBreak/>
        <w:drawing>
          <wp:inline distT="0" distB="0" distL="0" distR="0" wp14:anchorId="28EAA445" wp14:editId="4CACB312">
            <wp:extent cx="5729064" cy="2679700"/>
            <wp:effectExtent l="0" t="0" r="5080"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2680844"/>
                    </a:xfrm>
                    <a:prstGeom prst="rect">
                      <a:avLst/>
                    </a:prstGeom>
                  </pic:spPr>
                </pic:pic>
              </a:graphicData>
            </a:graphic>
          </wp:inline>
        </w:drawing>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Más allá de toda sospecha, o suspicacia, a la vista de los resultados alcanzados -listas de espera en el Servicio Sanitario, e Informe PISA-, no creo que nadie pueda felicitarse, o dar una opinión favorable a la delegación a la Comunidades Autónomas de las atribuciones de Sanidad y Educación. </w:t>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sidRPr="00F86446">
        <w:rPr>
          <w:rFonts w:ascii="Times New Roman" w:hAnsi="Times New Roman" w:cs="Times New Roman"/>
          <w:b/>
          <w:color w:val="000000"/>
          <w:sz w:val="24"/>
          <w:szCs w:val="24"/>
          <w:u w:val="single"/>
          <w:shd w:val="clear" w:color="auto" w:fill="FFFFFF"/>
        </w:rPr>
        <w:t>La descentralización sanitaria</w:t>
      </w:r>
      <w:r w:rsidRPr="005A396A">
        <w:rPr>
          <w:rFonts w:ascii="Times New Roman" w:hAnsi="Times New Roman" w:cs="Times New Roman"/>
          <w:color w:val="000000"/>
          <w:sz w:val="24"/>
          <w:szCs w:val="24"/>
          <w:shd w:val="clear" w:color="auto" w:fill="FFFFFF"/>
        </w:rPr>
        <w:t xml:space="preserve"> en España, a través de las comunidades autónomas, ha generado desigualdades en el acceso a la salud y en la calidad de la atención, así como problemas de coordinación entre regiones. También se han observado diferencias en la financiación, gasto farmacéutico y recursos humanos, impactando en la eficiencia y equidad del sistema.</w:t>
      </w:r>
    </w:p>
    <w:p w:rsidR="00D07FD3" w:rsidRPr="005A396A" w:rsidRDefault="00D07FD3" w:rsidP="00D07FD3">
      <w:pPr>
        <w:spacing w:line="240" w:lineRule="auto"/>
        <w:jc w:val="both"/>
        <w:rPr>
          <w:rFonts w:ascii="Times New Roman" w:hAnsi="Times New Roman" w:cs="Times New Roman"/>
          <w:color w:val="000000"/>
          <w:sz w:val="24"/>
          <w:szCs w:val="24"/>
          <w:shd w:val="clear" w:color="auto" w:fill="FFFFFF"/>
        </w:rPr>
      </w:pPr>
      <w:r w:rsidRPr="005A396A">
        <w:rPr>
          <w:rFonts w:ascii="Times New Roman" w:hAnsi="Times New Roman" w:cs="Times New Roman"/>
          <w:color w:val="000000"/>
          <w:sz w:val="24"/>
          <w:szCs w:val="24"/>
          <w:shd w:val="clear" w:color="auto" w:fill="FFFFFF"/>
        </w:rPr>
        <w:t xml:space="preserve">Existe una clara disparidad en la disponibilidad de recursos y servicios sanitarios entre comunidades, con algunas regiones más favorecidas que otras. </w:t>
      </w:r>
    </w:p>
    <w:p w:rsidR="00D07FD3" w:rsidRPr="005A396A" w:rsidRDefault="00D07FD3" w:rsidP="00D07FD3">
      <w:pPr>
        <w:spacing w:line="240" w:lineRule="auto"/>
        <w:jc w:val="both"/>
        <w:rPr>
          <w:rFonts w:ascii="Times New Roman" w:hAnsi="Times New Roman" w:cs="Times New Roman"/>
          <w:color w:val="000000"/>
          <w:sz w:val="24"/>
          <w:szCs w:val="24"/>
          <w:shd w:val="clear" w:color="auto" w:fill="FFFFFF"/>
        </w:rPr>
      </w:pPr>
      <w:r w:rsidRPr="005A396A">
        <w:rPr>
          <w:rFonts w:ascii="Times New Roman" w:hAnsi="Times New Roman" w:cs="Times New Roman"/>
          <w:color w:val="000000"/>
          <w:sz w:val="24"/>
          <w:szCs w:val="24"/>
          <w:shd w:val="clear" w:color="auto" w:fill="FFFFFF"/>
        </w:rPr>
        <w:t xml:space="preserve">Las listas de espera para consultas y procedimientos quirúrgicos varían significativamente entre comunidades autónomas, afectando la rapidez de la atención. </w:t>
      </w:r>
    </w:p>
    <w:p w:rsidR="00D07FD3" w:rsidRPr="005A396A" w:rsidRDefault="00D07FD3" w:rsidP="00D07FD3">
      <w:pPr>
        <w:spacing w:line="240" w:lineRule="auto"/>
        <w:jc w:val="both"/>
        <w:rPr>
          <w:rFonts w:ascii="Times New Roman" w:hAnsi="Times New Roman" w:cs="Times New Roman"/>
          <w:color w:val="000000"/>
          <w:sz w:val="24"/>
          <w:szCs w:val="24"/>
          <w:shd w:val="clear" w:color="auto" w:fill="FFFFFF"/>
        </w:rPr>
      </w:pPr>
      <w:r w:rsidRPr="005A396A">
        <w:rPr>
          <w:rFonts w:ascii="Times New Roman" w:hAnsi="Times New Roman" w:cs="Times New Roman"/>
          <w:color w:val="000000"/>
          <w:sz w:val="24"/>
          <w:szCs w:val="24"/>
          <w:shd w:val="clear" w:color="auto" w:fill="FFFFFF"/>
        </w:rPr>
        <w:t xml:space="preserve">La calidad de la atención puede variar entre comunidades, dependiendo de la inversión, la gestión de recursos y la disponibilidad de profesionales. </w:t>
      </w:r>
    </w:p>
    <w:p w:rsidR="00D07FD3" w:rsidRPr="005A396A" w:rsidRDefault="00D07FD3" w:rsidP="00D07FD3">
      <w:pPr>
        <w:spacing w:line="240" w:lineRule="auto"/>
        <w:jc w:val="both"/>
        <w:rPr>
          <w:rFonts w:ascii="Times New Roman" w:hAnsi="Times New Roman" w:cs="Times New Roman"/>
          <w:color w:val="000000"/>
          <w:sz w:val="24"/>
          <w:szCs w:val="24"/>
          <w:shd w:val="clear" w:color="auto" w:fill="FFFFFF"/>
        </w:rPr>
      </w:pPr>
      <w:r w:rsidRPr="005A396A">
        <w:rPr>
          <w:rFonts w:ascii="Times New Roman" w:hAnsi="Times New Roman" w:cs="Times New Roman"/>
          <w:color w:val="000000"/>
          <w:sz w:val="24"/>
          <w:szCs w:val="24"/>
          <w:shd w:val="clear" w:color="auto" w:fill="FFFFFF"/>
        </w:rPr>
        <w:t>La financiación s</w:t>
      </w:r>
      <w:r>
        <w:rPr>
          <w:rFonts w:ascii="Times New Roman" w:hAnsi="Times New Roman" w:cs="Times New Roman"/>
          <w:color w:val="000000"/>
          <w:sz w:val="24"/>
          <w:szCs w:val="24"/>
          <w:shd w:val="clear" w:color="auto" w:fill="FFFFFF"/>
        </w:rPr>
        <w:t xml:space="preserve">anitaria </w:t>
      </w:r>
      <w:r w:rsidRPr="005A396A">
        <w:rPr>
          <w:rFonts w:ascii="Times New Roman" w:hAnsi="Times New Roman" w:cs="Times New Roman"/>
          <w:color w:val="000000"/>
          <w:sz w:val="24"/>
          <w:szCs w:val="24"/>
          <w:shd w:val="clear" w:color="auto" w:fill="FFFFFF"/>
        </w:rPr>
        <w:t>se considera insuficiente y desigual entre comunidades, lo que puede limitar la capacidad de las regiones para ofrecer servicios de calidad.</w:t>
      </w:r>
    </w:p>
    <w:p w:rsidR="00D07FD3" w:rsidRPr="005A396A" w:rsidRDefault="00D07FD3" w:rsidP="00D07FD3">
      <w:pPr>
        <w:spacing w:line="240" w:lineRule="auto"/>
        <w:jc w:val="both"/>
        <w:rPr>
          <w:rFonts w:ascii="Times New Roman" w:hAnsi="Times New Roman" w:cs="Times New Roman"/>
          <w:color w:val="000000"/>
          <w:sz w:val="24"/>
          <w:szCs w:val="24"/>
          <w:shd w:val="clear" w:color="auto" w:fill="FFFFFF"/>
        </w:rPr>
      </w:pPr>
      <w:r w:rsidRPr="005A396A">
        <w:rPr>
          <w:rFonts w:ascii="Times New Roman" w:hAnsi="Times New Roman" w:cs="Times New Roman"/>
          <w:color w:val="000000"/>
          <w:sz w:val="24"/>
          <w:szCs w:val="24"/>
          <w:shd w:val="clear" w:color="auto" w:fill="FFFFFF"/>
        </w:rPr>
        <w:t>Se ha observado un gasto farmacéutico descontrolado en algunas comunidades, lo que puede generar desigualdades en el acceso a medicamentos.</w:t>
      </w:r>
    </w:p>
    <w:p w:rsidR="00D07FD3" w:rsidRPr="005A396A" w:rsidRDefault="00D07FD3" w:rsidP="00D07FD3">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En la gestión de las</w:t>
      </w:r>
      <w:r w:rsidRPr="005A396A">
        <w:rPr>
          <w:rFonts w:ascii="Times New Roman" w:hAnsi="Times New Roman" w:cs="Times New Roman"/>
          <w:color w:val="000000"/>
          <w:sz w:val="24"/>
          <w:szCs w:val="24"/>
          <w:shd w:val="clear" w:color="auto" w:fill="FFFFFF"/>
        </w:rPr>
        <w:t xml:space="preserve"> plantillas de profesionales s</w:t>
      </w:r>
      <w:r>
        <w:rPr>
          <w:rFonts w:ascii="Times New Roman" w:hAnsi="Times New Roman" w:cs="Times New Roman"/>
          <w:color w:val="000000"/>
          <w:sz w:val="24"/>
          <w:szCs w:val="24"/>
          <w:shd w:val="clear" w:color="auto" w:fill="FFFFFF"/>
        </w:rPr>
        <w:t>anitarios, se observan</w:t>
      </w:r>
      <w:r w:rsidRPr="005A396A">
        <w:rPr>
          <w:rFonts w:ascii="Times New Roman" w:hAnsi="Times New Roman" w:cs="Times New Roman"/>
          <w:color w:val="000000"/>
          <w:sz w:val="24"/>
          <w:szCs w:val="24"/>
          <w:shd w:val="clear" w:color="auto" w:fill="FFFFFF"/>
        </w:rPr>
        <w:t xml:space="preserve"> desequilibrios en la distribución de personal y a problemas de cobertura en algunas zonas. </w:t>
      </w:r>
    </w:p>
    <w:p w:rsidR="00D07FD3" w:rsidRPr="005A396A" w:rsidRDefault="00D07FD3" w:rsidP="00D07FD3">
      <w:pPr>
        <w:spacing w:line="240" w:lineRule="auto"/>
        <w:jc w:val="both"/>
        <w:rPr>
          <w:rFonts w:ascii="Times New Roman" w:hAnsi="Times New Roman" w:cs="Times New Roman"/>
          <w:color w:val="000000"/>
          <w:sz w:val="24"/>
          <w:szCs w:val="24"/>
          <w:shd w:val="clear" w:color="auto" w:fill="FFFFFF"/>
        </w:rPr>
      </w:pPr>
      <w:r w:rsidRPr="005A396A">
        <w:rPr>
          <w:rFonts w:ascii="Times New Roman" w:hAnsi="Times New Roman" w:cs="Times New Roman"/>
          <w:color w:val="000000"/>
          <w:sz w:val="24"/>
          <w:szCs w:val="24"/>
          <w:shd w:val="clear" w:color="auto" w:fill="FFFFFF"/>
        </w:rPr>
        <w:t xml:space="preserve">La descentralización </w:t>
      </w:r>
      <w:r>
        <w:rPr>
          <w:rFonts w:ascii="Times New Roman" w:hAnsi="Times New Roman" w:cs="Times New Roman"/>
          <w:color w:val="000000"/>
          <w:sz w:val="24"/>
          <w:szCs w:val="24"/>
          <w:shd w:val="clear" w:color="auto" w:fill="FFFFFF"/>
        </w:rPr>
        <w:t xml:space="preserve">ha podido </w:t>
      </w:r>
      <w:r w:rsidRPr="005A396A">
        <w:rPr>
          <w:rFonts w:ascii="Times New Roman" w:hAnsi="Times New Roman" w:cs="Times New Roman"/>
          <w:color w:val="000000"/>
          <w:sz w:val="24"/>
          <w:szCs w:val="24"/>
          <w:shd w:val="clear" w:color="auto" w:fill="FFFFFF"/>
        </w:rPr>
        <w:t>dificultar la coordinación entre comunidades autónomas para abordar problemas de salud que trascienden los límites regionales, como epidemias o enfermedades crónicas.</w:t>
      </w:r>
    </w:p>
    <w:p w:rsidR="00D07FD3" w:rsidRPr="005A396A" w:rsidRDefault="00D07FD3" w:rsidP="00D07FD3">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La gestión fragmentada ha podido</w:t>
      </w:r>
      <w:r w:rsidRPr="005A396A">
        <w:rPr>
          <w:rFonts w:ascii="Times New Roman" w:hAnsi="Times New Roman" w:cs="Times New Roman"/>
          <w:color w:val="000000"/>
          <w:sz w:val="24"/>
          <w:szCs w:val="24"/>
          <w:shd w:val="clear" w:color="auto" w:fill="FFFFFF"/>
        </w:rPr>
        <w:t xml:space="preserve"> afectar la eficiencia del sistema en su conjunto, dificultando la implementación de políticas de salud a nivel nacional y la adopción de buenas prácticas. </w:t>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sidRPr="005A396A">
        <w:rPr>
          <w:rFonts w:ascii="Times New Roman" w:hAnsi="Times New Roman" w:cs="Times New Roman"/>
          <w:color w:val="000000"/>
          <w:sz w:val="24"/>
          <w:szCs w:val="24"/>
          <w:shd w:val="clear" w:color="auto" w:fill="FFFFFF"/>
        </w:rPr>
        <w:lastRenderedPageBreak/>
        <w:t>En resumen, la descen</w:t>
      </w:r>
      <w:r>
        <w:rPr>
          <w:rFonts w:ascii="Times New Roman" w:hAnsi="Times New Roman" w:cs="Times New Roman"/>
          <w:color w:val="000000"/>
          <w:sz w:val="24"/>
          <w:szCs w:val="24"/>
          <w:shd w:val="clear" w:color="auto" w:fill="FFFFFF"/>
        </w:rPr>
        <w:t>tralización sanitaria ha generado dificultades</w:t>
      </w:r>
      <w:r w:rsidRPr="005A396A">
        <w:rPr>
          <w:rFonts w:ascii="Times New Roman" w:hAnsi="Times New Roman" w:cs="Times New Roman"/>
          <w:color w:val="000000"/>
          <w:sz w:val="24"/>
          <w:szCs w:val="24"/>
          <w:shd w:val="clear" w:color="auto" w:fill="FFFFFF"/>
        </w:rPr>
        <w:t xml:space="preserve"> importantes en términos de equidad, acceso, calidad y eficiencia, lo que requiere una reflexión profunda sobre cómo mejorar la coordinación y la cohesión del sistema nacional de salud.</w:t>
      </w:r>
    </w:p>
    <w:p w:rsidR="00D07FD3" w:rsidRPr="005A396A" w:rsidRDefault="00D07FD3" w:rsidP="00D07FD3">
      <w:pPr>
        <w:spacing w:line="240" w:lineRule="auto"/>
        <w:jc w:val="both"/>
        <w:rPr>
          <w:rFonts w:ascii="Times New Roman" w:hAnsi="Times New Roman" w:cs="Times New Roman"/>
          <w:color w:val="000000"/>
          <w:sz w:val="24"/>
          <w:szCs w:val="24"/>
          <w:shd w:val="clear" w:color="auto" w:fill="FFFFFF"/>
        </w:rPr>
      </w:pPr>
      <w:r w:rsidRPr="00F86446">
        <w:rPr>
          <w:rFonts w:ascii="Times New Roman" w:hAnsi="Times New Roman" w:cs="Times New Roman"/>
          <w:b/>
          <w:color w:val="000000"/>
          <w:sz w:val="24"/>
          <w:szCs w:val="24"/>
          <w:u w:val="single"/>
          <w:shd w:val="clear" w:color="auto" w:fill="FFFFFF"/>
        </w:rPr>
        <w:t>La descentralización educativa</w:t>
      </w:r>
      <w:r w:rsidRPr="005A396A">
        <w:rPr>
          <w:rFonts w:ascii="Times New Roman" w:hAnsi="Times New Roman" w:cs="Times New Roman"/>
          <w:color w:val="000000"/>
          <w:sz w:val="24"/>
          <w:szCs w:val="24"/>
          <w:shd w:val="clear" w:color="auto" w:fill="FFFFFF"/>
        </w:rPr>
        <w:t xml:space="preserve"> por comunidades autónomas en España, si bien busca adaptar la enseñanza a las particularidades de cada región, ha generado algunos aspectos negativos. Entre ellos se destacan la desigualdad en la calidad educativa entre comunidades, la falta de coordinación y homogeneidad en los currículos, y la dificultad para garantizar la igualdad de oportunidades para todos los estudiantes, independientemente de su lugar de residencia. </w:t>
      </w:r>
    </w:p>
    <w:p w:rsidR="00D07FD3" w:rsidRPr="005A396A" w:rsidRDefault="00D07FD3" w:rsidP="00D07FD3">
      <w:pPr>
        <w:spacing w:line="240" w:lineRule="auto"/>
        <w:jc w:val="both"/>
        <w:rPr>
          <w:rFonts w:ascii="Times New Roman" w:hAnsi="Times New Roman" w:cs="Times New Roman"/>
          <w:color w:val="000000"/>
          <w:sz w:val="24"/>
          <w:szCs w:val="24"/>
          <w:shd w:val="clear" w:color="auto" w:fill="FFFFFF"/>
        </w:rPr>
      </w:pPr>
      <w:r w:rsidRPr="005A396A">
        <w:rPr>
          <w:rFonts w:ascii="Times New Roman" w:hAnsi="Times New Roman" w:cs="Times New Roman"/>
          <w:color w:val="000000"/>
          <w:sz w:val="24"/>
          <w:szCs w:val="24"/>
          <w:shd w:val="clear" w:color="auto" w:fill="FFFFFF"/>
        </w:rPr>
        <w:t xml:space="preserve">La autonomía en la gestión educativa permite a cada comunidad adaptar los planes de estudio y recursos a sus necesidades, pero también puede llevar a diferencias significativas en la calidad de la enseñanza entre regiones. Algunas comunidades, con mayores recursos económicos o mejor gestión, pueden ofrecer mejores infraestructuras, programas y profesorado, mientras que otras pueden enfrentar mayores dificultades. Esto puede generar que un estudiante tenga mejores o peores oportunidades educativas dependiendo de su lugar de residencia, lo que atenta contra el principio de igualdad de oportunidades. </w:t>
      </w:r>
    </w:p>
    <w:p w:rsidR="00D07FD3" w:rsidRPr="005A396A" w:rsidRDefault="00D07FD3" w:rsidP="00D07FD3">
      <w:pPr>
        <w:spacing w:line="240" w:lineRule="auto"/>
        <w:jc w:val="both"/>
        <w:rPr>
          <w:rFonts w:ascii="Times New Roman" w:hAnsi="Times New Roman" w:cs="Times New Roman"/>
          <w:color w:val="000000"/>
          <w:sz w:val="24"/>
          <w:szCs w:val="24"/>
          <w:shd w:val="clear" w:color="auto" w:fill="FFFFFF"/>
        </w:rPr>
      </w:pPr>
      <w:r w:rsidRPr="005A396A">
        <w:rPr>
          <w:rFonts w:ascii="Times New Roman" w:hAnsi="Times New Roman" w:cs="Times New Roman"/>
          <w:color w:val="000000"/>
          <w:sz w:val="24"/>
          <w:szCs w:val="24"/>
          <w:shd w:val="clear" w:color="auto" w:fill="FFFFFF"/>
        </w:rPr>
        <w:t xml:space="preserve">La autonomía también puede llevar a una falta de coordinación entre las diferentes comunidades en cuanto a los contenidos y objetivos de los programas educativos. Esto puede dificultar la movilidad de estudiantes entre comunidades y generar problemas a la hora de acceder a estudios superiores o al mercado laboral si los currículos no están suficientemente armonizados. La falta de una visión común sobre los conocimientos y competencias básicas que deben adquirir todos los estudiantes puede generar problemas de equidad y dificultar la cohesión social. </w:t>
      </w:r>
    </w:p>
    <w:p w:rsidR="00D07FD3" w:rsidRPr="005A396A" w:rsidRDefault="00D07FD3" w:rsidP="00D07FD3">
      <w:pPr>
        <w:spacing w:line="240" w:lineRule="auto"/>
        <w:jc w:val="both"/>
        <w:rPr>
          <w:rFonts w:ascii="Times New Roman" w:hAnsi="Times New Roman" w:cs="Times New Roman"/>
          <w:color w:val="000000"/>
          <w:sz w:val="24"/>
          <w:szCs w:val="24"/>
          <w:shd w:val="clear" w:color="auto" w:fill="FFFFFF"/>
        </w:rPr>
      </w:pPr>
      <w:r w:rsidRPr="005A396A">
        <w:rPr>
          <w:rFonts w:ascii="Times New Roman" w:hAnsi="Times New Roman" w:cs="Times New Roman"/>
          <w:color w:val="000000"/>
          <w:sz w:val="24"/>
          <w:szCs w:val="24"/>
          <w:shd w:val="clear" w:color="auto" w:fill="FFFFFF"/>
        </w:rPr>
        <w:t xml:space="preserve">La descentralización educativa, al generar desigualdades y dificultar la coordinación, puede afectar a la igualdad de oportunidades para todos los estudiantes. Los estudiantes de comunidades con menos recursos o peor gestión pueden verse perjudicados en comparación con aquellos que tienen acceso a una mejor calidad educativa. Esto puede tener consecuencias a largo plazo en su desarrollo personal y profesional, así como en su capacidad para contribuir al desarrollo de la sociedad. </w:t>
      </w:r>
    </w:p>
    <w:p w:rsidR="00D07FD3" w:rsidRDefault="00D07FD3" w:rsidP="00D07FD3">
      <w:pPr>
        <w:spacing w:line="240" w:lineRule="auto"/>
        <w:jc w:val="both"/>
        <w:rPr>
          <w:rFonts w:ascii="Times New Roman" w:hAnsi="Times New Roman" w:cs="Times New Roman"/>
          <w:color w:val="000000"/>
          <w:sz w:val="24"/>
          <w:szCs w:val="24"/>
          <w:shd w:val="clear" w:color="auto" w:fill="FFFFFF"/>
        </w:rPr>
      </w:pPr>
      <w:r w:rsidRPr="005A396A">
        <w:rPr>
          <w:rFonts w:ascii="Times New Roman" w:hAnsi="Times New Roman" w:cs="Times New Roman"/>
          <w:color w:val="000000"/>
          <w:sz w:val="24"/>
          <w:szCs w:val="24"/>
          <w:shd w:val="clear" w:color="auto" w:fill="FFFFFF"/>
        </w:rPr>
        <w:t>En resumen, si bien la descentrali</w:t>
      </w:r>
      <w:r>
        <w:rPr>
          <w:rFonts w:ascii="Times New Roman" w:hAnsi="Times New Roman" w:cs="Times New Roman"/>
          <w:color w:val="000000"/>
          <w:sz w:val="24"/>
          <w:szCs w:val="24"/>
          <w:shd w:val="clear" w:color="auto" w:fill="FFFFFF"/>
        </w:rPr>
        <w:t>zación educativa en España tenía</w:t>
      </w:r>
      <w:r w:rsidRPr="005A396A">
        <w:rPr>
          <w:rFonts w:ascii="Times New Roman" w:hAnsi="Times New Roman" w:cs="Times New Roman"/>
          <w:color w:val="000000"/>
          <w:sz w:val="24"/>
          <w:szCs w:val="24"/>
          <w:shd w:val="clear" w:color="auto" w:fill="FFFFFF"/>
        </w:rPr>
        <w:t xml:space="preserve"> como objetivo principal adaptar la educación a las necesid</w:t>
      </w:r>
      <w:r>
        <w:rPr>
          <w:rFonts w:ascii="Times New Roman" w:hAnsi="Times New Roman" w:cs="Times New Roman"/>
          <w:color w:val="000000"/>
          <w:sz w:val="24"/>
          <w:szCs w:val="24"/>
          <w:shd w:val="clear" w:color="auto" w:fill="FFFFFF"/>
        </w:rPr>
        <w:t xml:space="preserve">ades de cada comunidad, </w:t>
      </w:r>
      <w:r w:rsidRPr="005A396A">
        <w:rPr>
          <w:rFonts w:ascii="Times New Roman" w:hAnsi="Times New Roman" w:cs="Times New Roman"/>
          <w:color w:val="000000"/>
          <w:sz w:val="24"/>
          <w:szCs w:val="24"/>
          <w:shd w:val="clear" w:color="auto" w:fill="FFFFFF"/>
        </w:rPr>
        <w:t>ha generado problemas como la desigualdad en la calidad de la enseñanza, la falta de coordinación entre currículos y la dificultad para garantizar la igualdad de oportunidades para todos los estudiantes.</w:t>
      </w:r>
    </w:p>
    <w:p w:rsidR="00D07FD3" w:rsidRPr="00553DB0" w:rsidRDefault="00D07FD3" w:rsidP="00D07FD3">
      <w:pPr>
        <w:spacing w:line="240" w:lineRule="auto"/>
        <w:jc w:val="both"/>
        <w:rPr>
          <w:rFonts w:ascii="Times New Roman" w:hAnsi="Times New Roman" w:cs="Times New Roman"/>
          <w:color w:val="FF0000"/>
          <w:sz w:val="24"/>
          <w:szCs w:val="24"/>
          <w:shd w:val="clear" w:color="auto" w:fill="FFFFFF"/>
        </w:rPr>
      </w:pPr>
      <w:r w:rsidRPr="00553DB0">
        <w:rPr>
          <w:rFonts w:ascii="Times New Roman" w:hAnsi="Times New Roman" w:cs="Times New Roman"/>
          <w:b/>
          <w:color w:val="FF0000"/>
          <w:sz w:val="24"/>
          <w:szCs w:val="24"/>
          <w:shd w:val="clear" w:color="auto" w:fill="FFFFFF"/>
        </w:rPr>
        <w:t>Nota</w:t>
      </w:r>
      <w:r w:rsidRPr="00553DB0">
        <w:rPr>
          <w:rFonts w:ascii="Times New Roman" w:hAnsi="Times New Roman" w:cs="Times New Roman"/>
          <w:color w:val="FF0000"/>
          <w:sz w:val="24"/>
          <w:szCs w:val="24"/>
          <w:shd w:val="clear" w:color="auto" w:fill="FFFFFF"/>
        </w:rPr>
        <w:t>: en mi humilde opinión (como usuario de la sanidad pública durante</w:t>
      </w:r>
      <w:r>
        <w:rPr>
          <w:rFonts w:ascii="Times New Roman" w:hAnsi="Times New Roman" w:cs="Times New Roman"/>
          <w:color w:val="FF0000"/>
          <w:sz w:val="24"/>
          <w:szCs w:val="24"/>
          <w:shd w:val="clear" w:color="auto" w:fill="FFFFFF"/>
        </w:rPr>
        <w:t xml:space="preserve"> más de</w:t>
      </w:r>
      <w:r w:rsidRPr="00553DB0">
        <w:rPr>
          <w:rFonts w:ascii="Times New Roman" w:hAnsi="Times New Roman" w:cs="Times New Roman"/>
          <w:color w:val="FF0000"/>
          <w:sz w:val="24"/>
          <w:szCs w:val="24"/>
          <w:shd w:val="clear" w:color="auto" w:fill="FFFFFF"/>
        </w:rPr>
        <w:t xml:space="preserve"> 35 años, y docente en una Escuela de Negocios, y Universidad privada internacional, durante 10 años, en una comunidad autónoma), puedo destacar los siguientes aspectos negativos de la descentralización sanitaria y educativa: politización, desigualdad entre comunidades, burocracia, sobrecostos, clientelismo, endogamia, falta de meritocracia (igualación hacia debajo), falta de control por resultados, falta de liderazgo e indiferencia, falta de motivación, empobrecimiento general de la prestación (más en el caso de la educación, que de la sanidad), y, en definitiva: pérdida de calidad, tanto para el profesional, como para el usuario. </w:t>
      </w:r>
    </w:p>
    <w:p w:rsidR="00D07FD3" w:rsidRDefault="00D07FD3" w:rsidP="00D07FD3">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Una recentralización de la Sanidad </w:t>
      </w:r>
      <w:r w:rsidRPr="00553DB0">
        <w:rPr>
          <w:rFonts w:ascii="Times New Roman" w:hAnsi="Times New Roman" w:cs="Times New Roman"/>
          <w:color w:val="FF0000"/>
          <w:sz w:val="24"/>
          <w:szCs w:val="24"/>
          <w:shd w:val="clear" w:color="auto" w:fill="FFFFFF"/>
        </w:rPr>
        <w:t xml:space="preserve">y la Educación, podrían ayudar a mejorar los resultados.  </w:t>
      </w:r>
    </w:p>
    <w:p w:rsidR="00D07FD3" w:rsidRDefault="00D07FD3" w:rsidP="00D07FD3">
      <w:pPr>
        <w:spacing w:line="240" w:lineRule="auto"/>
        <w:jc w:val="both"/>
        <w:rPr>
          <w:rFonts w:ascii="Times New Roman" w:hAnsi="Times New Roman" w:cs="Times New Roman"/>
          <w:color w:val="FF0000"/>
          <w:sz w:val="24"/>
          <w:szCs w:val="24"/>
          <w:shd w:val="clear" w:color="auto" w:fill="FFFFFF"/>
        </w:rPr>
      </w:pPr>
    </w:p>
    <w:p w:rsidR="00D07FD3" w:rsidRPr="00553DB0" w:rsidRDefault="00D07FD3" w:rsidP="00D07FD3">
      <w:pPr>
        <w:spacing w:line="240" w:lineRule="auto"/>
        <w:jc w:val="both"/>
        <w:rPr>
          <w:rFonts w:ascii="Times New Roman" w:hAnsi="Times New Roman" w:cs="Times New Roman"/>
          <w:color w:val="FF0000"/>
          <w:sz w:val="24"/>
          <w:szCs w:val="24"/>
          <w:shd w:val="clear" w:color="auto" w:fill="FFFFFF"/>
        </w:rPr>
      </w:pPr>
      <w:r w:rsidRPr="00553DB0">
        <w:rPr>
          <w:rFonts w:ascii="Times New Roman" w:hAnsi="Times New Roman" w:cs="Times New Roman"/>
          <w:color w:val="FF0000"/>
          <w:sz w:val="24"/>
          <w:szCs w:val="24"/>
          <w:shd w:val="clear" w:color="auto" w:fill="FFFFFF"/>
        </w:rPr>
        <w:t xml:space="preserve">     </w:t>
      </w:r>
    </w:p>
    <w:p w:rsidR="00D07FD3" w:rsidRDefault="00D07FD3" w:rsidP="00D07FD3">
      <w:pPr>
        <w:spacing w:line="240" w:lineRule="auto"/>
        <w:jc w:val="both"/>
        <w:rPr>
          <w:rFonts w:ascii="Times New Roman" w:hAnsi="Times New Roman" w:cs="Times New Roman"/>
          <w:color w:val="FF0000"/>
          <w:sz w:val="24"/>
          <w:szCs w:val="24"/>
          <w:shd w:val="clear" w:color="auto" w:fill="FFFFFF"/>
        </w:rPr>
      </w:pPr>
      <w:r w:rsidRPr="00D5579B">
        <w:rPr>
          <w:rFonts w:ascii="Times New Roman" w:hAnsi="Times New Roman" w:cs="Times New Roman"/>
          <w:color w:val="FF0000"/>
          <w:sz w:val="24"/>
          <w:szCs w:val="24"/>
          <w:shd w:val="clear" w:color="auto" w:fill="FFFFFF"/>
        </w:rPr>
        <w:lastRenderedPageBreak/>
        <w:t>- La educación pública se impartirá exclusivamente en español en todo el territorio nacional</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 xml:space="preserve">En España, la lengua vehicular de la enseñanza es el español (castellano) en todas las comunidades autónomas, pero hay algunas donde además se imparte la educación en otra lengua cooficial. Las comunidades autónomas donde se imparte educación en una lengua cooficial, además del español, son: Galicia (gallego), País Vasco (euskera), Cataluña (catalán), Comunidad Valenciana (valenciano), Islas Baleares (catalán), Navarra (euskera en la zona norte) y Aragón (aragonés y catalán en zonas específicas). En estas comunidades, la lengua cooficial puede ser la lengua vehicular en algunas asignaturas o niveles educativos, además del español. </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 xml:space="preserve">En resumen, si bien el español es la lengua común en toda España, existen comunidades autónomas con sistemas educativos bilingües o plurilingües donde se utiliza otra lengua oficial además del español en la enseñanza. </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 xml:space="preserve">Aquí hay un desglose más detallado: </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Galicia: El gallego es lengua cooficial y se utiliza en la enseñanza junto con el español.</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País Vasco: El euskera (o eusquera) es cooficial y se utiliza en la enseñanza junto con el español, especialmente en la zona norte y en zonas donde hay una mayor presencia de hablantes de euskera.</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Cataluña: El catalán es cooficial y se utiliza en la enseñanza junto con el español, con diferentes modelos de uso según el centro educativo.</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Comunidad Valenciana: El valenciano (variedad del catalán) es cooficial y se utiliza en la enseñanza junto con el español, también con diferentes modelos de uso.</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Islas Baleares: El catalán es cooficial y se utiliza en la enseñanza junto con el español, de manera similar a Cataluña y la Comunidad Valenciana.</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Navarra: El euskera es cooficial en la zona norte y se utiliza en la enseñanza junto con el español.</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Aragón: El aragonés y el catalán son lenguas propias de Aragón y se utilizan en zonas específicas de la comunidad, en algunos casos como lengua vehicular en la enseñanza.</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 xml:space="preserve">Más del 40% de la población española vive en regiones con lenguas cooficiales, específicamente en Cataluña, País Vasco, Galicia, Baleares, Comunidad Valenciana y Navarra. Estas comunidades autónomas tienen una lengua propia cooficial con el castellano, que es la lengua común. </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El 11,4% de la población española habla catalán, siendo esta la lengua cooficial más hablada en España. Le siguen el valenciano (5,3%), el  gallego (4,8%) y, por último, el euskera (2,4%), según la última Encuesta de Características Esenciales de la Población y Viviendas que recoge el Instituto Nacional de Estadística (INE) con datos de 2021. (newtral.es - 29/8/23)</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noProof/>
          <w:sz w:val="24"/>
          <w:szCs w:val="24"/>
          <w:shd w:val="clear" w:color="auto" w:fill="FFFFFF"/>
          <w:lang w:eastAsia="es-ES"/>
        </w:rPr>
        <w:lastRenderedPageBreak/>
        <w:drawing>
          <wp:inline distT="0" distB="0" distL="0" distR="0" wp14:anchorId="48D581F3" wp14:editId="41E7223E">
            <wp:extent cx="5731510" cy="2219735"/>
            <wp:effectExtent l="0" t="0" r="2540"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2219735"/>
                    </a:xfrm>
                    <a:prstGeom prst="rect">
                      <a:avLst/>
                    </a:prstGeom>
                  </pic:spPr>
                </pic:pic>
              </a:graphicData>
            </a:graphic>
          </wp:inline>
        </w:drawing>
      </w:r>
    </w:p>
    <w:p w:rsidR="00D07FD3" w:rsidRDefault="00D07FD3" w:rsidP="00D07FD3">
      <w:pPr>
        <w:spacing w:line="240" w:lineRule="auto"/>
        <w:jc w:val="both"/>
        <w:rPr>
          <w:rFonts w:ascii="Times New Roman" w:hAnsi="Times New Roman" w:cs="Times New Roman"/>
          <w:sz w:val="24"/>
          <w:szCs w:val="24"/>
          <w:shd w:val="clear" w:color="auto" w:fill="FFFFFF"/>
        </w:rPr>
      </w:pP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Su evolución no ha sido la misma desde que se declarara su oficialidad en los seis estatutos que contemplan lenguas propias: Cataluña, País Vasco, Galicia, Baleares, Comunidad Valenciana y Navarra. En los últimos años, el gallego, el valenciano y el catalán han perdido hablantes, mientras que el vasco los ha ganado, según muestra la estadística del INE.</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noProof/>
          <w:sz w:val="24"/>
          <w:szCs w:val="24"/>
          <w:shd w:val="clear" w:color="auto" w:fill="FFFFFF"/>
          <w:lang w:eastAsia="es-ES"/>
        </w:rPr>
        <w:drawing>
          <wp:inline distT="0" distB="0" distL="0" distR="0" wp14:anchorId="528608CD" wp14:editId="7B0C713E">
            <wp:extent cx="5731510" cy="4447431"/>
            <wp:effectExtent l="0" t="0" r="254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4447431"/>
                    </a:xfrm>
                    <a:prstGeom prst="rect">
                      <a:avLst/>
                    </a:prstGeom>
                  </pic:spPr>
                </pic:pic>
              </a:graphicData>
            </a:graphic>
          </wp:inline>
        </w:drawing>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noProof/>
          <w:sz w:val="24"/>
          <w:szCs w:val="24"/>
          <w:shd w:val="clear" w:color="auto" w:fill="FFFFFF"/>
          <w:lang w:eastAsia="es-ES"/>
        </w:rPr>
        <w:lastRenderedPageBreak/>
        <w:drawing>
          <wp:inline distT="0" distB="0" distL="0" distR="0" wp14:anchorId="5B5598FD" wp14:editId="7DDB167F">
            <wp:extent cx="5731510" cy="2982100"/>
            <wp:effectExtent l="0" t="0" r="2540" b="889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2982100"/>
                    </a:xfrm>
                    <a:prstGeom prst="rect">
                      <a:avLst/>
                    </a:prstGeom>
                  </pic:spPr>
                </pic:pic>
              </a:graphicData>
            </a:graphic>
          </wp:inline>
        </w:drawing>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 xml:space="preserve">- </w:t>
      </w:r>
      <w:r w:rsidRPr="00936265">
        <w:rPr>
          <w:rFonts w:ascii="Times New Roman" w:hAnsi="Times New Roman" w:cs="Times New Roman"/>
          <w:sz w:val="24"/>
          <w:szCs w:val="24"/>
          <w:u w:val="single"/>
          <w:shd w:val="clear" w:color="auto" w:fill="FFFFFF"/>
        </w:rPr>
        <w:t>El español es de uso mayoritario en las regiones con lengua vernácula</w:t>
      </w:r>
      <w:r w:rsidRPr="00936265">
        <w:rPr>
          <w:rFonts w:ascii="Times New Roman" w:hAnsi="Times New Roman" w:cs="Times New Roman"/>
          <w:sz w:val="24"/>
          <w:szCs w:val="24"/>
          <w:shd w:val="clear" w:color="auto" w:fill="FFFFFF"/>
        </w:rPr>
        <w:t xml:space="preserve"> (La Razón - </w:t>
      </w:r>
      <w:r w:rsidRPr="00B61562">
        <w:rPr>
          <w:rFonts w:ascii="Times New Roman" w:hAnsi="Times New Roman" w:cs="Times New Roman"/>
          <w:b/>
          <w:sz w:val="24"/>
          <w:szCs w:val="24"/>
          <w:shd w:val="clear" w:color="auto" w:fill="FFFFFF"/>
        </w:rPr>
        <w:t>1/6/25</w:t>
      </w:r>
      <w:r w:rsidRPr="00936265">
        <w:rPr>
          <w:rFonts w:ascii="Times New Roman" w:hAnsi="Times New Roman" w:cs="Times New Roman"/>
          <w:sz w:val="24"/>
          <w:szCs w:val="24"/>
          <w:shd w:val="clear" w:color="auto" w:fill="FFFFFF"/>
        </w:rPr>
        <w:t>)</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En total, solo el 16,1% de los españoles utiliza siempre o frecuentemente una lengua autonómica.</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(Por José Lorente Ferrer)</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Las lenguas cooficiales, junto con el español, en determinados territorios son estas lenguas vernáculas; el gallego, vasco, catalán, aranés y valenciano. Ni en el Senado, ni en el Congreso de los Diputados, establece nuestro ordenamiento constitucional la cooficialidad</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noProof/>
          <w:sz w:val="24"/>
          <w:szCs w:val="24"/>
          <w:shd w:val="clear" w:color="auto" w:fill="FFFFFF"/>
          <w:lang w:eastAsia="es-ES"/>
        </w:rPr>
        <w:drawing>
          <wp:inline distT="0" distB="0" distL="0" distR="0" wp14:anchorId="58154C73" wp14:editId="4422C65F">
            <wp:extent cx="5731510" cy="3714289"/>
            <wp:effectExtent l="0" t="0" r="2540" b="63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3714289"/>
                    </a:xfrm>
                    <a:prstGeom prst="rect">
                      <a:avLst/>
                    </a:prstGeom>
                  </pic:spPr>
                </pic:pic>
              </a:graphicData>
            </a:graphic>
          </wp:inline>
        </w:drawing>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lastRenderedPageBreak/>
        <w:t>En la encuesta sociolingüística del Departamento de Cultura y Política Lingüística del Gobierno Vasco, tan solo el 21,9% de la población vasca usa tanto o más el euskera que el castellano. Son 361.383 vascos, mientras que la inmensa mayoría de los vascos, el 69,6% siempre o principalmente usa el castellano, son 1.148.186 vascos de 16 o más años. En Navarra, con zonas limítrofes a la Comunidad Autónoma Vasca en donde se habla euskera, el porcentaje de los que siempre o preferentemente usan el vasco se reduce al 6,9%, lo que representa a 33.652 navarros. Por el contrario el 89,7% de los habitantes de Navarra optan siempre o fundamentalmente por el castellano, es decir, 437.474 navarros de 16 o más años.</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En Cataluña el estudio trianual de política lingüística de 2022, fija que en el ámbito de la familia el 48,9% siempre usa el castellano, frente al 33,9% que opta por el catatán. Entre amigos el 43,0% siempre usa el castellano y solo el 26,2% siempre en catalán.</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Por lo tanto, determinadas élites políticas de las tres regiones con mayor representación en el Congreso de los Diputados de partidos separatistas, viven alejados de la realidad. Pues en estas autonomías el castellano es el idioma dominante, en detrimento de vasco y catalán.</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Los datos estadísticos en la Comunidad Valenciana vienen señalando un descenso del uso del valenciano entre la población, especialmente en las zonas más urbanizadas. El INE nos indica que el 67,7% de los valencianos utilizan siempre el castellano en el ámbito familiar, frente al 18,4% que usa el valenciano. Entre amigos, el 66,4% emplea siempre el castellano y solo el 13,4% el valenciano.</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En las Islas Baleares la llegada de trabajadores peninsulares que se instalan en el archipiélago va desequilibrando a favor del castellano la mayoría lingüística. De hecho el INE contabiliza que el 54,2% de los baleares utiliza siempre el castellano en sus relaciones familiares, frente al 27,3% que se decanta por el catalán. Entre amigos el 52.6% emplea la lengua castellana siempre, frente a únicamente el 18.6% que siempre habla en catalán.</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Solo Galicia presenta una mayoría que habitualmente emplea el idioma autóctono, el 56,6% utiliza siempre o frecuentemente esta lengua en el ámbito familiar y el 54,5% con los amigos.</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En resumen, el 16,1% de los españoles utiliza siempre o frecuentemente una lengua autonómica, son un total de 6,4 millones. El uso del catalán en Cataluña y Baleares como único idioma o frecuente alcanza los 3,3 millones, de los 6,9 millones de mayores de 15 años que residen en estas dos autonomías. En Galicia el uso exclusivo o frecuente del gallego afecta a 1,6 millones de un total de 2,8 millones. En la Comunidad Valenciana son 1,1 millones de los 3,9 mayores de 15 años, y en País Vasco y Navarra el vascuence es usado siempre o con frecuencia por 0,4 millones, de un total de 2,1 residentes mayores de 15 años.</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El gallego, catalán y aranés tienen su origen, junto con el castellano, en la romanización de España. El valenciano tiene un origen más complejo, pues su territorio permaneció bajo dominio musulmán hasta el siglo XIII. Tras la conquista cristiana de Valencia, esta lengua incorporó léxico de los repobladores que procedían exclusivamente del Reino de Aragón, en donde coexistían dos lenguas, la castellana en lo que hoy sería la Comunidad Autónoma de Aragón y la provenzal, en el norte y litoral catalán y sur de Francia. El provenzal lo conocemos hoy como catalán. Esta fusión lingüística di</w:t>
      </w:r>
      <w:r>
        <w:rPr>
          <w:rFonts w:ascii="Times New Roman" w:hAnsi="Times New Roman" w:cs="Times New Roman"/>
          <w:sz w:val="24"/>
          <w:szCs w:val="24"/>
          <w:shd w:val="clear" w:color="auto" w:fill="FFFFFF"/>
        </w:rPr>
        <w:t>o origen al actual valenciano; “colage”</w:t>
      </w:r>
      <w:r w:rsidRPr="00936265">
        <w:rPr>
          <w:rFonts w:ascii="Times New Roman" w:hAnsi="Times New Roman" w:cs="Times New Roman"/>
          <w:sz w:val="24"/>
          <w:szCs w:val="24"/>
          <w:shd w:val="clear" w:color="auto" w:fill="FFFFFF"/>
        </w:rPr>
        <w:t xml:space="preserve"> de latín vulgar, árabe, castellano y provenzal. Muy distinta fue la conquista de Baleares, en donde la repoblación fue de sustitución física de la poblaci</w:t>
      </w:r>
      <w:r>
        <w:rPr>
          <w:rFonts w:ascii="Times New Roman" w:hAnsi="Times New Roman" w:cs="Times New Roman"/>
          <w:sz w:val="24"/>
          <w:szCs w:val="24"/>
          <w:shd w:val="clear" w:color="auto" w:fill="FFFFFF"/>
        </w:rPr>
        <w:t>ón, lo que hoy llamaríamos una “</w:t>
      </w:r>
      <w:r w:rsidRPr="00936265">
        <w:rPr>
          <w:rFonts w:ascii="Times New Roman" w:hAnsi="Times New Roman" w:cs="Times New Roman"/>
          <w:sz w:val="24"/>
          <w:szCs w:val="24"/>
          <w:shd w:val="clear" w:color="auto" w:fill="FFFFFF"/>
        </w:rPr>
        <w:t>limpieza étni</w:t>
      </w:r>
      <w:r>
        <w:rPr>
          <w:rFonts w:ascii="Times New Roman" w:hAnsi="Times New Roman" w:cs="Times New Roman"/>
          <w:sz w:val="24"/>
          <w:szCs w:val="24"/>
          <w:shd w:val="clear" w:color="auto" w:fill="FFFFFF"/>
        </w:rPr>
        <w:t>ca”</w:t>
      </w:r>
      <w:r w:rsidRPr="00936265">
        <w:rPr>
          <w:rFonts w:ascii="Times New Roman" w:hAnsi="Times New Roman" w:cs="Times New Roman"/>
          <w:sz w:val="24"/>
          <w:szCs w:val="24"/>
          <w:shd w:val="clear" w:color="auto" w:fill="FFFFFF"/>
        </w:rPr>
        <w:t xml:space="preserve">, llevando a las islas colonos cristianos del Reino de Aragón, pero de habla provenzal, no castellana. La población árabe que no huyó a África, fue </w:t>
      </w:r>
      <w:r w:rsidRPr="00936265">
        <w:rPr>
          <w:rFonts w:ascii="Times New Roman" w:hAnsi="Times New Roman" w:cs="Times New Roman"/>
          <w:sz w:val="24"/>
          <w:szCs w:val="24"/>
          <w:shd w:val="clear" w:color="auto" w:fill="FFFFFF"/>
        </w:rPr>
        <w:lastRenderedPageBreak/>
        <w:t>pasada a cuchillo o esclavizada. De ahí que en Baleares el catalán sea el segundo idioma, como en la región valenciana es el valenciano.</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El vascuence aún se sale mucho más que el valenciano de la evolución histórica del castellano, catalán o gallego. Impermeable a la romanización y a la posterior arabización, hunde sus raíces en el neolítico, y está considerada la lengua viva más antigua del continente europeo.</w:t>
      </w:r>
    </w:p>
    <w:p w:rsidR="00D07FD3" w:rsidRPr="00936265" w:rsidRDefault="00D07FD3" w:rsidP="00D07FD3">
      <w:pPr>
        <w:spacing w:line="240" w:lineRule="auto"/>
        <w:jc w:val="both"/>
        <w:rPr>
          <w:rFonts w:ascii="Times New Roman" w:hAnsi="Times New Roman" w:cs="Times New Roman"/>
          <w:sz w:val="24"/>
          <w:szCs w:val="24"/>
          <w:u w:val="single"/>
          <w:shd w:val="clear" w:color="auto" w:fill="FFFFFF"/>
        </w:rPr>
      </w:pPr>
      <w:r w:rsidRPr="00936265">
        <w:rPr>
          <w:rFonts w:ascii="Times New Roman" w:hAnsi="Times New Roman" w:cs="Times New Roman"/>
          <w:sz w:val="24"/>
          <w:szCs w:val="24"/>
          <w:u w:val="single"/>
          <w:shd w:val="clear" w:color="auto" w:fill="FFFFFF"/>
        </w:rPr>
        <w:t>El español, ¿una lengua discriminada en España? Tal vez el mayor atentado cultural, y despropósito educativo, observado durante mi experiencia como corresponsal extranjero</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Además del chino, el español es el idioma más hablado en todo el mundo, justo detrás del inglés, con casi 600 millones de hispanohablantes. Sin embargo, en España, cuna del idioma de Cervantes, el español está cada vez más discriminado.</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Más del 40% de los españoles viven en territorios con idiomas cooficiales, además del español (también llamado castellano para diferenciarlo del catalán, vasco o gallego). A priori, es una gran cantidad de cultura que compartir. Pero para estas personas, a menudo es muy complicado, si no imposible, educar a sus hijos en su lengua materna, es decir, en español. Además, el acceso a los trabajos generalmente está condicionado por la imposición del lenguaje cooficial.</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Así, en las regiones interesadas, los funcionarios deben demostrar un nivel de catalán, gallego o vasco que varía según la categoría y según lo que dicte cada comunidad autónoma. En la mayoría de los puestos, este es un requisito. Para algunos otros, el conocimiento del idioma no es eliminatorio, pero da puntos para recibir bonos de carrera profesional.</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En Cataluña, donde el modelo ha estado en funcionamiento durante 30 años, el idioma utilizado en las escuelas es el catalán. Hay dos horas de español por semana en la escuela primaria, tres en la secundaria y dos en bachillerato. Muchas familias se han presentado para exigir más horas en español y especialmente el derecho de poder elegir el idioma en el que quieren que sus hijos estudien. La situación es similar, por supuesto con especificidades, en las otras regiones.</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“Estimamos que 6 millones de alumnos no pueden estudiar en español - afirma Gloria Lago, presidenta de la asociación de defensa del español “Hablamos Español” -. Simplemente, mirando un mapa del territorio, vemos que en el País Vasco, en Galicia, en parte de Navarra, en Baleares, cada vez más en la comunidad Valenciana, y por supuesto en Cataluña, la enseñanza es bilingüe, pero las pocas asignaturas en español (2 o 3 horas por semana) son aquellas que no incluyen texto, como deportes, física o química. De repente, estos estudiantes que nunca escriben en español cometen grandes errores de idioma”. (elimparcial.es - 22/7/20)</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¿Una asociación para la defensa del español, dirás? Increíble pero cierto. ‘Hablamos Español’ es una plataforma lanzada en 2017 por varias asociaciones en toda España, compuesta por padres de estudiantes, médicos, maestros o funcionarios que se han unido para garantizar los derechos lingüísticos de los hispanohablantes. Simplemente defienden una política lingüística comparable a la de los países con varios idiomas oficiales, es decir, basados ​​en la libre elección del idioma.</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 xml:space="preserve">Pero el problema no es solo con la enseñanza de idiomas. “Todo está escrito en el idioma cooficial, dice el presidente de “Hablamos Español”, y muy raramente en ambos idiomas. Por ejemplo, en Galicia, todo lo relacionado con transcripciones, comunicaciones a los padres, actividades extracurriculares, o en el sector de la salud, el expediente médico o el registro de </w:t>
      </w:r>
      <w:r w:rsidRPr="00936265">
        <w:rPr>
          <w:rFonts w:ascii="Times New Roman" w:hAnsi="Times New Roman" w:cs="Times New Roman"/>
          <w:sz w:val="24"/>
          <w:szCs w:val="24"/>
          <w:shd w:val="clear" w:color="auto" w:fill="FFFFFF"/>
        </w:rPr>
        <w:lastRenderedPageBreak/>
        <w:t>vacunación, absolutamente todo está escrito en el idioma cooficial, nunca en español, está prohibido. Es para que los habitantes entiendan desde una edad muy temprana que para pertenecer realmente al lugar, el idioma “correcto” no es el español, sino el cooficial. Y sin mencionar el contenido regional que estudian los alumnos. Aprenderán, por ejemplo, la fecha del primer tren que llegó a la ciudad vecina, pero no las principales fechas históricas de España".</w:t>
      </w:r>
    </w:p>
    <w:p w:rsidR="00D07FD3" w:rsidRPr="00430F88"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 xml:space="preserve">Las conclusiones del primer informe de la asociación “Hablamos Español” sobre “adoctrinamiento en libros de idiomas en comunidades autónomas bilingües”, que tiene unas 144 páginas, muestra cómo se evita la mención de “España” y se ha reemplazado por el concepto frío de Estado español, y cómo el español aún recibe connotaciones negativas. </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 xml:space="preserve">- </w:t>
      </w:r>
      <w:r w:rsidRPr="00936265">
        <w:rPr>
          <w:rFonts w:ascii="Times New Roman" w:hAnsi="Times New Roman" w:cs="Times New Roman"/>
          <w:sz w:val="24"/>
          <w:szCs w:val="24"/>
          <w:u w:val="single"/>
          <w:shd w:val="clear" w:color="auto" w:fill="FFFFFF"/>
        </w:rPr>
        <w:t>La Generalitat incumple desde 2010 las sentencias que obligan a dar en castellano el 25% de las clases</w:t>
      </w:r>
      <w:r w:rsidRPr="00936265">
        <w:rPr>
          <w:rFonts w:ascii="Times New Roman" w:hAnsi="Times New Roman" w:cs="Times New Roman"/>
          <w:sz w:val="24"/>
          <w:szCs w:val="24"/>
          <w:shd w:val="clear" w:color="auto" w:fill="FFFFFF"/>
        </w:rPr>
        <w:t xml:space="preserve"> (okdiario.com - </w:t>
      </w:r>
      <w:r w:rsidRPr="00B61562">
        <w:rPr>
          <w:rFonts w:ascii="Times New Roman" w:hAnsi="Times New Roman" w:cs="Times New Roman"/>
          <w:b/>
          <w:sz w:val="24"/>
          <w:szCs w:val="24"/>
          <w:shd w:val="clear" w:color="auto" w:fill="FFFFFF"/>
        </w:rPr>
        <w:t>25/11/21</w:t>
      </w:r>
      <w:r w:rsidRPr="00936265">
        <w:rPr>
          <w:rFonts w:ascii="Times New Roman" w:hAnsi="Times New Roman" w:cs="Times New Roman"/>
          <w:sz w:val="24"/>
          <w:szCs w:val="24"/>
          <w:shd w:val="clear" w:color="auto" w:fill="FFFFFF"/>
        </w:rPr>
        <w:t>)</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(Por Gonzaga Durán)</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El Tribunal Supremo ha ratificado la sentencia que impuso el Tribunal Superior de Justicia de Cataluña (TSJC) de aplicar un mínimo de un 25% de clases en castellano en todos los centros escolares de la región. Esto supone el fin de la inmersión lingüística, pero el Govern anuncia que incumplirá el fallo. No es algo nuevo. La Generalitat de Cataluña lleva saltándose las sentencias judiciales en esta materia desde 2010.</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En julio de ese mismo año, el Tribunal Constitucional concluyó que era “inconstitucional y nulo” el artículo 6.2 del Estatuto de Cataluña por su “pretensión de imponer un deber de conocimiento del catalán equivalente en su sentido al que se desprende del deber constitucional de conocimiento del castellano”. Fue en una sentencia que se produjo tras el recurso del PP contra el texto estatutario. La resolución defendía que los estatutos de autonomía son normas subordinadas a la Constitución, es decir, que están jurídicamente sometidos a la Carta Magna.</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En diciembre de 2010, el Tribunal Supremo instó a la Generalitat a adoptar “cuantas medidas sean necesarias” para que el castellano fuese también lengua vehicular en el sistema educativo de la comunidad, junto al catalán, para así adaptar a la «nueva situación» creada por el Constitucional. Así lo defendió en tres sentencias tras aceptar los recursos de los padres de tres alumnos de Barcelona y Tarragona a los que el Govern denegó en 2006 su derecho a ser escolarizados en español.</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El entonces conseller de Educación catalán en funciones, Ernest Maragall, afirmó que esta resolución “no anula ni obliga a modificar ningún precepto ni artículo de la normativa vigente catalana, que sigue siendo plenamente aplicable”.</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En febrero de 2013, el Tribunal Supremo avaló el modelo de inmersión lingüística de Cataluña, aunque reconoció a su vez el derecho a las familias a escolarizar a sus hijos en castellano. En esta resolución el Supremo reconoció el derecho de los alumnos que lo pidan a recibir sus clases en español y en catalán como lenguas vehiculares. Sin embargo, no instó a la Generalitat a reformar de forma global el modelo de inmersión lingüística en la región. Esta sentencia confirmó también una resolución anterior del Tribunal Superior de Justici</w:t>
      </w:r>
      <w:r>
        <w:rPr>
          <w:rFonts w:ascii="Times New Roman" w:hAnsi="Times New Roman" w:cs="Times New Roman"/>
          <w:sz w:val="24"/>
          <w:szCs w:val="24"/>
          <w:shd w:val="clear" w:color="auto" w:fill="FFFFFF"/>
        </w:rPr>
        <w:t>a de Cataluña de marzo de 2012.</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 xml:space="preserve">El Supremo respondió de esta forma al recurso presentado por Feliciano Sánchez, un padre que años antes interpuso un recurso contencioso administrativo contra la Generalitat porque </w:t>
      </w:r>
      <w:r w:rsidRPr="00936265">
        <w:rPr>
          <w:rFonts w:ascii="Times New Roman" w:hAnsi="Times New Roman" w:cs="Times New Roman"/>
          <w:sz w:val="24"/>
          <w:szCs w:val="24"/>
          <w:shd w:val="clear" w:color="auto" w:fill="FFFFFF"/>
        </w:rPr>
        <w:lastRenderedPageBreak/>
        <w:t>le habían negado su petición para que sus dos hijos, estudiantes por entonces de tercero de primaria y segundo de la ESO, recibieran clases en español.</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En abril de 2013, el TJSC instó a la Consejería de Enseñanza de la Generalitat a introducir el castellano en las aulas donde estuviese escolarizado el alumno cuyos padres hubiesen solicitado por vía judicial la atención en español. Fue a través de varias sentencias en respuesta a recursos presentados por varias familias que demandaron estas peticiones. En la resolución, el fallo obligaba al Govern a “adoptar las medidas necesarias para que sus hijos reciban una enseñanza conjunta en las dos lenguas oficiales, de forma proporcionada y sin desequilibrios entre ellas”.</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El Tribunal Superior de Justicia de Cataluña ya fijó en enero de 2014 que se impartiese el 25% de las horas lectivas de los centros escolares en castellano en aquellas aulas en las que un alumno lo solicitase. Fue en concreto para ocho alumnos que así lo pidieron. La sentencia era obligatoria para la Generalitat, así como a los propios directores de los colegios, en el plazo de un mes. El incumplimiento de este fallo conllevaba sanciones económicas e incluso un proceso penal por un delito de desobediencia, con la consiguiente inhabilitación.</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En mayo de 2015, el Tribunal Supremo ratificó esa sentencia del TSJC y estableció que, para llegar al 25% de castellano, debía darse en este idioma no sólo la asignatura de lengua castellana, sino también en alguna del resto de materias troncales. Esta sentencia rechazó también el recurso de dos familias que solicitaba que el porcentaje en castellano fuese del 50% en lugar del 25%. Estas familias sostenían que el español y el catalán “deberían ser vehiculares y en la misma proporción”, argumento que rechazó el Supremo.</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A pesar de estas sentencias, la Generalitat optó por desobedecerlas. Desde entonces hubo también resoluciones favorables a familias que pedían que sus hijos recibiesen un 25% del castellano en su escuela. Todo hasta llegar a diciembre de 2020, cuando el TSJC sentenció que en todos los centros escolares debían cumplir con ese porcentaje “de manera efectiva e inmediata”.</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El tribunal estimó en su resolución de forma parcial un recurso de la Abogacía del Estado contra varios fallos del Departamento de Educación del Govern. El TSJC señaló que el “uso vehicular” del castellano era “residual”. “Al menos, así es en una parte significativa de centros y grupos docentes, de forma que se constata una infracción del marco jurídico vigente”, apostillo la sentencia.</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La Generalitat de Cataluña interpuso un recurso contra esta sentencia al Supremo, el mismo que ha sido inadmitido por el alto tribunal. En este recurso, el Govern aseguraba que la Lomloe, conocida como Ley Celaá, blindaba la inmersión lingüística.</w:t>
      </w:r>
    </w:p>
    <w:p w:rsidR="00D07FD3" w:rsidRPr="00936265" w:rsidRDefault="00D07FD3" w:rsidP="00D07FD3">
      <w:pPr>
        <w:spacing w:line="240" w:lineRule="auto"/>
        <w:jc w:val="both"/>
        <w:rPr>
          <w:rFonts w:ascii="Times New Roman" w:hAnsi="Times New Roman" w:cs="Times New Roman"/>
          <w:sz w:val="24"/>
          <w:szCs w:val="24"/>
          <w:shd w:val="clear" w:color="auto" w:fill="FFFFFF"/>
        </w:rPr>
      </w:pPr>
      <w:r w:rsidRPr="00936265">
        <w:rPr>
          <w:rFonts w:ascii="Times New Roman" w:hAnsi="Times New Roman" w:cs="Times New Roman"/>
          <w:sz w:val="24"/>
          <w:szCs w:val="24"/>
          <w:shd w:val="clear" w:color="auto" w:fill="FFFFFF"/>
        </w:rPr>
        <w:t>Tras la última sentencia del Supremo, la Generalitat no ha tardado en asegurado que la incumplirá. Una sentencia más que el Ejecutivo catalán pretende desobedecer, como lleva haciendo desde 2010. El conseller de Educación del Govern, Josep Gonzàlez-Cambray, aseguró horas después de la sentencia lo siguiente: “Seguiremos aplicando la ley de Educación de Cataluña, y dicha ley lo que implica es que el catalán es la lengua vehicular”.</w:t>
      </w:r>
    </w:p>
    <w:p w:rsidR="00D07FD3" w:rsidRPr="00553DB0" w:rsidRDefault="00D07FD3" w:rsidP="00D07FD3">
      <w:pPr>
        <w:spacing w:line="240" w:lineRule="auto"/>
        <w:jc w:val="both"/>
        <w:rPr>
          <w:rFonts w:ascii="Times New Roman" w:hAnsi="Times New Roman" w:cs="Times New Roman"/>
          <w:color w:val="FF0000"/>
          <w:sz w:val="24"/>
          <w:szCs w:val="24"/>
          <w:shd w:val="clear" w:color="auto" w:fill="FFFFFF"/>
        </w:rPr>
      </w:pPr>
      <w:r w:rsidRPr="00553DB0">
        <w:rPr>
          <w:rFonts w:ascii="Times New Roman" w:hAnsi="Times New Roman" w:cs="Times New Roman"/>
          <w:b/>
          <w:color w:val="FF0000"/>
          <w:sz w:val="24"/>
          <w:szCs w:val="24"/>
          <w:shd w:val="clear" w:color="auto" w:fill="FFFFFF"/>
        </w:rPr>
        <w:t>Nota I</w:t>
      </w:r>
      <w:r w:rsidRPr="00553DB0">
        <w:rPr>
          <w:rFonts w:ascii="Times New Roman" w:hAnsi="Times New Roman" w:cs="Times New Roman"/>
          <w:color w:val="FF0000"/>
          <w:sz w:val="24"/>
          <w:szCs w:val="24"/>
          <w:shd w:val="clear" w:color="auto" w:fill="FFFFFF"/>
        </w:rPr>
        <w:t xml:space="preserve">: teniendo en cuenta que el uso de la lengua, se ha tornado un instrumento de adoctrinamiento y manipulación social, en mano de los nacionalismos independentistas, la única forma de resolver este conflicto (que condena al analfabetismo funcional a gran parte de la población española), es imponer la enseñanza en un 100% en castellano, en todo el </w:t>
      </w:r>
      <w:r w:rsidRPr="00553DB0">
        <w:rPr>
          <w:rFonts w:ascii="Times New Roman" w:hAnsi="Times New Roman" w:cs="Times New Roman"/>
          <w:color w:val="FF0000"/>
          <w:sz w:val="24"/>
          <w:szCs w:val="24"/>
          <w:shd w:val="clear" w:color="auto" w:fill="FFFFFF"/>
        </w:rPr>
        <w:lastRenderedPageBreak/>
        <w:t>territorio nacional. Las lenguas vernáculas, quedan fuera de toda propuesta curricular de formación académica, en la educación pública.</w:t>
      </w:r>
    </w:p>
    <w:p w:rsidR="00D07FD3" w:rsidRPr="00553DB0" w:rsidRDefault="00D07FD3" w:rsidP="00D07FD3">
      <w:pPr>
        <w:spacing w:line="240" w:lineRule="auto"/>
        <w:jc w:val="both"/>
        <w:rPr>
          <w:rFonts w:ascii="Times New Roman" w:hAnsi="Times New Roman" w:cs="Times New Roman"/>
          <w:color w:val="FF0000"/>
          <w:sz w:val="24"/>
          <w:szCs w:val="24"/>
          <w:shd w:val="clear" w:color="auto" w:fill="FFFFFF"/>
        </w:rPr>
      </w:pPr>
      <w:r w:rsidRPr="00553DB0">
        <w:rPr>
          <w:rFonts w:ascii="Times New Roman" w:hAnsi="Times New Roman" w:cs="Times New Roman"/>
          <w:b/>
          <w:color w:val="FF0000"/>
          <w:sz w:val="24"/>
          <w:szCs w:val="24"/>
          <w:shd w:val="clear" w:color="auto" w:fill="FFFFFF"/>
        </w:rPr>
        <w:t>Nota II</w:t>
      </w:r>
      <w:r w:rsidRPr="00553DB0">
        <w:rPr>
          <w:rFonts w:ascii="Times New Roman" w:hAnsi="Times New Roman" w:cs="Times New Roman"/>
          <w:color w:val="FF0000"/>
          <w:sz w:val="24"/>
          <w:szCs w:val="24"/>
          <w:shd w:val="clear" w:color="auto" w:fill="FFFFFF"/>
        </w:rPr>
        <w:t xml:space="preserve">: (dado que tanto le gusta a los políticos españoles, compararse “con los países de nuestro entorno” -sic- tener en cuenta) En Francia, además del francés estándar, existen numerosos dialectos y lenguas regionales. Se estima que hay alrededor de 75 dialectos locales y formas de hablar en Francia. Estas lenguas regionales no son simplemente variaciones del francés, sino lenguas distintas con sus propias historias y estructuras. En la educación francesa, el idioma obligatorio es el francés, que es el idioma oficial de la República y el idioma de instrucción en todas las escuelas públicas y privadas. Además del francés, se requiere que los estudiantes estudien al menos una lengua extranjera, que generalmente es el inglés. También tienen la opción de elegir una segunda lengua extranjera, que podría ser español, alemán, italiano, chino, japonés, etc. </w:t>
      </w:r>
    </w:p>
    <w:p w:rsidR="00D07FD3" w:rsidRDefault="00D07FD3" w:rsidP="00D07FD3">
      <w:pPr>
        <w:spacing w:line="240" w:lineRule="auto"/>
        <w:jc w:val="both"/>
        <w:rPr>
          <w:rFonts w:ascii="Times New Roman" w:hAnsi="Times New Roman" w:cs="Times New Roman"/>
          <w:color w:val="FF0000"/>
          <w:sz w:val="24"/>
          <w:szCs w:val="24"/>
          <w:shd w:val="clear" w:color="auto" w:fill="FFFFFF"/>
        </w:rPr>
      </w:pPr>
      <w:r w:rsidRPr="00936265">
        <w:rPr>
          <w:rFonts w:ascii="Times New Roman" w:hAnsi="Times New Roman" w:cs="Times New Roman"/>
          <w:color w:val="FF0000"/>
          <w:sz w:val="24"/>
          <w:szCs w:val="24"/>
          <w:shd w:val="clear" w:color="auto" w:fill="FFFFFF"/>
        </w:rPr>
        <w:t>- Crear el Cheque sanitario (permitir al usuario optar por el servicio público o privado)</w:t>
      </w:r>
    </w:p>
    <w:p w:rsidR="00D07FD3" w:rsidRPr="00481F07" w:rsidRDefault="00D07FD3" w:rsidP="00D07FD3">
      <w:pPr>
        <w:spacing w:line="240" w:lineRule="auto"/>
        <w:jc w:val="both"/>
        <w:rPr>
          <w:rFonts w:ascii="Times New Roman" w:hAnsi="Times New Roman" w:cs="Times New Roman"/>
          <w:color w:val="FF0000"/>
          <w:sz w:val="24"/>
          <w:szCs w:val="24"/>
          <w:shd w:val="clear" w:color="auto" w:fill="FFFFFF"/>
        </w:rPr>
      </w:pPr>
      <w:r w:rsidRPr="00481F07">
        <w:rPr>
          <w:rFonts w:ascii="Times New Roman" w:hAnsi="Times New Roman" w:cs="Times New Roman"/>
          <w:b/>
          <w:color w:val="FF0000"/>
          <w:sz w:val="24"/>
          <w:szCs w:val="24"/>
          <w:shd w:val="clear" w:color="auto" w:fill="FFFFFF"/>
        </w:rPr>
        <w:t>Nota</w:t>
      </w:r>
      <w:r w:rsidRPr="00481F07">
        <w:rPr>
          <w:rFonts w:ascii="Times New Roman" w:hAnsi="Times New Roman" w:cs="Times New Roman"/>
          <w:color w:val="FF0000"/>
          <w:sz w:val="24"/>
          <w:szCs w:val="24"/>
          <w:shd w:val="clear" w:color="auto" w:fill="FFFFFF"/>
        </w:rPr>
        <w:t xml:space="preserve"> </w:t>
      </w:r>
      <w:r>
        <w:rPr>
          <w:rFonts w:ascii="Times New Roman" w:hAnsi="Times New Roman" w:cs="Times New Roman"/>
          <w:b/>
          <w:color w:val="FF0000"/>
          <w:sz w:val="24"/>
          <w:szCs w:val="24"/>
          <w:shd w:val="clear" w:color="auto" w:fill="FFFFFF"/>
        </w:rPr>
        <w:t>preliminar</w:t>
      </w:r>
      <w:r w:rsidRPr="00481F07">
        <w:rPr>
          <w:rFonts w:ascii="Times New Roman" w:hAnsi="Times New Roman" w:cs="Times New Roman"/>
          <w:color w:val="FF0000"/>
          <w:sz w:val="24"/>
          <w:szCs w:val="24"/>
          <w:shd w:val="clear" w:color="auto" w:fill="FFFFFF"/>
        </w:rPr>
        <w:t>: si en el caso de la “inmersión lingüística” señalé que era una de las experiencias más surrealistas que había vivido como corresponsal extranjero durante mis 35 años de residencia en España, ahora les presento otro caso, que también se las trae. Un “esperpento” digno de Valle Inclán.</w:t>
      </w:r>
    </w:p>
    <w:p w:rsidR="00D07FD3" w:rsidRPr="00062430" w:rsidRDefault="00D07FD3" w:rsidP="00D07FD3">
      <w:pPr>
        <w:spacing w:line="240" w:lineRule="auto"/>
        <w:jc w:val="both"/>
        <w:rPr>
          <w:rFonts w:ascii="Times New Roman" w:hAnsi="Times New Roman" w:cs="Times New Roman"/>
          <w:sz w:val="24"/>
          <w:szCs w:val="24"/>
          <w:shd w:val="clear" w:color="auto" w:fill="FFFFFF"/>
        </w:rPr>
      </w:pPr>
      <w:r w:rsidRPr="00062430">
        <w:rPr>
          <w:rFonts w:ascii="Times New Roman" w:hAnsi="Times New Roman" w:cs="Times New Roman"/>
          <w:sz w:val="24"/>
          <w:szCs w:val="24"/>
          <w:shd w:val="clear" w:color="auto" w:fill="FFFFFF"/>
        </w:rPr>
        <w:t xml:space="preserve">Los funcionarios del Estado en España pueden elegir entre la sanidad pública o privada; el resto de ciudadanos, no. Estos empleados públicos gozan de una mutualidad (Muface) que hace las veces de seguridad social y les proporciona cobertura por incapacidad y un seguro sanitario privado que subvenciona el Estado al 80%. Se trata de un modelo que incluye elementos muy sorprendentes. (diariosigloxxi.com - </w:t>
      </w:r>
      <w:r w:rsidRPr="0057323A">
        <w:rPr>
          <w:rFonts w:ascii="Times New Roman" w:hAnsi="Times New Roman" w:cs="Times New Roman"/>
          <w:b/>
          <w:sz w:val="24"/>
          <w:szCs w:val="24"/>
          <w:shd w:val="clear" w:color="auto" w:fill="FFFFFF"/>
        </w:rPr>
        <w:t>23/12/24</w:t>
      </w:r>
      <w:r w:rsidRPr="00062430">
        <w:rPr>
          <w:rFonts w:ascii="Times New Roman" w:hAnsi="Times New Roman" w:cs="Times New Roman"/>
          <w:sz w:val="24"/>
          <w:szCs w:val="24"/>
          <w:shd w:val="clear" w:color="auto" w:fill="FFFFFF"/>
        </w:rPr>
        <w:t>)</w:t>
      </w:r>
    </w:p>
    <w:p w:rsidR="00D07FD3" w:rsidRPr="00434850" w:rsidRDefault="00D07FD3" w:rsidP="00D07FD3">
      <w:pPr>
        <w:spacing w:line="240" w:lineRule="auto"/>
        <w:jc w:val="both"/>
        <w:rPr>
          <w:rFonts w:ascii="Times New Roman" w:hAnsi="Times New Roman" w:cs="Times New Roman"/>
          <w:color w:val="FF0000"/>
          <w:sz w:val="24"/>
          <w:szCs w:val="24"/>
          <w:shd w:val="clear" w:color="auto" w:fill="FFFFFF"/>
        </w:rPr>
      </w:pPr>
      <w:r w:rsidRPr="00434850">
        <w:rPr>
          <w:rFonts w:ascii="Times New Roman" w:hAnsi="Times New Roman" w:cs="Times New Roman"/>
          <w:color w:val="FF0000"/>
          <w:sz w:val="24"/>
          <w:szCs w:val="24"/>
          <w:shd w:val="clear" w:color="auto" w:fill="FFFFFF"/>
        </w:rPr>
        <w:t>La primera sorpresa es que a los funcionarios se les obliga a elegir: sanidad pública “gratis” o sanidad privada pagando poco por ella. La gran mayoría -tres de cada cuatro- eligen la privada. Es curioso que los empleados del Estado no quieran disfrutar del propio servicio de salud que ofrece ese mismo Estado y prefieran pagar, aunque sea poco, por un seguro privado. ¿No habíamos quedado en que la sanidad pública española era una de las mejores sanidades del mundo? Si es así, ¿por qué los funcionarios deciden prescindir del sistema público y eligen, pagando un coste -bajo, pero coste- un seguro privado, más bien recortado y justito, como el que ofrecen las aseguradoras a Muface?</w:t>
      </w:r>
    </w:p>
    <w:p w:rsidR="00D07FD3" w:rsidRPr="00062430" w:rsidRDefault="00D07FD3" w:rsidP="00D07FD3">
      <w:pPr>
        <w:spacing w:line="240" w:lineRule="auto"/>
        <w:jc w:val="both"/>
        <w:rPr>
          <w:rFonts w:ascii="Times New Roman" w:hAnsi="Times New Roman" w:cs="Times New Roman"/>
          <w:sz w:val="24"/>
          <w:szCs w:val="24"/>
          <w:shd w:val="clear" w:color="auto" w:fill="FFFFFF"/>
        </w:rPr>
      </w:pPr>
      <w:r w:rsidRPr="00062430">
        <w:rPr>
          <w:rFonts w:ascii="Times New Roman" w:hAnsi="Times New Roman" w:cs="Times New Roman"/>
          <w:sz w:val="24"/>
          <w:szCs w:val="24"/>
          <w:shd w:val="clear" w:color="auto" w:fill="FFFFFF"/>
        </w:rPr>
        <w:t xml:space="preserve">En realidad, la sanidad pública está colapsada, con listas de espera eternas, y secuestrada por una marea de intereses autonómicos y sindicales. </w:t>
      </w:r>
    </w:p>
    <w:p w:rsidR="00D07FD3" w:rsidRPr="00434850" w:rsidRDefault="00D07FD3" w:rsidP="00D07FD3">
      <w:pPr>
        <w:spacing w:line="240" w:lineRule="auto"/>
        <w:jc w:val="both"/>
        <w:rPr>
          <w:rFonts w:ascii="Times New Roman" w:hAnsi="Times New Roman" w:cs="Times New Roman"/>
          <w:color w:val="FF0000"/>
          <w:sz w:val="24"/>
          <w:szCs w:val="24"/>
          <w:shd w:val="clear" w:color="auto" w:fill="FFFFFF"/>
        </w:rPr>
      </w:pPr>
      <w:r w:rsidRPr="00434850">
        <w:rPr>
          <w:rFonts w:ascii="Times New Roman" w:hAnsi="Times New Roman" w:cs="Times New Roman"/>
          <w:color w:val="FF0000"/>
          <w:sz w:val="24"/>
          <w:szCs w:val="24"/>
          <w:shd w:val="clear" w:color="auto" w:fill="FFFFFF"/>
        </w:rPr>
        <w:t xml:space="preserve">La segunda sorpresa está en los costes. El Estado, a través de Muface, paga cerca de 1.000 euros por funcionario y año a las aseguradoras privadas. Sin embargo, el resto de ciudadanos le costamos casi 2.200€ al año, según los datos de gasto sanitario público per cápita en 2023. Para el caso, al Estado le sale más rentable y ofrece más calidad al subcontratar o concertar servicios públicos con empresas privadas que organizarlos y gestionarlos por su propia cuenta. </w:t>
      </w:r>
    </w:p>
    <w:p w:rsidR="00D07FD3" w:rsidRPr="00062430" w:rsidRDefault="00D07FD3" w:rsidP="00D07FD3">
      <w:pPr>
        <w:spacing w:line="240" w:lineRule="auto"/>
        <w:jc w:val="both"/>
        <w:rPr>
          <w:rFonts w:ascii="Times New Roman" w:hAnsi="Times New Roman" w:cs="Times New Roman"/>
          <w:sz w:val="24"/>
          <w:szCs w:val="24"/>
          <w:shd w:val="clear" w:color="auto" w:fill="FFFFFF"/>
        </w:rPr>
      </w:pPr>
      <w:r w:rsidRPr="00062430">
        <w:rPr>
          <w:rFonts w:ascii="Times New Roman" w:hAnsi="Times New Roman" w:cs="Times New Roman"/>
          <w:sz w:val="24"/>
          <w:szCs w:val="24"/>
          <w:shd w:val="clear" w:color="auto" w:fill="FFFFFF"/>
        </w:rPr>
        <w:t xml:space="preserve">Aun dando por hecho que el gobierno cumpla lo anunciado en diciembre de 2024, sobre incrementar en los próximos años hasta un 33% el coste de las primas de Muface, seguiríamos en un escenario en el cual las compañías privadas de salud son capaces de ofrecer el servicio por cerca de la mitad de lo que se gasta el Estado en sanidad por persona. </w:t>
      </w:r>
    </w:p>
    <w:p w:rsidR="00D07FD3" w:rsidRPr="00062430" w:rsidRDefault="00D07FD3" w:rsidP="00D07FD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 c</w:t>
      </w:r>
      <w:r w:rsidRPr="00062430">
        <w:rPr>
          <w:rFonts w:ascii="Times New Roman" w:hAnsi="Times New Roman" w:cs="Times New Roman"/>
          <w:sz w:val="24"/>
          <w:szCs w:val="24"/>
          <w:shd w:val="clear" w:color="auto" w:fill="FFFFFF"/>
        </w:rPr>
        <w:t>uando se le da la opción de elegir a los funcionarios entre uno u otro</w:t>
      </w:r>
      <w:r>
        <w:rPr>
          <w:rFonts w:ascii="Times New Roman" w:hAnsi="Times New Roman" w:cs="Times New Roman"/>
          <w:sz w:val="24"/>
          <w:szCs w:val="24"/>
          <w:shd w:val="clear" w:color="auto" w:fill="FFFFFF"/>
        </w:rPr>
        <w:t xml:space="preserve"> sistema sanitario</w:t>
      </w:r>
      <w:r w:rsidRPr="00062430">
        <w:rPr>
          <w:rFonts w:ascii="Times New Roman" w:hAnsi="Times New Roman" w:cs="Times New Roman"/>
          <w:sz w:val="24"/>
          <w:szCs w:val="24"/>
          <w:shd w:val="clear" w:color="auto" w:fill="FFFFFF"/>
        </w:rPr>
        <w:t>, se van en masa al seguro privado (en una relación de tres cada cuatro)</w:t>
      </w:r>
      <w:r>
        <w:rPr>
          <w:rFonts w:ascii="Times New Roman" w:hAnsi="Times New Roman" w:cs="Times New Roman"/>
          <w:sz w:val="24"/>
          <w:szCs w:val="24"/>
          <w:shd w:val="clear" w:color="auto" w:fill="FFFFFF"/>
        </w:rPr>
        <w:t>…</w:t>
      </w:r>
    </w:p>
    <w:p w:rsidR="00D07FD3" w:rsidRPr="00434850" w:rsidRDefault="00434850" w:rsidP="00D07FD3">
      <w:pPr>
        <w:spacing w:line="240" w:lineRule="auto"/>
        <w:jc w:val="both"/>
        <w:rPr>
          <w:rFonts w:ascii="Times New Roman" w:hAnsi="Times New Roman" w:cs="Times New Roman"/>
          <w:color w:val="FF0000"/>
          <w:sz w:val="24"/>
          <w:szCs w:val="24"/>
          <w:shd w:val="clear" w:color="auto" w:fill="FFFFFF"/>
        </w:rPr>
      </w:pPr>
      <w:r w:rsidRPr="00434850">
        <w:rPr>
          <w:rFonts w:ascii="Times New Roman" w:hAnsi="Times New Roman" w:cs="Times New Roman"/>
          <w:b/>
          <w:color w:val="FF0000"/>
          <w:sz w:val="24"/>
          <w:szCs w:val="24"/>
          <w:shd w:val="clear" w:color="auto" w:fill="FFFFFF"/>
        </w:rPr>
        <w:lastRenderedPageBreak/>
        <w:t>Nota</w:t>
      </w:r>
      <w:r>
        <w:rPr>
          <w:rFonts w:ascii="Times New Roman" w:hAnsi="Times New Roman" w:cs="Times New Roman"/>
          <w:color w:val="FF0000"/>
          <w:sz w:val="24"/>
          <w:szCs w:val="24"/>
          <w:shd w:val="clear" w:color="auto" w:fill="FFFFFF"/>
        </w:rPr>
        <w:t>: Cabe preguntarse:</w:t>
      </w:r>
      <w:r w:rsidR="00D07FD3" w:rsidRPr="00434850">
        <w:rPr>
          <w:rFonts w:ascii="Times New Roman" w:hAnsi="Times New Roman" w:cs="Times New Roman"/>
          <w:color w:val="FF0000"/>
          <w:sz w:val="24"/>
          <w:szCs w:val="24"/>
          <w:shd w:val="clear" w:color="auto" w:fill="FFFFFF"/>
        </w:rPr>
        <w:t xml:space="preserve"> si sale más económica la sanidad privada y es más elegida, ¿por qué no se extrapola el modelo Muface -o sim</w:t>
      </w:r>
      <w:r>
        <w:rPr>
          <w:rFonts w:ascii="Times New Roman" w:hAnsi="Times New Roman" w:cs="Times New Roman"/>
          <w:color w:val="FF0000"/>
          <w:sz w:val="24"/>
          <w:szCs w:val="24"/>
          <w:shd w:val="clear" w:color="auto" w:fill="FFFFFF"/>
        </w:rPr>
        <w:t>ilar- al resto de ciudadanos? ¿p</w:t>
      </w:r>
      <w:r w:rsidR="00D07FD3" w:rsidRPr="00434850">
        <w:rPr>
          <w:rFonts w:ascii="Times New Roman" w:hAnsi="Times New Roman" w:cs="Times New Roman"/>
          <w:color w:val="FF0000"/>
          <w:sz w:val="24"/>
          <w:szCs w:val="24"/>
          <w:shd w:val="clear" w:color="auto" w:fill="FFFFFF"/>
        </w:rPr>
        <w:t>or qué no se nos permite elegir entre sanidad pública o privada, como a los funcionarios?</w:t>
      </w:r>
    </w:p>
    <w:p w:rsidR="00D07FD3" w:rsidRDefault="00D07FD3" w:rsidP="00D07FD3">
      <w:pPr>
        <w:spacing w:line="240" w:lineRule="auto"/>
        <w:jc w:val="both"/>
        <w:rPr>
          <w:rFonts w:ascii="Times New Roman" w:hAnsi="Times New Roman" w:cs="Times New Roman"/>
          <w:color w:val="FF0000"/>
          <w:sz w:val="24"/>
          <w:szCs w:val="24"/>
          <w:shd w:val="clear" w:color="auto" w:fill="FFFFFF"/>
        </w:rPr>
      </w:pPr>
      <w:r w:rsidRPr="00062430">
        <w:rPr>
          <w:rFonts w:ascii="Times New Roman" w:hAnsi="Times New Roman" w:cs="Times New Roman"/>
          <w:color w:val="FF0000"/>
          <w:sz w:val="24"/>
          <w:szCs w:val="24"/>
          <w:shd w:val="clear" w:color="auto" w:fill="FFFFFF"/>
        </w:rPr>
        <w:t>- Crear el Cheque educativo (permitir al usuario optar por el servicio público o privado)</w:t>
      </w:r>
    </w:p>
    <w:p w:rsidR="00D07FD3" w:rsidRPr="005D580E" w:rsidRDefault="00D07FD3" w:rsidP="00D07FD3">
      <w:pPr>
        <w:spacing w:line="240" w:lineRule="auto"/>
        <w:jc w:val="both"/>
        <w:rPr>
          <w:rFonts w:ascii="Times New Roman" w:hAnsi="Times New Roman" w:cs="Times New Roman"/>
          <w:sz w:val="24"/>
          <w:szCs w:val="24"/>
          <w:shd w:val="clear" w:color="auto" w:fill="FFFFFF"/>
        </w:rPr>
      </w:pPr>
      <w:r w:rsidRPr="005D580E">
        <w:rPr>
          <w:rFonts w:ascii="Times New Roman" w:hAnsi="Times New Roman" w:cs="Times New Roman"/>
          <w:sz w:val="24"/>
          <w:szCs w:val="24"/>
          <w:shd w:val="clear" w:color="auto" w:fill="FFFFFF"/>
        </w:rPr>
        <w:t>El Voucher Educativo o Cheque Escolar es un sistema de financiación por el que el Estado entrega a los padres una cantidad de dinero por cada hijo escolar para que la utilicen en el centro educativo de su interés, tanto público como privado. Esta financiación pública educativa a cargo de cheques individuales ya está implantad</w:t>
      </w:r>
      <w:r>
        <w:rPr>
          <w:rFonts w:ascii="Times New Roman" w:hAnsi="Times New Roman" w:cs="Times New Roman"/>
          <w:sz w:val="24"/>
          <w:szCs w:val="24"/>
          <w:shd w:val="clear" w:color="auto" w:fill="FFFFFF"/>
        </w:rPr>
        <w:t>a en países como Chile y Suecia.</w:t>
      </w:r>
      <w:r w:rsidRPr="005D580E">
        <w:rPr>
          <w:rFonts w:ascii="Times New Roman" w:hAnsi="Times New Roman" w:cs="Times New Roman"/>
          <w:sz w:val="24"/>
          <w:szCs w:val="24"/>
          <w:shd w:val="clear" w:color="auto" w:fill="FFFFFF"/>
        </w:rPr>
        <w:t xml:space="preserve"> </w:t>
      </w:r>
    </w:p>
    <w:p w:rsidR="00D07FD3" w:rsidRPr="005D580E" w:rsidRDefault="00D07FD3" w:rsidP="00D07FD3">
      <w:pPr>
        <w:spacing w:line="240" w:lineRule="auto"/>
        <w:jc w:val="both"/>
        <w:rPr>
          <w:rFonts w:ascii="Times New Roman" w:hAnsi="Times New Roman" w:cs="Times New Roman"/>
          <w:sz w:val="24"/>
          <w:szCs w:val="24"/>
          <w:shd w:val="clear" w:color="auto" w:fill="FFFFFF"/>
        </w:rPr>
      </w:pPr>
      <w:r w:rsidRPr="005D580E">
        <w:rPr>
          <w:rFonts w:ascii="Times New Roman" w:hAnsi="Times New Roman" w:cs="Times New Roman"/>
          <w:sz w:val="24"/>
          <w:szCs w:val="24"/>
          <w:shd w:val="clear" w:color="auto" w:fill="FFFFFF"/>
        </w:rPr>
        <w:t>El sistema fue ideado en los años 60 por el economista estadounidense Milton Friedman. Su objetivo es que el alumno pueda escoger la educación donde quiera, y puede ser utilizada desde el colegio a la Universidad, sin obligatoriedad educativa. El sistema, por tanto, está pensado para que las empresas intenten atraer a alumnos, y su filosofía cuenta con tantos defensores como detractores.</w:t>
      </w:r>
    </w:p>
    <w:p w:rsidR="00D07FD3" w:rsidRPr="005D580E" w:rsidRDefault="00D07FD3" w:rsidP="00D07FD3">
      <w:pPr>
        <w:spacing w:line="240" w:lineRule="auto"/>
        <w:jc w:val="both"/>
        <w:rPr>
          <w:rFonts w:ascii="Times New Roman" w:hAnsi="Times New Roman" w:cs="Times New Roman"/>
          <w:sz w:val="24"/>
          <w:szCs w:val="24"/>
          <w:shd w:val="clear" w:color="auto" w:fill="FFFFFF"/>
        </w:rPr>
      </w:pPr>
      <w:r w:rsidRPr="005D580E">
        <w:rPr>
          <w:rFonts w:ascii="Times New Roman" w:hAnsi="Times New Roman" w:cs="Times New Roman"/>
          <w:sz w:val="24"/>
          <w:szCs w:val="24"/>
          <w:shd w:val="clear" w:color="auto" w:fill="FFFFFF"/>
        </w:rPr>
        <w:t>Algunos expertos consideran que el modelo</w:t>
      </w:r>
      <w:r>
        <w:rPr>
          <w:rFonts w:ascii="Times New Roman" w:hAnsi="Times New Roman" w:cs="Times New Roman"/>
          <w:sz w:val="24"/>
          <w:szCs w:val="24"/>
          <w:shd w:val="clear" w:color="auto" w:fill="FFFFFF"/>
        </w:rPr>
        <w:t xml:space="preserve"> no es adecuado, </w:t>
      </w:r>
      <w:r w:rsidRPr="005D580E">
        <w:rPr>
          <w:rFonts w:ascii="Times New Roman" w:hAnsi="Times New Roman" w:cs="Times New Roman"/>
          <w:sz w:val="24"/>
          <w:szCs w:val="24"/>
          <w:shd w:val="clear" w:color="auto" w:fill="FFFFFF"/>
        </w:rPr>
        <w:t>ya que podría derivar en una desescolari</w:t>
      </w:r>
      <w:r>
        <w:rPr>
          <w:rFonts w:ascii="Times New Roman" w:hAnsi="Times New Roman" w:cs="Times New Roman"/>
          <w:sz w:val="24"/>
          <w:szCs w:val="24"/>
          <w:shd w:val="clear" w:color="auto" w:fill="FFFFFF"/>
        </w:rPr>
        <w:t xml:space="preserve">zación pasiva. Otros, lo consideran </w:t>
      </w:r>
      <w:r w:rsidRPr="005D580E">
        <w:rPr>
          <w:rFonts w:ascii="Times New Roman" w:hAnsi="Times New Roman" w:cs="Times New Roman"/>
          <w:sz w:val="24"/>
          <w:szCs w:val="24"/>
          <w:shd w:val="clear" w:color="auto" w:fill="FFFFFF"/>
        </w:rPr>
        <w:t>insensa</w:t>
      </w:r>
      <w:r>
        <w:rPr>
          <w:rFonts w:ascii="Times New Roman" w:hAnsi="Times New Roman" w:cs="Times New Roman"/>
          <w:sz w:val="24"/>
          <w:szCs w:val="24"/>
          <w:shd w:val="clear" w:color="auto" w:fill="FFFFFF"/>
        </w:rPr>
        <w:t>to</w:t>
      </w:r>
      <w:r w:rsidRPr="005D580E">
        <w:rPr>
          <w:rFonts w:ascii="Times New Roman" w:hAnsi="Times New Roman" w:cs="Times New Roman"/>
          <w:sz w:val="24"/>
          <w:szCs w:val="24"/>
          <w:shd w:val="clear" w:color="auto" w:fill="FFFFFF"/>
        </w:rPr>
        <w:t>, y</w:t>
      </w:r>
      <w:r>
        <w:rPr>
          <w:rFonts w:ascii="Times New Roman" w:hAnsi="Times New Roman" w:cs="Times New Roman"/>
          <w:sz w:val="24"/>
          <w:szCs w:val="24"/>
          <w:shd w:val="clear" w:color="auto" w:fill="FFFFFF"/>
        </w:rPr>
        <w:t xml:space="preserve"> hay quienes </w:t>
      </w:r>
      <w:r w:rsidRPr="005D580E">
        <w:rPr>
          <w:rFonts w:ascii="Times New Roman" w:hAnsi="Times New Roman" w:cs="Times New Roman"/>
          <w:sz w:val="24"/>
          <w:szCs w:val="24"/>
          <w:shd w:val="clear" w:color="auto" w:fill="FFFFFF"/>
        </w:rPr>
        <w:t>augura</w:t>
      </w:r>
      <w:r>
        <w:rPr>
          <w:rFonts w:ascii="Times New Roman" w:hAnsi="Times New Roman" w:cs="Times New Roman"/>
          <w:sz w:val="24"/>
          <w:szCs w:val="24"/>
          <w:shd w:val="clear" w:color="auto" w:fill="FFFFFF"/>
        </w:rPr>
        <w:t>n</w:t>
      </w:r>
      <w:r w:rsidRPr="005D580E">
        <w:rPr>
          <w:rFonts w:ascii="Times New Roman" w:hAnsi="Times New Roman" w:cs="Times New Roman"/>
          <w:sz w:val="24"/>
          <w:szCs w:val="24"/>
          <w:shd w:val="clear" w:color="auto" w:fill="FFFFFF"/>
        </w:rPr>
        <w:t xml:space="preserve"> una inflación generalizada de notas o una escalada en la facilidad de los contenidos por las escuela</w:t>
      </w:r>
      <w:r>
        <w:rPr>
          <w:rFonts w:ascii="Times New Roman" w:hAnsi="Times New Roman" w:cs="Times New Roman"/>
          <w:sz w:val="24"/>
          <w:szCs w:val="24"/>
          <w:shd w:val="clear" w:color="auto" w:fill="FFFFFF"/>
        </w:rPr>
        <w:t>s que quieren atraer a alumnos.</w:t>
      </w:r>
    </w:p>
    <w:p w:rsidR="00D07FD3" w:rsidRPr="005D580E" w:rsidRDefault="00D07FD3" w:rsidP="00D07FD3">
      <w:pPr>
        <w:spacing w:line="240" w:lineRule="auto"/>
        <w:jc w:val="both"/>
        <w:rPr>
          <w:rFonts w:ascii="Times New Roman" w:hAnsi="Times New Roman" w:cs="Times New Roman"/>
          <w:sz w:val="24"/>
          <w:szCs w:val="24"/>
          <w:shd w:val="clear" w:color="auto" w:fill="FFFFFF"/>
        </w:rPr>
      </w:pPr>
      <w:r w:rsidRPr="005D580E">
        <w:rPr>
          <w:rFonts w:ascii="Times New Roman" w:hAnsi="Times New Roman" w:cs="Times New Roman"/>
          <w:sz w:val="24"/>
          <w:szCs w:val="24"/>
          <w:shd w:val="clear" w:color="auto" w:fill="FFFFFF"/>
        </w:rPr>
        <w:t>En Chile, sin embargo, han conseguido que el voucher educativo funcione con éxito desde 2008, tras un periodo de prueba, error y modificación. En este país, no todos los cheques tienen la misma cantidad de dinero, favoreciéndose más a los niños en situaciones de vulnerabilidad. El resultado ha sido que el país ha escalado parios puestos en el ranking PISA, pero los expertos no dejan de reconoce</w:t>
      </w:r>
      <w:r>
        <w:rPr>
          <w:rFonts w:ascii="Times New Roman" w:hAnsi="Times New Roman" w:cs="Times New Roman"/>
          <w:sz w:val="24"/>
          <w:szCs w:val="24"/>
          <w:shd w:val="clear" w:color="auto" w:fill="FFFFFF"/>
        </w:rPr>
        <w:t>r que es una medida arriesgada. (</w:t>
      </w:r>
      <w:r w:rsidR="0057323A">
        <w:rPr>
          <w:rFonts w:ascii="Times New Roman" w:hAnsi="Times New Roman" w:cs="Times New Roman"/>
          <w:sz w:val="24"/>
          <w:szCs w:val="24"/>
          <w:shd w:val="clear" w:color="auto" w:fill="FFFFFF"/>
        </w:rPr>
        <w:t xml:space="preserve">Fuente: </w:t>
      </w:r>
      <w:r>
        <w:rPr>
          <w:rFonts w:ascii="Times New Roman" w:hAnsi="Times New Roman" w:cs="Times New Roman"/>
          <w:sz w:val="24"/>
          <w:szCs w:val="24"/>
          <w:shd w:val="clear" w:color="auto" w:fill="FFFFFF"/>
        </w:rPr>
        <w:t xml:space="preserve">aprendemas.com - </w:t>
      </w:r>
      <w:r w:rsidRPr="0057323A">
        <w:rPr>
          <w:rFonts w:ascii="Times New Roman" w:hAnsi="Times New Roman" w:cs="Times New Roman"/>
          <w:b/>
          <w:sz w:val="24"/>
          <w:szCs w:val="24"/>
          <w:shd w:val="clear" w:color="auto" w:fill="FFFFFF"/>
        </w:rPr>
        <w:t>17/11/23</w:t>
      </w:r>
      <w:r>
        <w:rPr>
          <w:rFonts w:ascii="Times New Roman" w:hAnsi="Times New Roman" w:cs="Times New Roman"/>
          <w:sz w:val="24"/>
          <w:szCs w:val="24"/>
          <w:shd w:val="clear" w:color="auto" w:fill="FFFFFF"/>
        </w:rPr>
        <w:t xml:space="preserve">) </w:t>
      </w:r>
    </w:p>
    <w:p w:rsidR="00D07FD3" w:rsidRDefault="00D07FD3" w:rsidP="00D07FD3">
      <w:pPr>
        <w:spacing w:line="240" w:lineRule="auto"/>
        <w:jc w:val="both"/>
        <w:rPr>
          <w:rFonts w:ascii="Times New Roman" w:hAnsi="Times New Roman" w:cs="Times New Roman"/>
          <w:sz w:val="24"/>
          <w:szCs w:val="24"/>
          <w:shd w:val="clear" w:color="auto" w:fill="FFFFFF"/>
        </w:rPr>
      </w:pPr>
      <w:r w:rsidRPr="005D580E">
        <w:rPr>
          <w:rFonts w:ascii="Times New Roman" w:hAnsi="Times New Roman" w:cs="Times New Roman"/>
          <w:sz w:val="24"/>
          <w:szCs w:val="24"/>
          <w:shd w:val="clear" w:color="auto" w:fill="FFFFFF"/>
        </w:rPr>
        <w:t>En el caso de Suecia, que también tiene asentado el voucher educativo, los alumnos de este país sufrieron el más brusco descenso en sus calificaciones entre todos los países evaluados por PISA entre los años 2003 al 2012. Una de las causas, según los expertos, fue que la responsabilidad migró del Estado hacia los padres. Además, se observó un aumen</w:t>
      </w:r>
      <w:r>
        <w:rPr>
          <w:rFonts w:ascii="Times New Roman" w:hAnsi="Times New Roman" w:cs="Times New Roman"/>
          <w:sz w:val="24"/>
          <w:szCs w:val="24"/>
          <w:shd w:val="clear" w:color="auto" w:fill="FFFFFF"/>
        </w:rPr>
        <w:t>to en la segregación educativa.</w:t>
      </w:r>
    </w:p>
    <w:p w:rsidR="00D07FD3" w:rsidRPr="005D59E2" w:rsidRDefault="00D07FD3" w:rsidP="00D07FD3">
      <w:pPr>
        <w:spacing w:line="240" w:lineRule="auto"/>
        <w:jc w:val="both"/>
        <w:rPr>
          <w:rFonts w:ascii="Times New Roman" w:hAnsi="Times New Roman" w:cs="Times New Roman"/>
          <w:sz w:val="24"/>
          <w:szCs w:val="24"/>
          <w:shd w:val="clear" w:color="auto" w:fill="FFFFFF"/>
        </w:rPr>
      </w:pPr>
      <w:r w:rsidRPr="005D59E2">
        <w:rPr>
          <w:rFonts w:ascii="Times New Roman" w:hAnsi="Times New Roman" w:cs="Times New Roman"/>
          <w:sz w:val="24"/>
          <w:szCs w:val="24"/>
          <w:shd w:val="clear" w:color="auto" w:fill="FFFFFF"/>
        </w:rPr>
        <w:t xml:space="preserve">La viabilidad de aplicar el cheque escolar en España es un tema complejo con opiniones divididas. Si bien algunos ven en él una herramienta para aumentar la libertad de elección educativa y mejorar la calidad de la enseñanza pública por competencia, otros advierten sobre el riesgo de fragmentación del sistema educativo y la posible exclusión de las familias con menos recursos. </w:t>
      </w:r>
    </w:p>
    <w:p w:rsidR="00D07FD3" w:rsidRPr="005D59E2" w:rsidRDefault="00D07FD3" w:rsidP="00D07FD3">
      <w:pPr>
        <w:spacing w:line="240" w:lineRule="auto"/>
        <w:jc w:val="both"/>
        <w:rPr>
          <w:rFonts w:ascii="Times New Roman" w:hAnsi="Times New Roman" w:cs="Times New Roman"/>
          <w:sz w:val="24"/>
          <w:szCs w:val="24"/>
          <w:shd w:val="clear" w:color="auto" w:fill="FFFFFF"/>
        </w:rPr>
      </w:pPr>
      <w:r w:rsidRPr="005D59E2">
        <w:rPr>
          <w:rFonts w:ascii="Times New Roman" w:hAnsi="Times New Roman" w:cs="Times New Roman"/>
          <w:sz w:val="24"/>
          <w:szCs w:val="24"/>
          <w:shd w:val="clear" w:color="auto" w:fill="FFFFFF"/>
        </w:rPr>
        <w:t>Argumentos a favor:</w:t>
      </w:r>
    </w:p>
    <w:p w:rsidR="00D07FD3" w:rsidRPr="005D59E2" w:rsidRDefault="00D07FD3" w:rsidP="00D07FD3">
      <w:pPr>
        <w:spacing w:line="240" w:lineRule="auto"/>
        <w:jc w:val="both"/>
        <w:rPr>
          <w:rFonts w:ascii="Times New Roman" w:hAnsi="Times New Roman" w:cs="Times New Roman"/>
          <w:sz w:val="24"/>
          <w:szCs w:val="24"/>
          <w:shd w:val="clear" w:color="auto" w:fill="FFFFFF"/>
        </w:rPr>
      </w:pPr>
      <w:r w:rsidRPr="005D59E2">
        <w:rPr>
          <w:rFonts w:ascii="Times New Roman" w:hAnsi="Times New Roman" w:cs="Times New Roman"/>
          <w:sz w:val="24"/>
          <w:szCs w:val="24"/>
          <w:shd w:val="clear" w:color="auto" w:fill="FFFFFF"/>
        </w:rPr>
        <w:t xml:space="preserve">Mayor libertad de elección: Permite a las familias elegir el centro educativo que mejor se adapte a sus necesidades y preferencias, tanto en el sector público, como en el privado, siempre y cuando esté reconocido por el sistema educativo. </w:t>
      </w:r>
    </w:p>
    <w:p w:rsidR="00D07FD3" w:rsidRPr="005D59E2" w:rsidRDefault="00D07FD3" w:rsidP="00D07FD3">
      <w:pPr>
        <w:spacing w:line="240" w:lineRule="auto"/>
        <w:jc w:val="both"/>
        <w:rPr>
          <w:rFonts w:ascii="Times New Roman" w:hAnsi="Times New Roman" w:cs="Times New Roman"/>
          <w:sz w:val="24"/>
          <w:szCs w:val="24"/>
          <w:shd w:val="clear" w:color="auto" w:fill="FFFFFF"/>
        </w:rPr>
      </w:pPr>
      <w:r w:rsidRPr="005D59E2">
        <w:rPr>
          <w:rFonts w:ascii="Times New Roman" w:hAnsi="Times New Roman" w:cs="Times New Roman"/>
          <w:sz w:val="24"/>
          <w:szCs w:val="24"/>
          <w:shd w:val="clear" w:color="auto" w:fill="FFFFFF"/>
        </w:rPr>
        <w:t xml:space="preserve">Mejora de la calidad educativa: Al introducir competencia entre centros, se incentiva a los colegios públicos a mejorar sus instalaciones y oferta educativa para atraer a los alumnos. </w:t>
      </w:r>
    </w:p>
    <w:p w:rsidR="00D07FD3" w:rsidRPr="005D59E2" w:rsidRDefault="00D07FD3" w:rsidP="00D07FD3">
      <w:pPr>
        <w:spacing w:line="240" w:lineRule="auto"/>
        <w:jc w:val="both"/>
        <w:rPr>
          <w:rFonts w:ascii="Times New Roman" w:hAnsi="Times New Roman" w:cs="Times New Roman"/>
          <w:sz w:val="24"/>
          <w:szCs w:val="24"/>
          <w:shd w:val="clear" w:color="auto" w:fill="FFFFFF"/>
        </w:rPr>
      </w:pPr>
      <w:r w:rsidRPr="005D59E2">
        <w:rPr>
          <w:rFonts w:ascii="Times New Roman" w:hAnsi="Times New Roman" w:cs="Times New Roman"/>
          <w:sz w:val="24"/>
          <w:szCs w:val="24"/>
          <w:shd w:val="clear" w:color="auto" w:fill="FFFFFF"/>
        </w:rPr>
        <w:t xml:space="preserve">Potencial reducción de desigualdades: Si se acompaña de un sistema de becas para familias con bajos ingresos, puede contribuir a reducir las diferencias socioeconómicas en el acceso a la educación. </w:t>
      </w:r>
    </w:p>
    <w:p w:rsidR="00D07FD3" w:rsidRPr="005D59E2" w:rsidRDefault="00D07FD3" w:rsidP="00D07FD3">
      <w:pPr>
        <w:spacing w:line="240" w:lineRule="auto"/>
        <w:jc w:val="both"/>
        <w:rPr>
          <w:rFonts w:ascii="Times New Roman" w:hAnsi="Times New Roman" w:cs="Times New Roman"/>
          <w:sz w:val="24"/>
          <w:szCs w:val="24"/>
          <w:shd w:val="clear" w:color="auto" w:fill="FFFFFF"/>
        </w:rPr>
      </w:pPr>
      <w:r w:rsidRPr="005D59E2">
        <w:rPr>
          <w:rFonts w:ascii="Times New Roman" w:hAnsi="Times New Roman" w:cs="Times New Roman"/>
          <w:sz w:val="24"/>
          <w:szCs w:val="24"/>
          <w:shd w:val="clear" w:color="auto" w:fill="FFFFFF"/>
        </w:rPr>
        <w:lastRenderedPageBreak/>
        <w:t>Argumentos en contra:</w:t>
      </w:r>
    </w:p>
    <w:p w:rsidR="00D07FD3" w:rsidRPr="005D59E2" w:rsidRDefault="00D07FD3" w:rsidP="00D07FD3">
      <w:pPr>
        <w:spacing w:line="240" w:lineRule="auto"/>
        <w:jc w:val="both"/>
        <w:rPr>
          <w:rFonts w:ascii="Times New Roman" w:hAnsi="Times New Roman" w:cs="Times New Roman"/>
          <w:sz w:val="24"/>
          <w:szCs w:val="24"/>
          <w:shd w:val="clear" w:color="auto" w:fill="FFFFFF"/>
        </w:rPr>
      </w:pPr>
      <w:r w:rsidRPr="005D59E2">
        <w:rPr>
          <w:rFonts w:ascii="Times New Roman" w:hAnsi="Times New Roman" w:cs="Times New Roman"/>
          <w:sz w:val="24"/>
          <w:szCs w:val="24"/>
          <w:shd w:val="clear" w:color="auto" w:fill="FFFFFF"/>
        </w:rPr>
        <w:t>Riesgo de fragmentación del sistema: Se teme que la aplicación generalizada del cheque escolar pueda llevar a una mayor segregación y desigualdad, especialmente si no se acompaña de políticas de apoyo a los centros públicos.</w:t>
      </w:r>
    </w:p>
    <w:p w:rsidR="00D07FD3" w:rsidRPr="005D59E2" w:rsidRDefault="00D07FD3" w:rsidP="00D07FD3">
      <w:pPr>
        <w:spacing w:line="240" w:lineRule="auto"/>
        <w:jc w:val="both"/>
        <w:rPr>
          <w:rFonts w:ascii="Times New Roman" w:hAnsi="Times New Roman" w:cs="Times New Roman"/>
          <w:sz w:val="24"/>
          <w:szCs w:val="24"/>
          <w:shd w:val="clear" w:color="auto" w:fill="FFFFFF"/>
        </w:rPr>
      </w:pPr>
      <w:r w:rsidRPr="005D59E2">
        <w:rPr>
          <w:rFonts w:ascii="Times New Roman" w:hAnsi="Times New Roman" w:cs="Times New Roman"/>
          <w:sz w:val="24"/>
          <w:szCs w:val="24"/>
          <w:shd w:val="clear" w:color="auto" w:fill="FFFFFF"/>
        </w:rPr>
        <w:t>Impacto económico: La implementación del cheque escolar requiere una inversión significativa que podría suponer un reto para las arcas públicas, especialmente en un contexto de descentralización.</w:t>
      </w:r>
    </w:p>
    <w:p w:rsidR="00D07FD3" w:rsidRPr="005D59E2" w:rsidRDefault="00D07FD3" w:rsidP="00D07FD3">
      <w:pPr>
        <w:spacing w:line="240" w:lineRule="auto"/>
        <w:jc w:val="both"/>
        <w:rPr>
          <w:rFonts w:ascii="Times New Roman" w:hAnsi="Times New Roman" w:cs="Times New Roman"/>
          <w:sz w:val="24"/>
          <w:szCs w:val="24"/>
          <w:shd w:val="clear" w:color="auto" w:fill="FFFFFF"/>
        </w:rPr>
      </w:pPr>
      <w:r w:rsidRPr="005D59E2">
        <w:rPr>
          <w:rFonts w:ascii="Times New Roman" w:hAnsi="Times New Roman" w:cs="Times New Roman"/>
          <w:sz w:val="24"/>
          <w:szCs w:val="24"/>
          <w:shd w:val="clear" w:color="auto" w:fill="FFFFFF"/>
        </w:rPr>
        <w:t xml:space="preserve">Posible exclusión de familias vulnerables: Si el importe del cheque no es suficiente para cubrir los costos de los centros privados, las familias con menos recursos podrían quedar excluidas de la posibilidad de elegir. </w:t>
      </w:r>
    </w:p>
    <w:p w:rsidR="00D07FD3" w:rsidRPr="005D59E2" w:rsidRDefault="00D07FD3" w:rsidP="00D07FD3">
      <w:pPr>
        <w:spacing w:line="240" w:lineRule="auto"/>
        <w:jc w:val="both"/>
        <w:rPr>
          <w:rFonts w:ascii="Times New Roman" w:hAnsi="Times New Roman" w:cs="Times New Roman"/>
          <w:sz w:val="24"/>
          <w:szCs w:val="24"/>
          <w:shd w:val="clear" w:color="auto" w:fill="FFFFFF"/>
        </w:rPr>
      </w:pPr>
      <w:r w:rsidRPr="005D59E2">
        <w:rPr>
          <w:rFonts w:ascii="Times New Roman" w:hAnsi="Times New Roman" w:cs="Times New Roman"/>
          <w:sz w:val="24"/>
          <w:szCs w:val="24"/>
          <w:shd w:val="clear" w:color="auto" w:fill="FFFFFF"/>
        </w:rPr>
        <w:t xml:space="preserve">Experiencias en otros países: Si bien el cheque escolar no se aplica de forma generalizada en España, existen experiencias limitadas en algunas comunidades autónomas y ayuntamientos, así como en otros países como Chile o Suecia, donde se han implementado sistemas de voucher educativo con resultados diversos, según algunas fuentes. </w:t>
      </w:r>
    </w:p>
    <w:p w:rsidR="00D07FD3" w:rsidRPr="00481F07" w:rsidRDefault="00D07FD3" w:rsidP="00D07FD3">
      <w:pPr>
        <w:spacing w:line="240" w:lineRule="auto"/>
        <w:jc w:val="both"/>
        <w:rPr>
          <w:rFonts w:ascii="Times New Roman" w:hAnsi="Times New Roman" w:cs="Times New Roman"/>
          <w:color w:val="FF0000"/>
          <w:sz w:val="24"/>
          <w:szCs w:val="24"/>
          <w:shd w:val="clear" w:color="auto" w:fill="FFFFFF"/>
        </w:rPr>
      </w:pPr>
      <w:r w:rsidRPr="00481F07">
        <w:rPr>
          <w:rFonts w:ascii="Times New Roman" w:hAnsi="Times New Roman" w:cs="Times New Roman"/>
          <w:b/>
          <w:color w:val="FF0000"/>
          <w:sz w:val="24"/>
          <w:szCs w:val="24"/>
          <w:shd w:val="clear" w:color="auto" w:fill="FFFFFF"/>
        </w:rPr>
        <w:t>Nota</w:t>
      </w:r>
      <w:r w:rsidR="00434850">
        <w:rPr>
          <w:rFonts w:ascii="Times New Roman" w:hAnsi="Times New Roman" w:cs="Times New Roman"/>
          <w:b/>
          <w:color w:val="FF0000"/>
          <w:sz w:val="24"/>
          <w:szCs w:val="24"/>
          <w:shd w:val="clear" w:color="auto" w:fill="FFFFFF"/>
        </w:rPr>
        <w:t xml:space="preserve"> I</w:t>
      </w:r>
      <w:r w:rsidRPr="00481F07">
        <w:rPr>
          <w:rFonts w:ascii="Times New Roman" w:hAnsi="Times New Roman" w:cs="Times New Roman"/>
          <w:color w:val="FF0000"/>
          <w:sz w:val="24"/>
          <w:szCs w:val="24"/>
          <w:shd w:val="clear" w:color="auto" w:fill="FFFFFF"/>
        </w:rPr>
        <w:t>: España lleva un largo período sometida a la más desacomplejada ortodoxia pedagógica de la izquierda y los resultados no han podido ser más calamitosos. Al generalizar la idea de que el esfuerzo y la excelencia son prejuicios burgueses que hay que eliminar de una sociedad progresista, se ha logrado extender la mediocridad a todo el país, sesgando las expectativas laborales de las nuevas generaciones.</w:t>
      </w:r>
    </w:p>
    <w:p w:rsidR="00D07FD3" w:rsidRPr="005D59E2" w:rsidRDefault="00D07FD3" w:rsidP="00D07FD3">
      <w:pPr>
        <w:spacing w:line="240" w:lineRule="auto"/>
        <w:jc w:val="both"/>
        <w:rPr>
          <w:rFonts w:ascii="Times New Roman" w:hAnsi="Times New Roman" w:cs="Times New Roman"/>
          <w:sz w:val="24"/>
          <w:szCs w:val="24"/>
          <w:shd w:val="clear" w:color="auto" w:fill="FFFFFF"/>
        </w:rPr>
      </w:pPr>
      <w:r w:rsidRPr="005D59E2">
        <w:rPr>
          <w:rFonts w:ascii="Times New Roman" w:hAnsi="Times New Roman" w:cs="Times New Roman"/>
          <w:sz w:val="24"/>
          <w:szCs w:val="24"/>
          <w:shd w:val="clear" w:color="auto" w:fill="FFFFFF"/>
        </w:rPr>
        <w:t>La alta tasa de desempleo juvenil, los mediocres resultados del informe PISA, el significativo porcentaje de jóvenes que ni estudian ni trabajan (ninis), ponen el dedo en una de las llagas más abiertas de nuestra sociedad y de nuestra economía: no estamos instruyendo adecuadamente a los niños y adolescentes españoles; al contrario, nuestro sistema público diseñado por la izquierda los está condenando o al fracaso escolar o padecer unos estándares educativos muy deficientes en comparación con los países de nuestro entorno.</w:t>
      </w:r>
    </w:p>
    <w:p w:rsidR="00D07FD3" w:rsidRPr="005D59E2" w:rsidRDefault="00D07FD3" w:rsidP="00D07FD3">
      <w:pPr>
        <w:spacing w:line="240" w:lineRule="auto"/>
        <w:jc w:val="both"/>
        <w:rPr>
          <w:rFonts w:ascii="Times New Roman" w:hAnsi="Times New Roman" w:cs="Times New Roman"/>
          <w:sz w:val="24"/>
          <w:szCs w:val="24"/>
          <w:shd w:val="clear" w:color="auto" w:fill="FFFFFF"/>
        </w:rPr>
      </w:pPr>
      <w:r w:rsidRPr="005D59E2">
        <w:rPr>
          <w:rFonts w:ascii="Times New Roman" w:hAnsi="Times New Roman" w:cs="Times New Roman"/>
          <w:sz w:val="24"/>
          <w:szCs w:val="24"/>
          <w:shd w:val="clear" w:color="auto" w:fill="FFFFFF"/>
        </w:rPr>
        <w:t xml:space="preserve">A la vista de sus paupérrimos resultados, es hora de desmontarlo de arriba abajo: ya sea por convicción de que la pedagogía socialista no funciona o porque el atraso educativo es uno de los lastres más antisociales y más contrarios a la promoción económica que puede padecer una comunidad, ambos partidos deberían ponerse de acuerdo para emprender una reforma educativa ambiciosa que dotara a España de una nueva organización educativa estable y eficiente. </w:t>
      </w:r>
    </w:p>
    <w:p w:rsidR="00D07FD3" w:rsidRPr="005D59E2" w:rsidRDefault="00D07FD3" w:rsidP="00D07FD3">
      <w:pPr>
        <w:spacing w:line="240" w:lineRule="auto"/>
        <w:jc w:val="both"/>
        <w:rPr>
          <w:rFonts w:ascii="Times New Roman" w:hAnsi="Times New Roman" w:cs="Times New Roman"/>
          <w:sz w:val="24"/>
          <w:szCs w:val="24"/>
          <w:shd w:val="clear" w:color="auto" w:fill="FFFFFF"/>
        </w:rPr>
      </w:pPr>
      <w:r w:rsidRPr="005D59E2">
        <w:rPr>
          <w:rFonts w:ascii="Times New Roman" w:hAnsi="Times New Roman" w:cs="Times New Roman"/>
          <w:sz w:val="24"/>
          <w:szCs w:val="24"/>
          <w:shd w:val="clear" w:color="auto" w:fill="FFFFFF"/>
        </w:rPr>
        <w:t>Es necesario restaurar los valores del esfuerzo, la excelencia o la competencia dentro y fuera de nuestras aulas; y una herramienta básica para ello sería instaurar el cheque escolar: permitir que cada familia escoja el centro de enseñanza que considere mejor para sus hijos. De este modo, cada escuela competiría por ofrecer la mejor formación para los alumnos y, de paso, despojaríamos a los políticos de esa peligrosísima arma que es utilizar los planes de estudio para inculcar el ideario de su partido a los más pequeños.</w:t>
      </w:r>
    </w:p>
    <w:p w:rsidR="00D07FD3" w:rsidRDefault="00D07FD3" w:rsidP="00D07FD3">
      <w:pPr>
        <w:spacing w:line="240" w:lineRule="auto"/>
        <w:jc w:val="both"/>
        <w:rPr>
          <w:rFonts w:ascii="Times New Roman" w:hAnsi="Times New Roman" w:cs="Times New Roman"/>
          <w:color w:val="FF0000"/>
          <w:sz w:val="24"/>
          <w:szCs w:val="24"/>
          <w:shd w:val="clear" w:color="auto" w:fill="FFFFFF"/>
        </w:rPr>
      </w:pPr>
      <w:r w:rsidRPr="00553DB0">
        <w:rPr>
          <w:rFonts w:ascii="Times New Roman" w:hAnsi="Times New Roman" w:cs="Times New Roman"/>
          <w:b/>
          <w:color w:val="FF0000"/>
          <w:sz w:val="24"/>
          <w:szCs w:val="24"/>
          <w:shd w:val="clear" w:color="auto" w:fill="FFFFFF"/>
        </w:rPr>
        <w:t>Nota</w:t>
      </w:r>
      <w:r w:rsidR="00434850">
        <w:rPr>
          <w:rFonts w:ascii="Times New Roman" w:hAnsi="Times New Roman" w:cs="Times New Roman"/>
          <w:b/>
          <w:color w:val="FF0000"/>
          <w:sz w:val="24"/>
          <w:szCs w:val="24"/>
          <w:shd w:val="clear" w:color="auto" w:fill="FFFFFF"/>
        </w:rPr>
        <w:t xml:space="preserve"> II</w:t>
      </w:r>
      <w:r w:rsidRPr="00553DB0">
        <w:rPr>
          <w:rFonts w:ascii="Times New Roman" w:hAnsi="Times New Roman" w:cs="Times New Roman"/>
          <w:color w:val="FF0000"/>
          <w:sz w:val="24"/>
          <w:szCs w:val="24"/>
          <w:shd w:val="clear" w:color="auto" w:fill="FFFFFF"/>
        </w:rPr>
        <w:t>: España requiere con urgencia de una reforma educativa y esta pasa, entre otros puntos, por el cheque escolar; un imprescindible contrapeso a la degradación de la enseñanza y al afán adoctrinador de nuestras elites gobernantes.</w:t>
      </w:r>
    </w:p>
    <w:p w:rsidR="00434850" w:rsidRDefault="00434850" w:rsidP="00D07FD3">
      <w:pPr>
        <w:spacing w:line="240" w:lineRule="auto"/>
        <w:jc w:val="both"/>
        <w:rPr>
          <w:rFonts w:ascii="Times New Roman" w:hAnsi="Times New Roman" w:cs="Times New Roman"/>
          <w:color w:val="FF0000"/>
          <w:sz w:val="24"/>
          <w:szCs w:val="24"/>
          <w:shd w:val="clear" w:color="auto" w:fill="FFFFFF"/>
        </w:rPr>
      </w:pPr>
    </w:p>
    <w:p w:rsidR="00434850" w:rsidRDefault="00434850" w:rsidP="00D07FD3">
      <w:pPr>
        <w:spacing w:line="240" w:lineRule="auto"/>
        <w:jc w:val="both"/>
        <w:rPr>
          <w:rFonts w:ascii="Times New Roman" w:hAnsi="Times New Roman" w:cs="Times New Roman"/>
          <w:color w:val="FF0000"/>
          <w:sz w:val="24"/>
          <w:szCs w:val="24"/>
          <w:shd w:val="clear" w:color="auto" w:fill="FFFFFF"/>
        </w:rPr>
      </w:pPr>
    </w:p>
    <w:p w:rsidR="00434850" w:rsidRPr="005D59E2" w:rsidRDefault="00434850" w:rsidP="00434850">
      <w:pPr>
        <w:spacing w:line="240" w:lineRule="auto"/>
        <w:jc w:val="both"/>
        <w:rPr>
          <w:rFonts w:ascii="Times New Roman" w:hAnsi="Times New Roman" w:cs="Times New Roman"/>
          <w:color w:val="FF0000"/>
          <w:sz w:val="24"/>
          <w:szCs w:val="24"/>
          <w:shd w:val="clear" w:color="auto" w:fill="FFFFFF"/>
        </w:rPr>
      </w:pPr>
      <w:r w:rsidRPr="005D59E2">
        <w:rPr>
          <w:rFonts w:ascii="Times New Roman" w:hAnsi="Times New Roman" w:cs="Times New Roman"/>
          <w:color w:val="FF0000"/>
          <w:sz w:val="24"/>
          <w:szCs w:val="24"/>
          <w:shd w:val="clear" w:color="auto" w:fill="FFFFFF"/>
        </w:rPr>
        <w:lastRenderedPageBreak/>
        <w:t>- No permitir el uso de la Sanidad Pública a los inmigrantes sin contrato laboral</w:t>
      </w:r>
      <w:r>
        <w:rPr>
          <w:rFonts w:ascii="Times New Roman" w:hAnsi="Times New Roman" w:cs="Times New Roman"/>
          <w:color w:val="FF0000"/>
          <w:sz w:val="24"/>
          <w:szCs w:val="24"/>
          <w:shd w:val="clear" w:color="auto" w:fill="FFFFFF"/>
        </w:rPr>
        <w:t xml:space="preserve"> (y familiares)</w:t>
      </w:r>
    </w:p>
    <w:p w:rsidR="00434850" w:rsidRPr="0054143F" w:rsidRDefault="00434850" w:rsidP="00434850">
      <w:pPr>
        <w:spacing w:line="240" w:lineRule="auto"/>
        <w:jc w:val="both"/>
        <w:rPr>
          <w:rFonts w:ascii="Times New Roman" w:hAnsi="Times New Roman" w:cs="Times New Roman"/>
          <w:sz w:val="24"/>
          <w:szCs w:val="24"/>
          <w:shd w:val="clear" w:color="auto" w:fill="FFFFFF"/>
        </w:rPr>
      </w:pPr>
      <w:r w:rsidRPr="0054143F">
        <w:rPr>
          <w:rFonts w:ascii="Times New Roman" w:hAnsi="Times New Roman" w:cs="Times New Roman"/>
          <w:sz w:val="24"/>
          <w:szCs w:val="24"/>
          <w:shd w:val="clear" w:color="auto" w:fill="FFFFFF"/>
        </w:rPr>
        <w:t>El coste promedio por paciente en la sanidad pública en España es de 2.187 euros anuales, según datos de 2024. Este gasto ha ido incrementando en los últimos años, con un aumento del 4.59% en 2024 con respecto al año anterior, según Datosmacro.com.</w:t>
      </w:r>
    </w:p>
    <w:p w:rsidR="00434850" w:rsidRPr="0054143F" w:rsidRDefault="00434850" w:rsidP="00434850">
      <w:pPr>
        <w:spacing w:line="240" w:lineRule="auto"/>
        <w:jc w:val="both"/>
        <w:rPr>
          <w:rFonts w:ascii="Times New Roman" w:hAnsi="Times New Roman" w:cs="Times New Roman"/>
          <w:sz w:val="24"/>
          <w:szCs w:val="24"/>
          <w:shd w:val="clear" w:color="auto" w:fill="FFFFFF"/>
        </w:rPr>
      </w:pPr>
      <w:r w:rsidRPr="0054143F">
        <w:rPr>
          <w:rFonts w:ascii="Times New Roman" w:hAnsi="Times New Roman" w:cs="Times New Roman"/>
          <w:sz w:val="24"/>
          <w:szCs w:val="24"/>
          <w:shd w:val="clear" w:color="auto" w:fill="FFFFFF"/>
        </w:rPr>
        <w:t>A fecha de 1 de enero de 2024, había 6.502.282 personas de nacionalidad extranjera residiendo en España, según el INE. De estas, 3.770.958 tenían un certificado de registro o tarjeta de residencia en vigor, según el Observatorio Permanente de la Inmigración. Además, 216.359 personas extranjeras tenían una tarjeta TIE-Acuerdo de Retirada.</w:t>
      </w:r>
    </w:p>
    <w:p w:rsidR="00434850" w:rsidRPr="0054143F" w:rsidRDefault="00434850" w:rsidP="00434850">
      <w:pPr>
        <w:spacing w:line="240" w:lineRule="auto"/>
        <w:jc w:val="both"/>
        <w:rPr>
          <w:rFonts w:ascii="Times New Roman" w:hAnsi="Times New Roman" w:cs="Times New Roman"/>
          <w:sz w:val="24"/>
          <w:szCs w:val="24"/>
          <w:shd w:val="clear" w:color="auto" w:fill="FFFFFF"/>
        </w:rPr>
      </w:pPr>
      <w:r w:rsidRPr="0054143F">
        <w:rPr>
          <w:rFonts w:ascii="Times New Roman" w:hAnsi="Times New Roman" w:cs="Times New Roman"/>
          <w:sz w:val="24"/>
          <w:szCs w:val="24"/>
          <w:shd w:val="clear" w:color="auto" w:fill="FFFFFF"/>
        </w:rPr>
        <w:t>El número de personas extranjeras en España a 31 de marzo de 2025, con autorización de residencia en vigor se sitúa en 3.299.701; con certificado de registro, en 3.770.958; y con TIE-Acuerdo de Retirada, en 216.359.</w:t>
      </w:r>
    </w:p>
    <w:p w:rsidR="00434850" w:rsidRPr="0054143F" w:rsidRDefault="00434850" w:rsidP="00434850">
      <w:pPr>
        <w:spacing w:line="240" w:lineRule="auto"/>
        <w:jc w:val="both"/>
        <w:rPr>
          <w:rFonts w:ascii="Times New Roman" w:hAnsi="Times New Roman" w:cs="Times New Roman"/>
          <w:sz w:val="24"/>
          <w:szCs w:val="24"/>
          <w:shd w:val="clear" w:color="auto" w:fill="FFFFFF"/>
        </w:rPr>
      </w:pPr>
      <w:r w:rsidRPr="0054143F">
        <w:rPr>
          <w:rFonts w:ascii="Times New Roman" w:hAnsi="Times New Roman" w:cs="Times New Roman"/>
          <w:sz w:val="24"/>
          <w:szCs w:val="24"/>
          <w:shd w:val="clear" w:color="auto" w:fill="FFFFFF"/>
        </w:rPr>
        <w:t>En España, hay aproximadamente 2,85 millones de inmigrantes afiliados a la Seguridad Social, lo que representa el 13,47% del total de afiliados, según el Servicio Público de Empleo Estatal. Además, el Ministerio de Inclusión, Seguridad Social y Migraciones informa que hay 3.299.701 personas extranjeras con autorización de residencia en vigor a fecha 31 de marzo de 2025, según el Observatorio Permanente de la Inmigración.</w:t>
      </w:r>
    </w:p>
    <w:p w:rsidR="00434850" w:rsidRPr="0054143F" w:rsidRDefault="00434850" w:rsidP="00434850">
      <w:pPr>
        <w:spacing w:line="240" w:lineRule="auto"/>
        <w:jc w:val="both"/>
        <w:rPr>
          <w:rFonts w:ascii="Times New Roman" w:hAnsi="Times New Roman" w:cs="Times New Roman"/>
          <w:sz w:val="24"/>
          <w:szCs w:val="24"/>
          <w:shd w:val="clear" w:color="auto" w:fill="FFFFFF"/>
        </w:rPr>
      </w:pPr>
      <w:r w:rsidRPr="0054143F">
        <w:rPr>
          <w:rFonts w:ascii="Times New Roman" w:hAnsi="Times New Roman" w:cs="Times New Roman"/>
          <w:sz w:val="24"/>
          <w:szCs w:val="24"/>
          <w:shd w:val="clear" w:color="auto" w:fill="FFFFFF"/>
        </w:rPr>
        <w:t>Un juego de números:</w:t>
      </w:r>
    </w:p>
    <w:p w:rsidR="00434850" w:rsidRPr="0054143F" w:rsidRDefault="00434850" w:rsidP="00434850">
      <w:pPr>
        <w:spacing w:line="240" w:lineRule="auto"/>
        <w:jc w:val="both"/>
        <w:rPr>
          <w:rFonts w:ascii="Times New Roman" w:hAnsi="Times New Roman" w:cs="Times New Roman"/>
          <w:sz w:val="24"/>
          <w:szCs w:val="24"/>
          <w:shd w:val="clear" w:color="auto" w:fill="FFFFFF"/>
        </w:rPr>
      </w:pPr>
      <w:r w:rsidRPr="0054143F">
        <w:rPr>
          <w:rFonts w:ascii="Times New Roman" w:hAnsi="Times New Roman" w:cs="Times New Roman"/>
          <w:sz w:val="24"/>
          <w:szCs w:val="24"/>
          <w:shd w:val="clear" w:color="auto" w:fill="FFFFFF"/>
        </w:rPr>
        <w:t>3,29 millones de inmigrantes con autorización de residencia - 2,85 millones de inmigrantes afiliados a la Seguridad Social = 440.000 inmigrantes que están empadronados sin tener contrato de trabajo.</w:t>
      </w:r>
    </w:p>
    <w:p w:rsidR="00434850" w:rsidRPr="0054143F" w:rsidRDefault="00434850" w:rsidP="00434850">
      <w:pPr>
        <w:spacing w:line="240" w:lineRule="auto"/>
        <w:jc w:val="both"/>
        <w:rPr>
          <w:rFonts w:ascii="Times New Roman" w:hAnsi="Times New Roman" w:cs="Times New Roman"/>
          <w:sz w:val="24"/>
          <w:szCs w:val="24"/>
          <w:shd w:val="clear" w:color="auto" w:fill="FFFFFF"/>
        </w:rPr>
      </w:pPr>
      <w:r w:rsidRPr="0054143F">
        <w:rPr>
          <w:rFonts w:ascii="Times New Roman" w:hAnsi="Times New Roman" w:cs="Times New Roman"/>
          <w:sz w:val="24"/>
          <w:szCs w:val="24"/>
          <w:shd w:val="clear" w:color="auto" w:fill="FFFFFF"/>
        </w:rPr>
        <w:t xml:space="preserve">440.000 inmigrantes empadronados (con derecho a utilizar la sanidad pública) x  2.187 euros anuales (coste promedio por paciente en la sanidad pública) = 962.280.000 millones de euros.  </w:t>
      </w:r>
    </w:p>
    <w:p w:rsidR="00434850" w:rsidRDefault="00434850" w:rsidP="00434850">
      <w:pPr>
        <w:spacing w:line="240" w:lineRule="auto"/>
        <w:jc w:val="both"/>
        <w:rPr>
          <w:rFonts w:ascii="Times New Roman" w:hAnsi="Times New Roman" w:cs="Times New Roman"/>
          <w:color w:val="FF0000"/>
          <w:sz w:val="24"/>
          <w:szCs w:val="24"/>
          <w:shd w:val="clear" w:color="auto" w:fill="FFFFFF"/>
        </w:rPr>
      </w:pPr>
      <w:r w:rsidRPr="0054143F">
        <w:rPr>
          <w:rFonts w:ascii="Times New Roman" w:hAnsi="Times New Roman" w:cs="Times New Roman"/>
          <w:color w:val="FF0000"/>
          <w:sz w:val="24"/>
          <w:szCs w:val="24"/>
          <w:shd w:val="clear" w:color="auto" w:fill="FFFFFF"/>
        </w:rPr>
        <w:t>- No permitir el uso de la Educación Pública a los</w:t>
      </w:r>
      <w:r>
        <w:rPr>
          <w:rFonts w:ascii="Times New Roman" w:hAnsi="Times New Roman" w:cs="Times New Roman"/>
          <w:color w:val="FF0000"/>
          <w:sz w:val="24"/>
          <w:szCs w:val="24"/>
          <w:shd w:val="clear" w:color="auto" w:fill="FFFFFF"/>
        </w:rPr>
        <w:t xml:space="preserve"> familiares de los</w:t>
      </w:r>
      <w:r w:rsidRPr="0054143F">
        <w:rPr>
          <w:rFonts w:ascii="Times New Roman" w:hAnsi="Times New Roman" w:cs="Times New Roman"/>
          <w:color w:val="FF0000"/>
          <w:sz w:val="24"/>
          <w:szCs w:val="24"/>
          <w:shd w:val="clear" w:color="auto" w:fill="FFFFFF"/>
        </w:rPr>
        <w:t xml:space="preserve"> inmigrantes sin contrato laboral</w:t>
      </w:r>
    </w:p>
    <w:p w:rsidR="00434850" w:rsidRDefault="00434850" w:rsidP="00434850">
      <w:pPr>
        <w:shd w:val="clear" w:color="auto" w:fill="FFFFFF"/>
        <w:spacing w:line="240" w:lineRule="auto"/>
        <w:jc w:val="both"/>
        <w:rPr>
          <w:rFonts w:ascii="Times New Roman" w:eastAsia="Times New Roman" w:hAnsi="Times New Roman" w:cs="Times New Roman"/>
          <w:color w:val="001D35"/>
          <w:sz w:val="24"/>
          <w:szCs w:val="24"/>
          <w:lang w:eastAsia="es-ES"/>
        </w:rPr>
      </w:pPr>
      <w:r w:rsidRPr="0054143F">
        <w:rPr>
          <w:rFonts w:ascii="Times New Roman" w:eastAsia="Times New Roman" w:hAnsi="Times New Roman" w:cs="Times New Roman"/>
          <w:color w:val="001D35"/>
          <w:sz w:val="24"/>
          <w:szCs w:val="24"/>
          <w:lang w:eastAsia="es-ES"/>
        </w:rPr>
        <w:t>El gasto público promedio por alumno en la educación pública en España ronda los 6.622 euros anuales. Este gasto varía según la etapa educativa, siendo más bajo en infantil y más alto en educación superior. </w:t>
      </w:r>
    </w:p>
    <w:p w:rsidR="00434850" w:rsidRDefault="00434850" w:rsidP="00434850">
      <w:pPr>
        <w:shd w:val="clear" w:color="auto" w:fill="FFFFFF"/>
        <w:spacing w:line="240" w:lineRule="auto"/>
        <w:jc w:val="both"/>
        <w:rPr>
          <w:rFonts w:ascii="Times New Roman" w:eastAsia="Times New Roman" w:hAnsi="Times New Roman" w:cs="Times New Roman"/>
          <w:color w:val="001D35"/>
          <w:sz w:val="24"/>
          <w:szCs w:val="24"/>
          <w:lang w:eastAsia="es-ES"/>
        </w:rPr>
      </w:pPr>
      <w:r w:rsidRPr="0054143F">
        <w:rPr>
          <w:rFonts w:ascii="Times New Roman" w:eastAsia="Times New Roman" w:hAnsi="Times New Roman" w:cs="Times New Roman"/>
          <w:color w:val="001D35"/>
          <w:sz w:val="24"/>
          <w:szCs w:val="24"/>
          <w:lang w:eastAsia="es-ES"/>
        </w:rPr>
        <w:t>En la educación pública española, el porcentaje de estudiantes extranjeros varía según la fuente y el nivel educativo, pero generalmente se encuentra alrededor del 13.6% en centros públicos, según El Mundo. En el curso 2023-2024, el número total de estudiantes matriculados en enseñanzas no universitarias fue de 8.337.537, según datos del Gobierno.</w:t>
      </w:r>
    </w:p>
    <w:p w:rsidR="00434850" w:rsidRDefault="00434850" w:rsidP="00434850">
      <w:pPr>
        <w:shd w:val="clear" w:color="auto" w:fill="FFFFFF"/>
        <w:spacing w:line="240" w:lineRule="auto"/>
        <w:jc w:val="both"/>
        <w:rPr>
          <w:rFonts w:ascii="Times New Roman" w:eastAsia="Times New Roman" w:hAnsi="Times New Roman" w:cs="Times New Roman"/>
          <w:color w:val="001D35"/>
          <w:sz w:val="24"/>
          <w:szCs w:val="24"/>
          <w:lang w:eastAsia="es-ES"/>
        </w:rPr>
      </w:pPr>
      <w:r>
        <w:rPr>
          <w:rFonts w:ascii="Times New Roman" w:eastAsia="Times New Roman" w:hAnsi="Times New Roman" w:cs="Times New Roman"/>
          <w:color w:val="001D35"/>
          <w:sz w:val="24"/>
          <w:szCs w:val="24"/>
          <w:lang w:eastAsia="es-ES"/>
        </w:rPr>
        <w:t>Suponiendo que se mantenga la misma relación afiliados a la seguridad social, y empadronados:</w:t>
      </w:r>
    </w:p>
    <w:p w:rsidR="00434850" w:rsidRDefault="00434850" w:rsidP="00434850">
      <w:pPr>
        <w:shd w:val="clear" w:color="auto" w:fill="FFFFFF"/>
        <w:spacing w:line="240" w:lineRule="auto"/>
        <w:jc w:val="both"/>
        <w:rPr>
          <w:rFonts w:ascii="Times New Roman" w:eastAsia="Times New Roman" w:hAnsi="Times New Roman" w:cs="Times New Roman"/>
          <w:color w:val="001D35"/>
          <w:sz w:val="24"/>
          <w:szCs w:val="24"/>
          <w:lang w:eastAsia="es-ES"/>
        </w:rPr>
      </w:pPr>
      <w:r>
        <w:rPr>
          <w:rFonts w:ascii="Times New Roman" w:eastAsia="Times New Roman" w:hAnsi="Times New Roman" w:cs="Times New Roman"/>
          <w:color w:val="001D35"/>
          <w:sz w:val="24"/>
          <w:szCs w:val="24"/>
          <w:lang w:eastAsia="es-ES"/>
        </w:rPr>
        <w:t>440.000 inmigrantes empadronados / 2.850.000 inmigrantes afiliados a la seguridad social = 15,44 %</w:t>
      </w:r>
    </w:p>
    <w:p w:rsidR="00434850" w:rsidRDefault="00434850" w:rsidP="00434850">
      <w:pPr>
        <w:shd w:val="clear" w:color="auto" w:fill="FFFFFF"/>
        <w:spacing w:line="240" w:lineRule="auto"/>
        <w:jc w:val="both"/>
        <w:rPr>
          <w:rFonts w:ascii="Times New Roman" w:eastAsia="Times New Roman" w:hAnsi="Times New Roman" w:cs="Times New Roman"/>
          <w:color w:val="001D35"/>
          <w:sz w:val="24"/>
          <w:szCs w:val="24"/>
          <w:lang w:eastAsia="es-ES"/>
        </w:rPr>
      </w:pPr>
      <w:r>
        <w:rPr>
          <w:rFonts w:ascii="Times New Roman" w:eastAsia="Times New Roman" w:hAnsi="Times New Roman" w:cs="Times New Roman"/>
          <w:color w:val="001D35"/>
          <w:sz w:val="24"/>
          <w:szCs w:val="24"/>
          <w:lang w:eastAsia="es-ES"/>
        </w:rPr>
        <w:t>Si se aplica ese porcentaje a los 590.130 jóvenes de 0 a 14 años, tenemos: 91.116 jóvenes.</w:t>
      </w:r>
    </w:p>
    <w:p w:rsidR="00434850" w:rsidRDefault="00434850" w:rsidP="00434850">
      <w:pPr>
        <w:shd w:val="clear" w:color="auto" w:fill="FFFFFF"/>
        <w:spacing w:line="240" w:lineRule="auto"/>
        <w:jc w:val="both"/>
        <w:rPr>
          <w:rFonts w:ascii="Times New Roman" w:eastAsia="Times New Roman" w:hAnsi="Times New Roman" w:cs="Times New Roman"/>
          <w:color w:val="001D35"/>
          <w:sz w:val="24"/>
          <w:szCs w:val="24"/>
          <w:lang w:eastAsia="es-ES"/>
        </w:rPr>
      </w:pPr>
      <w:r>
        <w:rPr>
          <w:rFonts w:ascii="Times New Roman" w:eastAsia="Times New Roman" w:hAnsi="Times New Roman" w:cs="Times New Roman"/>
          <w:color w:val="001D35"/>
          <w:sz w:val="24"/>
          <w:szCs w:val="24"/>
          <w:lang w:eastAsia="es-ES"/>
        </w:rPr>
        <w:t xml:space="preserve">Si se aplica ese porcentaje a los 2.095.632 jóvenes de 15 a 29 años, tenemos: 323.566 jóvenes. </w:t>
      </w:r>
    </w:p>
    <w:p w:rsidR="00434850" w:rsidRDefault="00434850" w:rsidP="00434850">
      <w:pPr>
        <w:shd w:val="clear" w:color="auto" w:fill="FFFFFF"/>
        <w:spacing w:line="240" w:lineRule="auto"/>
        <w:jc w:val="both"/>
        <w:rPr>
          <w:rFonts w:ascii="Times New Roman" w:eastAsia="Times New Roman" w:hAnsi="Times New Roman" w:cs="Times New Roman"/>
          <w:color w:val="001D35"/>
          <w:sz w:val="24"/>
          <w:szCs w:val="24"/>
          <w:lang w:eastAsia="es-ES"/>
        </w:rPr>
      </w:pPr>
      <w:r>
        <w:rPr>
          <w:rFonts w:ascii="Times New Roman" w:eastAsia="Times New Roman" w:hAnsi="Times New Roman" w:cs="Times New Roman"/>
          <w:color w:val="001D35"/>
          <w:sz w:val="24"/>
          <w:szCs w:val="24"/>
          <w:lang w:eastAsia="es-ES"/>
        </w:rPr>
        <w:lastRenderedPageBreak/>
        <w:t xml:space="preserve">Aplicando el gasto </w:t>
      </w:r>
      <w:r w:rsidRPr="0054143F">
        <w:rPr>
          <w:rFonts w:ascii="Times New Roman" w:eastAsia="Times New Roman" w:hAnsi="Times New Roman" w:cs="Times New Roman"/>
          <w:color w:val="001D35"/>
          <w:sz w:val="24"/>
          <w:szCs w:val="24"/>
          <w:lang w:eastAsia="es-ES"/>
        </w:rPr>
        <w:t>público promedio por alumno en la educación pública en Españ</w:t>
      </w:r>
      <w:r>
        <w:rPr>
          <w:rFonts w:ascii="Times New Roman" w:eastAsia="Times New Roman" w:hAnsi="Times New Roman" w:cs="Times New Roman"/>
          <w:color w:val="001D35"/>
          <w:sz w:val="24"/>
          <w:szCs w:val="24"/>
          <w:lang w:eastAsia="es-ES"/>
        </w:rPr>
        <w:t>a que ronda los 6.622 euros anuales x 91.116 jóvenes inmigrantes empadronados  = 630.370.150 millones de euros.</w:t>
      </w:r>
    </w:p>
    <w:p w:rsidR="00434850" w:rsidRDefault="00434850" w:rsidP="00434850">
      <w:pPr>
        <w:shd w:val="clear" w:color="auto" w:fill="FFFFFF"/>
        <w:spacing w:line="240" w:lineRule="auto"/>
        <w:jc w:val="both"/>
        <w:rPr>
          <w:rFonts w:ascii="Times New Roman" w:eastAsia="Times New Roman" w:hAnsi="Times New Roman" w:cs="Times New Roman"/>
          <w:color w:val="001D35"/>
          <w:sz w:val="24"/>
          <w:szCs w:val="24"/>
          <w:lang w:eastAsia="es-ES"/>
        </w:rPr>
      </w:pPr>
      <w:r>
        <w:rPr>
          <w:rFonts w:ascii="Times New Roman" w:eastAsia="Times New Roman" w:hAnsi="Times New Roman" w:cs="Times New Roman"/>
          <w:color w:val="001D35"/>
          <w:sz w:val="24"/>
          <w:szCs w:val="24"/>
          <w:lang w:eastAsia="es-ES"/>
        </w:rPr>
        <w:t>Suponiendo que solo un tercio de los 323.566 jóvenes inmigrantes empadronados de 15 a 29 años de edad hagan uso de la educación pública, tendríamos: 323.566 / 3 x 6.622 euros anuales = 714.217.990 millones de euros.</w:t>
      </w:r>
    </w:p>
    <w:p w:rsidR="00434850" w:rsidRDefault="00434850" w:rsidP="00434850">
      <w:pPr>
        <w:shd w:val="clear" w:color="auto" w:fill="FFFFFF"/>
        <w:spacing w:line="240" w:lineRule="auto"/>
        <w:jc w:val="both"/>
        <w:rPr>
          <w:rFonts w:ascii="Times New Roman" w:eastAsia="Times New Roman" w:hAnsi="Times New Roman" w:cs="Times New Roman"/>
          <w:color w:val="001D35"/>
          <w:sz w:val="24"/>
          <w:szCs w:val="24"/>
          <w:lang w:eastAsia="es-ES"/>
        </w:rPr>
      </w:pPr>
      <w:r>
        <w:rPr>
          <w:rFonts w:ascii="Times New Roman" w:eastAsia="Times New Roman" w:hAnsi="Times New Roman" w:cs="Times New Roman"/>
          <w:color w:val="001D35"/>
          <w:sz w:val="24"/>
          <w:szCs w:val="24"/>
          <w:lang w:eastAsia="es-ES"/>
        </w:rPr>
        <w:t>630, 4 millones de euros + 714, 2 millones de euros = 1.344,6 millones de euros al año que el sistema de educación pública gasta en formación de jóvenes inmigrantes empadronados cuyos familiares no cotizan a la seguridad social.</w:t>
      </w:r>
    </w:p>
    <w:p w:rsidR="00434850" w:rsidRDefault="00434850" w:rsidP="00434850">
      <w:pPr>
        <w:shd w:val="clear" w:color="auto" w:fill="FFFFFF"/>
        <w:spacing w:line="240" w:lineRule="auto"/>
        <w:jc w:val="both"/>
        <w:rPr>
          <w:rFonts w:ascii="Times New Roman" w:eastAsia="Times New Roman" w:hAnsi="Times New Roman" w:cs="Times New Roman"/>
          <w:color w:val="001D35"/>
          <w:sz w:val="24"/>
          <w:szCs w:val="24"/>
          <w:lang w:eastAsia="es-ES"/>
        </w:rPr>
      </w:pPr>
      <w:r w:rsidRPr="0054143F">
        <w:rPr>
          <w:rFonts w:ascii="Times New Roman" w:eastAsia="Times New Roman" w:hAnsi="Times New Roman" w:cs="Times New Roman"/>
          <w:noProof/>
          <w:color w:val="001D35"/>
          <w:sz w:val="24"/>
          <w:szCs w:val="24"/>
          <w:lang w:eastAsia="es-ES"/>
        </w:rPr>
        <w:drawing>
          <wp:inline distT="0" distB="0" distL="0" distR="0" wp14:anchorId="15A2CA80" wp14:editId="213F5BE1">
            <wp:extent cx="5129181" cy="27813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134692" cy="2784288"/>
                    </a:xfrm>
                    <a:prstGeom prst="rect">
                      <a:avLst/>
                    </a:prstGeom>
                  </pic:spPr>
                </pic:pic>
              </a:graphicData>
            </a:graphic>
          </wp:inline>
        </w:drawing>
      </w:r>
    </w:p>
    <w:p w:rsidR="00434850" w:rsidRDefault="00434850" w:rsidP="00434850">
      <w:pPr>
        <w:shd w:val="clear" w:color="auto" w:fill="FFFFFF"/>
        <w:spacing w:line="240" w:lineRule="auto"/>
        <w:jc w:val="both"/>
        <w:rPr>
          <w:rFonts w:ascii="Times New Roman" w:eastAsia="Times New Roman" w:hAnsi="Times New Roman" w:cs="Times New Roman"/>
          <w:color w:val="001D35"/>
          <w:sz w:val="24"/>
          <w:szCs w:val="24"/>
          <w:lang w:eastAsia="es-ES"/>
        </w:rPr>
      </w:pPr>
      <w:r w:rsidRPr="00C71650">
        <w:rPr>
          <w:rFonts w:ascii="Times New Roman" w:eastAsia="Times New Roman" w:hAnsi="Times New Roman" w:cs="Times New Roman"/>
          <w:noProof/>
          <w:color w:val="001D35"/>
          <w:sz w:val="24"/>
          <w:szCs w:val="24"/>
          <w:lang w:eastAsia="es-ES"/>
        </w:rPr>
        <w:drawing>
          <wp:inline distT="0" distB="0" distL="0" distR="0" wp14:anchorId="16B4963D" wp14:editId="28F47149">
            <wp:extent cx="5058481" cy="666843"/>
            <wp:effectExtent l="0" t="0" r="889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058481" cy="666843"/>
                    </a:xfrm>
                    <a:prstGeom prst="rect">
                      <a:avLst/>
                    </a:prstGeom>
                  </pic:spPr>
                </pic:pic>
              </a:graphicData>
            </a:graphic>
          </wp:inline>
        </w:drawing>
      </w:r>
    </w:p>
    <w:p w:rsidR="00434850" w:rsidRDefault="00434850" w:rsidP="00434850">
      <w:pPr>
        <w:shd w:val="clear" w:color="auto" w:fill="FFFFFF"/>
        <w:spacing w:line="240" w:lineRule="auto"/>
        <w:jc w:val="both"/>
        <w:rPr>
          <w:rFonts w:ascii="Times New Roman" w:eastAsia="Times New Roman" w:hAnsi="Times New Roman" w:cs="Times New Roman"/>
          <w:color w:val="FF0000"/>
          <w:sz w:val="24"/>
          <w:szCs w:val="24"/>
          <w:lang w:eastAsia="es-ES"/>
        </w:rPr>
      </w:pPr>
      <w:r w:rsidRPr="00481F07">
        <w:rPr>
          <w:rFonts w:ascii="Times New Roman" w:eastAsia="Times New Roman" w:hAnsi="Times New Roman" w:cs="Times New Roman"/>
          <w:b/>
          <w:color w:val="FF0000"/>
          <w:sz w:val="24"/>
          <w:szCs w:val="24"/>
          <w:lang w:eastAsia="es-ES"/>
        </w:rPr>
        <w:t>Nota</w:t>
      </w:r>
      <w:r w:rsidRPr="00481F07">
        <w:rPr>
          <w:rFonts w:ascii="Times New Roman" w:eastAsia="Times New Roman" w:hAnsi="Times New Roman" w:cs="Times New Roman"/>
          <w:color w:val="FF0000"/>
          <w:sz w:val="24"/>
          <w:szCs w:val="24"/>
          <w:lang w:eastAsia="es-ES"/>
        </w:rPr>
        <w:t xml:space="preserve">: ¿Ley de los grandes números? Puede ser. ¿Cálculos a mano alzada? Es probable. ¿El papel lo aguanto todo? Así dicen. Pero la única verdad, es la realidad. Y en España, hay muchos, demasiados, usuarios de la sanidad y la educación pública que no contribuyen a su mantenimiento. Se aprovechan de los complejos y debilidades del </w:t>
      </w:r>
      <w:r w:rsidR="00473932">
        <w:rPr>
          <w:rFonts w:ascii="Times New Roman" w:eastAsia="Times New Roman" w:hAnsi="Times New Roman" w:cs="Times New Roman"/>
          <w:color w:val="FF0000"/>
          <w:sz w:val="24"/>
          <w:szCs w:val="24"/>
          <w:lang w:eastAsia="es-ES"/>
        </w:rPr>
        <w:t xml:space="preserve">sistema. Solo chupan del bote. </w:t>
      </w:r>
      <w:r w:rsidRPr="00481F07">
        <w:rPr>
          <w:rFonts w:ascii="Times New Roman" w:eastAsia="Times New Roman" w:hAnsi="Times New Roman" w:cs="Times New Roman"/>
          <w:color w:val="FF0000"/>
          <w:sz w:val="24"/>
          <w:szCs w:val="24"/>
          <w:lang w:eastAsia="es-ES"/>
        </w:rPr>
        <w:t>Pero, si a la cabra no se le da de comer, no produce leche. ¿Podrán entenderlo, demandantes “aprovechaguis” (inmigrantes ilegales y ONGs) y oferentes “buenudos” (gobierno y partidos políticos)?</w:t>
      </w:r>
    </w:p>
    <w:p w:rsidR="00571C96" w:rsidRDefault="00571C96" w:rsidP="00571C96">
      <w:pPr>
        <w:spacing w:line="240" w:lineRule="auto"/>
        <w:jc w:val="both"/>
        <w:rPr>
          <w:rFonts w:ascii="Times New Roman" w:hAnsi="Times New Roman" w:cs="Times New Roman"/>
          <w:color w:val="FF0000"/>
          <w:sz w:val="24"/>
          <w:szCs w:val="24"/>
          <w:shd w:val="clear" w:color="auto" w:fill="FFFFFF"/>
        </w:rPr>
      </w:pPr>
      <w:r w:rsidRPr="00AF7E07">
        <w:rPr>
          <w:rFonts w:ascii="Times New Roman" w:hAnsi="Times New Roman" w:cs="Times New Roman"/>
          <w:color w:val="FF0000"/>
          <w:sz w:val="24"/>
          <w:szCs w:val="24"/>
          <w:shd w:val="clear" w:color="auto" w:fill="FFFFFF"/>
        </w:rPr>
        <w:t>- Eliminar el régimen de excedencias en el sector público</w:t>
      </w:r>
    </w:p>
    <w:p w:rsidR="00571C96" w:rsidRPr="00AF7E07" w:rsidRDefault="00571C96" w:rsidP="00571C96">
      <w:pPr>
        <w:shd w:val="clear" w:color="auto" w:fill="FFFFFF"/>
        <w:spacing w:line="240" w:lineRule="auto"/>
        <w:jc w:val="both"/>
        <w:rPr>
          <w:rStyle w:val="uv3um"/>
          <w:rFonts w:ascii="Times New Roman" w:hAnsi="Times New Roman" w:cs="Times New Roman"/>
          <w:sz w:val="24"/>
          <w:szCs w:val="24"/>
        </w:rPr>
      </w:pPr>
      <w:r w:rsidRPr="00AF7E07">
        <w:rPr>
          <w:rStyle w:val="oxzekf"/>
          <w:rFonts w:ascii="Times New Roman" w:hAnsi="Times New Roman" w:cs="Times New Roman"/>
          <w:sz w:val="24"/>
          <w:szCs w:val="24"/>
        </w:rPr>
        <w:t>El régimen de excedencias en la función pública permite a los funcionarios públicos suspender temporalmente su relación laboral con la administración, manteniendo ciertos derechos y obligaciones. Existen diferentes tipos de excedencias, cada una con sus propios requisitos y efectos.</w:t>
      </w:r>
      <w:r w:rsidRPr="00AF7E07">
        <w:rPr>
          <w:rStyle w:val="uv3um"/>
          <w:rFonts w:ascii="Times New Roman" w:hAnsi="Times New Roman" w:cs="Times New Roman"/>
          <w:sz w:val="24"/>
          <w:szCs w:val="24"/>
        </w:rPr>
        <w:t> </w:t>
      </w:r>
    </w:p>
    <w:p w:rsidR="00571C96" w:rsidRPr="00AF7E07" w:rsidRDefault="00571C96" w:rsidP="00571C96">
      <w:pPr>
        <w:shd w:val="clear" w:color="auto" w:fill="FFFFFF"/>
        <w:spacing w:line="240" w:lineRule="auto"/>
        <w:jc w:val="both"/>
        <w:rPr>
          <w:rFonts w:ascii="Times New Roman" w:hAnsi="Times New Roman" w:cs="Times New Roman"/>
          <w:sz w:val="24"/>
          <w:szCs w:val="24"/>
        </w:rPr>
      </w:pPr>
      <w:r w:rsidRPr="00AF7E07">
        <w:rPr>
          <w:rFonts w:ascii="Times New Roman" w:hAnsi="Times New Roman" w:cs="Times New Roman"/>
          <w:sz w:val="24"/>
          <w:szCs w:val="24"/>
        </w:rPr>
        <w:t>Tipos de Excedencias en la Función Pública:</w:t>
      </w:r>
    </w:p>
    <w:p w:rsidR="00571C96" w:rsidRPr="00AF7E07" w:rsidRDefault="00571C96" w:rsidP="00571C96">
      <w:pPr>
        <w:shd w:val="clear" w:color="auto" w:fill="FFFFFF"/>
        <w:spacing w:after="120" w:line="240" w:lineRule="auto"/>
        <w:jc w:val="both"/>
        <w:rPr>
          <w:rFonts w:ascii="Times New Roman" w:hAnsi="Times New Roman" w:cs="Times New Roman"/>
          <w:sz w:val="24"/>
          <w:szCs w:val="24"/>
        </w:rPr>
      </w:pPr>
      <w:r w:rsidRPr="00AF7E07">
        <w:rPr>
          <w:rStyle w:val="Textoennegrita"/>
          <w:rFonts w:ascii="Times New Roman" w:hAnsi="Times New Roman" w:cs="Times New Roman"/>
          <w:sz w:val="24"/>
          <w:szCs w:val="24"/>
        </w:rPr>
        <w:t>1. </w:t>
      </w:r>
      <w:hyperlink r:id="rId94" w:tgtFrame="_blank" w:history="1">
        <w:r w:rsidRPr="00AF7E07">
          <w:rPr>
            <w:rStyle w:val="Hipervnculo"/>
            <w:rFonts w:ascii="Times New Roman" w:hAnsi="Times New Roman" w:cs="Times New Roman"/>
            <w:color w:val="auto"/>
            <w:sz w:val="24"/>
            <w:szCs w:val="24"/>
          </w:rPr>
          <w:t>Excedencia Voluntaria por Interés Particular</w:t>
        </w:r>
      </w:hyperlink>
      <w:r w:rsidRPr="00AF7E07">
        <w:rPr>
          <w:rStyle w:val="Textoennegrita"/>
          <w:rFonts w:ascii="Times New Roman" w:hAnsi="Times New Roman" w:cs="Times New Roman"/>
          <w:sz w:val="24"/>
          <w:szCs w:val="24"/>
        </w:rPr>
        <w:t>:</w:t>
      </w:r>
    </w:p>
    <w:p w:rsidR="00571C96" w:rsidRPr="00AF7E07" w:rsidRDefault="00571C96" w:rsidP="00571C96">
      <w:pPr>
        <w:numPr>
          <w:ilvl w:val="1"/>
          <w:numId w:val="12"/>
        </w:numPr>
        <w:shd w:val="clear" w:color="auto" w:fill="FFFFFF"/>
        <w:spacing w:after="120" w:line="240" w:lineRule="auto"/>
        <w:ind w:left="0"/>
        <w:jc w:val="both"/>
        <w:rPr>
          <w:rStyle w:val="uv3um"/>
          <w:rFonts w:ascii="Times New Roman" w:hAnsi="Times New Roman" w:cs="Times New Roman"/>
          <w:spacing w:val="2"/>
          <w:sz w:val="24"/>
          <w:szCs w:val="24"/>
        </w:rPr>
      </w:pPr>
      <w:r w:rsidRPr="00AF7E07">
        <w:rPr>
          <w:rFonts w:ascii="Times New Roman" w:hAnsi="Times New Roman" w:cs="Times New Roman"/>
          <w:spacing w:val="2"/>
          <w:sz w:val="24"/>
          <w:szCs w:val="24"/>
        </w:rPr>
        <w:lastRenderedPageBreak/>
        <w:t>Requisitos: Haber prestado servicios efectivos en la administración durante un período mínimo, generalmente cinco años, y permanecer en la excedencia un mínimo de dos años.</w:t>
      </w:r>
      <w:r w:rsidRPr="00AF7E07">
        <w:rPr>
          <w:rStyle w:val="uv3um"/>
          <w:rFonts w:ascii="Times New Roman" w:hAnsi="Times New Roman" w:cs="Times New Roman"/>
          <w:spacing w:val="2"/>
          <w:sz w:val="24"/>
          <w:szCs w:val="24"/>
        </w:rPr>
        <w:t> </w:t>
      </w:r>
    </w:p>
    <w:p w:rsidR="00571C96" w:rsidRPr="00AF7E07" w:rsidRDefault="00571C96" w:rsidP="00571C96">
      <w:pPr>
        <w:numPr>
          <w:ilvl w:val="1"/>
          <w:numId w:val="12"/>
        </w:numPr>
        <w:shd w:val="clear" w:color="auto" w:fill="FFFFFF"/>
        <w:spacing w:after="120" w:line="240" w:lineRule="auto"/>
        <w:ind w:left="0"/>
        <w:jc w:val="both"/>
        <w:rPr>
          <w:rStyle w:val="uv3um"/>
          <w:rFonts w:ascii="Times New Roman" w:hAnsi="Times New Roman" w:cs="Times New Roman"/>
          <w:spacing w:val="2"/>
          <w:sz w:val="24"/>
          <w:szCs w:val="24"/>
        </w:rPr>
      </w:pPr>
      <w:r w:rsidRPr="00AF7E07">
        <w:rPr>
          <w:rFonts w:ascii="Times New Roman" w:hAnsi="Times New Roman" w:cs="Times New Roman"/>
          <w:spacing w:val="2"/>
          <w:sz w:val="24"/>
          <w:szCs w:val="24"/>
        </w:rPr>
        <w:t>Efectos: No se perciben retribuciones, y el tiempo en excedencia no computa a efectos de ascensos, trienios ni derechos de Seguridad Social.</w:t>
      </w:r>
      <w:r w:rsidRPr="00AF7E07">
        <w:rPr>
          <w:rStyle w:val="uv3um"/>
          <w:rFonts w:ascii="Times New Roman" w:hAnsi="Times New Roman" w:cs="Times New Roman"/>
          <w:spacing w:val="2"/>
          <w:sz w:val="24"/>
          <w:szCs w:val="24"/>
        </w:rPr>
        <w:t> </w:t>
      </w:r>
    </w:p>
    <w:p w:rsidR="00571C96" w:rsidRPr="00AF7E07" w:rsidRDefault="00571C96" w:rsidP="00571C96">
      <w:pPr>
        <w:numPr>
          <w:ilvl w:val="1"/>
          <w:numId w:val="12"/>
        </w:numPr>
        <w:shd w:val="clear" w:color="auto" w:fill="FFFFFF"/>
        <w:spacing w:after="120" w:line="240" w:lineRule="auto"/>
        <w:ind w:left="0"/>
        <w:jc w:val="both"/>
        <w:rPr>
          <w:rStyle w:val="uv3um"/>
          <w:rFonts w:ascii="Times New Roman" w:hAnsi="Times New Roman" w:cs="Times New Roman"/>
          <w:spacing w:val="2"/>
          <w:sz w:val="24"/>
          <w:szCs w:val="24"/>
        </w:rPr>
      </w:pPr>
      <w:r w:rsidRPr="00AF7E07">
        <w:rPr>
          <w:rFonts w:ascii="Times New Roman" w:hAnsi="Times New Roman" w:cs="Times New Roman"/>
          <w:spacing w:val="2"/>
          <w:sz w:val="24"/>
          <w:szCs w:val="24"/>
        </w:rPr>
        <w:t>Duración: Puede durar entre dos y quince años, sin exceder el tiempo total de servicios prestados.</w:t>
      </w:r>
      <w:r w:rsidRPr="00AF7E07">
        <w:rPr>
          <w:rStyle w:val="uv3um"/>
          <w:rFonts w:ascii="Times New Roman" w:hAnsi="Times New Roman" w:cs="Times New Roman"/>
          <w:spacing w:val="2"/>
          <w:sz w:val="24"/>
          <w:szCs w:val="24"/>
        </w:rPr>
        <w:t> </w:t>
      </w:r>
    </w:p>
    <w:p w:rsidR="00571C96" w:rsidRDefault="00571C96" w:rsidP="00571C96">
      <w:pPr>
        <w:numPr>
          <w:ilvl w:val="1"/>
          <w:numId w:val="12"/>
        </w:numPr>
        <w:shd w:val="clear" w:color="auto" w:fill="FFFFFF"/>
        <w:spacing w:after="0" w:line="240" w:lineRule="auto"/>
        <w:ind w:left="0"/>
        <w:jc w:val="both"/>
        <w:rPr>
          <w:rStyle w:val="uv3um"/>
          <w:rFonts w:ascii="Times New Roman" w:hAnsi="Times New Roman" w:cs="Times New Roman"/>
          <w:spacing w:val="2"/>
          <w:sz w:val="24"/>
          <w:szCs w:val="24"/>
        </w:rPr>
      </w:pPr>
      <w:r w:rsidRPr="00AF7E07">
        <w:rPr>
          <w:rFonts w:ascii="Times New Roman" w:hAnsi="Times New Roman" w:cs="Times New Roman"/>
          <w:spacing w:val="2"/>
          <w:sz w:val="24"/>
          <w:szCs w:val="24"/>
        </w:rPr>
        <w:t>Reingreso: Es obligatorio solicitar el reingreso antes de finalizar el período de excedencia, ya que de lo contrario se puede perder la condición de funcionario.</w:t>
      </w:r>
      <w:r w:rsidRPr="00AF7E07">
        <w:rPr>
          <w:rStyle w:val="uv3um"/>
          <w:rFonts w:ascii="Times New Roman" w:hAnsi="Times New Roman" w:cs="Times New Roman"/>
          <w:spacing w:val="2"/>
          <w:sz w:val="24"/>
          <w:szCs w:val="24"/>
        </w:rPr>
        <w:t> </w:t>
      </w:r>
    </w:p>
    <w:p w:rsidR="00571C96" w:rsidRPr="00AF7E07" w:rsidRDefault="00571C96" w:rsidP="00571C96">
      <w:pPr>
        <w:shd w:val="clear" w:color="auto" w:fill="FFFFFF"/>
        <w:spacing w:after="0" w:line="240" w:lineRule="auto"/>
        <w:jc w:val="both"/>
        <w:rPr>
          <w:rStyle w:val="uv3um"/>
          <w:rFonts w:ascii="Times New Roman" w:hAnsi="Times New Roman" w:cs="Times New Roman"/>
          <w:spacing w:val="2"/>
          <w:sz w:val="24"/>
          <w:szCs w:val="24"/>
        </w:rPr>
      </w:pPr>
    </w:p>
    <w:p w:rsidR="00571C96" w:rsidRPr="00AF7E07" w:rsidRDefault="00571C96" w:rsidP="00571C96">
      <w:pPr>
        <w:shd w:val="clear" w:color="auto" w:fill="FFFFFF"/>
        <w:spacing w:after="120" w:line="240" w:lineRule="auto"/>
        <w:jc w:val="both"/>
        <w:rPr>
          <w:rFonts w:ascii="Times New Roman" w:hAnsi="Times New Roman" w:cs="Times New Roman"/>
          <w:sz w:val="24"/>
          <w:szCs w:val="24"/>
        </w:rPr>
      </w:pPr>
      <w:r w:rsidRPr="00AF7E07">
        <w:rPr>
          <w:rStyle w:val="Textoennegrita"/>
          <w:rFonts w:ascii="Times New Roman" w:hAnsi="Times New Roman" w:cs="Times New Roman"/>
          <w:sz w:val="24"/>
          <w:szCs w:val="24"/>
        </w:rPr>
        <w:t>2. </w:t>
      </w:r>
      <w:hyperlink r:id="rId95" w:tgtFrame="_blank" w:history="1">
        <w:r w:rsidRPr="00AF7E07">
          <w:rPr>
            <w:rStyle w:val="Hipervnculo"/>
            <w:rFonts w:ascii="Times New Roman" w:hAnsi="Times New Roman" w:cs="Times New Roman"/>
            <w:color w:val="auto"/>
            <w:sz w:val="24"/>
            <w:szCs w:val="24"/>
          </w:rPr>
          <w:t>Excedencia Voluntaria por Agrupación Familiar</w:t>
        </w:r>
      </w:hyperlink>
      <w:r w:rsidRPr="00AF7E07">
        <w:rPr>
          <w:rStyle w:val="Textoennegrita"/>
          <w:rFonts w:ascii="Times New Roman" w:hAnsi="Times New Roman" w:cs="Times New Roman"/>
          <w:sz w:val="24"/>
          <w:szCs w:val="24"/>
        </w:rPr>
        <w:t>:</w:t>
      </w:r>
    </w:p>
    <w:p w:rsidR="00571C96" w:rsidRPr="00AF7E07" w:rsidRDefault="00571C96" w:rsidP="00571C96">
      <w:pPr>
        <w:numPr>
          <w:ilvl w:val="1"/>
          <w:numId w:val="12"/>
        </w:numPr>
        <w:shd w:val="clear" w:color="auto" w:fill="FFFFFF"/>
        <w:spacing w:after="120" w:line="240" w:lineRule="auto"/>
        <w:ind w:left="0"/>
        <w:jc w:val="both"/>
        <w:rPr>
          <w:rStyle w:val="uv3um"/>
          <w:rFonts w:ascii="Times New Roman" w:hAnsi="Times New Roman" w:cs="Times New Roman"/>
          <w:spacing w:val="2"/>
          <w:sz w:val="24"/>
          <w:szCs w:val="24"/>
        </w:rPr>
      </w:pPr>
      <w:r w:rsidRPr="00AF7E07">
        <w:rPr>
          <w:rFonts w:ascii="Times New Roman" w:hAnsi="Times New Roman" w:cs="Times New Roman"/>
          <w:spacing w:val="2"/>
          <w:sz w:val="24"/>
          <w:szCs w:val="24"/>
        </w:rPr>
        <w:t>Requisitos: El cónyuge o pareja de hecho reside en otra localidad por haber obtenido un puesto de trabajo definitivo en otra administración.</w:t>
      </w:r>
      <w:r w:rsidRPr="00AF7E07">
        <w:rPr>
          <w:rStyle w:val="uv3um"/>
          <w:rFonts w:ascii="Times New Roman" w:hAnsi="Times New Roman" w:cs="Times New Roman"/>
          <w:spacing w:val="2"/>
          <w:sz w:val="24"/>
          <w:szCs w:val="24"/>
        </w:rPr>
        <w:t> </w:t>
      </w:r>
    </w:p>
    <w:p w:rsidR="00571C96" w:rsidRDefault="00571C96" w:rsidP="00571C96">
      <w:pPr>
        <w:numPr>
          <w:ilvl w:val="1"/>
          <w:numId w:val="12"/>
        </w:numPr>
        <w:shd w:val="clear" w:color="auto" w:fill="FFFFFF"/>
        <w:spacing w:after="0" w:line="240" w:lineRule="auto"/>
        <w:ind w:left="0"/>
        <w:jc w:val="both"/>
        <w:rPr>
          <w:rStyle w:val="uv3um"/>
          <w:rFonts w:ascii="Times New Roman" w:hAnsi="Times New Roman" w:cs="Times New Roman"/>
          <w:spacing w:val="2"/>
          <w:sz w:val="24"/>
          <w:szCs w:val="24"/>
        </w:rPr>
      </w:pPr>
      <w:r w:rsidRPr="00AF7E07">
        <w:rPr>
          <w:rFonts w:ascii="Times New Roman" w:hAnsi="Times New Roman" w:cs="Times New Roman"/>
          <w:spacing w:val="2"/>
          <w:sz w:val="24"/>
          <w:szCs w:val="24"/>
        </w:rPr>
        <w:t>Efectos: No se perciben retribuciones y el tiempo en excedencia no computa a efectos de ascensos, trienios ni derechos de Seguridad Social.</w:t>
      </w:r>
      <w:r w:rsidRPr="00AF7E07">
        <w:rPr>
          <w:rStyle w:val="uv3um"/>
          <w:rFonts w:ascii="Times New Roman" w:hAnsi="Times New Roman" w:cs="Times New Roman"/>
          <w:spacing w:val="2"/>
          <w:sz w:val="24"/>
          <w:szCs w:val="24"/>
        </w:rPr>
        <w:t> </w:t>
      </w:r>
    </w:p>
    <w:p w:rsidR="00571C96" w:rsidRPr="00AF7E07" w:rsidRDefault="00571C96" w:rsidP="00571C96">
      <w:pPr>
        <w:shd w:val="clear" w:color="auto" w:fill="FFFFFF"/>
        <w:spacing w:after="0" w:line="240" w:lineRule="auto"/>
        <w:jc w:val="both"/>
        <w:rPr>
          <w:rStyle w:val="uv3um"/>
          <w:rFonts w:ascii="Times New Roman" w:hAnsi="Times New Roman" w:cs="Times New Roman"/>
          <w:spacing w:val="2"/>
          <w:sz w:val="24"/>
          <w:szCs w:val="24"/>
        </w:rPr>
      </w:pPr>
    </w:p>
    <w:p w:rsidR="00571C96" w:rsidRPr="00AF7E07" w:rsidRDefault="00571C96" w:rsidP="00571C96">
      <w:pPr>
        <w:shd w:val="clear" w:color="auto" w:fill="FFFFFF"/>
        <w:spacing w:after="120" w:line="240" w:lineRule="auto"/>
        <w:jc w:val="both"/>
        <w:rPr>
          <w:rFonts w:ascii="Times New Roman" w:hAnsi="Times New Roman" w:cs="Times New Roman"/>
          <w:sz w:val="24"/>
          <w:szCs w:val="24"/>
        </w:rPr>
      </w:pPr>
      <w:r w:rsidRPr="00AF7E07">
        <w:rPr>
          <w:rStyle w:val="Textoennegrita"/>
          <w:rFonts w:ascii="Times New Roman" w:hAnsi="Times New Roman" w:cs="Times New Roman"/>
          <w:sz w:val="24"/>
          <w:szCs w:val="24"/>
        </w:rPr>
        <w:t>3. </w:t>
      </w:r>
      <w:hyperlink r:id="rId96" w:tgtFrame="_blank" w:history="1">
        <w:r w:rsidRPr="00AF7E07">
          <w:rPr>
            <w:rStyle w:val="Hipervnculo"/>
            <w:rFonts w:ascii="Times New Roman" w:hAnsi="Times New Roman" w:cs="Times New Roman"/>
            <w:color w:val="auto"/>
            <w:sz w:val="24"/>
            <w:szCs w:val="24"/>
          </w:rPr>
          <w:t>Excedencia por Cuidado de Familiares</w:t>
        </w:r>
      </w:hyperlink>
      <w:r w:rsidRPr="00AF7E07">
        <w:rPr>
          <w:rStyle w:val="Textoennegrita"/>
          <w:rFonts w:ascii="Times New Roman" w:hAnsi="Times New Roman" w:cs="Times New Roman"/>
          <w:sz w:val="24"/>
          <w:szCs w:val="24"/>
        </w:rPr>
        <w:t>:</w:t>
      </w:r>
    </w:p>
    <w:p w:rsidR="00571C96" w:rsidRPr="00AF7E07" w:rsidRDefault="00571C96" w:rsidP="00571C96">
      <w:pPr>
        <w:numPr>
          <w:ilvl w:val="1"/>
          <w:numId w:val="12"/>
        </w:numPr>
        <w:shd w:val="clear" w:color="auto" w:fill="FFFFFF"/>
        <w:spacing w:after="120" w:line="240" w:lineRule="auto"/>
        <w:ind w:left="0"/>
        <w:jc w:val="both"/>
        <w:rPr>
          <w:rStyle w:val="uv3um"/>
          <w:rFonts w:ascii="Times New Roman" w:hAnsi="Times New Roman" w:cs="Times New Roman"/>
          <w:spacing w:val="2"/>
          <w:sz w:val="24"/>
          <w:szCs w:val="24"/>
        </w:rPr>
      </w:pPr>
      <w:r w:rsidRPr="00AF7E07">
        <w:rPr>
          <w:rFonts w:ascii="Times New Roman" w:hAnsi="Times New Roman" w:cs="Times New Roman"/>
          <w:spacing w:val="2"/>
          <w:sz w:val="24"/>
          <w:szCs w:val="24"/>
        </w:rPr>
        <w:t>Requisitos: Para cuidar de familiares hasta el segundo grado de consanguinidad o afinidad que, por razones de edad, accidente, enfermedad o discapacidad, no puedan valerse por sí mismos y no desempeñen actividad retribuida.</w:t>
      </w:r>
      <w:r w:rsidRPr="00AF7E07">
        <w:rPr>
          <w:rStyle w:val="uv3um"/>
          <w:rFonts w:ascii="Times New Roman" w:hAnsi="Times New Roman" w:cs="Times New Roman"/>
          <w:spacing w:val="2"/>
          <w:sz w:val="24"/>
          <w:szCs w:val="24"/>
        </w:rPr>
        <w:t> </w:t>
      </w:r>
    </w:p>
    <w:p w:rsidR="00571C96" w:rsidRDefault="00571C96" w:rsidP="00571C96">
      <w:pPr>
        <w:numPr>
          <w:ilvl w:val="1"/>
          <w:numId w:val="12"/>
        </w:numPr>
        <w:shd w:val="clear" w:color="auto" w:fill="FFFFFF"/>
        <w:spacing w:after="0" w:line="240" w:lineRule="auto"/>
        <w:ind w:left="0"/>
        <w:jc w:val="both"/>
        <w:rPr>
          <w:rStyle w:val="uv3um"/>
          <w:rFonts w:ascii="Times New Roman" w:hAnsi="Times New Roman" w:cs="Times New Roman"/>
          <w:spacing w:val="2"/>
          <w:sz w:val="24"/>
          <w:szCs w:val="24"/>
        </w:rPr>
      </w:pPr>
      <w:r w:rsidRPr="00AF7E07">
        <w:rPr>
          <w:rFonts w:ascii="Times New Roman" w:hAnsi="Times New Roman" w:cs="Times New Roman"/>
          <w:spacing w:val="2"/>
          <w:sz w:val="24"/>
          <w:szCs w:val="24"/>
        </w:rPr>
        <w:t>Efectos: La duración máxima suele ser de tres años, y el período de excedencia es único por cada sujeto causante.</w:t>
      </w:r>
      <w:r w:rsidRPr="00AF7E07">
        <w:rPr>
          <w:rStyle w:val="uv3um"/>
          <w:rFonts w:ascii="Times New Roman" w:hAnsi="Times New Roman" w:cs="Times New Roman"/>
          <w:spacing w:val="2"/>
          <w:sz w:val="24"/>
          <w:szCs w:val="24"/>
        </w:rPr>
        <w:t> </w:t>
      </w:r>
    </w:p>
    <w:p w:rsidR="00571C96" w:rsidRPr="00AF7E07" w:rsidRDefault="00571C96" w:rsidP="00571C96">
      <w:pPr>
        <w:shd w:val="clear" w:color="auto" w:fill="FFFFFF"/>
        <w:spacing w:after="0" w:line="240" w:lineRule="auto"/>
        <w:jc w:val="both"/>
        <w:rPr>
          <w:rStyle w:val="uv3um"/>
          <w:rFonts w:ascii="Times New Roman" w:hAnsi="Times New Roman" w:cs="Times New Roman"/>
          <w:spacing w:val="2"/>
          <w:sz w:val="24"/>
          <w:szCs w:val="24"/>
        </w:rPr>
      </w:pPr>
    </w:p>
    <w:p w:rsidR="00571C96" w:rsidRPr="00AF7E07" w:rsidRDefault="00571C96" w:rsidP="00571C96">
      <w:pPr>
        <w:shd w:val="clear" w:color="auto" w:fill="FFFFFF"/>
        <w:spacing w:after="120" w:line="240" w:lineRule="auto"/>
        <w:jc w:val="both"/>
        <w:rPr>
          <w:rFonts w:ascii="Times New Roman" w:hAnsi="Times New Roman" w:cs="Times New Roman"/>
          <w:sz w:val="24"/>
          <w:szCs w:val="24"/>
        </w:rPr>
      </w:pPr>
      <w:r w:rsidRPr="00AF7E07">
        <w:rPr>
          <w:rStyle w:val="Textoennegrita"/>
          <w:rFonts w:ascii="Times New Roman" w:hAnsi="Times New Roman" w:cs="Times New Roman"/>
          <w:sz w:val="24"/>
          <w:szCs w:val="24"/>
        </w:rPr>
        <w:t>4. </w:t>
      </w:r>
      <w:hyperlink r:id="rId97" w:tgtFrame="_blank" w:history="1">
        <w:r w:rsidRPr="00AF7E07">
          <w:rPr>
            <w:rStyle w:val="Hipervnculo"/>
            <w:rFonts w:ascii="Times New Roman" w:hAnsi="Times New Roman" w:cs="Times New Roman"/>
            <w:color w:val="auto"/>
            <w:sz w:val="24"/>
            <w:szCs w:val="24"/>
          </w:rPr>
          <w:t>Excedencia Forzosa</w:t>
        </w:r>
      </w:hyperlink>
      <w:r w:rsidRPr="00AF7E07">
        <w:rPr>
          <w:rStyle w:val="Textoennegrita"/>
          <w:rFonts w:ascii="Times New Roman" w:hAnsi="Times New Roman" w:cs="Times New Roman"/>
          <w:sz w:val="24"/>
          <w:szCs w:val="24"/>
        </w:rPr>
        <w:t>:</w:t>
      </w:r>
    </w:p>
    <w:p w:rsidR="00571C96" w:rsidRPr="00AF7E07" w:rsidRDefault="00571C96" w:rsidP="00571C96">
      <w:pPr>
        <w:numPr>
          <w:ilvl w:val="1"/>
          <w:numId w:val="12"/>
        </w:numPr>
        <w:shd w:val="clear" w:color="auto" w:fill="FFFFFF"/>
        <w:spacing w:after="120" w:line="240" w:lineRule="auto"/>
        <w:ind w:left="0"/>
        <w:jc w:val="both"/>
        <w:rPr>
          <w:rStyle w:val="uv3um"/>
          <w:rFonts w:ascii="Times New Roman" w:hAnsi="Times New Roman" w:cs="Times New Roman"/>
          <w:spacing w:val="2"/>
          <w:sz w:val="24"/>
          <w:szCs w:val="24"/>
        </w:rPr>
      </w:pPr>
      <w:r w:rsidRPr="00AF7E07">
        <w:rPr>
          <w:rFonts w:ascii="Times New Roman" w:hAnsi="Times New Roman" w:cs="Times New Roman"/>
          <w:spacing w:val="2"/>
          <w:sz w:val="24"/>
          <w:szCs w:val="24"/>
        </w:rPr>
        <w:t>Se produce cuando el funcionario es obligado a abandonar su puesto de trabajo por haber sido elegido para desempeñar un cargo público que es incompatible con su función.</w:t>
      </w:r>
      <w:r w:rsidRPr="00AF7E07">
        <w:rPr>
          <w:rStyle w:val="uv3um"/>
          <w:rFonts w:ascii="Times New Roman" w:hAnsi="Times New Roman" w:cs="Times New Roman"/>
          <w:spacing w:val="2"/>
          <w:sz w:val="24"/>
          <w:szCs w:val="24"/>
        </w:rPr>
        <w:t> </w:t>
      </w:r>
    </w:p>
    <w:p w:rsidR="00571C96" w:rsidRDefault="00571C96" w:rsidP="00571C96">
      <w:pPr>
        <w:numPr>
          <w:ilvl w:val="1"/>
          <w:numId w:val="12"/>
        </w:numPr>
        <w:shd w:val="clear" w:color="auto" w:fill="FFFFFF"/>
        <w:spacing w:after="0" w:line="240" w:lineRule="auto"/>
        <w:ind w:left="0"/>
        <w:jc w:val="both"/>
        <w:rPr>
          <w:rStyle w:val="uv3um"/>
          <w:rFonts w:ascii="Times New Roman" w:hAnsi="Times New Roman" w:cs="Times New Roman"/>
          <w:spacing w:val="2"/>
          <w:sz w:val="24"/>
          <w:szCs w:val="24"/>
        </w:rPr>
      </w:pPr>
      <w:r w:rsidRPr="00AF7E07">
        <w:rPr>
          <w:rFonts w:ascii="Times New Roman" w:hAnsi="Times New Roman" w:cs="Times New Roman"/>
          <w:spacing w:val="2"/>
          <w:sz w:val="24"/>
          <w:szCs w:val="24"/>
        </w:rPr>
        <w:t>Efectos: El funcionario tiene derecho a la reserva de su puesto de trabajo y a la reincorporación cuando finalice el cargo público.</w:t>
      </w:r>
      <w:r w:rsidRPr="00AF7E07">
        <w:rPr>
          <w:rStyle w:val="uv3um"/>
          <w:rFonts w:ascii="Times New Roman" w:hAnsi="Times New Roman" w:cs="Times New Roman"/>
          <w:spacing w:val="2"/>
          <w:sz w:val="24"/>
          <w:szCs w:val="24"/>
        </w:rPr>
        <w:t> </w:t>
      </w:r>
    </w:p>
    <w:p w:rsidR="00571C96" w:rsidRPr="00AF7E07" w:rsidRDefault="00571C96" w:rsidP="00571C96">
      <w:pPr>
        <w:shd w:val="clear" w:color="auto" w:fill="FFFFFF"/>
        <w:spacing w:after="0" w:line="240" w:lineRule="auto"/>
        <w:jc w:val="both"/>
        <w:rPr>
          <w:rStyle w:val="uv3um"/>
          <w:rFonts w:ascii="Times New Roman" w:hAnsi="Times New Roman" w:cs="Times New Roman"/>
          <w:spacing w:val="2"/>
          <w:sz w:val="24"/>
          <w:szCs w:val="24"/>
        </w:rPr>
      </w:pPr>
    </w:p>
    <w:p w:rsidR="00571C96" w:rsidRDefault="00571C96" w:rsidP="00571C96">
      <w:pPr>
        <w:shd w:val="clear" w:color="auto" w:fill="FFFFFF"/>
        <w:spacing w:after="0" w:line="240" w:lineRule="auto"/>
        <w:jc w:val="both"/>
        <w:rPr>
          <w:rStyle w:val="Textoennegrita"/>
          <w:rFonts w:ascii="Times New Roman" w:hAnsi="Times New Roman" w:cs="Times New Roman"/>
          <w:b w:val="0"/>
          <w:sz w:val="24"/>
          <w:szCs w:val="24"/>
        </w:rPr>
      </w:pPr>
      <w:r w:rsidRPr="00AF7E07">
        <w:rPr>
          <w:rStyle w:val="Textoennegrita"/>
          <w:rFonts w:ascii="Times New Roman" w:hAnsi="Times New Roman" w:cs="Times New Roman"/>
          <w:sz w:val="24"/>
          <w:szCs w:val="24"/>
        </w:rPr>
        <w:t>5. </w:t>
      </w:r>
      <w:hyperlink r:id="rId98" w:tgtFrame="_blank" w:history="1">
        <w:r w:rsidRPr="00AF7E07">
          <w:rPr>
            <w:rStyle w:val="Hipervnculo"/>
            <w:rFonts w:ascii="Times New Roman" w:hAnsi="Times New Roman" w:cs="Times New Roman"/>
            <w:color w:val="auto"/>
            <w:sz w:val="24"/>
            <w:szCs w:val="24"/>
          </w:rPr>
          <w:t>Excedencia por Prestación de Servicios en el Sector Público</w:t>
        </w:r>
      </w:hyperlink>
      <w:r w:rsidRPr="00AF7E07">
        <w:rPr>
          <w:rStyle w:val="Textoennegrita"/>
          <w:rFonts w:ascii="Times New Roman" w:hAnsi="Times New Roman" w:cs="Times New Roman"/>
          <w:sz w:val="24"/>
          <w:szCs w:val="24"/>
        </w:rPr>
        <w:t>:</w:t>
      </w:r>
    </w:p>
    <w:p w:rsidR="00571C96" w:rsidRPr="00AF7E07" w:rsidRDefault="00571C96" w:rsidP="00571C96">
      <w:pPr>
        <w:shd w:val="clear" w:color="auto" w:fill="FFFFFF"/>
        <w:spacing w:after="0" w:line="240" w:lineRule="auto"/>
        <w:jc w:val="both"/>
        <w:rPr>
          <w:rFonts w:ascii="Times New Roman" w:hAnsi="Times New Roman" w:cs="Times New Roman"/>
          <w:sz w:val="24"/>
          <w:szCs w:val="24"/>
        </w:rPr>
      </w:pPr>
    </w:p>
    <w:p w:rsidR="00571C96" w:rsidRPr="00AF7E07" w:rsidRDefault="00571C96" w:rsidP="00571C96">
      <w:pPr>
        <w:numPr>
          <w:ilvl w:val="1"/>
          <w:numId w:val="12"/>
        </w:numPr>
        <w:shd w:val="clear" w:color="auto" w:fill="FFFFFF"/>
        <w:spacing w:after="120" w:line="240" w:lineRule="auto"/>
        <w:ind w:left="0"/>
        <w:jc w:val="both"/>
        <w:rPr>
          <w:rStyle w:val="uv3um"/>
          <w:rFonts w:ascii="Times New Roman" w:hAnsi="Times New Roman" w:cs="Times New Roman"/>
          <w:spacing w:val="2"/>
          <w:sz w:val="24"/>
          <w:szCs w:val="24"/>
        </w:rPr>
      </w:pPr>
      <w:r w:rsidRPr="00AF7E07">
        <w:rPr>
          <w:rFonts w:ascii="Times New Roman" w:hAnsi="Times New Roman" w:cs="Times New Roman"/>
          <w:spacing w:val="2"/>
          <w:sz w:val="24"/>
          <w:szCs w:val="24"/>
        </w:rPr>
        <w:t>Se solicita al acceder a otro puesto de trabajo en el sector público.</w:t>
      </w:r>
      <w:r w:rsidRPr="00AF7E07">
        <w:rPr>
          <w:rStyle w:val="uv3um"/>
          <w:rFonts w:ascii="Times New Roman" w:hAnsi="Times New Roman" w:cs="Times New Roman"/>
          <w:spacing w:val="2"/>
          <w:sz w:val="24"/>
          <w:szCs w:val="24"/>
        </w:rPr>
        <w:t> </w:t>
      </w:r>
    </w:p>
    <w:p w:rsidR="00571C96" w:rsidRPr="00AF7E07" w:rsidRDefault="00571C96" w:rsidP="00571C96">
      <w:pPr>
        <w:numPr>
          <w:ilvl w:val="1"/>
          <w:numId w:val="12"/>
        </w:numPr>
        <w:shd w:val="clear" w:color="auto" w:fill="FFFFFF"/>
        <w:spacing w:after="120" w:line="240" w:lineRule="auto"/>
        <w:ind w:left="0"/>
        <w:jc w:val="both"/>
        <w:rPr>
          <w:rStyle w:val="uv3um"/>
          <w:rFonts w:ascii="Times New Roman" w:hAnsi="Times New Roman" w:cs="Times New Roman"/>
          <w:spacing w:val="2"/>
          <w:sz w:val="24"/>
          <w:szCs w:val="24"/>
        </w:rPr>
      </w:pPr>
      <w:r w:rsidRPr="00AF7E07">
        <w:rPr>
          <w:rFonts w:ascii="Times New Roman" w:hAnsi="Times New Roman" w:cs="Times New Roman"/>
          <w:spacing w:val="2"/>
          <w:sz w:val="24"/>
          <w:szCs w:val="24"/>
        </w:rPr>
        <w:t>Requisitos: Es necesario optar por uno de los puestos y solicitar la excedencia para conservar derechos sobre el anterior.</w:t>
      </w:r>
      <w:r w:rsidRPr="00AF7E07">
        <w:rPr>
          <w:rStyle w:val="uv3um"/>
          <w:rFonts w:ascii="Times New Roman" w:hAnsi="Times New Roman" w:cs="Times New Roman"/>
          <w:spacing w:val="2"/>
          <w:sz w:val="24"/>
          <w:szCs w:val="24"/>
        </w:rPr>
        <w:t> </w:t>
      </w:r>
    </w:p>
    <w:p w:rsidR="00571C96" w:rsidRDefault="00571C96" w:rsidP="00571C96">
      <w:pPr>
        <w:numPr>
          <w:ilvl w:val="1"/>
          <w:numId w:val="12"/>
        </w:numPr>
        <w:shd w:val="clear" w:color="auto" w:fill="FFFFFF"/>
        <w:spacing w:after="0" w:line="240" w:lineRule="auto"/>
        <w:ind w:left="0"/>
        <w:jc w:val="both"/>
        <w:rPr>
          <w:rStyle w:val="uv3um"/>
          <w:rFonts w:ascii="Times New Roman" w:hAnsi="Times New Roman" w:cs="Times New Roman"/>
          <w:spacing w:val="2"/>
          <w:sz w:val="24"/>
          <w:szCs w:val="24"/>
        </w:rPr>
      </w:pPr>
      <w:r w:rsidRPr="00AF7E07">
        <w:rPr>
          <w:rFonts w:ascii="Times New Roman" w:hAnsi="Times New Roman" w:cs="Times New Roman"/>
          <w:spacing w:val="2"/>
          <w:sz w:val="24"/>
          <w:szCs w:val="24"/>
        </w:rPr>
        <w:t>Efectos: No se reserva el puesto de trabajo y el tiempo en excedencia no computa para ascensos ni trienios.</w:t>
      </w:r>
      <w:r w:rsidRPr="00AF7E07">
        <w:rPr>
          <w:rStyle w:val="uv3um"/>
          <w:rFonts w:ascii="Times New Roman" w:hAnsi="Times New Roman" w:cs="Times New Roman"/>
          <w:spacing w:val="2"/>
          <w:sz w:val="24"/>
          <w:szCs w:val="24"/>
        </w:rPr>
        <w:t> </w:t>
      </w:r>
    </w:p>
    <w:p w:rsidR="00571C96" w:rsidRDefault="00571C96" w:rsidP="00571C96">
      <w:pPr>
        <w:shd w:val="clear" w:color="auto" w:fill="FFFFFF"/>
        <w:spacing w:after="0" w:line="240" w:lineRule="auto"/>
        <w:jc w:val="both"/>
        <w:rPr>
          <w:rStyle w:val="uv3um"/>
          <w:rFonts w:ascii="Times New Roman" w:hAnsi="Times New Roman" w:cs="Times New Roman"/>
          <w:spacing w:val="2"/>
          <w:sz w:val="24"/>
          <w:szCs w:val="24"/>
        </w:rPr>
      </w:pPr>
    </w:p>
    <w:p w:rsidR="00571C96" w:rsidRDefault="00571C96" w:rsidP="00571C96">
      <w:pPr>
        <w:shd w:val="clear" w:color="auto" w:fill="FFFFFF"/>
        <w:spacing w:after="0" w:line="240" w:lineRule="auto"/>
        <w:jc w:val="both"/>
        <w:rPr>
          <w:rStyle w:val="uv3um"/>
          <w:rFonts w:ascii="Times New Roman" w:hAnsi="Times New Roman" w:cs="Times New Roman"/>
          <w:spacing w:val="2"/>
          <w:sz w:val="24"/>
          <w:szCs w:val="24"/>
        </w:rPr>
      </w:pPr>
      <w:r w:rsidRPr="00AF7E07">
        <w:rPr>
          <w:rStyle w:val="uv3um"/>
          <w:rFonts w:ascii="Times New Roman" w:hAnsi="Times New Roman" w:cs="Times New Roman"/>
          <w:spacing w:val="2"/>
          <w:sz w:val="24"/>
          <w:szCs w:val="24"/>
        </w:rPr>
        <w:t xml:space="preserve">El régimen de excedencia de los funcionarios en España, aunque regulado para proteger derechos y necesidades específicas, puede ser objeto de abusos si no se gestiona adecuadamente o se utiliza de forma fraudulenta. Estas situaciones pueden generar problemas tanto para la administración pública como para otros funcionarios. </w:t>
      </w:r>
    </w:p>
    <w:p w:rsidR="00571C96" w:rsidRPr="00AF7E07" w:rsidRDefault="00571C96" w:rsidP="00571C96">
      <w:pPr>
        <w:shd w:val="clear" w:color="auto" w:fill="FFFFFF"/>
        <w:spacing w:after="0" w:line="240" w:lineRule="auto"/>
        <w:jc w:val="both"/>
        <w:rPr>
          <w:rStyle w:val="uv3um"/>
          <w:rFonts w:ascii="Times New Roman" w:hAnsi="Times New Roman" w:cs="Times New Roman"/>
          <w:spacing w:val="2"/>
          <w:sz w:val="24"/>
          <w:szCs w:val="24"/>
        </w:rPr>
      </w:pPr>
    </w:p>
    <w:p w:rsidR="00571C96" w:rsidRDefault="00571C96" w:rsidP="00571C96">
      <w:pPr>
        <w:shd w:val="clear" w:color="auto" w:fill="FFFFFF"/>
        <w:spacing w:after="0" w:line="240" w:lineRule="auto"/>
        <w:jc w:val="both"/>
        <w:rPr>
          <w:rStyle w:val="uv3um"/>
          <w:rFonts w:ascii="Times New Roman" w:hAnsi="Times New Roman" w:cs="Times New Roman"/>
          <w:spacing w:val="2"/>
          <w:sz w:val="24"/>
          <w:szCs w:val="24"/>
        </w:rPr>
      </w:pPr>
      <w:r w:rsidRPr="00AF7E07">
        <w:rPr>
          <w:rStyle w:val="uv3um"/>
          <w:rFonts w:ascii="Times New Roman" w:hAnsi="Times New Roman" w:cs="Times New Roman"/>
          <w:spacing w:val="2"/>
          <w:sz w:val="24"/>
          <w:szCs w:val="24"/>
        </w:rPr>
        <w:t>Posibles abusos y problemas:</w:t>
      </w:r>
    </w:p>
    <w:p w:rsidR="00571C96" w:rsidRPr="00AF7E07" w:rsidRDefault="00571C96" w:rsidP="00571C96">
      <w:pPr>
        <w:shd w:val="clear" w:color="auto" w:fill="FFFFFF"/>
        <w:spacing w:after="0" w:line="240" w:lineRule="auto"/>
        <w:jc w:val="both"/>
        <w:rPr>
          <w:rStyle w:val="uv3um"/>
          <w:rFonts w:ascii="Times New Roman" w:hAnsi="Times New Roman" w:cs="Times New Roman"/>
          <w:spacing w:val="2"/>
          <w:sz w:val="24"/>
          <w:szCs w:val="24"/>
        </w:rPr>
      </w:pPr>
    </w:p>
    <w:p w:rsidR="00571C96" w:rsidRDefault="00571C96" w:rsidP="00571C96">
      <w:pPr>
        <w:shd w:val="clear" w:color="auto" w:fill="FFFFFF"/>
        <w:spacing w:after="0" w:line="240" w:lineRule="auto"/>
        <w:jc w:val="both"/>
        <w:rPr>
          <w:rStyle w:val="uv3um"/>
          <w:rFonts w:ascii="Times New Roman" w:hAnsi="Times New Roman" w:cs="Times New Roman"/>
          <w:spacing w:val="2"/>
          <w:sz w:val="24"/>
          <w:szCs w:val="24"/>
        </w:rPr>
      </w:pPr>
      <w:r w:rsidRPr="00AF7E07">
        <w:rPr>
          <w:rStyle w:val="uv3um"/>
          <w:rFonts w:ascii="Times New Roman" w:hAnsi="Times New Roman" w:cs="Times New Roman"/>
          <w:spacing w:val="2"/>
          <w:sz w:val="24"/>
          <w:szCs w:val="24"/>
        </w:rPr>
        <w:lastRenderedPageBreak/>
        <w:t>Excedencia vol</w:t>
      </w:r>
      <w:r>
        <w:rPr>
          <w:rStyle w:val="uv3um"/>
          <w:rFonts w:ascii="Times New Roman" w:hAnsi="Times New Roman" w:cs="Times New Roman"/>
          <w:spacing w:val="2"/>
          <w:sz w:val="24"/>
          <w:szCs w:val="24"/>
        </w:rPr>
        <w:t xml:space="preserve">untaria por interés particular: </w:t>
      </w:r>
      <w:r w:rsidRPr="00AF7E07">
        <w:rPr>
          <w:rStyle w:val="uv3um"/>
          <w:rFonts w:ascii="Times New Roman" w:hAnsi="Times New Roman" w:cs="Times New Roman"/>
          <w:spacing w:val="2"/>
          <w:sz w:val="24"/>
          <w:szCs w:val="24"/>
        </w:rPr>
        <w:t xml:space="preserve">Aunque es un derecho, puede utilizarse para evitar situaciones incómodas en el trabajo o para eludir responsabilidades, especialmente si no existen restricciones claras en la concesión o si se abusa de la duración. </w:t>
      </w:r>
    </w:p>
    <w:p w:rsidR="00571C96" w:rsidRPr="00AF7E07" w:rsidRDefault="00571C96" w:rsidP="00571C96">
      <w:pPr>
        <w:shd w:val="clear" w:color="auto" w:fill="FFFFFF"/>
        <w:spacing w:after="0" w:line="240" w:lineRule="auto"/>
        <w:jc w:val="both"/>
        <w:rPr>
          <w:rStyle w:val="uv3um"/>
          <w:rFonts w:ascii="Times New Roman" w:hAnsi="Times New Roman" w:cs="Times New Roman"/>
          <w:spacing w:val="2"/>
          <w:sz w:val="24"/>
          <w:szCs w:val="24"/>
        </w:rPr>
      </w:pPr>
    </w:p>
    <w:p w:rsidR="00571C96" w:rsidRDefault="00571C96" w:rsidP="00571C96">
      <w:pPr>
        <w:shd w:val="clear" w:color="auto" w:fill="FFFFFF"/>
        <w:spacing w:after="0" w:line="240" w:lineRule="auto"/>
        <w:jc w:val="both"/>
        <w:rPr>
          <w:rStyle w:val="uv3um"/>
          <w:rFonts w:ascii="Times New Roman" w:hAnsi="Times New Roman" w:cs="Times New Roman"/>
          <w:spacing w:val="2"/>
          <w:sz w:val="24"/>
          <w:szCs w:val="24"/>
        </w:rPr>
      </w:pPr>
      <w:r w:rsidRPr="00AF7E07">
        <w:rPr>
          <w:rStyle w:val="uv3um"/>
          <w:rFonts w:ascii="Times New Roman" w:hAnsi="Times New Roman" w:cs="Times New Roman"/>
          <w:spacing w:val="2"/>
          <w:sz w:val="24"/>
          <w:szCs w:val="24"/>
        </w:rPr>
        <w:t>Excedencia para</w:t>
      </w:r>
      <w:r>
        <w:rPr>
          <w:rStyle w:val="uv3um"/>
          <w:rFonts w:ascii="Times New Roman" w:hAnsi="Times New Roman" w:cs="Times New Roman"/>
          <w:spacing w:val="2"/>
          <w:sz w:val="24"/>
          <w:szCs w:val="24"/>
        </w:rPr>
        <w:t xml:space="preserve"> desempeñar otro cargo público: </w:t>
      </w:r>
      <w:r w:rsidRPr="00AF7E07">
        <w:rPr>
          <w:rStyle w:val="uv3um"/>
          <w:rFonts w:ascii="Times New Roman" w:hAnsi="Times New Roman" w:cs="Times New Roman"/>
          <w:spacing w:val="2"/>
          <w:sz w:val="24"/>
          <w:szCs w:val="24"/>
        </w:rPr>
        <w:t xml:space="preserve">Si bien la excedencia forzosa es para cargos incompatibles, algunos funcionarios podrían solicitarla para ocupar un puesto en otra administración sin cumplir con los requisitos o para evitar las consecuencias de un cargo incompatible. </w:t>
      </w:r>
    </w:p>
    <w:p w:rsidR="00571C96" w:rsidRPr="00AF7E07" w:rsidRDefault="00571C96" w:rsidP="00571C96">
      <w:pPr>
        <w:shd w:val="clear" w:color="auto" w:fill="FFFFFF"/>
        <w:spacing w:after="0" w:line="240" w:lineRule="auto"/>
        <w:jc w:val="both"/>
        <w:rPr>
          <w:rStyle w:val="uv3um"/>
          <w:rFonts w:ascii="Times New Roman" w:hAnsi="Times New Roman" w:cs="Times New Roman"/>
          <w:spacing w:val="2"/>
          <w:sz w:val="24"/>
          <w:szCs w:val="24"/>
        </w:rPr>
      </w:pPr>
    </w:p>
    <w:p w:rsidR="00571C96" w:rsidRDefault="00571C96" w:rsidP="00571C96">
      <w:pPr>
        <w:shd w:val="clear" w:color="auto" w:fill="FFFFFF"/>
        <w:spacing w:after="0" w:line="240" w:lineRule="auto"/>
        <w:jc w:val="both"/>
        <w:rPr>
          <w:rStyle w:val="uv3um"/>
          <w:rFonts w:ascii="Times New Roman" w:hAnsi="Times New Roman" w:cs="Times New Roman"/>
          <w:spacing w:val="2"/>
          <w:sz w:val="24"/>
          <w:szCs w:val="24"/>
        </w:rPr>
      </w:pPr>
      <w:r w:rsidRPr="00AF7E07">
        <w:rPr>
          <w:rStyle w:val="uv3um"/>
          <w:rFonts w:ascii="Times New Roman" w:hAnsi="Times New Roman" w:cs="Times New Roman"/>
          <w:spacing w:val="2"/>
          <w:sz w:val="24"/>
          <w:szCs w:val="24"/>
        </w:rPr>
        <w:t>Excedencia para actividades privadas:</w:t>
      </w:r>
      <w:r>
        <w:rPr>
          <w:rStyle w:val="uv3um"/>
          <w:rFonts w:ascii="Times New Roman" w:hAnsi="Times New Roman" w:cs="Times New Roman"/>
          <w:spacing w:val="2"/>
          <w:sz w:val="24"/>
          <w:szCs w:val="24"/>
        </w:rPr>
        <w:t xml:space="preserve"> </w:t>
      </w:r>
      <w:r w:rsidRPr="00AF7E07">
        <w:rPr>
          <w:rStyle w:val="uv3um"/>
          <w:rFonts w:ascii="Times New Roman" w:hAnsi="Times New Roman" w:cs="Times New Roman"/>
          <w:spacing w:val="2"/>
          <w:sz w:val="24"/>
          <w:szCs w:val="24"/>
        </w:rPr>
        <w:t>Algunos funcionarios podrían solicitar excedencia para dedicarse a actividades privadas, especialmente si son lucrativas, sin cumplir con los requisitos o si la excedencia se prolonga indebidamente.</w:t>
      </w:r>
    </w:p>
    <w:p w:rsidR="00571C96" w:rsidRPr="00AF7E07" w:rsidRDefault="00571C96" w:rsidP="00571C96">
      <w:pPr>
        <w:shd w:val="clear" w:color="auto" w:fill="FFFFFF"/>
        <w:spacing w:after="0" w:line="240" w:lineRule="auto"/>
        <w:jc w:val="both"/>
        <w:rPr>
          <w:rStyle w:val="uv3um"/>
          <w:rFonts w:ascii="Times New Roman" w:hAnsi="Times New Roman" w:cs="Times New Roman"/>
          <w:spacing w:val="2"/>
          <w:sz w:val="24"/>
          <w:szCs w:val="24"/>
        </w:rPr>
      </w:pPr>
      <w:r w:rsidRPr="00AF7E07">
        <w:rPr>
          <w:rStyle w:val="uv3um"/>
          <w:rFonts w:ascii="Times New Roman" w:hAnsi="Times New Roman" w:cs="Times New Roman"/>
          <w:spacing w:val="2"/>
          <w:sz w:val="24"/>
          <w:szCs w:val="24"/>
        </w:rPr>
        <w:t xml:space="preserve"> </w:t>
      </w:r>
    </w:p>
    <w:p w:rsidR="00571C96" w:rsidRDefault="00571C96" w:rsidP="00571C96">
      <w:pPr>
        <w:shd w:val="clear" w:color="auto" w:fill="FFFFFF"/>
        <w:spacing w:after="0" w:line="240" w:lineRule="auto"/>
        <w:jc w:val="both"/>
        <w:rPr>
          <w:rStyle w:val="uv3um"/>
          <w:rFonts w:ascii="Times New Roman" w:hAnsi="Times New Roman" w:cs="Times New Roman"/>
          <w:spacing w:val="2"/>
          <w:sz w:val="24"/>
          <w:szCs w:val="24"/>
        </w:rPr>
      </w:pPr>
      <w:r>
        <w:rPr>
          <w:rStyle w:val="uv3um"/>
          <w:rFonts w:ascii="Times New Roman" w:hAnsi="Times New Roman" w:cs="Times New Roman"/>
          <w:spacing w:val="2"/>
          <w:sz w:val="24"/>
          <w:szCs w:val="24"/>
        </w:rPr>
        <w:t xml:space="preserve">Reingreso problemático: </w:t>
      </w:r>
      <w:r w:rsidRPr="00AF7E07">
        <w:rPr>
          <w:rStyle w:val="uv3um"/>
          <w:rFonts w:ascii="Times New Roman" w:hAnsi="Times New Roman" w:cs="Times New Roman"/>
          <w:spacing w:val="2"/>
          <w:sz w:val="24"/>
          <w:szCs w:val="24"/>
        </w:rPr>
        <w:t xml:space="preserve">La dificultad para reincorporarse tras una excedencia, especialmente si no hay reserva de puesto, puede generar frustración y desmotivación entre los funcionarios. </w:t>
      </w:r>
    </w:p>
    <w:p w:rsidR="00571C96" w:rsidRPr="00AF7E07" w:rsidRDefault="00571C96" w:rsidP="00571C96">
      <w:pPr>
        <w:shd w:val="clear" w:color="auto" w:fill="FFFFFF"/>
        <w:spacing w:after="0" w:line="240" w:lineRule="auto"/>
        <w:jc w:val="both"/>
        <w:rPr>
          <w:rStyle w:val="uv3um"/>
          <w:rFonts w:ascii="Times New Roman" w:hAnsi="Times New Roman" w:cs="Times New Roman"/>
          <w:spacing w:val="2"/>
          <w:sz w:val="24"/>
          <w:szCs w:val="24"/>
        </w:rPr>
      </w:pPr>
    </w:p>
    <w:p w:rsidR="00571C96" w:rsidRPr="00AF7E07" w:rsidRDefault="00571C96" w:rsidP="00571C96">
      <w:pPr>
        <w:shd w:val="clear" w:color="auto" w:fill="FFFFFF"/>
        <w:spacing w:after="0" w:line="240" w:lineRule="auto"/>
        <w:jc w:val="both"/>
        <w:rPr>
          <w:rStyle w:val="uv3um"/>
          <w:rFonts w:ascii="Times New Roman" w:hAnsi="Times New Roman" w:cs="Times New Roman"/>
          <w:spacing w:val="2"/>
          <w:sz w:val="24"/>
          <w:szCs w:val="24"/>
        </w:rPr>
      </w:pPr>
      <w:r>
        <w:rPr>
          <w:rStyle w:val="uv3um"/>
          <w:rFonts w:ascii="Times New Roman" w:hAnsi="Times New Roman" w:cs="Times New Roman"/>
          <w:spacing w:val="2"/>
          <w:sz w:val="24"/>
          <w:szCs w:val="24"/>
        </w:rPr>
        <w:t xml:space="preserve">Ocultación de irregularidades: </w:t>
      </w:r>
      <w:r w:rsidRPr="00AF7E07">
        <w:rPr>
          <w:rStyle w:val="uv3um"/>
          <w:rFonts w:ascii="Times New Roman" w:hAnsi="Times New Roman" w:cs="Times New Roman"/>
          <w:spacing w:val="2"/>
          <w:sz w:val="24"/>
          <w:szCs w:val="24"/>
        </w:rPr>
        <w:t xml:space="preserve">La solicitud de excedencia puede utilizarse para ocultar irregularidades o mala gestión en el puesto de trabajo anterior, dificultando la investigación y la rendición de cuentas. </w:t>
      </w:r>
    </w:p>
    <w:p w:rsidR="00571C96" w:rsidRDefault="00571C96" w:rsidP="00571C96">
      <w:pPr>
        <w:shd w:val="clear" w:color="auto" w:fill="FFFFFF"/>
        <w:spacing w:after="0" w:line="240" w:lineRule="auto"/>
        <w:jc w:val="both"/>
        <w:rPr>
          <w:rStyle w:val="uv3um"/>
          <w:rFonts w:ascii="Times New Roman" w:hAnsi="Times New Roman" w:cs="Times New Roman"/>
          <w:spacing w:val="2"/>
          <w:sz w:val="24"/>
          <w:szCs w:val="24"/>
        </w:rPr>
      </w:pPr>
    </w:p>
    <w:p w:rsidR="00571C96" w:rsidRDefault="00571C96" w:rsidP="00571C96">
      <w:pPr>
        <w:shd w:val="clear" w:color="auto" w:fill="FFFFFF"/>
        <w:spacing w:after="0" w:line="240" w:lineRule="auto"/>
        <w:jc w:val="both"/>
        <w:rPr>
          <w:rStyle w:val="uv3um"/>
          <w:rFonts w:ascii="Times New Roman" w:hAnsi="Times New Roman" w:cs="Times New Roman"/>
          <w:spacing w:val="2"/>
          <w:sz w:val="24"/>
          <w:szCs w:val="24"/>
        </w:rPr>
      </w:pPr>
      <w:r w:rsidRPr="00AF7E07">
        <w:rPr>
          <w:rStyle w:val="uv3um"/>
          <w:rFonts w:ascii="Times New Roman" w:hAnsi="Times New Roman" w:cs="Times New Roman"/>
          <w:spacing w:val="2"/>
          <w:sz w:val="24"/>
          <w:szCs w:val="24"/>
        </w:rPr>
        <w:t>Posibles soluciones:</w:t>
      </w:r>
      <w:r>
        <w:rPr>
          <w:rStyle w:val="uv3um"/>
          <w:rFonts w:ascii="Times New Roman" w:hAnsi="Times New Roman" w:cs="Times New Roman"/>
          <w:spacing w:val="2"/>
          <w:sz w:val="24"/>
          <w:szCs w:val="24"/>
        </w:rPr>
        <w:t xml:space="preserve"> </w:t>
      </w:r>
      <w:r w:rsidRPr="00AF7E07">
        <w:rPr>
          <w:rStyle w:val="uv3um"/>
          <w:rFonts w:ascii="Times New Roman" w:hAnsi="Times New Roman" w:cs="Times New Roman"/>
          <w:spacing w:val="2"/>
          <w:sz w:val="24"/>
          <w:szCs w:val="24"/>
        </w:rPr>
        <w:t>Reforzar los controles y</w:t>
      </w:r>
      <w:r>
        <w:rPr>
          <w:rStyle w:val="uv3um"/>
          <w:rFonts w:ascii="Times New Roman" w:hAnsi="Times New Roman" w:cs="Times New Roman"/>
          <w:spacing w:val="2"/>
          <w:sz w:val="24"/>
          <w:szCs w:val="24"/>
        </w:rPr>
        <w:t xml:space="preserve"> la transparencia. </w:t>
      </w:r>
      <w:r w:rsidRPr="00AF7E07">
        <w:rPr>
          <w:rStyle w:val="uv3um"/>
          <w:rFonts w:ascii="Times New Roman" w:hAnsi="Times New Roman" w:cs="Times New Roman"/>
          <w:spacing w:val="2"/>
          <w:sz w:val="24"/>
          <w:szCs w:val="24"/>
        </w:rPr>
        <w:t>Establece</w:t>
      </w:r>
      <w:r>
        <w:rPr>
          <w:rStyle w:val="uv3um"/>
          <w:rFonts w:ascii="Times New Roman" w:hAnsi="Times New Roman" w:cs="Times New Roman"/>
          <w:spacing w:val="2"/>
          <w:sz w:val="24"/>
          <w:szCs w:val="24"/>
        </w:rPr>
        <w:t>r plazos máximos y condiciones. Realizar procesos de investigación por el uso fraudulento de la excedencia y aplicar las sanciones disciplinarias correspondientes.</w:t>
      </w:r>
    </w:p>
    <w:p w:rsidR="00571C96" w:rsidRPr="00AF7E07" w:rsidRDefault="00571C96" w:rsidP="00571C96">
      <w:pPr>
        <w:shd w:val="clear" w:color="auto" w:fill="FFFFFF"/>
        <w:spacing w:after="0" w:line="240" w:lineRule="auto"/>
        <w:jc w:val="both"/>
        <w:rPr>
          <w:rStyle w:val="uv3um"/>
          <w:rFonts w:ascii="Times New Roman" w:hAnsi="Times New Roman" w:cs="Times New Roman"/>
          <w:spacing w:val="2"/>
          <w:sz w:val="24"/>
          <w:szCs w:val="24"/>
        </w:rPr>
      </w:pPr>
      <w:r>
        <w:rPr>
          <w:rStyle w:val="uv3um"/>
          <w:rFonts w:ascii="Times New Roman" w:hAnsi="Times New Roman" w:cs="Times New Roman"/>
          <w:spacing w:val="2"/>
          <w:sz w:val="24"/>
          <w:szCs w:val="24"/>
        </w:rPr>
        <w:t xml:space="preserve"> </w:t>
      </w:r>
    </w:p>
    <w:p w:rsidR="00571C96" w:rsidRPr="00481F07" w:rsidRDefault="00571C96" w:rsidP="00571C96">
      <w:pPr>
        <w:shd w:val="clear" w:color="auto" w:fill="FFFFFF"/>
        <w:spacing w:after="0" w:line="240" w:lineRule="auto"/>
        <w:jc w:val="both"/>
        <w:rPr>
          <w:rStyle w:val="uv3um"/>
          <w:rFonts w:ascii="Times New Roman" w:hAnsi="Times New Roman" w:cs="Times New Roman"/>
          <w:color w:val="FF0000"/>
          <w:spacing w:val="2"/>
          <w:sz w:val="24"/>
          <w:szCs w:val="24"/>
        </w:rPr>
      </w:pPr>
      <w:r w:rsidRPr="00481F07">
        <w:rPr>
          <w:rStyle w:val="uv3um"/>
          <w:rFonts w:ascii="Times New Roman" w:hAnsi="Times New Roman" w:cs="Times New Roman"/>
          <w:b/>
          <w:color w:val="FF0000"/>
          <w:spacing w:val="2"/>
          <w:sz w:val="24"/>
          <w:szCs w:val="24"/>
        </w:rPr>
        <w:t>Nota I</w:t>
      </w:r>
      <w:r w:rsidRPr="00481F07">
        <w:rPr>
          <w:rStyle w:val="uv3um"/>
          <w:rFonts w:ascii="Times New Roman" w:hAnsi="Times New Roman" w:cs="Times New Roman"/>
          <w:color w:val="FF0000"/>
          <w:spacing w:val="2"/>
          <w:sz w:val="24"/>
          <w:szCs w:val="24"/>
        </w:rPr>
        <w:t>: Pese a que la excedencia es un derecho legítimo, su abuso puede generar problemas en la administración pública y afectar a la calidad del servicio público. Es fundamental establecer mecanismos de control, transparencia y gestión adecuados para evitar estas situaciones y garantizar la correcta aplicación del régimen de excedencia.</w:t>
      </w:r>
    </w:p>
    <w:p w:rsidR="00571C96" w:rsidRDefault="00571C96" w:rsidP="00571C96">
      <w:pPr>
        <w:shd w:val="clear" w:color="auto" w:fill="FFFFFF"/>
        <w:spacing w:after="0" w:line="240" w:lineRule="auto"/>
        <w:jc w:val="both"/>
        <w:rPr>
          <w:rStyle w:val="uv3um"/>
          <w:rFonts w:ascii="Times New Roman" w:hAnsi="Times New Roman" w:cs="Times New Roman"/>
          <w:spacing w:val="2"/>
          <w:sz w:val="24"/>
          <w:szCs w:val="24"/>
        </w:rPr>
      </w:pPr>
    </w:p>
    <w:p w:rsidR="00571C96" w:rsidRDefault="00571C96" w:rsidP="00571C96">
      <w:pPr>
        <w:shd w:val="clear" w:color="auto" w:fill="FFFFFF"/>
        <w:spacing w:after="0" w:line="240" w:lineRule="auto"/>
        <w:jc w:val="both"/>
        <w:rPr>
          <w:rStyle w:val="uv3um"/>
          <w:rFonts w:ascii="Times New Roman" w:hAnsi="Times New Roman" w:cs="Times New Roman"/>
          <w:color w:val="FF0000"/>
          <w:spacing w:val="2"/>
          <w:sz w:val="24"/>
          <w:szCs w:val="24"/>
        </w:rPr>
      </w:pPr>
      <w:r w:rsidRPr="00553DB0">
        <w:rPr>
          <w:rStyle w:val="uv3um"/>
          <w:rFonts w:ascii="Times New Roman" w:hAnsi="Times New Roman" w:cs="Times New Roman"/>
          <w:b/>
          <w:color w:val="FF0000"/>
          <w:spacing w:val="2"/>
          <w:sz w:val="24"/>
          <w:szCs w:val="24"/>
        </w:rPr>
        <w:t>Nota II</w:t>
      </w:r>
      <w:r w:rsidRPr="00553DB0">
        <w:rPr>
          <w:rStyle w:val="uv3um"/>
          <w:rFonts w:ascii="Times New Roman" w:hAnsi="Times New Roman" w:cs="Times New Roman"/>
          <w:color w:val="FF0000"/>
          <w:spacing w:val="2"/>
          <w:sz w:val="24"/>
          <w:szCs w:val="24"/>
        </w:rPr>
        <w:t xml:space="preserve">: Aunque parezca demasiado drástico opino que debería eliminarse todo régimen de excedencia, para poner en igualdad de derechos a los trabajadores públicos y privados. </w:t>
      </w:r>
    </w:p>
    <w:p w:rsidR="00571C96" w:rsidRPr="00AF7E07" w:rsidRDefault="00571C96" w:rsidP="00571C96">
      <w:pPr>
        <w:shd w:val="clear" w:color="auto" w:fill="FFFFFF"/>
        <w:spacing w:after="0" w:line="240" w:lineRule="auto"/>
        <w:jc w:val="both"/>
        <w:rPr>
          <w:rStyle w:val="uv3um"/>
          <w:rFonts w:ascii="Times New Roman" w:hAnsi="Times New Roman" w:cs="Times New Roman"/>
          <w:spacing w:val="2"/>
          <w:sz w:val="24"/>
          <w:szCs w:val="24"/>
        </w:rPr>
      </w:pPr>
    </w:p>
    <w:p w:rsidR="00571C96" w:rsidRDefault="00571C96" w:rsidP="00571C96">
      <w:pPr>
        <w:spacing w:line="240" w:lineRule="auto"/>
        <w:jc w:val="both"/>
        <w:rPr>
          <w:rFonts w:ascii="Times New Roman" w:hAnsi="Times New Roman" w:cs="Times New Roman"/>
          <w:color w:val="FF0000"/>
          <w:sz w:val="24"/>
          <w:szCs w:val="24"/>
          <w:shd w:val="clear" w:color="auto" w:fill="FFFFFF"/>
        </w:rPr>
      </w:pPr>
      <w:r w:rsidRPr="00C53B5D">
        <w:rPr>
          <w:rFonts w:ascii="Times New Roman" w:hAnsi="Times New Roman" w:cs="Times New Roman"/>
          <w:color w:val="FF0000"/>
          <w:sz w:val="24"/>
          <w:szCs w:val="24"/>
          <w:shd w:val="clear" w:color="auto" w:fill="FFFFFF"/>
        </w:rPr>
        <w:t>- Eliminar todo régimen de subvenciones al sector público y al sector privado</w:t>
      </w:r>
    </w:p>
    <w:p w:rsidR="00571C96" w:rsidRDefault="00571C96" w:rsidP="00571C96">
      <w:pPr>
        <w:spacing w:line="240" w:lineRule="auto"/>
        <w:jc w:val="both"/>
        <w:rPr>
          <w:rFonts w:ascii="Times New Roman" w:hAnsi="Times New Roman" w:cs="Times New Roman"/>
          <w:color w:val="FF0000"/>
          <w:sz w:val="24"/>
          <w:szCs w:val="24"/>
          <w:shd w:val="clear" w:color="auto" w:fill="FFFFFF"/>
        </w:rPr>
      </w:pPr>
      <w:r w:rsidRPr="004B378F">
        <w:rPr>
          <w:rFonts w:ascii="Times New Roman" w:hAnsi="Times New Roman" w:cs="Times New Roman"/>
          <w:noProof/>
          <w:color w:val="FF0000"/>
          <w:sz w:val="24"/>
          <w:szCs w:val="24"/>
          <w:shd w:val="clear" w:color="auto" w:fill="FFFFFF"/>
          <w:lang w:eastAsia="es-ES"/>
        </w:rPr>
        <w:drawing>
          <wp:inline distT="0" distB="0" distL="0" distR="0" wp14:anchorId="2A808784" wp14:editId="1FDBA813">
            <wp:extent cx="6146800" cy="2730500"/>
            <wp:effectExtent l="0" t="0" r="635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6146800" cy="2730500"/>
                    </a:xfrm>
                    <a:prstGeom prst="rect">
                      <a:avLst/>
                    </a:prstGeom>
                  </pic:spPr>
                </pic:pic>
              </a:graphicData>
            </a:graphic>
          </wp:inline>
        </w:drawing>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lastRenderedPageBreak/>
        <w:t xml:space="preserve">- </w:t>
      </w:r>
      <w:r w:rsidRPr="00B61562">
        <w:rPr>
          <w:rFonts w:ascii="Times New Roman" w:hAnsi="Times New Roman" w:cs="Times New Roman"/>
          <w:sz w:val="24"/>
          <w:szCs w:val="24"/>
          <w:u w:val="single"/>
          <w:shd w:val="clear" w:color="auto" w:fill="FFFFFF"/>
        </w:rPr>
        <w:t>La España de las 10 millones de subvenciones</w:t>
      </w:r>
      <w:r w:rsidRPr="00B61562">
        <w:rPr>
          <w:rFonts w:ascii="Times New Roman" w:hAnsi="Times New Roman" w:cs="Times New Roman"/>
          <w:sz w:val="24"/>
          <w:szCs w:val="24"/>
          <w:shd w:val="clear" w:color="auto" w:fill="FFFFFF"/>
        </w:rPr>
        <w:t xml:space="preserve"> (La Razón - </w:t>
      </w:r>
      <w:r w:rsidRPr="00B61562">
        <w:rPr>
          <w:rFonts w:ascii="Times New Roman" w:hAnsi="Times New Roman" w:cs="Times New Roman"/>
          <w:b/>
          <w:sz w:val="24"/>
          <w:szCs w:val="24"/>
          <w:shd w:val="clear" w:color="auto" w:fill="FFFFFF"/>
        </w:rPr>
        <w:t>18/12/22</w:t>
      </w:r>
      <w:r w:rsidRPr="00B61562">
        <w:rPr>
          <w:rFonts w:ascii="Times New Roman" w:hAnsi="Times New Roman" w:cs="Times New Roman"/>
          <w:sz w:val="24"/>
          <w:szCs w:val="24"/>
          <w:shd w:val="clear" w:color="auto" w:fill="FFFFFF"/>
        </w:rPr>
        <w:t>)</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En 2022 las administraciones públicas concedieron 9,7 millones de este tipo de ayudas, que van desde un céntimo hasta 228 millones de euros. En solo un día se han llegado a aprobar 9.821</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(Por Rosa Carvajal)</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Como instrumento de intervención de la economía española, la subvención constituye la principal categoría de ayudas públicas. Están todas publicadas en la web de la Intervención General de la Administración del Estado (IGAE). En 2021, el importe total de éstas alcanzó los 18.718 millones de euros, el 1,6% del PIB, según la IGAE, y en 2022, hasta septiembre, se han repartido ya 18.397 millones de euros en subvenciones.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Las conceden las administraciones públicas a todo tipo de entes. Desde organismos públicos a fundaciones, asociaciones, empresas, institutos, gobiernos regionales, ayuntamientos, partidos políticos o a particulares. Sólo entre el 1 de enero de 2022 y hasta el 12 de diciembre, las administraciones públicas otorgaron 9.710.625, de las cuales 6.208.096 fueron repartidas por el Estado y 3.502.529 por las comunidades, ayuntamientos y diputaciones. La subvención más baja concedida en 2022 fue del Gobierno de Castilla y León (Dirección general de producción agrícola y ganadera) a un particular. Desde Hacienda aclaran que existen ayudas por importes muy reducidos que suelen dirigirse a incentivar la suscripción de pólizas de seguros agrícolas, para minorar el gasto ocasionado para su suscripción. En ese caso, los beneficiarios son personas físicas o jurídicas titulares de explotaciones agrarias que suscriben estos seguros agrarios. Por otro lado, la subvención más alta fue de 228 millones de euros a la Universitad Politécnica de Valenciana.</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 </w:t>
      </w:r>
      <w:r w:rsidRPr="00B61562">
        <w:rPr>
          <w:rFonts w:ascii="Times New Roman" w:hAnsi="Times New Roman" w:cs="Times New Roman"/>
          <w:sz w:val="24"/>
          <w:szCs w:val="24"/>
          <w:u w:val="single"/>
          <w:shd w:val="clear" w:color="auto" w:fill="FFFFFF"/>
        </w:rPr>
        <w:t>El país de las subvenciones: las administraciones reparten 100.000 millones a 27.000 empresas, partidos y entes</w:t>
      </w:r>
      <w:r w:rsidRPr="00B61562">
        <w:rPr>
          <w:rFonts w:ascii="Times New Roman" w:hAnsi="Times New Roman" w:cs="Times New Roman"/>
          <w:sz w:val="24"/>
          <w:szCs w:val="24"/>
          <w:shd w:val="clear" w:color="auto" w:fill="FFFFFF"/>
        </w:rPr>
        <w:t xml:space="preserve"> (Vozpópuli - </w:t>
      </w:r>
      <w:r w:rsidRPr="00B61562">
        <w:rPr>
          <w:rFonts w:ascii="Times New Roman" w:hAnsi="Times New Roman" w:cs="Times New Roman"/>
          <w:b/>
          <w:sz w:val="24"/>
          <w:szCs w:val="24"/>
          <w:shd w:val="clear" w:color="auto" w:fill="FFFFFF"/>
        </w:rPr>
        <w:t>17/4/24</w:t>
      </w:r>
      <w:r w:rsidRPr="00B61562">
        <w:rPr>
          <w:rFonts w:ascii="Times New Roman" w:hAnsi="Times New Roman" w:cs="Times New Roman"/>
          <w:sz w:val="24"/>
          <w:szCs w:val="24"/>
          <w:shd w:val="clear" w:color="auto" w:fill="FFFFFF"/>
        </w:rPr>
        <w:t xml:space="preserve">)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Estado, comunidades autónomas y ayu</w:t>
      </w:r>
      <w:r>
        <w:rPr>
          <w:rFonts w:ascii="Times New Roman" w:hAnsi="Times New Roman" w:cs="Times New Roman"/>
          <w:sz w:val="24"/>
          <w:szCs w:val="24"/>
          <w:shd w:val="clear" w:color="auto" w:fill="FFFFFF"/>
        </w:rPr>
        <w:t>ntamientos otorgan cada año un “manguerazo”</w:t>
      </w:r>
      <w:r w:rsidRPr="00B61562">
        <w:rPr>
          <w:rFonts w:ascii="Times New Roman" w:hAnsi="Times New Roman" w:cs="Times New Roman"/>
          <w:sz w:val="24"/>
          <w:szCs w:val="24"/>
          <w:shd w:val="clear" w:color="auto" w:fill="FFFFFF"/>
        </w:rPr>
        <w:t xml:space="preserve"> de dinero público destinado a un sinfín de organizaciones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(Por Francisco Núñez)</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No están todos los perceptores que en realidad son, porque la información se produce por goteo y muchas Administraciones Públicas tardan o todavía no han facilitado dato alguno. Pero es evidente que España se ha convertido en el país de las subvenciones. Así, en el Listado de Grandes Beneficiarios que ha confeccionado el Ministerio de Hacienda sale que hay casi 27.000 (26.881 exactamente) empresas, asociaciones (por ejemplo, sindicatos, organizaciones empresariales y partidos políticos), entes públicos, comunidades de propietarios y sociedades civiles, así como un importante colectivo de extranjeros y un cajón </w:t>
      </w:r>
      <w:r>
        <w:rPr>
          <w:rFonts w:ascii="Times New Roman" w:hAnsi="Times New Roman" w:cs="Times New Roman"/>
          <w:sz w:val="24"/>
          <w:szCs w:val="24"/>
          <w:shd w:val="clear" w:color="auto" w:fill="FFFFFF"/>
        </w:rPr>
        <w:t>de sastre bajo el enunciado de “Otros”</w:t>
      </w:r>
      <w:r w:rsidRPr="00B61562">
        <w:rPr>
          <w:rFonts w:ascii="Times New Roman" w:hAnsi="Times New Roman" w:cs="Times New Roman"/>
          <w:sz w:val="24"/>
          <w:szCs w:val="24"/>
          <w:shd w:val="clear" w:color="auto" w:fill="FFFFFF"/>
        </w:rPr>
        <w:t xml:space="preserve">, que reciben subvenciones de alguna o algunas de las Administraciones (estatal, autonómica o local).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El listado contiene todas las ayudas públicas (disposiciones de dinero concedidas) que se han otorgado desde una cuantía superior a 100.000 euros, que en su tramo más elevado llegan hasta cerca de los 500 millones. Casi una cuarta parte de estos grandes beneficiarios obtiene ayudas por encima del millón de euros. El gasto público que generan supera con creces los 100.000 millones, una cifra cercana a la recaudación por IRPF. De ellos, casi el 10% corresponden a los fondos europeos del Mecanismo de Recuperación y </w:t>
      </w:r>
      <w:r w:rsidR="00473932" w:rsidRPr="00B61562">
        <w:rPr>
          <w:rFonts w:ascii="Times New Roman" w:hAnsi="Times New Roman" w:cs="Times New Roman"/>
          <w:sz w:val="24"/>
          <w:szCs w:val="24"/>
          <w:shd w:val="clear" w:color="auto" w:fill="FFFFFF"/>
        </w:rPr>
        <w:t>Resiliencia</w:t>
      </w:r>
      <w:r w:rsidRPr="00B61562">
        <w:rPr>
          <w:rFonts w:ascii="Times New Roman" w:hAnsi="Times New Roman" w:cs="Times New Roman"/>
          <w:sz w:val="24"/>
          <w:szCs w:val="24"/>
          <w:shd w:val="clear" w:color="auto" w:fill="FFFFFF"/>
        </w:rPr>
        <w:t xml:space="preserve"> (MRR). En todo caso, aunque la información es un avance importante de transparencia, es incompleta ya que además de los receptores que no figuran en este listado porque la Administración </w:t>
      </w:r>
      <w:r w:rsidRPr="00B61562">
        <w:rPr>
          <w:rFonts w:ascii="Times New Roman" w:hAnsi="Times New Roman" w:cs="Times New Roman"/>
          <w:sz w:val="24"/>
          <w:szCs w:val="24"/>
          <w:shd w:val="clear" w:color="auto" w:fill="FFFFFF"/>
        </w:rPr>
        <w:lastRenderedPageBreak/>
        <w:t xml:space="preserve">correspondiente no ha informado, falta también por computar las subvenciones por debajo de esos 100.000 euros de las que no hay listado alguno y cuya estadística será muy elevada.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Se trata de una lluvia ingente de dinero público que, según reconocen fuentes de Hacienda, se realiza en muchos casos de forma recurrente cada año, sin que se analice la eficiencia de estas ayudas públicas en la economía nacional y si efectivamente se realizan o si se emplean para los fines pretendidos. Todo ello sucede cuando el gasto público se encuentra en los niveles más elevados de la historia presupuestaria y cuando parece urgente una revisión porque la bonanza de los ingresos está llegando a su fin, mientras que Bruselas exige un ajuste para volver a la senda de las reglas fiscales.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La información, con datos computados hasta agosto de 2023, corresponde a las subvenciones anualizadas en 2022 e incorpora por primera vez el importe de los fondos europeos concedidos bajo este epígrafe.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Más de 18.000 empresas y asociaciones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El listado contiene a 13.045 empresas de todo tipo. Más de un millar tienen asignadas subvenciones por encima del millón de euros. En el top se encuentran unas 40 entidades con ayudas superiores a 20 millones que llegan hasta los 346 millones que obtiene una empresa de acero radicada en Cataluña (Barna Steel).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Hay de todo en este primer lote. Entre las que perciben más de un millón de euros figuran todas las grandes empresas imaginables desde las energéticas (por ejemplo, Repsol recibe 13,1 millones) a las automovilísticas (a Ford le llegan 8,9 millones), las cadenas hoteleras (Juliá obtiene 25 millones) o los bancos (Sabadell incorpora 13 millones).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Hay que añadir a un enorme grupo de compañías aéreas, editoras, laboratorios farmacéuticos, clubs deportivos y de baloncest</w:t>
      </w:r>
      <w:r>
        <w:rPr>
          <w:rFonts w:ascii="Times New Roman" w:hAnsi="Times New Roman" w:cs="Times New Roman"/>
          <w:sz w:val="24"/>
          <w:szCs w:val="24"/>
          <w:shd w:val="clear" w:color="auto" w:fill="FFFFFF"/>
        </w:rPr>
        <w:t>o (por ejemplo, el Gran Canaria</w:t>
      </w:r>
      <w:r w:rsidRPr="00B61562">
        <w:rPr>
          <w:rFonts w:ascii="Times New Roman" w:hAnsi="Times New Roman" w:cs="Times New Roman"/>
          <w:sz w:val="24"/>
          <w:szCs w:val="24"/>
          <w:shd w:val="clear" w:color="auto" w:fill="FFFFFF"/>
        </w:rPr>
        <w:t>), orquestas, autoescuelas, consultoras, productoras o centros de formación. Y también aparecen empresas relacionadas con la moda femenina (por ejemplo, Marie Claire obtiene 12 millones). Y por debajo del millón se encuentran algunas cementeras (Portland obtiene 840.000 euros); cooperativas; compañías de autobuses (Alsa acapara 560.296 euros); o empresas alimentarias (a Yemas de Santa Teresa le llega casi 700.000 euros). Se suman: bodegas, cines, teatros, escuelas infantiles, empresas de taxis y de espectáculos, y hasta funerarias. Incluso, Fujitsu España obtiene 184.900 euros de ayudas públicas y 187.450 euros van a McDonald’s.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En el listado de subvenciones aparecen también 5.369 asociaciones que Hacienda identifica como grandes beneficiarios. Unas 1.500 reciben más de un millón de euros. En el top se encuentra la Asociación Comisión Católica Española de Migración (95,2 millones) o el Consejo Valenciano de Colegios de Abogados (44,5 millones) y la Fundación per la Universitat Oberta de Catalunya (con 38,6 millones).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El puzzle es también enorme porque aparecen las ayudas correspondientes a un número ingente de fundaciones, sindicatos (tanto de clase como gremiales o corporativos a nivel nacional y regional), organizaciones empresariales (incluso sectoriales), partidos políticos (con la inclusión de algunas agrupaciones regionales y locales), comunidades de regantes, asociaciones de circo y de fiestas, orquestas, teatros, federaciones y clubs deportivos (de futbol hasta de ciclismo, taekwondo o voleibol). Por ejemplo, la orquesta de Gran Canarias recibe 7,6 millones, el Instituto de Estudios Catalanes aparece con 5,9 millones, y el Teatro Real dispone de 5,6 millones. Destacan también las ayudas de 4,1 millones al Instituto de Estudios Espaciales de Cataluña o a la Fundación de La Caixa (2,7 millones).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lastRenderedPageBreak/>
        <w:t>Casi 9.000 entes y comunidades de propietarios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En este listado hay además 6.982 organismos ligados al sector público. Lidera el ranking autonomía canaria (492 millones) y le siguen la Universidad de Valencia y la Politécnica también de esta región (en el entorno de los 400 millones). Hay 300 entes que obtienen ayudas por encima de los 10 millones. En este capítulo, además de las CCAA, se encuentran los ayuntamientos de todos los tamaños, diputaciones, federaciones deportivas (por ejemplo, la de Piragüismo de Madrid obtiene 15,2 millones), consorcios, consejos reguladores de vino, festivales de música o colegios de arquitectos. También figuran: el Consejo Valenciano de Colegios de Procuradores (6,8 millones), el Colegio de Abogados de Lanzarote (1,5 millones) o el de Córdoba (1,5 millones).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Hay además 794 comunidades de propietarios y sociedades civiles que aparecen en este listado con subvenciones de hasta 1,3 millones. Destacan las sociedades civiles (entidades asociativas de naturaleza mercantil o civil con ánimo de lucro) de ganaderías, granjas, e incluso dedicadas a la de formación e incluso autoescuelas y escuelas infantiles.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Subvenciones para extranjeros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Y, entre los beneficiarios extranjeros, que figuran en el cajón de sastre catalogado como ‘Otros’, aparecen 691 subvenciones. De los 236 foráneos, 41 superan el millón de euros. Destacan varios ministerios de países del norte de África y de Latinoamérica. Por ejemplo, el ministerio de la Salud de Colombia cuenta con 10,6 millones; el ministerio de Pesca y de la Economía Marítima de Mauritania dispone de 10 millones; y la secretaría de Salud de Honduras obtiene 4,5 millones. Además, entre otros, el Banco de Desarrollo de Ecuador tiene 10,2 millones y el ministerio de Finanzas de la Autoridad Palestina consigue 1,5 millones mientras que la Asociación Suiza para el Desarrollo y la Cooperación dispone de 900.000 euros.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Por su parte, entre los 455 grandes beneficiarios que figuran bajo el concepto de ‘Otros’ se encuentran algunas empresas extranjeras que han comenzado su actividad recientemente en España en el sector de la logística o la movilidad y también organizaciones y órdenes religiosas de todo tipo, parroquias, fundaciones y patronatos.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En los primeros lugares aparece una UTE del servicio de transporte público en autobús de Alicante con una subvención que supera los 123 millones así como la sucursal en España del operador ferroviario de mercancías Medway, propiedad de una empresa suiza (con 43,1 millones) y una empresa del negocio de estaciones de carga eléctrica de vehículos (Ionity) integrada por las principales marcas de coches (15,1 millones).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 </w:t>
      </w:r>
      <w:r w:rsidRPr="00B61562">
        <w:rPr>
          <w:rFonts w:ascii="Times New Roman" w:hAnsi="Times New Roman" w:cs="Times New Roman"/>
          <w:sz w:val="24"/>
          <w:szCs w:val="24"/>
          <w:u w:val="single"/>
          <w:shd w:val="clear" w:color="auto" w:fill="FFFFFF"/>
        </w:rPr>
        <w:t>Las empresas que más subvenciones reciben en España: Volkswagen, Telefónica e Iberdrola sumaron 615 millones de euros en 2023</w:t>
      </w:r>
      <w:r w:rsidRPr="00B61562">
        <w:rPr>
          <w:rFonts w:ascii="Times New Roman" w:hAnsi="Times New Roman" w:cs="Times New Roman"/>
          <w:sz w:val="24"/>
          <w:szCs w:val="24"/>
          <w:shd w:val="clear" w:color="auto" w:fill="FFFFFF"/>
        </w:rPr>
        <w:t xml:space="preserve"> (businessinsider.es - </w:t>
      </w:r>
      <w:r w:rsidRPr="00B61562">
        <w:rPr>
          <w:rFonts w:ascii="Times New Roman" w:hAnsi="Times New Roman" w:cs="Times New Roman"/>
          <w:b/>
          <w:sz w:val="24"/>
          <w:szCs w:val="24"/>
          <w:shd w:val="clear" w:color="auto" w:fill="FFFFFF"/>
        </w:rPr>
        <w:t>3/9/24</w:t>
      </w:r>
      <w:r w:rsidRPr="00B61562">
        <w:rPr>
          <w:rFonts w:ascii="Times New Roman" w:hAnsi="Times New Roman" w:cs="Times New Roman"/>
          <w:sz w:val="24"/>
          <w:szCs w:val="24"/>
          <w:shd w:val="clear" w:color="auto" w:fill="FFFFFF"/>
        </w:rPr>
        <w:t>)</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(Por Daniel Alonso Viña)</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Una investigación de elDiario.es ha revelado que 100 empresas han concentrado más de la mitad de las mayores subvenciones estatales.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Hay grandes nombres como Volkswagen, Telefónica o Iberdrola, que han recibido cientos de millones de euros.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En 2023, un selecto grupo de 100 empresas ha concentrado más de la mitad de las mayores subvenciones otorgadas en España, según un análisis basado en datos del Ministerio de </w:t>
      </w:r>
      <w:r w:rsidRPr="00B61562">
        <w:rPr>
          <w:rFonts w:ascii="Times New Roman" w:hAnsi="Times New Roman" w:cs="Times New Roman"/>
          <w:sz w:val="24"/>
          <w:szCs w:val="24"/>
          <w:shd w:val="clear" w:color="auto" w:fill="FFFFFF"/>
        </w:rPr>
        <w:lastRenderedPageBreak/>
        <w:t xml:space="preserve">Hacienda publicado por elDiario.es. De ahí se desprende que Volkswagen recibió 323,5 millones de euros en 2023, Iberdrola 121,7 millones de euros y Telefónica 170,2 millones de euros, solo por dar algunas cifras.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El análisis revela que estas 100 compañías han recibido un total de 4.240,5 millones de euros en ayudas, el 54,6% de los fondos públicos destinados a subvencionar a 1.400 empresas, y evidencia la creciente concentración de recursos públicos en manos de un reducido grupo de grandes corporaciones.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Energía y automoción lideran el ranking de subvenciones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Entre las empresas más beneficiadas se encuentran gigantes de sectores estratégicos como el energético, con Iberdrola a la cabeza al recibir más de 228 millones de euros. Otros nombres destacados en la lista son Repsol, que ha captado más de 75 millones, y la multinacional Endesa, con 53,5 millones de euros en subvenciones, según los datos recopilados por elDiario.es.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Estas tres compañías, junto con otras del mismo sector, han sido destinatarias de una parte sustancial de las ayudas, especialmente en el marco de los fondos europeos Next Generation, que buscan impulsar la transición energética y la digitalización.</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El sector energético no es el único que ha recibido un fuerte respaldo por parte del Estado. Empresas de la construcción y concesionarias de infraestructuras también han obtenido cantidades significativas de subvenciones. Por ejemplo, ACS, la constructora presidida por Florentino Pérez, ha recibido alrededor de 72 millones de euros, mientras que Ferrovial y Acciona han captado 37,6 millones y 31,7 millones de euros, respectivamente.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Las pequeñas empresas se quedan fuera de la ecuación</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A pesar del enorme volumen de recursos públicos dirigidos a estas grandes corporaciones, el informe también destaca la limitada participación de las pequeñas y medianas empresas (pymes) en el reparto de subvenciones.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Estas empresas, que representan el 99% del tejido empresarial español y generan más del 60% del empleo, han quedado en un segundo plano en términos de ayudas recibidas. De hecho, solo un 10% de las pymes han accedido a estas subvenciones, lo que contrasta con la masiva concentración de fondos en un pequeño grupo de grandes empresas.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El análisis de elDiario.es también pone de relieve las diferencias sectoriales en la asignación de las ayudas. Mientras que el sector energético ha acaparado una gran parte de los recursos, otros sectores como la agricultura y la industria manufacturera han recibido menos apoyo en términos relativos.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Falta de transparencia</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Aunque el Gobierno ha intentado mejorar la rendición de cuentas en los últimos años, la información sobre los criterios específicos utilizados para otorgar estas ayudas no siempre es accesible para el público. </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Esta opacidad genera preocupaciones sobre la equidad y eficacia de la distribución de recursos públicos, y ha llevado a diversos expertos y organizaciones a solicitar una revisión del sistema de subvenciones.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lastRenderedPageBreak/>
        <w:t xml:space="preserve">- </w:t>
      </w:r>
      <w:r w:rsidRPr="00B61562">
        <w:rPr>
          <w:rFonts w:ascii="Times New Roman" w:hAnsi="Times New Roman" w:cs="Times New Roman"/>
          <w:sz w:val="24"/>
          <w:szCs w:val="24"/>
          <w:u w:val="single"/>
          <w:shd w:val="clear" w:color="auto" w:fill="FFFFFF"/>
        </w:rPr>
        <w:t>El país de las subvenciones: España gasta en subsidios un 60% más que la media de la Unión Europea</w:t>
      </w:r>
      <w:r w:rsidRPr="00B61562">
        <w:rPr>
          <w:rFonts w:ascii="Times New Roman" w:hAnsi="Times New Roman" w:cs="Times New Roman"/>
          <w:sz w:val="24"/>
          <w:szCs w:val="24"/>
          <w:shd w:val="clear" w:color="auto" w:fill="FFFFFF"/>
        </w:rPr>
        <w:t xml:space="preserve"> (okdiario.com - </w:t>
      </w:r>
      <w:r w:rsidRPr="00B61562">
        <w:rPr>
          <w:rFonts w:ascii="Times New Roman" w:hAnsi="Times New Roman" w:cs="Times New Roman"/>
          <w:b/>
          <w:sz w:val="24"/>
          <w:szCs w:val="24"/>
          <w:shd w:val="clear" w:color="auto" w:fill="FFFFFF"/>
        </w:rPr>
        <w:t>12/12/24</w:t>
      </w:r>
      <w:r w:rsidRPr="00B61562">
        <w:rPr>
          <w:rFonts w:ascii="Times New Roman" w:hAnsi="Times New Roman" w:cs="Times New Roman"/>
          <w:sz w:val="24"/>
          <w:szCs w:val="24"/>
          <w:shd w:val="clear" w:color="auto" w:fill="FFFFFF"/>
        </w:rPr>
        <w:t>)</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Los países de la eurozona dedican un 41,7% menos dinero que España en subsidios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(Por Benjamín Santamaría)</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España ha gastado en subvenciones un total de 13.123 millones de euros durante los tres primeros trimestres de este año, un 61,1% más que la media registrada en los 27 países que conforman la Unión Europea en el mismo periodo de tiempo. Así lo reflejan los datos sobre el Producto Interior Bruto (PIB) y sus componentes que publica periódicamente el portal estadístico de la Comisión Europea, Eurostat.</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Así, en ese tiempo, los Veintisiete han gastado en subsidios un monto de 219.947 millones de euros que, dividido entre todas las naciones de la Unión, corresponden a 8.146 millones de euros por país, 5.000 millones menos en subvenciones de lo que ha gastado España.</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Por otro lado, si se revisan los datos de la eurozona, es decir, de los países que utilizan el euro como moneda, el conjunto de estos 20 estados gastaron 185.222 millones de euros en subsidios. Es decir, estas naciones dedicaron, de media, 9.261 millones de euros a estas partidas, ligeramente más que la Unión Europea.</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No obstante, esta cifra sigue estando muy por debajo de lo que gasta España. En concreto, los países que utilizan el euro dedican a subsidios un 41,7% menos que los que se dan en la economía española, o lo que es lo mismo, cerca de 4.000 millones menos durante los tres primeros trimestres del año.</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Si se compara sólo el último trimestre del que se tienen datos, el tercero de 2024, España gasta un 45,8% más en subsidios que la media de la Unión Europea y un 23,3% más que los países de la eurozona, por lo que sigue destacando.</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España, el país de las subvenciones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El gasto desmesurado de España en este concepto puede empeorar hasta final del 2024. Y es que, tradicionalmente, el último trimestre es uno en el que la partida de las subvenciones se dispara si se compara con los meses anteriores.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Por ejemplo, frente a los 4.000 millones de subsidios que se concedieron en el penúltimo trimestre de 2023, de octubre a diciembre de ese año, el estado se gastó 11.740 millones de euros en este concepto, casi tres veces más. Una situación similar se ha dado en años anteriores.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En ese sentido, en lo que va de año y siguiendo los datos de Eurostat, el gasto en subsidios ha sido el siguiente:</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Primer trimestre de 2024: 3.947 millones de euros.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Segundo trimestre: 5.739 millones de euros.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Tercer trimestre: 3.437 millones de euros.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 xml:space="preserve">Si se compara este dinero con el que se gastaba el año que entró Pedro Sánchez al poder, en 2018, España ha dedicado en los nueve meses del 2024 un 45% más, o lo que es lo mismo, el Estado ha aumentado este dinero en más de 4.000 millones, desde los 9.056 millones de </w:t>
      </w:r>
      <w:r w:rsidRPr="00B61562">
        <w:rPr>
          <w:rFonts w:ascii="Times New Roman" w:hAnsi="Times New Roman" w:cs="Times New Roman"/>
          <w:sz w:val="24"/>
          <w:szCs w:val="24"/>
          <w:shd w:val="clear" w:color="auto" w:fill="FFFFFF"/>
        </w:rPr>
        <w:lastRenderedPageBreak/>
        <w:t>euros. En cambio, si se compara el tercer trimestre del 2018 -cuando ya gobernaba Sánchez- con el actual, España dedica un 12% más en subvenciones.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El aumento de los subsidios desde el 2018 no se debe al crecimiento del PIB, que ha sido de alrededor de un 11%. Esta situación muestra, por tanto, como aumenta a mayor ritmo la presencia del Estado en la economía que su desarrollo. Los subsidios que contabiliza Eurostat son sólo los que se utilizan para contabilizar el PIB por ingresos, es decir, aquellos que se realizan a la producción, a las importaciones y a los productos.</w:t>
      </w:r>
    </w:p>
    <w:p w:rsidR="00571C96" w:rsidRPr="00B61562"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Sin embarg</w:t>
      </w:r>
      <w:r>
        <w:rPr>
          <w:rFonts w:ascii="Times New Roman" w:hAnsi="Times New Roman" w:cs="Times New Roman"/>
          <w:sz w:val="24"/>
          <w:szCs w:val="24"/>
          <w:shd w:val="clear" w:color="auto" w:fill="FFFFFF"/>
        </w:rPr>
        <w:t>o, en los últimos días, OKDiario</w:t>
      </w:r>
      <w:r w:rsidRPr="00B61562">
        <w:rPr>
          <w:rFonts w:ascii="Times New Roman" w:hAnsi="Times New Roman" w:cs="Times New Roman"/>
          <w:sz w:val="24"/>
          <w:szCs w:val="24"/>
          <w:shd w:val="clear" w:color="auto" w:fill="FFFFFF"/>
        </w:rPr>
        <w:t xml:space="preserve"> ha desvelado como algunas de esas subvenciones a la producción han ido a parar a empresas como las de la familia de la nueva vicepresidenta tercera del Gobierno y ministra para la Transición Ecológica y el Reto Demográfico, Sara Aagesen.</w:t>
      </w:r>
    </w:p>
    <w:p w:rsidR="00571C96" w:rsidRDefault="00571C96" w:rsidP="00571C96">
      <w:pPr>
        <w:spacing w:line="240" w:lineRule="auto"/>
        <w:jc w:val="both"/>
        <w:rPr>
          <w:rFonts w:ascii="Times New Roman" w:hAnsi="Times New Roman" w:cs="Times New Roman"/>
          <w:sz w:val="24"/>
          <w:szCs w:val="24"/>
          <w:shd w:val="clear" w:color="auto" w:fill="FFFFFF"/>
        </w:rPr>
      </w:pPr>
      <w:r w:rsidRPr="00B61562">
        <w:rPr>
          <w:rFonts w:ascii="Times New Roman" w:hAnsi="Times New Roman" w:cs="Times New Roman"/>
          <w:sz w:val="24"/>
          <w:szCs w:val="24"/>
          <w:shd w:val="clear" w:color="auto" w:fill="FFFFFF"/>
        </w:rPr>
        <w:t>Y es que este periódico viene revelando en exclusiva que la empresa de su marido y su hermano pequeño, por un lado, y la de su hermano mayor, por otro, han obtenido ayudas públicas y han conseguido adjudicaciones de al menos siete ministerios distintos del Gobierno de Sánchez, siendo Aagesen integrante del mismo desde hace seis años.</w:t>
      </w:r>
    </w:p>
    <w:p w:rsidR="00571C96" w:rsidRDefault="00571C96" w:rsidP="00571C96">
      <w:pPr>
        <w:shd w:val="clear" w:color="auto" w:fill="FFFFFF"/>
        <w:spacing w:after="170" w:line="240" w:lineRule="auto"/>
        <w:jc w:val="both"/>
        <w:textAlignment w:val="baseline"/>
        <w:outlineLvl w:val="0"/>
        <w:rPr>
          <w:rFonts w:ascii="Times New Roman" w:eastAsia="Times New Roman" w:hAnsi="Times New Roman" w:cs="Times New Roman"/>
          <w:bCs/>
          <w:kern w:val="36"/>
          <w:sz w:val="24"/>
          <w:szCs w:val="24"/>
          <w:lang w:eastAsia="es-ES"/>
        </w:rPr>
      </w:pPr>
      <w:r w:rsidRPr="00430F88">
        <w:rPr>
          <w:rFonts w:ascii="Times New Roman" w:eastAsia="Times New Roman" w:hAnsi="Times New Roman" w:cs="Times New Roman"/>
          <w:bCs/>
          <w:kern w:val="36"/>
          <w:sz w:val="24"/>
          <w:szCs w:val="24"/>
          <w:lang w:eastAsia="es-ES"/>
        </w:rPr>
        <w:t xml:space="preserve">- </w:t>
      </w:r>
      <w:r w:rsidRPr="00430F88">
        <w:rPr>
          <w:rFonts w:ascii="Times New Roman" w:eastAsia="Times New Roman" w:hAnsi="Times New Roman" w:cs="Times New Roman"/>
          <w:bCs/>
          <w:kern w:val="36"/>
          <w:sz w:val="24"/>
          <w:szCs w:val="24"/>
          <w:u w:val="single"/>
          <w:lang w:eastAsia="es-ES"/>
        </w:rPr>
        <w:t>Sánchez reparte 5.000 millones en subvenciones en 2024 a más de 6.000 organismos</w:t>
      </w:r>
      <w:r w:rsidRPr="00430F88">
        <w:rPr>
          <w:rFonts w:ascii="Times New Roman" w:eastAsia="Times New Roman" w:hAnsi="Times New Roman" w:cs="Times New Roman"/>
          <w:bCs/>
          <w:kern w:val="36"/>
          <w:sz w:val="24"/>
          <w:szCs w:val="24"/>
          <w:lang w:eastAsia="es-ES"/>
        </w:rPr>
        <w:t xml:space="preserve"> (Libertad Digital - </w:t>
      </w:r>
      <w:r w:rsidRPr="00430F88">
        <w:rPr>
          <w:rFonts w:ascii="Times New Roman" w:eastAsia="Times New Roman" w:hAnsi="Times New Roman" w:cs="Times New Roman"/>
          <w:b/>
          <w:bCs/>
          <w:kern w:val="36"/>
          <w:sz w:val="24"/>
          <w:szCs w:val="24"/>
          <w:lang w:eastAsia="es-ES"/>
        </w:rPr>
        <w:t>5/7/25</w:t>
      </w:r>
      <w:r w:rsidRPr="00430F88">
        <w:rPr>
          <w:rFonts w:ascii="Times New Roman" w:eastAsia="Times New Roman" w:hAnsi="Times New Roman" w:cs="Times New Roman"/>
          <w:bCs/>
          <w:kern w:val="36"/>
          <w:sz w:val="24"/>
          <w:szCs w:val="24"/>
          <w:lang w:eastAsia="es-ES"/>
        </w:rPr>
        <w:t>)</w:t>
      </w:r>
    </w:p>
    <w:p w:rsidR="00571C96" w:rsidRPr="00430F88" w:rsidRDefault="00571C96" w:rsidP="00571C96">
      <w:pPr>
        <w:shd w:val="clear" w:color="auto" w:fill="FFFFFF"/>
        <w:spacing w:after="170" w:line="240" w:lineRule="auto"/>
        <w:jc w:val="both"/>
        <w:textAlignment w:val="baseline"/>
        <w:outlineLvl w:val="0"/>
        <w:rPr>
          <w:rFonts w:ascii="Times New Roman" w:eastAsia="Times New Roman" w:hAnsi="Times New Roman" w:cs="Times New Roman"/>
          <w:bCs/>
          <w:kern w:val="36"/>
          <w:sz w:val="24"/>
          <w:szCs w:val="24"/>
          <w:lang w:eastAsia="es-ES"/>
        </w:rPr>
      </w:pPr>
      <w:r w:rsidRPr="00430F88">
        <w:rPr>
          <w:rFonts w:ascii="Times New Roman" w:eastAsia="Times New Roman" w:hAnsi="Times New Roman" w:cs="Times New Roman"/>
          <w:bCs/>
          <w:kern w:val="36"/>
          <w:sz w:val="24"/>
          <w:szCs w:val="24"/>
          <w:lang w:eastAsia="es-ES"/>
        </w:rPr>
        <w:t>Entre los grandes beneficiarios de estos 5.000 millones hay numerosas ONG, también sindicatos como UGT y CCOO, y partidos como ERC y el PSC.</w:t>
      </w:r>
    </w:p>
    <w:p w:rsidR="00571C96" w:rsidRPr="00430F88" w:rsidRDefault="00571C96" w:rsidP="00571C96">
      <w:pPr>
        <w:shd w:val="clear" w:color="auto" w:fill="FFFFFF"/>
        <w:spacing w:after="170" w:line="240" w:lineRule="auto"/>
        <w:jc w:val="both"/>
        <w:textAlignment w:val="baseline"/>
        <w:outlineLvl w:val="0"/>
        <w:rPr>
          <w:rFonts w:ascii="Times New Roman" w:eastAsia="Times New Roman" w:hAnsi="Times New Roman" w:cs="Times New Roman"/>
          <w:bCs/>
          <w:kern w:val="36"/>
          <w:sz w:val="24"/>
          <w:szCs w:val="24"/>
          <w:lang w:eastAsia="es-ES"/>
        </w:rPr>
      </w:pPr>
      <w:r w:rsidRPr="00430F88">
        <w:rPr>
          <w:rFonts w:ascii="Times New Roman" w:eastAsia="Times New Roman" w:hAnsi="Times New Roman" w:cs="Times New Roman"/>
          <w:bCs/>
          <w:kern w:val="36"/>
          <w:sz w:val="24"/>
          <w:szCs w:val="24"/>
          <w:lang w:eastAsia="es-ES"/>
        </w:rPr>
        <w:t>(Por Miguel Puga)</w:t>
      </w:r>
    </w:p>
    <w:p w:rsidR="00571C96" w:rsidRPr="00430F88" w:rsidRDefault="00571C96" w:rsidP="00571C96">
      <w:pPr>
        <w:shd w:val="clear" w:color="auto" w:fill="FFFFFF"/>
        <w:spacing w:after="170" w:line="240" w:lineRule="auto"/>
        <w:jc w:val="both"/>
        <w:textAlignment w:val="baseline"/>
        <w:outlineLvl w:val="0"/>
        <w:rPr>
          <w:rFonts w:ascii="Times New Roman" w:eastAsia="Times New Roman" w:hAnsi="Times New Roman" w:cs="Times New Roman"/>
          <w:bCs/>
          <w:kern w:val="36"/>
          <w:sz w:val="24"/>
          <w:szCs w:val="24"/>
          <w:lang w:eastAsia="es-ES"/>
        </w:rPr>
      </w:pPr>
      <w:r w:rsidRPr="00430F88">
        <w:rPr>
          <w:rFonts w:ascii="Times New Roman" w:eastAsia="Times New Roman" w:hAnsi="Times New Roman" w:cs="Times New Roman"/>
          <w:bCs/>
          <w:kern w:val="36"/>
          <w:sz w:val="24"/>
          <w:szCs w:val="24"/>
          <w:lang w:eastAsia="es-ES"/>
        </w:rPr>
        <w:t xml:space="preserve">Si hace unas semanas contábamos en Libre Mercado como el Gobierno de Pedro Sánchez había regalado más de 455 millones de euros a distintos organismos extranjeros a lo largo del 2024, entre los que se encontraban el Ministerio de Finanzas de Palestina o el Ministerio de Igualdad de Colombia, la noticia que traemos hoy hace que estas cantidades parezcan ridículas en comparación con lo que recibieron más de 6.000 organismos en España. </w:t>
      </w: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sz w:val="24"/>
          <w:szCs w:val="24"/>
          <w:lang w:eastAsia="es-ES"/>
        </w:rPr>
        <w:t>En este artículo te vamos a contar todos los detalles.</w:t>
      </w: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sz w:val="24"/>
          <w:szCs w:val="24"/>
          <w:lang w:eastAsia="es-ES"/>
        </w:rPr>
        <w:t>Como ya hiciéramos en el artículo pasado, si acudimos al  </w:t>
      </w:r>
      <w:hyperlink r:id="rId100" w:tgtFrame="_blank" w:history="1">
        <w:r>
          <w:rPr>
            <w:rFonts w:ascii="Times New Roman" w:eastAsia="Times New Roman" w:hAnsi="Times New Roman" w:cs="Times New Roman"/>
            <w:sz w:val="24"/>
            <w:szCs w:val="24"/>
            <w:bdr w:val="none" w:sz="0" w:space="0" w:color="auto" w:frame="1"/>
            <w:lang w:eastAsia="es-ES"/>
          </w:rPr>
          <w:t>“</w:t>
        </w:r>
      </w:hyperlink>
      <w:r w:rsidRPr="00430F88">
        <w:rPr>
          <w:rFonts w:ascii="Times New Roman" w:eastAsia="Times New Roman" w:hAnsi="Times New Roman" w:cs="Times New Roman"/>
          <w:sz w:val="24"/>
          <w:szCs w:val="24"/>
          <w:lang w:eastAsia="es-ES"/>
        </w:rPr>
        <w:t> que proporciona el Ministerio de Hacienda en su página web, podremos ver</w:t>
      </w:r>
      <w:r>
        <w:rPr>
          <w:rFonts w:ascii="Times New Roman" w:eastAsia="Times New Roman" w:hAnsi="Times New Roman" w:cs="Times New Roman"/>
          <w:sz w:val="24"/>
          <w:szCs w:val="24"/>
          <w:lang w:eastAsia="es-ES"/>
        </w:rPr>
        <w:t xml:space="preserve"> un excel donde en la parte de “Asociaciones”</w:t>
      </w:r>
      <w:r w:rsidRPr="00430F88">
        <w:rPr>
          <w:rFonts w:ascii="Times New Roman" w:eastAsia="Times New Roman" w:hAnsi="Times New Roman" w:cs="Times New Roman"/>
          <w:sz w:val="24"/>
          <w:szCs w:val="24"/>
          <w:lang w:eastAsia="es-ES"/>
        </w:rPr>
        <w:t xml:space="preserve"> nos podremos encontrar con los datos a los que vamos a hacer mención.</w:t>
      </w: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sz w:val="24"/>
          <w:szCs w:val="24"/>
          <w:lang w:eastAsia="es-ES"/>
        </w:rPr>
        <w:t>Si hacemos el cálculo total, </w:t>
      </w:r>
      <w:r w:rsidRPr="00430F88">
        <w:rPr>
          <w:rFonts w:ascii="Times New Roman" w:eastAsia="Times New Roman" w:hAnsi="Times New Roman" w:cs="Times New Roman"/>
          <w:bCs/>
          <w:sz w:val="24"/>
          <w:szCs w:val="24"/>
          <w:bdr w:val="none" w:sz="0" w:space="0" w:color="auto" w:frame="1"/>
          <w:lang w:eastAsia="es-ES"/>
        </w:rPr>
        <w:t>nos encontramos con que 6.196 asociaciones distintas recibieron en el año 2024 un total de 4.952 millones de euros</w:t>
      </w:r>
      <w:r w:rsidRPr="00430F88">
        <w:rPr>
          <w:rFonts w:ascii="Times New Roman" w:eastAsia="Times New Roman" w:hAnsi="Times New Roman" w:cs="Times New Roman"/>
          <w:sz w:val="24"/>
          <w:szCs w:val="24"/>
          <w:lang w:eastAsia="es-ES"/>
        </w:rPr>
        <w:t>. Entre estas organizaciones nos podemos encontrar algunas tales como la Sociedad Española de Ornitología que recibió 5,089 millones de euros o la Fundación e Investigación de la Industria del Juguete con 4,99 millones de euros.</w:t>
      </w: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430F88">
        <w:rPr>
          <w:rFonts w:ascii="Times New Roman" w:eastAsia="Times New Roman" w:hAnsi="Times New Roman" w:cs="Times New Roman"/>
          <w:sz w:val="24"/>
          <w:szCs w:val="24"/>
          <w:lang w:eastAsia="es-ES"/>
        </w:rPr>
        <w:t>De estos casi 5.000 millones de euros destinados a dar subvenciones y otorgar ayudas hay 919,741 millones de euros que pertenecen a fondos europeos a través del Mecanismo de Recuperación y Resiliencia (MRR), es decir, </w:t>
      </w:r>
      <w:r w:rsidRPr="00430F88">
        <w:rPr>
          <w:rFonts w:ascii="Times New Roman" w:eastAsia="Times New Roman" w:hAnsi="Times New Roman" w:cs="Times New Roman"/>
          <w:bCs/>
          <w:sz w:val="24"/>
          <w:szCs w:val="24"/>
          <w:bdr w:val="none" w:sz="0" w:space="0" w:color="auto" w:frame="1"/>
          <w:lang w:eastAsia="es-ES"/>
        </w:rPr>
        <w:t>casi un 20% de estas ayudas están financiadas con dinero de todos los europeos.</w:t>
      </w: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571C96" w:rsidRDefault="00571C96" w:rsidP="00571C9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bCs/>
          <w:sz w:val="24"/>
          <w:szCs w:val="24"/>
          <w:bdr w:val="none" w:sz="0" w:space="0" w:color="auto" w:frame="1"/>
          <w:lang w:eastAsia="es-ES"/>
        </w:rPr>
        <w:t>Entre las organizaciones que más dinero recibieron en 2024</w:t>
      </w:r>
      <w:r w:rsidRPr="00430F88">
        <w:rPr>
          <w:rFonts w:ascii="Times New Roman" w:eastAsia="Times New Roman" w:hAnsi="Times New Roman" w:cs="Times New Roman"/>
          <w:sz w:val="24"/>
          <w:szCs w:val="24"/>
          <w:lang w:eastAsia="es-ES"/>
        </w:rPr>
        <w:t>, se encuentran las siguientes:</w:t>
      </w: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571C96" w:rsidRPr="00430F88" w:rsidRDefault="00571C96" w:rsidP="00571C96">
      <w:pPr>
        <w:numPr>
          <w:ilvl w:val="0"/>
          <w:numId w:val="1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bCs/>
          <w:sz w:val="24"/>
          <w:szCs w:val="24"/>
          <w:bdr w:val="none" w:sz="0" w:space="0" w:color="auto" w:frame="1"/>
          <w:lang w:eastAsia="es-ES"/>
        </w:rPr>
        <w:t>Unión Profesional</w:t>
      </w:r>
      <w:r w:rsidRPr="00430F88">
        <w:rPr>
          <w:rFonts w:ascii="Times New Roman" w:eastAsia="Times New Roman" w:hAnsi="Times New Roman" w:cs="Times New Roman"/>
          <w:sz w:val="24"/>
          <w:szCs w:val="24"/>
          <w:lang w:eastAsia="es-ES"/>
        </w:rPr>
        <w:t>, que recibió 200 millones de euros.</w:t>
      </w:r>
    </w:p>
    <w:p w:rsidR="00571C96" w:rsidRPr="00430F88" w:rsidRDefault="00571C96" w:rsidP="00571C96">
      <w:pPr>
        <w:numPr>
          <w:ilvl w:val="0"/>
          <w:numId w:val="1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bCs/>
          <w:sz w:val="24"/>
          <w:szCs w:val="24"/>
          <w:bdr w:val="none" w:sz="0" w:space="0" w:color="auto" w:frame="1"/>
          <w:lang w:eastAsia="es-ES"/>
        </w:rPr>
        <w:lastRenderedPageBreak/>
        <w:t>Fundación Cibervoluntarios</w:t>
      </w:r>
      <w:r w:rsidRPr="00430F88">
        <w:rPr>
          <w:rFonts w:ascii="Times New Roman" w:eastAsia="Times New Roman" w:hAnsi="Times New Roman" w:cs="Times New Roman"/>
          <w:sz w:val="24"/>
          <w:szCs w:val="24"/>
          <w:lang w:eastAsia="es-ES"/>
        </w:rPr>
        <w:t>, que recibió 76,63 millones de euros.</w:t>
      </w:r>
    </w:p>
    <w:p w:rsidR="00571C96" w:rsidRPr="00430F88" w:rsidRDefault="00571C96" w:rsidP="00571C96">
      <w:pPr>
        <w:numPr>
          <w:ilvl w:val="0"/>
          <w:numId w:val="1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bCs/>
          <w:sz w:val="24"/>
          <w:szCs w:val="24"/>
          <w:bdr w:val="none" w:sz="0" w:space="0" w:color="auto" w:frame="1"/>
          <w:lang w:eastAsia="es-ES"/>
        </w:rPr>
        <w:t>Consejo Valenciano de Colegios de Abogados</w:t>
      </w:r>
      <w:r w:rsidRPr="00430F88">
        <w:rPr>
          <w:rFonts w:ascii="Times New Roman" w:eastAsia="Times New Roman" w:hAnsi="Times New Roman" w:cs="Times New Roman"/>
          <w:sz w:val="24"/>
          <w:szCs w:val="24"/>
          <w:lang w:eastAsia="es-ES"/>
        </w:rPr>
        <w:t>, que recibió 51,8 millones de euros.</w:t>
      </w:r>
    </w:p>
    <w:p w:rsidR="00571C96" w:rsidRPr="00430F88" w:rsidRDefault="00571C96" w:rsidP="00571C96">
      <w:pPr>
        <w:numPr>
          <w:ilvl w:val="0"/>
          <w:numId w:val="1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bCs/>
          <w:sz w:val="24"/>
          <w:szCs w:val="24"/>
          <w:bdr w:val="none" w:sz="0" w:space="0" w:color="auto" w:frame="1"/>
          <w:lang w:eastAsia="es-ES"/>
        </w:rPr>
        <w:t>CESGA</w:t>
      </w:r>
      <w:r w:rsidRPr="00430F88">
        <w:rPr>
          <w:rFonts w:ascii="Times New Roman" w:eastAsia="Times New Roman" w:hAnsi="Times New Roman" w:cs="Times New Roman"/>
          <w:sz w:val="24"/>
          <w:szCs w:val="24"/>
          <w:lang w:eastAsia="es-ES"/>
        </w:rPr>
        <w:t>, que recibió 51,42 millones de euros.</w:t>
      </w:r>
    </w:p>
    <w:p w:rsidR="00571C96" w:rsidRPr="00430F88" w:rsidRDefault="00571C96" w:rsidP="00571C96">
      <w:pPr>
        <w:numPr>
          <w:ilvl w:val="0"/>
          <w:numId w:val="1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bCs/>
          <w:sz w:val="24"/>
          <w:szCs w:val="24"/>
          <w:bdr w:val="none" w:sz="0" w:space="0" w:color="auto" w:frame="1"/>
          <w:lang w:eastAsia="es-ES"/>
        </w:rPr>
        <w:t>Fundación para la Universidad Abierta de Cataluña</w:t>
      </w:r>
      <w:r w:rsidRPr="00430F88">
        <w:rPr>
          <w:rFonts w:ascii="Times New Roman" w:eastAsia="Times New Roman" w:hAnsi="Times New Roman" w:cs="Times New Roman"/>
          <w:sz w:val="24"/>
          <w:szCs w:val="24"/>
          <w:lang w:eastAsia="es-ES"/>
        </w:rPr>
        <w:t>, que recibió 50,64 millones de euros.</w:t>
      </w:r>
    </w:p>
    <w:p w:rsidR="00571C96" w:rsidRPr="00430F88" w:rsidRDefault="00571C96" w:rsidP="00571C96">
      <w:pPr>
        <w:numPr>
          <w:ilvl w:val="0"/>
          <w:numId w:val="1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bCs/>
          <w:sz w:val="24"/>
          <w:szCs w:val="24"/>
          <w:bdr w:val="none" w:sz="0" w:space="0" w:color="auto" w:frame="1"/>
          <w:lang w:eastAsia="es-ES"/>
        </w:rPr>
        <w:t>Centro de Investigación Biomédica en Red</w:t>
      </w:r>
      <w:r w:rsidRPr="00430F88">
        <w:rPr>
          <w:rFonts w:ascii="Times New Roman" w:eastAsia="Times New Roman" w:hAnsi="Times New Roman" w:cs="Times New Roman"/>
          <w:sz w:val="24"/>
          <w:szCs w:val="24"/>
          <w:lang w:eastAsia="es-ES"/>
        </w:rPr>
        <w:t>, que recibió 30,62 millones de euros.</w:t>
      </w:r>
    </w:p>
    <w:p w:rsidR="00571C96" w:rsidRPr="00430F88" w:rsidRDefault="00571C96" w:rsidP="00571C96">
      <w:pPr>
        <w:numPr>
          <w:ilvl w:val="0"/>
          <w:numId w:val="1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bCs/>
          <w:sz w:val="24"/>
          <w:szCs w:val="24"/>
          <w:bdr w:val="none" w:sz="0" w:space="0" w:color="auto" w:frame="1"/>
          <w:lang w:eastAsia="es-ES"/>
        </w:rPr>
        <w:t>Fundación Eurecat</w:t>
      </w:r>
      <w:r w:rsidRPr="00430F88">
        <w:rPr>
          <w:rFonts w:ascii="Times New Roman" w:eastAsia="Times New Roman" w:hAnsi="Times New Roman" w:cs="Times New Roman"/>
          <w:sz w:val="24"/>
          <w:szCs w:val="24"/>
          <w:lang w:eastAsia="es-ES"/>
        </w:rPr>
        <w:t>, que recibió 25,60 millones de euros.</w:t>
      </w:r>
    </w:p>
    <w:p w:rsidR="00571C96" w:rsidRPr="00430F88" w:rsidRDefault="00571C96" w:rsidP="00571C96">
      <w:pPr>
        <w:numPr>
          <w:ilvl w:val="0"/>
          <w:numId w:val="1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bCs/>
          <w:sz w:val="24"/>
          <w:szCs w:val="24"/>
          <w:bdr w:val="none" w:sz="0" w:space="0" w:color="auto" w:frame="1"/>
          <w:lang w:eastAsia="es-ES"/>
        </w:rPr>
        <w:t>Médicos del mundo</w:t>
      </w:r>
      <w:r w:rsidRPr="00430F88">
        <w:rPr>
          <w:rFonts w:ascii="Times New Roman" w:eastAsia="Times New Roman" w:hAnsi="Times New Roman" w:cs="Times New Roman"/>
          <w:sz w:val="24"/>
          <w:szCs w:val="24"/>
          <w:lang w:eastAsia="es-ES"/>
        </w:rPr>
        <w:t>, que recibió 24,56 millones de euros.</w:t>
      </w:r>
    </w:p>
    <w:p w:rsidR="00571C96" w:rsidRPr="00430F88" w:rsidRDefault="00571C96" w:rsidP="00571C96">
      <w:pPr>
        <w:numPr>
          <w:ilvl w:val="0"/>
          <w:numId w:val="1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bCs/>
          <w:sz w:val="24"/>
          <w:szCs w:val="24"/>
          <w:bdr w:val="none" w:sz="0" w:space="0" w:color="auto" w:frame="1"/>
          <w:lang w:eastAsia="es-ES"/>
        </w:rPr>
        <w:t>Fundación Laboral de la Construcción</w:t>
      </w:r>
      <w:r w:rsidRPr="00430F88">
        <w:rPr>
          <w:rFonts w:ascii="Times New Roman" w:eastAsia="Times New Roman" w:hAnsi="Times New Roman" w:cs="Times New Roman"/>
          <w:sz w:val="24"/>
          <w:szCs w:val="24"/>
          <w:lang w:eastAsia="es-ES"/>
        </w:rPr>
        <w:t>, que recibió 23,02 millones de euros.</w:t>
      </w:r>
    </w:p>
    <w:p w:rsidR="00571C96" w:rsidRDefault="00571C96" w:rsidP="00571C96">
      <w:pPr>
        <w:numPr>
          <w:ilvl w:val="0"/>
          <w:numId w:val="1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bCs/>
          <w:sz w:val="24"/>
          <w:szCs w:val="24"/>
          <w:bdr w:val="none" w:sz="0" w:space="0" w:color="auto" w:frame="1"/>
          <w:lang w:eastAsia="es-ES"/>
        </w:rPr>
        <w:t>Asociación España con Acnur</w:t>
      </w:r>
      <w:r w:rsidRPr="00430F88">
        <w:rPr>
          <w:rFonts w:ascii="Times New Roman" w:eastAsia="Times New Roman" w:hAnsi="Times New Roman" w:cs="Times New Roman"/>
          <w:sz w:val="24"/>
          <w:szCs w:val="24"/>
          <w:lang w:eastAsia="es-ES"/>
        </w:rPr>
        <w:t>, que recibió 22,72 millones de euros.</w:t>
      </w:r>
    </w:p>
    <w:p w:rsidR="00571C96" w:rsidRPr="00430F88" w:rsidRDefault="00571C96" w:rsidP="00571C96">
      <w:p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p>
    <w:p w:rsidR="00571C96" w:rsidRPr="00430F88" w:rsidRDefault="00571C96" w:rsidP="00571C96">
      <w:pPr>
        <w:shd w:val="clear" w:color="auto" w:fill="FFFFFF"/>
        <w:spacing w:after="242" w:line="240" w:lineRule="auto"/>
        <w:jc w:val="both"/>
        <w:textAlignment w:val="baseline"/>
        <w:outlineLvl w:val="2"/>
        <w:rPr>
          <w:rFonts w:ascii="Times New Roman" w:eastAsia="Times New Roman" w:hAnsi="Times New Roman" w:cs="Times New Roman"/>
          <w:bCs/>
          <w:sz w:val="24"/>
          <w:szCs w:val="24"/>
          <w:lang w:eastAsia="es-ES"/>
        </w:rPr>
      </w:pPr>
      <w:r w:rsidRPr="00430F88">
        <w:rPr>
          <w:rFonts w:ascii="Times New Roman" w:eastAsia="Times New Roman" w:hAnsi="Times New Roman" w:cs="Times New Roman"/>
          <w:bCs/>
          <w:sz w:val="24"/>
          <w:szCs w:val="24"/>
          <w:lang w:eastAsia="es-ES"/>
        </w:rPr>
        <w:t>Grandes beneficiarios: ONG, sindicatos y partidos políticos</w:t>
      </w: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sz w:val="24"/>
          <w:szCs w:val="24"/>
          <w:lang w:eastAsia="es-ES"/>
        </w:rPr>
        <w:t>Entre las ONGs que figuran en esta lista nos podemos encontrar con Nuevo Hogar Betania que recibió 5,15 millones de euros, </w:t>
      </w:r>
      <w:r w:rsidRPr="00430F88">
        <w:rPr>
          <w:rFonts w:ascii="Times New Roman" w:eastAsia="Times New Roman" w:hAnsi="Times New Roman" w:cs="Times New Roman"/>
          <w:bCs/>
          <w:sz w:val="24"/>
          <w:szCs w:val="24"/>
          <w:bdr w:val="none" w:sz="0" w:space="0" w:color="auto" w:frame="1"/>
          <w:lang w:eastAsia="es-ES"/>
        </w:rPr>
        <w:t>la ONG Rescate Internacional que obtuvo 5,095 millones de euros</w:t>
      </w:r>
      <w:r w:rsidRPr="00430F88">
        <w:rPr>
          <w:rFonts w:ascii="Times New Roman" w:eastAsia="Times New Roman" w:hAnsi="Times New Roman" w:cs="Times New Roman"/>
          <w:sz w:val="24"/>
          <w:szCs w:val="24"/>
          <w:lang w:eastAsia="es-ES"/>
        </w:rPr>
        <w:t>, Oxfam Intermón que recibió 5,049 millones de euros, la Fundación Alianza Derechos de Igualdad y Solidaridad que percibió 10,3 millones de euros, </w:t>
      </w:r>
      <w:r w:rsidRPr="00430F88">
        <w:rPr>
          <w:rFonts w:ascii="Times New Roman" w:eastAsia="Times New Roman" w:hAnsi="Times New Roman" w:cs="Times New Roman"/>
          <w:bCs/>
          <w:sz w:val="24"/>
          <w:szCs w:val="24"/>
          <w:bdr w:val="none" w:sz="0" w:space="0" w:color="auto" w:frame="1"/>
          <w:lang w:eastAsia="es-ES"/>
        </w:rPr>
        <w:t>la Fundación Mujeres que recibió 3,5 millones de euros</w:t>
      </w:r>
      <w:r w:rsidRPr="00430F88">
        <w:rPr>
          <w:rFonts w:ascii="Times New Roman" w:eastAsia="Times New Roman" w:hAnsi="Times New Roman" w:cs="Times New Roman"/>
          <w:sz w:val="24"/>
          <w:szCs w:val="24"/>
          <w:lang w:eastAsia="es-ES"/>
        </w:rPr>
        <w:t>, la Asociación Catalana por la Paz que recibió 3,028 millones de euros, la Comisión Española de Ayuda al Refugiado que recibió 2,78 millones de euros y hasta una ONG llamada </w:t>
      </w:r>
      <w:r w:rsidRPr="00430F88">
        <w:rPr>
          <w:rFonts w:ascii="Times New Roman" w:eastAsia="Times New Roman" w:hAnsi="Times New Roman" w:cs="Times New Roman"/>
          <w:bCs/>
          <w:sz w:val="24"/>
          <w:szCs w:val="24"/>
          <w:bdr w:val="none" w:sz="0" w:space="0" w:color="auto" w:frame="1"/>
          <w:lang w:eastAsia="es-ES"/>
        </w:rPr>
        <w:t>Veterinarios sin fronteras también recibió su parte con 2,86 millones de euros.</w:t>
      </w: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571C96" w:rsidRDefault="00571C96" w:rsidP="00571C96">
      <w:pPr>
        <w:shd w:val="clear" w:color="auto" w:fill="FFFFFF"/>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430F88">
        <w:rPr>
          <w:rFonts w:ascii="Times New Roman" w:eastAsia="Times New Roman" w:hAnsi="Times New Roman" w:cs="Times New Roman"/>
          <w:sz w:val="24"/>
          <w:szCs w:val="24"/>
          <w:lang w:eastAsia="es-ES"/>
        </w:rPr>
        <w:t>Por otro lado, los </w:t>
      </w:r>
      <w:r w:rsidRPr="00430F88">
        <w:rPr>
          <w:rFonts w:ascii="Times New Roman" w:eastAsia="Times New Roman" w:hAnsi="Times New Roman" w:cs="Times New Roman"/>
          <w:bCs/>
          <w:sz w:val="24"/>
          <w:szCs w:val="24"/>
          <w:bdr w:val="none" w:sz="0" w:space="0" w:color="auto" w:frame="1"/>
          <w:lang w:eastAsia="es-ES"/>
        </w:rPr>
        <w:t>sindicatos y partidos políticos también recibieron su parte</w:t>
      </w:r>
      <w:r w:rsidRPr="00430F88">
        <w:rPr>
          <w:rFonts w:ascii="Times New Roman" w:eastAsia="Times New Roman" w:hAnsi="Times New Roman" w:cs="Times New Roman"/>
          <w:sz w:val="24"/>
          <w:szCs w:val="24"/>
          <w:lang w:eastAsia="es-ES"/>
        </w:rPr>
        <w:t>, como no podía ser de otra forma, así vemos como </w:t>
      </w:r>
      <w:r w:rsidRPr="00430F88">
        <w:rPr>
          <w:rFonts w:ascii="Times New Roman" w:eastAsia="Times New Roman" w:hAnsi="Times New Roman" w:cs="Times New Roman"/>
          <w:bCs/>
          <w:sz w:val="24"/>
          <w:szCs w:val="24"/>
          <w:bdr w:val="none" w:sz="0" w:space="0" w:color="auto" w:frame="1"/>
          <w:lang w:eastAsia="es-ES"/>
        </w:rPr>
        <w:t>UGT recibió 10,8 millones de euros y como CCOO recibió 7,9 millones de euros</w:t>
      </w:r>
      <w:r w:rsidRPr="00430F88">
        <w:rPr>
          <w:rFonts w:ascii="Times New Roman" w:eastAsia="Times New Roman" w:hAnsi="Times New Roman" w:cs="Times New Roman"/>
          <w:sz w:val="24"/>
          <w:szCs w:val="24"/>
          <w:lang w:eastAsia="es-ES"/>
        </w:rPr>
        <w:t>. También las distintas filiales de UGT y CCOO se vieron beneficiadas, como ejemplo tenemos a UGT de Cataluña que recibió 3,7 millones de euros o a CCOO Castilla La-Mancha que recibió 2,6 millones de euros. También vemos como </w:t>
      </w:r>
      <w:r w:rsidRPr="00430F88">
        <w:rPr>
          <w:rFonts w:ascii="Times New Roman" w:eastAsia="Times New Roman" w:hAnsi="Times New Roman" w:cs="Times New Roman"/>
          <w:bCs/>
          <w:sz w:val="24"/>
          <w:szCs w:val="24"/>
          <w:bdr w:val="none" w:sz="0" w:space="0" w:color="auto" w:frame="1"/>
          <w:lang w:eastAsia="es-ES"/>
        </w:rPr>
        <w:t>el PSC recibió 7,2 millones de euros y ERC recibió 3,8 millones de euros.</w:t>
      </w: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430F88">
        <w:rPr>
          <w:rFonts w:ascii="Times New Roman" w:eastAsia="Times New Roman" w:hAnsi="Times New Roman" w:cs="Times New Roman"/>
          <w:sz w:val="24"/>
          <w:szCs w:val="24"/>
          <w:lang w:eastAsia="es-ES"/>
        </w:rPr>
        <w:t>Así podríamos seguir hasta enumerar a las más de 6.000 organizaciones que se han repartido casi 5.000 millones de euros. Hay que recordar, como ya ocurriera con lo contado en el pasado artículo sobre los 455 millones de euros a organismos extranjeros, que este listado de Hacienda sólo tiene en cuenta las ayudas o subvenciones superiores a 100.000 euros, de manera que </w:t>
      </w:r>
      <w:r w:rsidRPr="00430F88">
        <w:rPr>
          <w:rFonts w:ascii="Times New Roman" w:eastAsia="Times New Roman" w:hAnsi="Times New Roman" w:cs="Times New Roman"/>
          <w:bCs/>
          <w:sz w:val="24"/>
          <w:szCs w:val="24"/>
          <w:bdr w:val="none" w:sz="0" w:space="0" w:color="auto" w:frame="1"/>
          <w:lang w:eastAsia="es-ES"/>
        </w:rPr>
        <w:t>es más que previsible que la cantidad total de estas ayudas supere holgadamente los 5.000 millones de euros.</w:t>
      </w:r>
    </w:p>
    <w:p w:rsidR="00571C96" w:rsidRPr="00430F88" w:rsidRDefault="00571C96" w:rsidP="00571C9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571C96" w:rsidRPr="00430F88" w:rsidRDefault="00571C96" w:rsidP="00571C9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430F88">
        <w:rPr>
          <w:rFonts w:ascii="Times New Roman" w:eastAsia="Times New Roman" w:hAnsi="Times New Roman" w:cs="Times New Roman"/>
          <w:sz w:val="24"/>
          <w:szCs w:val="24"/>
          <w:lang w:eastAsia="es-ES"/>
        </w:rPr>
        <w:t>En resumidas cuentas, </w:t>
      </w:r>
      <w:r w:rsidRPr="00430F88">
        <w:rPr>
          <w:rFonts w:ascii="Times New Roman" w:eastAsia="Times New Roman" w:hAnsi="Times New Roman" w:cs="Times New Roman"/>
          <w:bCs/>
          <w:sz w:val="24"/>
          <w:szCs w:val="24"/>
          <w:bdr w:val="none" w:sz="0" w:space="0" w:color="auto" w:frame="1"/>
          <w:lang w:eastAsia="es-ES"/>
        </w:rPr>
        <w:t>hemos visto como una enorme cantidad de recursos públicos, nada menos que 5.000 millones de euros, van a parar a diversas ONGs, partidos políticos</w:t>
      </w:r>
      <w:r w:rsidRPr="00430F88">
        <w:rPr>
          <w:rFonts w:ascii="Times New Roman" w:eastAsia="Times New Roman" w:hAnsi="Times New Roman" w:cs="Times New Roman"/>
          <w:sz w:val="24"/>
          <w:szCs w:val="24"/>
          <w:lang w:eastAsia="es-ES"/>
        </w:rPr>
        <w:t>, sindicatos, o incluso a organizaciones tales como veterinarios sin fronteras o asociaciones de ornitología, </w:t>
      </w:r>
      <w:hyperlink r:id="rId101" w:anchor=":~:text=En%20t%C3%A9rminos%20de%20gasto%2C%20en,comunidades%20aut%C3%B3nomas%20de%20r%C3%A9gimen%20com%C3%BAn." w:tgtFrame="_blank" w:history="1">
        <w:r w:rsidRPr="00430F88">
          <w:rPr>
            <w:rFonts w:ascii="Times New Roman" w:eastAsia="Times New Roman" w:hAnsi="Times New Roman" w:cs="Times New Roman"/>
            <w:sz w:val="24"/>
            <w:szCs w:val="24"/>
            <w:bdr w:val="none" w:sz="0" w:space="0" w:color="auto" w:frame="1"/>
            <w:lang w:eastAsia="es-ES"/>
          </w:rPr>
          <w:t>una cantidad superior al coste del Ingreso Mínimo Vital,</w:t>
        </w:r>
      </w:hyperlink>
      <w:r w:rsidRPr="00430F88">
        <w:rPr>
          <w:rFonts w:ascii="Times New Roman" w:eastAsia="Times New Roman" w:hAnsi="Times New Roman" w:cs="Times New Roman"/>
          <w:sz w:val="24"/>
          <w:szCs w:val="24"/>
          <w:lang w:eastAsia="es-ES"/>
        </w:rPr>
        <w:t> o </w:t>
      </w:r>
      <w:hyperlink r:id="rId102" w:tgtFrame="_blank" w:history="1">
        <w:r w:rsidRPr="00430F88">
          <w:rPr>
            <w:rFonts w:ascii="Times New Roman" w:eastAsia="Times New Roman" w:hAnsi="Times New Roman" w:cs="Times New Roman"/>
            <w:sz w:val="24"/>
            <w:szCs w:val="24"/>
            <w:bdr w:val="none" w:sz="0" w:space="0" w:color="auto" w:frame="1"/>
            <w:lang w:eastAsia="es-ES"/>
          </w:rPr>
          <w:t>hasta 21 veces más que lo que costaría financiar la Ley ELA</w:t>
        </w:r>
      </w:hyperlink>
      <w:r w:rsidRPr="00430F88">
        <w:rPr>
          <w:rFonts w:ascii="Times New Roman" w:eastAsia="Times New Roman" w:hAnsi="Times New Roman" w:cs="Times New Roman"/>
          <w:sz w:val="24"/>
          <w:szCs w:val="24"/>
          <w:lang w:eastAsia="es-ES"/>
        </w:rPr>
        <w:t> para que aquellas personas que sufren esta enfermedad puedan ser atendidos en condiciones correctas y no seguir como en la situación actual.</w:t>
      </w:r>
    </w:p>
    <w:p w:rsidR="00571C96" w:rsidRDefault="00571C96" w:rsidP="00571C96">
      <w:pPr>
        <w:shd w:val="clear" w:color="auto" w:fill="FFFFFF"/>
        <w:spacing w:after="0" w:line="240" w:lineRule="auto"/>
        <w:jc w:val="both"/>
        <w:rPr>
          <w:rStyle w:val="uv3um"/>
          <w:rFonts w:ascii="Times New Roman" w:hAnsi="Times New Roman" w:cs="Times New Roman"/>
          <w:color w:val="FF0000"/>
          <w:spacing w:val="2"/>
          <w:sz w:val="24"/>
          <w:szCs w:val="24"/>
        </w:rPr>
      </w:pPr>
      <w:r w:rsidRPr="00553DB0">
        <w:rPr>
          <w:rStyle w:val="uv3um"/>
          <w:rFonts w:ascii="Times New Roman" w:hAnsi="Times New Roman" w:cs="Times New Roman"/>
          <w:b/>
          <w:color w:val="FF0000"/>
          <w:spacing w:val="2"/>
          <w:sz w:val="24"/>
          <w:szCs w:val="24"/>
        </w:rPr>
        <w:t>Nota II</w:t>
      </w:r>
      <w:r w:rsidRPr="00553DB0">
        <w:rPr>
          <w:rStyle w:val="uv3um"/>
          <w:rFonts w:ascii="Times New Roman" w:hAnsi="Times New Roman" w:cs="Times New Roman"/>
          <w:color w:val="FF0000"/>
          <w:spacing w:val="2"/>
          <w:sz w:val="24"/>
          <w:szCs w:val="24"/>
        </w:rPr>
        <w:t xml:space="preserve">: Aunque parezca demasiado drástico opino que debería eliminarse todo régimen de subvenciones sistemáticas (no excepcionales) tanto al sector público, como al sector privado, para evitar privilegios, clientelismo, corrupción, tráfico de influencias, rescates sospechosos, capitalismo de amiguetes, permanencia de actividades no competitivas, sectores o actividades fuertemente dependientes del gasto público (la teta presupuestaria). </w:t>
      </w:r>
    </w:p>
    <w:p w:rsidR="00571C96" w:rsidRDefault="00571C96" w:rsidP="00571C96">
      <w:pPr>
        <w:shd w:val="clear" w:color="auto" w:fill="FFFFFF"/>
        <w:spacing w:after="0" w:line="240" w:lineRule="auto"/>
        <w:jc w:val="both"/>
        <w:rPr>
          <w:rStyle w:val="uv3um"/>
          <w:rFonts w:ascii="Times New Roman" w:hAnsi="Times New Roman" w:cs="Times New Roman"/>
          <w:color w:val="FF0000"/>
          <w:spacing w:val="2"/>
          <w:sz w:val="24"/>
          <w:szCs w:val="24"/>
        </w:rPr>
      </w:pPr>
    </w:p>
    <w:p w:rsidR="00571C96" w:rsidRDefault="00571C96" w:rsidP="00571C96">
      <w:pPr>
        <w:shd w:val="clear" w:color="auto" w:fill="FFFFFF"/>
        <w:spacing w:after="0" w:line="240" w:lineRule="auto"/>
        <w:jc w:val="both"/>
        <w:rPr>
          <w:rStyle w:val="uv3um"/>
          <w:rFonts w:ascii="Times New Roman" w:hAnsi="Times New Roman" w:cs="Times New Roman"/>
          <w:color w:val="FF0000"/>
          <w:spacing w:val="2"/>
          <w:sz w:val="24"/>
          <w:szCs w:val="24"/>
        </w:rPr>
      </w:pPr>
    </w:p>
    <w:p w:rsidR="00571C96" w:rsidRDefault="00571C96" w:rsidP="00571C96">
      <w:pPr>
        <w:spacing w:line="240" w:lineRule="auto"/>
        <w:jc w:val="both"/>
        <w:rPr>
          <w:rFonts w:ascii="Times New Roman" w:hAnsi="Times New Roman" w:cs="Times New Roman"/>
          <w:color w:val="FF0000"/>
          <w:sz w:val="24"/>
          <w:szCs w:val="24"/>
          <w:shd w:val="clear" w:color="auto" w:fill="FFFFFF"/>
        </w:rPr>
      </w:pPr>
      <w:r w:rsidRPr="00261E29">
        <w:rPr>
          <w:rFonts w:ascii="Times New Roman" w:hAnsi="Times New Roman" w:cs="Times New Roman"/>
          <w:color w:val="FF0000"/>
          <w:sz w:val="24"/>
          <w:szCs w:val="24"/>
          <w:shd w:val="clear" w:color="auto" w:fill="FFFFFF"/>
        </w:rPr>
        <w:lastRenderedPageBreak/>
        <w:t>- Eliminar todo tipo de subvenciones a sindicatos (de trabajadores y empresariales)</w:t>
      </w:r>
    </w:p>
    <w:p w:rsidR="00571C96" w:rsidRPr="00884BBB" w:rsidRDefault="00571C96" w:rsidP="00571C96">
      <w:pPr>
        <w:spacing w:line="240" w:lineRule="auto"/>
        <w:jc w:val="both"/>
        <w:rPr>
          <w:rFonts w:ascii="Times New Roman" w:hAnsi="Times New Roman" w:cs="Times New Roman"/>
          <w:sz w:val="24"/>
          <w:szCs w:val="24"/>
          <w:u w:val="single"/>
          <w:shd w:val="clear" w:color="auto" w:fill="FFFFFF"/>
        </w:rPr>
      </w:pPr>
      <w:r w:rsidRPr="00884BBB">
        <w:rPr>
          <w:rFonts w:ascii="Times New Roman" w:hAnsi="Times New Roman" w:cs="Times New Roman"/>
          <w:sz w:val="24"/>
          <w:szCs w:val="24"/>
          <w:u w:val="single"/>
          <w:shd w:val="clear" w:color="auto" w:fill="FFFFFF"/>
        </w:rPr>
        <w:t>Organizaciones sindicales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En total son 49 millones en 2024 y 2025. En 2023 y 2022 la subvención alcanzó los 17 millones de euros, respectivamente cada año. En 2021 la cuantía fue de 13,8 millones de euros, es decir, un 22,4% inferior. Y en los dos años anteriores, 2020 y 2019, las ayudas apenas alcanzaban los 8,88 millones. (3 dic 2024)</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En España, los sindicatos se financian principalmente mediante cuotas de afiliación, pero también reciben subvenciones públicas, que representan entre el 15% y el 17% de sus ingresos totales.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Laboro Spain determina que entre 2020 y 2024 el grupo UGT ha recibido 202 millones de euros en subvenci</w:t>
      </w:r>
      <w:r>
        <w:rPr>
          <w:rFonts w:ascii="Times New Roman" w:hAnsi="Times New Roman" w:cs="Times New Roman"/>
          <w:sz w:val="24"/>
          <w:szCs w:val="24"/>
          <w:shd w:val="clear" w:color="auto" w:fill="FFFFFF"/>
        </w:rPr>
        <w:t>ones, mientras que el grupo CCOO</w:t>
      </w:r>
      <w:r w:rsidRPr="00884BBB">
        <w:rPr>
          <w:rFonts w:ascii="Times New Roman" w:hAnsi="Times New Roman" w:cs="Times New Roman"/>
          <w:sz w:val="24"/>
          <w:szCs w:val="24"/>
          <w:shd w:val="clear" w:color="auto" w:fill="FFFFFF"/>
        </w:rPr>
        <w:t xml:space="preserve"> ha percibido 179 millones. (3 feb 2025)</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C</w:t>
      </w:r>
      <w:r>
        <w:rPr>
          <w:rFonts w:ascii="Times New Roman" w:hAnsi="Times New Roman" w:cs="Times New Roman"/>
          <w:sz w:val="24"/>
          <w:szCs w:val="24"/>
          <w:shd w:val="clear" w:color="auto" w:fill="FFFFFF"/>
        </w:rPr>
        <w:t>COO</w:t>
      </w:r>
      <w:r w:rsidRPr="00884BBB">
        <w:rPr>
          <w:rFonts w:ascii="Times New Roman" w:hAnsi="Times New Roman" w:cs="Times New Roman"/>
          <w:sz w:val="24"/>
          <w:szCs w:val="24"/>
          <w:shd w:val="clear" w:color="auto" w:fill="FFFFFF"/>
        </w:rPr>
        <w:t xml:space="preserve"> y UGT recibieron más de 380 millones de euros en subvenciones entre 2020 y 2024</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Las formaciones sindicales UGT y CCOO, han recibido estas cantidades provenientes de varios ministerios del Estado, consejerías y secretarías CC.AA. y diputaciones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Pinchazo absoluto de las manifestaciones de los sindicatos contra el PP</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El Gobierno regó con dinero público a los sindicatos que hoy se han manifestado contra el PP</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UGT y</w:t>
      </w:r>
      <w:r>
        <w:rPr>
          <w:rFonts w:ascii="Times New Roman" w:hAnsi="Times New Roman" w:cs="Times New Roman"/>
          <w:sz w:val="24"/>
          <w:szCs w:val="24"/>
          <w:shd w:val="clear" w:color="auto" w:fill="FFFFFF"/>
        </w:rPr>
        <w:t xml:space="preserve"> CCOO exigen que se acaben los “juegos de tacticismo político”</w:t>
      </w:r>
      <w:r w:rsidRPr="00884BBB">
        <w:rPr>
          <w:rFonts w:ascii="Times New Roman" w:hAnsi="Times New Roman" w:cs="Times New Roman"/>
          <w:sz w:val="24"/>
          <w:szCs w:val="24"/>
          <w:shd w:val="clear" w:color="auto" w:fill="FFFFFF"/>
        </w:rPr>
        <w:t xml:space="preserve"> y que se negocien las medidas sociales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 xml:space="preserve">- </w:t>
      </w:r>
      <w:r w:rsidRPr="00884BBB">
        <w:rPr>
          <w:rFonts w:ascii="Times New Roman" w:hAnsi="Times New Roman" w:cs="Times New Roman"/>
          <w:sz w:val="24"/>
          <w:szCs w:val="24"/>
          <w:u w:val="single"/>
          <w:shd w:val="clear" w:color="auto" w:fill="FFFFFF"/>
        </w:rPr>
        <w:t>CCOO y UGT recibieron más de 380 millones de euros en subvenciones entre 2020 y 2024</w:t>
      </w:r>
      <w:r w:rsidRPr="00884BBB">
        <w:rPr>
          <w:rFonts w:ascii="Times New Roman" w:hAnsi="Times New Roman" w:cs="Times New Roman"/>
          <w:sz w:val="24"/>
          <w:szCs w:val="24"/>
          <w:shd w:val="clear" w:color="auto" w:fill="FFFFFF"/>
        </w:rPr>
        <w:t xml:space="preserve"> (La Razón - Europa Press - </w:t>
      </w:r>
      <w:r w:rsidRPr="00B61562">
        <w:rPr>
          <w:rFonts w:ascii="Times New Roman" w:hAnsi="Times New Roman" w:cs="Times New Roman"/>
          <w:b/>
          <w:sz w:val="24"/>
          <w:szCs w:val="24"/>
          <w:shd w:val="clear" w:color="auto" w:fill="FFFFFF"/>
        </w:rPr>
        <w:t>3/2/25</w:t>
      </w:r>
      <w:r w:rsidRPr="00884BBB">
        <w:rPr>
          <w:rFonts w:ascii="Times New Roman" w:hAnsi="Times New Roman" w:cs="Times New Roman"/>
          <w:sz w:val="24"/>
          <w:szCs w:val="24"/>
          <w:shd w:val="clear" w:color="auto" w:fill="FFFFFF"/>
        </w:rPr>
        <w:t>)</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Los sindicatos Comisiones Obreras (CCOO) y la Unión General de Trabajadores (UGT) han recibido un total de 380,9 millones de euros en subvenciones de distintas administraciones públicas en los últimos cuatro años, según el portal Laboro Spain a partir de datos obtenidos de la Intervención General de la Administración del Estado (IGAE). Estas ayudas han sido concedidas por diferentes organismos estatales, autonómicos y locales.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Laboro Spain determina que entre 2020 y 2024 el grupo UGT ha recibido 202 millones de euros en subvenciones, mientras que el grupo CCOO ha percibido 179 millones. Estas cantidades han sido distribuidas entre las diferentes federaciones, fundaciones y asociaciones vinculadas a ambos sindicatos, cada una con su propia identidad fiscal.</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Dentro del grupo UGT, destaca la concesión a “Confederación UGT”, que ha recibido en cuatro años 45,2 millones de euros. Otro beneficiarios de subvenciones incluyen UGT Cooperación desarrollo ISCOD, con 36,2 millones de euros; y UGT Castilla y León, 14,7 millones de euros; UGT Servicios Públicos, 13 millones de euros; y UGT Cataluña, 12,1 millones, entre otras.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su parte, en el grupo CCOO</w:t>
      </w:r>
      <w:r w:rsidRPr="00884BBB">
        <w:rPr>
          <w:rFonts w:ascii="Times New Roman" w:hAnsi="Times New Roman" w:cs="Times New Roman"/>
          <w:sz w:val="24"/>
          <w:szCs w:val="24"/>
          <w:shd w:val="clear" w:color="auto" w:fill="FFFFFF"/>
        </w:rPr>
        <w:t>, las mayores cua</w:t>
      </w:r>
      <w:r>
        <w:rPr>
          <w:rFonts w:ascii="Times New Roman" w:hAnsi="Times New Roman" w:cs="Times New Roman"/>
          <w:sz w:val="24"/>
          <w:szCs w:val="24"/>
          <w:shd w:val="clear" w:color="auto" w:fill="FFFFFF"/>
        </w:rPr>
        <w:t>ntías han sido destinadas a CCOO</w:t>
      </w:r>
      <w:r w:rsidRPr="00884BBB">
        <w:rPr>
          <w:rFonts w:ascii="Times New Roman" w:hAnsi="Times New Roman" w:cs="Times New Roman"/>
          <w:sz w:val="24"/>
          <w:szCs w:val="24"/>
          <w:shd w:val="clear" w:color="auto" w:fill="FFFFFF"/>
        </w:rPr>
        <w:t xml:space="preserve"> Fundación de Form. de Valencia (20,2</w:t>
      </w:r>
      <w:r>
        <w:rPr>
          <w:rFonts w:ascii="Times New Roman" w:hAnsi="Times New Roman" w:cs="Times New Roman"/>
          <w:sz w:val="24"/>
          <w:szCs w:val="24"/>
          <w:shd w:val="clear" w:color="auto" w:fill="FFFFFF"/>
        </w:rPr>
        <w:t xml:space="preserve"> millones), la Confederación CCOO (18,3 millones) y la CCOO</w:t>
      </w:r>
      <w:r w:rsidRPr="00884BBB">
        <w:rPr>
          <w:rFonts w:ascii="Times New Roman" w:hAnsi="Times New Roman" w:cs="Times New Roman"/>
          <w:sz w:val="24"/>
          <w:szCs w:val="24"/>
          <w:shd w:val="clear" w:color="auto" w:fill="FFFFFF"/>
        </w:rPr>
        <w:t xml:space="preserve"> Fundación de Form. de Castilla y León (15,2 millones). Otras delegaciones como Cataluña, Madrid, Castilla-La Mancha y Galicia también han recibido importes significativos de más de diez millones de euros cada una.</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lastRenderedPageBreak/>
        <w:t>¿De dónde provienen estas subvenciones?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Las ayudas provienen de un total de 1.134 subven</w:t>
      </w:r>
      <w:r>
        <w:rPr>
          <w:rFonts w:ascii="Times New Roman" w:hAnsi="Times New Roman" w:cs="Times New Roman"/>
          <w:sz w:val="24"/>
          <w:szCs w:val="24"/>
          <w:shd w:val="clear" w:color="auto" w:fill="FFFFFF"/>
        </w:rPr>
        <w:t>ciones para UGT y 1.539 para CCOO</w:t>
      </w:r>
      <w:r w:rsidRPr="00884BBB">
        <w:rPr>
          <w:rFonts w:ascii="Times New Roman" w:hAnsi="Times New Roman" w:cs="Times New Roman"/>
          <w:sz w:val="24"/>
          <w:szCs w:val="24"/>
          <w:shd w:val="clear" w:color="auto" w:fill="FFFFFF"/>
        </w:rPr>
        <w:t>, otorgadas por distintos organismos de administraciones estatales, autonómicas y locales. Estas incluyen ministerios, consejerías autonómicas, diputaciones provinciales y ayuntamientos.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De esta manera, no es únicamente a través del Gobierno central donde se otorgan estas ayudas. Tal como informa Laboro Spain, entre los organismos que han concedido estas ayudas están los gobiernos de la Comunidad de Madrid y su Ayuntamiento, que han destinado 8,7 millones de euros a UGT y 10,7 millones a CCOO. En Castilla y León, las subvenciones han alcanzado los 15,4 y 25,3 millones respectivamente, mientras que en Galicia se han registrado aportaciones de 7,1 y 8,4 millones de euros.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¿A qué están destinadas estas subvenciones?</w:t>
      </w:r>
    </w:p>
    <w:p w:rsidR="00571C96"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El detalle del destino de estas subvenciones no está especificado en los datos oficiales, limitándose en muchos casos a descripciones genéricas sobre su finalidad. Esto dificulta verificar el uso exacto de los fondos y si han sido empleados en los objetivos previstos. Además, ni CCOO ni UGT publican información detallada sobre el uso de las subvenciones recibidas.</w:t>
      </w:r>
    </w:p>
    <w:p w:rsidR="00571C96" w:rsidRPr="00D01248" w:rsidRDefault="00571C96" w:rsidP="00571C96">
      <w:pPr>
        <w:spacing w:line="240" w:lineRule="auto"/>
        <w:jc w:val="both"/>
        <w:rPr>
          <w:rFonts w:ascii="Times New Roman" w:hAnsi="Times New Roman" w:cs="Times New Roman"/>
          <w:sz w:val="24"/>
          <w:szCs w:val="24"/>
          <w:u w:val="single"/>
          <w:shd w:val="clear" w:color="auto" w:fill="FFFFFF"/>
        </w:rPr>
      </w:pPr>
      <w:r w:rsidRPr="00884BBB">
        <w:rPr>
          <w:rFonts w:ascii="Times New Roman" w:hAnsi="Times New Roman" w:cs="Times New Roman"/>
          <w:sz w:val="24"/>
          <w:szCs w:val="24"/>
          <w:u w:val="single"/>
          <w:shd w:val="clear" w:color="auto" w:fill="FFFFFF"/>
        </w:rPr>
        <w:t>Los sind</w:t>
      </w:r>
      <w:r>
        <w:rPr>
          <w:rFonts w:ascii="Times New Roman" w:hAnsi="Times New Roman" w:cs="Times New Roman"/>
          <w:sz w:val="24"/>
          <w:szCs w:val="24"/>
          <w:u w:val="single"/>
          <w:shd w:val="clear" w:color="auto" w:fill="FFFFFF"/>
        </w:rPr>
        <w:t>icatos “viven” bien con el PSOE</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noProof/>
          <w:sz w:val="24"/>
          <w:szCs w:val="24"/>
          <w:shd w:val="clear" w:color="auto" w:fill="FFFFFF"/>
          <w:lang w:eastAsia="es-ES"/>
        </w:rPr>
        <w:drawing>
          <wp:inline distT="0" distB="0" distL="0" distR="0" wp14:anchorId="733EE7A1" wp14:editId="4F48F104">
            <wp:extent cx="5732435" cy="3416300"/>
            <wp:effectExtent l="0" t="0" r="1905" b="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415749"/>
                    </a:xfrm>
                    <a:prstGeom prst="rect">
                      <a:avLst/>
                    </a:prstGeom>
                  </pic:spPr>
                </pic:pic>
              </a:graphicData>
            </a:graphic>
          </wp:inline>
        </w:drawing>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Los datos utilizados en este análisis han sido extraídos del buscador de subvenciones de la IGAE, que permite consultar y filtrar información sobre ayudas concedidas por la administración pública en los últimos cuatro años. No obstante, la identificación de estas subvenciones puede resultar compleja debido a la diversidad de nombres utilizados en los registros oficiales.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lastRenderedPageBreak/>
        <w:t>Por ejemplo, en determinados casos el beneficiario se denomina “UGT”, en otros “unión general de trabajadores”; o bien “CC.OO.”, “CCOO” al igual que “comisiones obreras”, según advierte Laboro Spain.</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Estas cantidades permiten a la población conocer las cantidades concedidas a los sindicatos y los organismos que las otorgan. A pesar de ello, la falta de información sobre el uso específico de estos fon</w:t>
      </w:r>
      <w:r>
        <w:rPr>
          <w:rFonts w:ascii="Times New Roman" w:hAnsi="Times New Roman" w:cs="Times New Roman"/>
          <w:sz w:val="24"/>
          <w:szCs w:val="24"/>
          <w:shd w:val="clear" w:color="auto" w:fill="FFFFFF"/>
        </w:rPr>
        <w:t>dos sigue siendo una incógnita.</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 xml:space="preserve">- </w:t>
      </w:r>
      <w:r w:rsidRPr="00884BBB">
        <w:rPr>
          <w:rFonts w:ascii="Times New Roman" w:hAnsi="Times New Roman" w:cs="Times New Roman"/>
          <w:sz w:val="24"/>
          <w:szCs w:val="24"/>
          <w:u w:val="single"/>
          <w:shd w:val="clear" w:color="auto" w:fill="FFFFFF"/>
        </w:rPr>
        <w:t>Sánchez duplica las subvenciones a los sindicatos y alcanzan cifras históricas</w:t>
      </w:r>
      <w:r w:rsidRPr="00884BBB">
        <w:rPr>
          <w:rFonts w:ascii="Times New Roman" w:hAnsi="Times New Roman" w:cs="Times New Roman"/>
          <w:sz w:val="24"/>
          <w:szCs w:val="24"/>
          <w:shd w:val="clear" w:color="auto" w:fill="FFFFFF"/>
        </w:rPr>
        <w:t xml:space="preserve"> (Libertad Digital - </w:t>
      </w:r>
      <w:r w:rsidRPr="00B61562">
        <w:rPr>
          <w:rFonts w:ascii="Times New Roman" w:hAnsi="Times New Roman" w:cs="Times New Roman"/>
          <w:b/>
          <w:sz w:val="24"/>
          <w:szCs w:val="24"/>
          <w:shd w:val="clear" w:color="auto" w:fill="FFFFFF"/>
        </w:rPr>
        <w:t>3/1/25</w:t>
      </w:r>
      <w:r w:rsidRPr="00884BBB">
        <w:rPr>
          <w:rFonts w:ascii="Times New Roman" w:hAnsi="Times New Roman" w:cs="Times New Roman"/>
          <w:sz w:val="24"/>
          <w:szCs w:val="24"/>
          <w:shd w:val="clear" w:color="auto" w:fill="FFFFFF"/>
        </w:rPr>
        <w:t>)</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El gobierno de Sánchez duplica las subvenciones sindicales alcanzando el máximo histórico con 32 millones.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(Por Antonio J. Moleón)</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El gobierno de Pedro Sánchez acordó en el Consejo de Ministros la mayor inyección de millones a los sindicatos más representativos como CCOO y UGT, lideradas por Unai Sordo y Pepe Álvarez. Concretamente, el Gobierno destinará 32 millones en subvenciones a los sindicatos, alcanzando el máximo histórico. De este modo, la ministra de Trabajo, Yolanda Díaz, duplica el presupuesto de los tres años anteriores, 17 millones.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Nunca se había presenciado un aumento tan exponencial en subvenciones a sindicatos en España. Sin embargo, desde que Sánchez llegó a La Moncloa, los sindicatos han visto considerablemente incrementadas sus subvenciones, ya que no es la primera vez que el Ministerio de Trabajo de Díaz incrementa la cantidad de millones destinados a los sindicatos.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En comparación con los gobiernos de José María Aznar y Mariano Rajoy y entrando en detalle, durante el mandato de Aznar, las subvenciones se mantuvieron en torno a los 10 millones por año, mientras que en el momento en que José Luis Rodríguez Zapatero accedió a la presidencia, decidió establecer la cifra en 15,7 millones de euros anuales.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Por su parte, el último gobierno del Partido Popular congeló las subvenciones a los sindicatos con 8,8 millones desde el año 2013, cuando Rajoy y la entonces ministra de Empleo, Fátima Báñez, recortaron las ayudas respecto a las grandes cantidades que venía concediendo el gobierno socialista de Zapatero.</w:t>
      </w:r>
    </w:p>
    <w:p w:rsidR="00571C96" w:rsidRPr="00884BBB" w:rsidRDefault="00571C96" w:rsidP="00571C96">
      <w:pPr>
        <w:spacing w:line="240" w:lineRule="auto"/>
        <w:jc w:val="both"/>
        <w:rPr>
          <w:rFonts w:ascii="Times New Roman" w:hAnsi="Times New Roman" w:cs="Times New Roman"/>
          <w:sz w:val="24"/>
          <w:szCs w:val="24"/>
          <w:u w:val="single"/>
          <w:shd w:val="clear" w:color="auto" w:fill="FFFFFF"/>
        </w:rPr>
      </w:pPr>
      <w:r w:rsidRPr="00884BBB">
        <w:rPr>
          <w:rFonts w:ascii="Times New Roman" w:hAnsi="Times New Roman" w:cs="Times New Roman"/>
          <w:sz w:val="24"/>
          <w:szCs w:val="24"/>
          <w:u w:val="single"/>
          <w:shd w:val="clear" w:color="auto" w:fill="FFFFFF"/>
        </w:rPr>
        <w:t>Organizaciones empresariales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Una gran parte de los ingresos de la CEOE, no proviene de las cuotas o de las aportaciones de sus socios empresariales, sino de subvenciones públicas.</w:t>
      </w:r>
      <w:r>
        <w:rPr>
          <w:rFonts w:ascii="Times New Roman" w:hAnsi="Times New Roman" w:cs="Times New Roman"/>
          <w:sz w:val="24"/>
          <w:szCs w:val="24"/>
          <w:shd w:val="clear" w:color="auto" w:fill="FFFFFF"/>
        </w:rPr>
        <w:t xml:space="preserve"> </w:t>
      </w:r>
      <w:r w:rsidRPr="00884BBB">
        <w:rPr>
          <w:rFonts w:ascii="Times New Roman" w:hAnsi="Times New Roman" w:cs="Times New Roman"/>
          <w:sz w:val="24"/>
          <w:szCs w:val="24"/>
          <w:shd w:val="clear" w:color="auto" w:fill="FFFFFF"/>
        </w:rPr>
        <w:t>(14 feb 2023)</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 xml:space="preserve">Las organizaciones empresariales en España reciben fondos del gobierno a través de diversas vías, incluyendo subvenciones directas, préstamos participativos y fondos europeos. En 2024, por ejemplo, se destinaron 83 millones de euros a subvenciones del 0,7% para financiar proyectos empresariales. Además, las empresas pueden acceder a fondos a través de programas como el Kit Digital y líneas de financiación específicas para jóvenes emprendedores. </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 xml:space="preserve">La CEOE (Confederación Española de Organizaciones Empresariales) recibe dinero del estado a través de subvenciones públicas y contratos para proyectos específicos, como formación y diálogo social. Además, aunque no es dinero directo del estado, la CEOE también recibe ingresos por las cuotas de sus organizaciones y empresas asociadas. </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lastRenderedPageBreak/>
        <w:t>Detalles sobre las subvenciones:</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 xml:space="preserve">Formación: La CEOE ha recibido subvenciones significativas para proyectos de formación, </w:t>
      </w:r>
      <w:r>
        <w:rPr>
          <w:rFonts w:ascii="Times New Roman" w:hAnsi="Times New Roman" w:cs="Times New Roman"/>
          <w:sz w:val="24"/>
          <w:szCs w:val="24"/>
          <w:shd w:val="clear" w:color="auto" w:fill="FFFFFF"/>
        </w:rPr>
        <w:t>como el programa “</w:t>
      </w:r>
      <w:r w:rsidRPr="00884BBB">
        <w:rPr>
          <w:rFonts w:ascii="Times New Roman" w:hAnsi="Times New Roman" w:cs="Times New Roman"/>
          <w:sz w:val="24"/>
          <w:szCs w:val="24"/>
          <w:shd w:val="clear" w:color="auto" w:fill="FFFFFF"/>
        </w:rPr>
        <w:t>EdeNE (Escu</w:t>
      </w:r>
      <w:r>
        <w:rPr>
          <w:rFonts w:ascii="Times New Roman" w:hAnsi="Times New Roman" w:cs="Times New Roman"/>
          <w:sz w:val="24"/>
          <w:szCs w:val="24"/>
          <w:shd w:val="clear" w:color="auto" w:fill="FFFFFF"/>
        </w:rPr>
        <w:t>ela de Negociación Empresarial)”</w:t>
      </w:r>
      <w:r w:rsidRPr="00884BBB">
        <w:rPr>
          <w:rFonts w:ascii="Times New Roman" w:hAnsi="Times New Roman" w:cs="Times New Roman"/>
          <w:sz w:val="24"/>
          <w:szCs w:val="24"/>
          <w:shd w:val="clear" w:color="auto" w:fill="FFFFFF"/>
        </w:rPr>
        <w:t xml:space="preserve">. En 2022, se destinaron más de 16,9 millones de euros a proyectos de formación, incluyendo la formación en diálogo social y negociación colectiva. </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 xml:space="preserve">Diálogo Social y Negociación Colectiva: Se han otorgado fondos para proyectos relacionados con el diálogo social y la negociación colectiva, en colaboración con el Ministerio de Trabajo y Economía Social. </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 xml:space="preserve">Simplificación de cargas administrativas: La CEOE ha colaborado con el Ministerio de Hacienda en proyectos para simplificar las cargas administrativas para las empresas. </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 xml:space="preserve">Fondos europeos: El gobierno ha utilizado fondos europeos para aumentar las subvenciones a la CEOE y otras organizaciones. </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 xml:space="preserve">Subvenciones directas: El Tribunal Supremo anuló un Real Decreto que contemplaba subvenciones directas a la CEOE y otras organizaciones por valor de más de 30 millones de euros, según elDiario.es. </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 xml:space="preserve">Ingresos por cuotas: Además de las subvenciones, la CEOE también obtiene ingresos de las cuotas y aportaciones de las organizaciones y empresas asociadas a la patronal. En 2022, estos ingresos ascendieron a 13,64 millones de euros. </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 xml:space="preserve">Transparencia: La CEOE publica informes de retribuciones en su portal de transparencia, incluyendo los salarios de sus directivos. </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 xml:space="preserve">El sueldo del presidente de la CEOE, Antonio Garamendi, se ha situado en torno a los 400.000 euros anuales, según Telecinco. </w:t>
      </w:r>
    </w:p>
    <w:p w:rsidR="00571C96" w:rsidRPr="00884BBB" w:rsidRDefault="00571C96" w:rsidP="00571C96">
      <w:pPr>
        <w:spacing w:line="240" w:lineRule="auto"/>
        <w:jc w:val="both"/>
        <w:rPr>
          <w:rFonts w:ascii="Times New Roman" w:hAnsi="Times New Roman" w:cs="Times New Roman"/>
          <w:sz w:val="24"/>
          <w:szCs w:val="24"/>
          <w:shd w:val="clear" w:color="auto" w:fill="FFFFFF"/>
        </w:rPr>
      </w:pPr>
      <w:r w:rsidRPr="00884BBB">
        <w:rPr>
          <w:rFonts w:ascii="Times New Roman" w:hAnsi="Times New Roman" w:cs="Times New Roman"/>
          <w:sz w:val="24"/>
          <w:szCs w:val="24"/>
          <w:shd w:val="clear" w:color="auto" w:fill="FFFFFF"/>
        </w:rPr>
        <w:t>Algunas organizaciones patronales autonómicas publican las retribuciones de sus presidentes de forma transparente, como CEIM.</w:t>
      </w:r>
    </w:p>
    <w:p w:rsidR="00571C96" w:rsidRPr="00585050" w:rsidRDefault="00571C96" w:rsidP="00571C96">
      <w:pPr>
        <w:spacing w:line="240" w:lineRule="auto"/>
        <w:jc w:val="both"/>
        <w:rPr>
          <w:rFonts w:ascii="Times New Roman" w:hAnsi="Times New Roman" w:cs="Times New Roman"/>
          <w:color w:val="FF0000"/>
          <w:sz w:val="24"/>
          <w:szCs w:val="24"/>
          <w:shd w:val="clear" w:color="auto" w:fill="FFFFFF"/>
        </w:rPr>
      </w:pPr>
      <w:r w:rsidRPr="00585050">
        <w:rPr>
          <w:rFonts w:ascii="Times New Roman" w:hAnsi="Times New Roman" w:cs="Times New Roman"/>
          <w:b/>
          <w:color w:val="FF0000"/>
          <w:sz w:val="24"/>
          <w:szCs w:val="24"/>
          <w:shd w:val="clear" w:color="auto" w:fill="FFFFFF"/>
        </w:rPr>
        <w:t>Nota I</w:t>
      </w:r>
      <w:r w:rsidRPr="00585050">
        <w:rPr>
          <w:rFonts w:ascii="Times New Roman" w:hAnsi="Times New Roman" w:cs="Times New Roman"/>
          <w:color w:val="FF0000"/>
          <w:sz w:val="24"/>
          <w:szCs w:val="24"/>
          <w:shd w:val="clear" w:color="auto" w:fill="FFFFFF"/>
        </w:rPr>
        <w:t>: aunque lo relatado no es “peccata minuta”, en cuanto a la relación de dependencia de las entidades gremiales (sindicales y empresariales) con el gobierno de turno, con todo lo que eso representa, en cuanto a la connivencia con la mano que les da de comer, frente a la independencia de criterio a la hora de defender los intereses de sus representados, o plegarse a los designios del gobierno que les concede tan suculentas subvenciones (como es habitual).</w:t>
      </w:r>
    </w:p>
    <w:p w:rsidR="00571C96" w:rsidRPr="00585050" w:rsidRDefault="00571C96" w:rsidP="00571C96">
      <w:pPr>
        <w:spacing w:line="240" w:lineRule="auto"/>
        <w:jc w:val="both"/>
        <w:rPr>
          <w:rFonts w:ascii="Times New Roman" w:hAnsi="Times New Roman" w:cs="Times New Roman"/>
          <w:color w:val="FF0000"/>
          <w:sz w:val="24"/>
          <w:szCs w:val="24"/>
          <w:shd w:val="clear" w:color="auto" w:fill="FFFFFF"/>
        </w:rPr>
      </w:pPr>
      <w:r w:rsidRPr="00585050">
        <w:rPr>
          <w:rFonts w:ascii="Times New Roman" w:hAnsi="Times New Roman" w:cs="Times New Roman"/>
          <w:color w:val="FF0000"/>
          <w:sz w:val="24"/>
          <w:szCs w:val="24"/>
          <w:shd w:val="clear" w:color="auto" w:fill="FFFFFF"/>
        </w:rPr>
        <w:t>Así y todo, la parte del león de esta compra de voluntades (soborno, con dinero del contribuyente) está en los denominados “cursos de formación” (políticas activas de empleo).</w:t>
      </w:r>
    </w:p>
    <w:p w:rsidR="00571C96" w:rsidRPr="00585050" w:rsidRDefault="00571C96" w:rsidP="00571C96">
      <w:pPr>
        <w:spacing w:line="240" w:lineRule="auto"/>
        <w:jc w:val="both"/>
        <w:rPr>
          <w:rFonts w:ascii="Times New Roman" w:hAnsi="Times New Roman" w:cs="Times New Roman"/>
          <w:color w:val="FF0000"/>
          <w:sz w:val="24"/>
          <w:szCs w:val="24"/>
          <w:shd w:val="clear" w:color="auto" w:fill="FFFFFF"/>
        </w:rPr>
      </w:pPr>
      <w:r w:rsidRPr="00585050">
        <w:rPr>
          <w:rFonts w:ascii="Times New Roman" w:hAnsi="Times New Roman" w:cs="Times New Roman"/>
          <w:color w:val="FF0000"/>
          <w:sz w:val="24"/>
          <w:szCs w:val="24"/>
          <w:shd w:val="clear" w:color="auto" w:fill="FFFFFF"/>
        </w:rPr>
        <w:t xml:space="preserve">El gobierno español destina una cantidad significativa a políticas activas de empleo, con una partida que supera los 2.500 millones de euros en 2023, según el Consejo de Ministros. Estos fondos se distribuyen a través de las comunidades autónomas, gestionados por el Servicio Público de Empleo Estatal (SEPE) y complementados con el Plan de Recuperación, Transformación y Resiliencia. El desglose de estas partidas incluye subvenciones para la contratación, programas de formación y otras iniciativas de promoción del empleo. </w:t>
      </w:r>
    </w:p>
    <w:p w:rsidR="00571C96" w:rsidRPr="00B728F5" w:rsidRDefault="00571C96" w:rsidP="00571C96">
      <w:pPr>
        <w:spacing w:line="240" w:lineRule="auto"/>
        <w:jc w:val="both"/>
        <w:rPr>
          <w:rFonts w:ascii="Times New Roman" w:hAnsi="Times New Roman" w:cs="Times New Roman"/>
          <w:sz w:val="24"/>
          <w:szCs w:val="24"/>
          <w:shd w:val="clear" w:color="auto" w:fill="FFFFFF"/>
        </w:rPr>
      </w:pPr>
      <w:r w:rsidRPr="00B728F5">
        <w:rPr>
          <w:rFonts w:ascii="Times New Roman" w:hAnsi="Times New Roman" w:cs="Times New Roman"/>
          <w:sz w:val="24"/>
          <w:szCs w:val="24"/>
          <w:shd w:val="clear" w:color="auto" w:fill="FFFFFF"/>
        </w:rPr>
        <w:t>Desglose por partidas (ejemplo de 2023):</w:t>
      </w:r>
    </w:p>
    <w:p w:rsidR="00571C96" w:rsidRPr="00B728F5" w:rsidRDefault="00571C96" w:rsidP="00571C96">
      <w:pPr>
        <w:spacing w:line="240" w:lineRule="auto"/>
        <w:jc w:val="both"/>
        <w:rPr>
          <w:rFonts w:ascii="Times New Roman" w:hAnsi="Times New Roman" w:cs="Times New Roman"/>
          <w:sz w:val="24"/>
          <w:szCs w:val="24"/>
          <w:shd w:val="clear" w:color="auto" w:fill="FFFFFF"/>
        </w:rPr>
      </w:pPr>
      <w:r w:rsidRPr="00B728F5">
        <w:rPr>
          <w:rFonts w:ascii="Times New Roman" w:hAnsi="Times New Roman" w:cs="Times New Roman"/>
          <w:sz w:val="24"/>
          <w:szCs w:val="24"/>
          <w:shd w:val="clear" w:color="auto" w:fill="FFFFFF"/>
        </w:rPr>
        <w:t xml:space="preserve">2.803 millones de euros: se distribuyen entre las comunidades autónomas para políticas activas de empleo. </w:t>
      </w:r>
    </w:p>
    <w:p w:rsidR="00571C96" w:rsidRPr="00B728F5" w:rsidRDefault="00571C96" w:rsidP="00571C96">
      <w:pPr>
        <w:spacing w:line="240" w:lineRule="auto"/>
        <w:jc w:val="both"/>
        <w:rPr>
          <w:rFonts w:ascii="Times New Roman" w:hAnsi="Times New Roman" w:cs="Times New Roman"/>
          <w:sz w:val="24"/>
          <w:szCs w:val="24"/>
          <w:shd w:val="clear" w:color="auto" w:fill="FFFFFF"/>
        </w:rPr>
      </w:pPr>
      <w:r w:rsidRPr="00B728F5">
        <w:rPr>
          <w:rFonts w:ascii="Times New Roman" w:hAnsi="Times New Roman" w:cs="Times New Roman"/>
          <w:sz w:val="24"/>
          <w:szCs w:val="24"/>
          <w:shd w:val="clear" w:color="auto" w:fill="FFFFFF"/>
        </w:rPr>
        <w:lastRenderedPageBreak/>
        <w:t xml:space="preserve">2.571 millones de euros: provienen del presupuesto del SEPE. </w:t>
      </w:r>
    </w:p>
    <w:p w:rsidR="00571C96" w:rsidRPr="00B728F5" w:rsidRDefault="00571C96" w:rsidP="00571C96">
      <w:pPr>
        <w:spacing w:line="240" w:lineRule="auto"/>
        <w:jc w:val="both"/>
        <w:rPr>
          <w:rFonts w:ascii="Times New Roman" w:hAnsi="Times New Roman" w:cs="Times New Roman"/>
          <w:sz w:val="24"/>
          <w:szCs w:val="24"/>
          <w:shd w:val="clear" w:color="auto" w:fill="FFFFFF"/>
        </w:rPr>
      </w:pPr>
      <w:r w:rsidRPr="00B728F5">
        <w:rPr>
          <w:rFonts w:ascii="Times New Roman" w:hAnsi="Times New Roman" w:cs="Times New Roman"/>
          <w:sz w:val="24"/>
          <w:szCs w:val="24"/>
          <w:shd w:val="clear" w:color="auto" w:fill="FFFFFF"/>
        </w:rPr>
        <w:t xml:space="preserve">231 millones de euros: se financian con cargo al Plan de Recuperación, Transformación y Resiliencia. </w:t>
      </w:r>
    </w:p>
    <w:p w:rsidR="00571C96" w:rsidRPr="00B728F5" w:rsidRDefault="00571C96" w:rsidP="00571C96">
      <w:pPr>
        <w:spacing w:line="240" w:lineRule="auto"/>
        <w:jc w:val="both"/>
        <w:rPr>
          <w:rFonts w:ascii="Times New Roman" w:hAnsi="Times New Roman" w:cs="Times New Roman"/>
          <w:sz w:val="24"/>
          <w:szCs w:val="24"/>
          <w:shd w:val="clear" w:color="auto" w:fill="FFFFFF"/>
        </w:rPr>
      </w:pPr>
      <w:r w:rsidRPr="00B728F5">
        <w:rPr>
          <w:rFonts w:ascii="Times New Roman" w:hAnsi="Times New Roman" w:cs="Times New Roman"/>
          <w:sz w:val="24"/>
          <w:szCs w:val="24"/>
          <w:shd w:val="clear" w:color="auto" w:fill="FFFFFF"/>
        </w:rPr>
        <w:t xml:space="preserve">2.600 millones de euros: se destinan a bonificaciones a la contratación. </w:t>
      </w:r>
    </w:p>
    <w:p w:rsidR="00571C96" w:rsidRPr="00481F07" w:rsidRDefault="00571C96" w:rsidP="00571C96">
      <w:pPr>
        <w:spacing w:line="240" w:lineRule="auto"/>
        <w:jc w:val="both"/>
        <w:rPr>
          <w:rFonts w:ascii="Times New Roman" w:hAnsi="Times New Roman" w:cs="Times New Roman"/>
          <w:color w:val="FF0000"/>
          <w:sz w:val="24"/>
          <w:szCs w:val="24"/>
          <w:shd w:val="clear" w:color="auto" w:fill="FFFFFF"/>
        </w:rPr>
      </w:pPr>
      <w:r w:rsidRPr="00481F07">
        <w:rPr>
          <w:rFonts w:ascii="Times New Roman" w:hAnsi="Times New Roman" w:cs="Times New Roman"/>
          <w:color w:val="FF0000"/>
          <w:sz w:val="24"/>
          <w:szCs w:val="24"/>
          <w:shd w:val="clear" w:color="auto" w:fill="FFFFFF"/>
        </w:rPr>
        <w:t xml:space="preserve">1.683 millones de euros: se asignan a programas de formación. </w:t>
      </w:r>
    </w:p>
    <w:p w:rsidR="00571C96" w:rsidRPr="00B728F5" w:rsidRDefault="00571C96" w:rsidP="00571C96">
      <w:pPr>
        <w:spacing w:line="240" w:lineRule="auto"/>
        <w:jc w:val="both"/>
        <w:rPr>
          <w:rFonts w:ascii="Times New Roman" w:hAnsi="Times New Roman" w:cs="Times New Roman"/>
          <w:sz w:val="24"/>
          <w:szCs w:val="24"/>
          <w:shd w:val="clear" w:color="auto" w:fill="FFFFFF"/>
        </w:rPr>
      </w:pPr>
      <w:r w:rsidRPr="00B728F5">
        <w:rPr>
          <w:rFonts w:ascii="Times New Roman" w:hAnsi="Times New Roman" w:cs="Times New Roman"/>
          <w:sz w:val="24"/>
          <w:szCs w:val="24"/>
          <w:shd w:val="clear" w:color="auto" w:fill="FFFFFF"/>
        </w:rPr>
        <w:t xml:space="preserve">1.524 millones de euros: se distribuyen entre otras políticas activas de empleo. </w:t>
      </w:r>
    </w:p>
    <w:p w:rsidR="00571C96" w:rsidRPr="00B728F5" w:rsidRDefault="00571C96" w:rsidP="00571C96">
      <w:pPr>
        <w:spacing w:line="240" w:lineRule="auto"/>
        <w:jc w:val="both"/>
        <w:rPr>
          <w:rFonts w:ascii="Times New Roman" w:hAnsi="Times New Roman" w:cs="Times New Roman"/>
          <w:sz w:val="24"/>
          <w:szCs w:val="24"/>
          <w:shd w:val="clear" w:color="auto" w:fill="FFFFFF"/>
        </w:rPr>
      </w:pPr>
      <w:r w:rsidRPr="00B728F5">
        <w:rPr>
          <w:rFonts w:ascii="Times New Roman" w:hAnsi="Times New Roman" w:cs="Times New Roman"/>
          <w:sz w:val="24"/>
          <w:szCs w:val="24"/>
          <w:shd w:val="clear" w:color="auto" w:fill="FFFFFF"/>
        </w:rPr>
        <w:t xml:space="preserve">Distribución territorial: La distribución definitiva de los fondos a las comunidades autónomas se acuerda en la Conferencia Sectorial de Empleo y Asuntos Laborales. </w:t>
      </w:r>
    </w:p>
    <w:p w:rsidR="00571C96" w:rsidRPr="00B728F5" w:rsidRDefault="00571C96" w:rsidP="00571C96">
      <w:pPr>
        <w:spacing w:line="240" w:lineRule="auto"/>
        <w:jc w:val="both"/>
        <w:rPr>
          <w:rFonts w:ascii="Times New Roman" w:hAnsi="Times New Roman" w:cs="Times New Roman"/>
          <w:sz w:val="24"/>
          <w:szCs w:val="24"/>
          <w:shd w:val="clear" w:color="auto" w:fill="FFFFFF"/>
        </w:rPr>
      </w:pPr>
      <w:r w:rsidRPr="00B728F5">
        <w:rPr>
          <w:rFonts w:ascii="Times New Roman" w:hAnsi="Times New Roman" w:cs="Times New Roman"/>
          <w:sz w:val="24"/>
          <w:szCs w:val="24"/>
          <w:shd w:val="clear" w:color="auto" w:fill="FFFFFF"/>
        </w:rPr>
        <w:t xml:space="preserve">Evaluación: El uso de estos fondos está sujeto a una doble evaluación, interna y externa, de acuerdo con la Ley de Empleo. </w:t>
      </w:r>
    </w:p>
    <w:p w:rsidR="00571C96" w:rsidRPr="00B728F5" w:rsidRDefault="00571C96" w:rsidP="00571C96">
      <w:pPr>
        <w:spacing w:line="240" w:lineRule="auto"/>
        <w:jc w:val="both"/>
        <w:rPr>
          <w:rFonts w:ascii="Times New Roman" w:hAnsi="Times New Roman" w:cs="Times New Roman"/>
          <w:sz w:val="24"/>
          <w:szCs w:val="24"/>
          <w:shd w:val="clear" w:color="auto" w:fill="FFFFFF"/>
        </w:rPr>
      </w:pPr>
      <w:r w:rsidRPr="00B728F5">
        <w:rPr>
          <w:rFonts w:ascii="Times New Roman" w:hAnsi="Times New Roman" w:cs="Times New Roman"/>
          <w:sz w:val="24"/>
          <w:szCs w:val="24"/>
          <w:shd w:val="clear" w:color="auto" w:fill="FFFFFF"/>
        </w:rPr>
        <w:t>Fuentes de financiación: Además de los fondos del SEPE y del Plan de Recuperación, las comunidades autónomas y entidades locales también destinan recursos propios a políticas de empleo.</w:t>
      </w:r>
    </w:p>
    <w:p w:rsidR="00571C96" w:rsidRPr="00B728F5" w:rsidRDefault="00571C96" w:rsidP="00571C96">
      <w:pPr>
        <w:spacing w:line="240" w:lineRule="auto"/>
        <w:jc w:val="both"/>
        <w:rPr>
          <w:rFonts w:ascii="Times New Roman" w:hAnsi="Times New Roman" w:cs="Times New Roman"/>
          <w:sz w:val="24"/>
          <w:szCs w:val="24"/>
          <w:shd w:val="clear" w:color="auto" w:fill="FFFFFF"/>
        </w:rPr>
      </w:pPr>
      <w:r w:rsidRPr="00B728F5">
        <w:rPr>
          <w:rFonts w:ascii="Times New Roman" w:hAnsi="Times New Roman" w:cs="Times New Roman"/>
          <w:sz w:val="24"/>
          <w:szCs w:val="24"/>
          <w:shd w:val="clear" w:color="auto" w:fill="FFFFFF"/>
        </w:rPr>
        <w:t>- ¿</w:t>
      </w:r>
      <w:r w:rsidRPr="00B728F5">
        <w:rPr>
          <w:rFonts w:ascii="Times New Roman" w:hAnsi="Times New Roman" w:cs="Times New Roman"/>
          <w:sz w:val="24"/>
          <w:szCs w:val="24"/>
          <w:u w:val="single"/>
          <w:shd w:val="clear" w:color="auto" w:fill="FFFFFF"/>
        </w:rPr>
        <w:t>Dónde acaba el dinero de las subvenciones…</w:t>
      </w:r>
      <w:r w:rsidRPr="00B728F5">
        <w:rPr>
          <w:rFonts w:ascii="Times New Roman" w:hAnsi="Times New Roman" w:cs="Times New Roman"/>
          <w:sz w:val="24"/>
          <w:szCs w:val="24"/>
          <w:shd w:val="clear" w:color="auto" w:fill="FFFFFF"/>
        </w:rPr>
        <w:t xml:space="preserve">? (Fuente: laboro-spain.blogspot.com - </w:t>
      </w:r>
      <w:r w:rsidRPr="00B61562">
        <w:rPr>
          <w:rFonts w:ascii="Times New Roman" w:hAnsi="Times New Roman" w:cs="Times New Roman"/>
          <w:b/>
          <w:sz w:val="24"/>
          <w:szCs w:val="24"/>
          <w:shd w:val="clear" w:color="auto" w:fill="FFFFFF"/>
        </w:rPr>
        <w:t>15/7/24</w:t>
      </w:r>
      <w:r w:rsidRPr="00B728F5">
        <w:rPr>
          <w:rFonts w:ascii="Times New Roman" w:hAnsi="Times New Roman" w:cs="Times New Roman"/>
          <w:sz w:val="24"/>
          <w:szCs w:val="24"/>
          <w:shd w:val="clear" w:color="auto" w:fill="FFFFFF"/>
        </w:rPr>
        <w:t>)</w:t>
      </w:r>
    </w:p>
    <w:p w:rsidR="00571C96" w:rsidRDefault="00571C96" w:rsidP="00571C96">
      <w:pPr>
        <w:spacing w:line="240" w:lineRule="auto"/>
        <w:jc w:val="both"/>
        <w:rPr>
          <w:rFonts w:ascii="Times New Roman" w:hAnsi="Times New Roman" w:cs="Times New Roman"/>
          <w:color w:val="FF0000"/>
          <w:sz w:val="24"/>
          <w:szCs w:val="24"/>
          <w:shd w:val="clear" w:color="auto" w:fill="FFFFFF"/>
        </w:rPr>
      </w:pPr>
      <w:r w:rsidRPr="005B04AE">
        <w:rPr>
          <w:rFonts w:ascii="Times New Roman" w:hAnsi="Times New Roman" w:cs="Times New Roman"/>
          <w:noProof/>
          <w:color w:val="FF0000"/>
          <w:sz w:val="24"/>
          <w:szCs w:val="24"/>
          <w:shd w:val="clear" w:color="auto" w:fill="FFFFFF"/>
          <w:lang w:eastAsia="es-ES"/>
        </w:rPr>
        <w:drawing>
          <wp:inline distT="0" distB="0" distL="0" distR="0" wp14:anchorId="3C530517" wp14:editId="57F706A4">
            <wp:extent cx="5731510" cy="1917851"/>
            <wp:effectExtent l="0" t="0" r="2540" b="63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1917851"/>
                    </a:xfrm>
                    <a:prstGeom prst="rect">
                      <a:avLst/>
                    </a:prstGeom>
                  </pic:spPr>
                </pic:pic>
              </a:graphicData>
            </a:graphic>
          </wp:inline>
        </w:drawing>
      </w:r>
    </w:p>
    <w:p w:rsidR="00571C96" w:rsidRDefault="00571C96" w:rsidP="00571C96">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B728F5">
        <w:rPr>
          <w:rFonts w:ascii="Times New Roman" w:hAnsi="Times New Roman" w:cs="Times New Roman"/>
          <w:noProof/>
          <w:color w:val="FF0000"/>
          <w:sz w:val="24"/>
          <w:szCs w:val="24"/>
          <w:shd w:val="clear" w:color="auto" w:fill="FFFFFF"/>
          <w:lang w:eastAsia="es-ES"/>
        </w:rPr>
        <w:drawing>
          <wp:inline distT="0" distB="0" distL="0" distR="0" wp14:anchorId="3AC69FC3" wp14:editId="70EBE20A">
            <wp:extent cx="4020111" cy="142895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4020111" cy="1428950"/>
                    </a:xfrm>
                    <a:prstGeom prst="rect">
                      <a:avLst/>
                    </a:prstGeom>
                  </pic:spPr>
                </pic:pic>
              </a:graphicData>
            </a:graphic>
          </wp:inline>
        </w:drawing>
      </w:r>
    </w:p>
    <w:p w:rsidR="00571C96" w:rsidRDefault="00571C96" w:rsidP="00571C96">
      <w:pPr>
        <w:spacing w:line="240" w:lineRule="auto"/>
        <w:jc w:val="both"/>
        <w:rPr>
          <w:rFonts w:ascii="Times New Roman" w:hAnsi="Times New Roman" w:cs="Times New Roman"/>
          <w:color w:val="FF0000"/>
          <w:sz w:val="24"/>
          <w:szCs w:val="24"/>
          <w:shd w:val="clear" w:color="auto" w:fill="FFFFFF"/>
        </w:rPr>
      </w:pPr>
      <w:r w:rsidRPr="00B728F5">
        <w:rPr>
          <w:rFonts w:ascii="Times New Roman" w:hAnsi="Times New Roman" w:cs="Times New Roman"/>
          <w:noProof/>
          <w:color w:val="FF0000"/>
          <w:sz w:val="24"/>
          <w:szCs w:val="24"/>
          <w:shd w:val="clear" w:color="auto" w:fill="FFFFFF"/>
          <w:lang w:eastAsia="es-ES"/>
        </w:rPr>
        <w:drawing>
          <wp:inline distT="0" distB="0" distL="0" distR="0" wp14:anchorId="244B908C" wp14:editId="01F50888">
            <wp:extent cx="5731510" cy="1228356"/>
            <wp:effectExtent l="0" t="0" r="254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1228356"/>
                    </a:xfrm>
                    <a:prstGeom prst="rect">
                      <a:avLst/>
                    </a:prstGeom>
                  </pic:spPr>
                </pic:pic>
              </a:graphicData>
            </a:graphic>
          </wp:inline>
        </w:drawing>
      </w:r>
    </w:p>
    <w:p w:rsidR="00571C96" w:rsidRPr="00553DB0" w:rsidRDefault="00571C96" w:rsidP="00571C96">
      <w:pPr>
        <w:spacing w:line="240" w:lineRule="auto"/>
        <w:jc w:val="both"/>
        <w:rPr>
          <w:rFonts w:ascii="Times New Roman" w:hAnsi="Times New Roman" w:cs="Times New Roman"/>
          <w:color w:val="FF0000"/>
          <w:sz w:val="24"/>
          <w:szCs w:val="24"/>
          <w:shd w:val="clear" w:color="auto" w:fill="FFFFFF"/>
        </w:rPr>
      </w:pPr>
      <w:r w:rsidRPr="00553DB0">
        <w:rPr>
          <w:rFonts w:ascii="Times New Roman" w:hAnsi="Times New Roman" w:cs="Times New Roman"/>
          <w:b/>
          <w:color w:val="FF0000"/>
          <w:sz w:val="24"/>
          <w:szCs w:val="24"/>
          <w:shd w:val="clear" w:color="auto" w:fill="FFFFFF"/>
        </w:rPr>
        <w:lastRenderedPageBreak/>
        <w:t>Nota II</w:t>
      </w:r>
      <w:r w:rsidRPr="00553DB0">
        <w:rPr>
          <w:rFonts w:ascii="Times New Roman" w:hAnsi="Times New Roman" w:cs="Times New Roman"/>
          <w:color w:val="FF0000"/>
          <w:sz w:val="24"/>
          <w:szCs w:val="24"/>
          <w:shd w:val="clear" w:color="auto" w:fill="FFFFFF"/>
        </w:rPr>
        <w:t>: Según mi experiencia, los cursos de formación los diseñan burócratas incompetentes del sector público, que no conocen las necesidades reales de las empresas, y de los trabajadores. Luego, los “supuestos” alumnos, son “rastreados”, e “inscriptos” bajo presión, “al voleo”, a la “desesperada” (para cubrir el cupo mínimo exigido para la realización del curso específico), sin ningún tipo de filtro, o estudio del perfil del candidato, por las empresas que imparten los cursos de formación. Y finalmente, están los “candidatos” (alumnos), que se ven obligados a aceptar la convocatoria (realizada por la empresa de formación), bajo la amenaza al que se niega a participar, de la pérdida del subsidio por desempleo, y sin ningún tipo de garantía que a la finalización del curso puedan obtener un puesto de trabajo.</w:t>
      </w:r>
    </w:p>
    <w:p w:rsidR="00571C96" w:rsidRPr="00553DB0" w:rsidRDefault="00571C96" w:rsidP="00571C96">
      <w:pPr>
        <w:spacing w:line="240" w:lineRule="auto"/>
        <w:jc w:val="both"/>
        <w:rPr>
          <w:rFonts w:ascii="Times New Roman" w:hAnsi="Times New Roman" w:cs="Times New Roman"/>
          <w:color w:val="FF0000"/>
          <w:sz w:val="24"/>
          <w:szCs w:val="24"/>
          <w:shd w:val="clear" w:color="auto" w:fill="FFFFFF"/>
        </w:rPr>
      </w:pPr>
      <w:r w:rsidRPr="00553DB0">
        <w:rPr>
          <w:rFonts w:ascii="Times New Roman" w:hAnsi="Times New Roman" w:cs="Times New Roman"/>
          <w:color w:val="FF0000"/>
          <w:sz w:val="24"/>
          <w:szCs w:val="24"/>
          <w:shd w:val="clear" w:color="auto" w:fill="FFFFFF"/>
        </w:rPr>
        <w:t xml:space="preserve">El porcentaje de “retorno” que reciben las organizaciones sindicales o empresariales, de parte de las empresas de formación, puede llegar al 30% (repito, 30%), de la partida asignada para la realización de un curso de formación, que a nadie interesa, y no sirve para nada, más allá de beneficiar a la empresa de formación, y subvencionar a la organización sindical. </w:t>
      </w:r>
    </w:p>
    <w:p w:rsidR="00571C96" w:rsidRDefault="00571C96" w:rsidP="00571C96">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261E29">
        <w:rPr>
          <w:rFonts w:ascii="Times New Roman" w:hAnsi="Times New Roman" w:cs="Times New Roman"/>
          <w:color w:val="FF0000"/>
          <w:sz w:val="24"/>
          <w:szCs w:val="24"/>
          <w:shd w:val="clear" w:color="auto" w:fill="FFFFFF"/>
        </w:rPr>
        <w:t>- Eliminar todo tipo de subvenciones a los partidos políticos</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 xml:space="preserve">- </w:t>
      </w:r>
      <w:r w:rsidRPr="00446C1E">
        <w:rPr>
          <w:rFonts w:ascii="Times New Roman" w:hAnsi="Times New Roman" w:cs="Times New Roman"/>
          <w:sz w:val="24"/>
          <w:szCs w:val="24"/>
          <w:u w:val="single"/>
          <w:shd w:val="clear" w:color="auto" w:fill="FFFFFF"/>
        </w:rPr>
        <w:t>Partidos, sindicatos y patronales se reparten más de 300 millones en subvenciones públicas</w:t>
      </w:r>
      <w:r w:rsidRPr="00446C1E">
        <w:rPr>
          <w:rFonts w:ascii="Times New Roman" w:hAnsi="Times New Roman" w:cs="Times New Roman"/>
          <w:sz w:val="24"/>
          <w:szCs w:val="24"/>
          <w:shd w:val="clear" w:color="auto" w:fill="FFFFFF"/>
        </w:rPr>
        <w:t xml:space="preserve"> (Vozpópuli - </w:t>
      </w:r>
      <w:r w:rsidRPr="00B61562">
        <w:rPr>
          <w:rFonts w:ascii="Times New Roman" w:hAnsi="Times New Roman" w:cs="Times New Roman"/>
          <w:b/>
          <w:sz w:val="24"/>
          <w:szCs w:val="24"/>
          <w:shd w:val="clear" w:color="auto" w:fill="FFFFFF"/>
        </w:rPr>
        <w:t>7/4/24</w:t>
      </w:r>
      <w:r w:rsidRPr="00446C1E">
        <w:rPr>
          <w:rFonts w:ascii="Times New Roman" w:hAnsi="Times New Roman" w:cs="Times New Roman"/>
          <w:sz w:val="24"/>
          <w:szCs w:val="24"/>
          <w:shd w:val="clear" w:color="auto" w:fill="FFFFFF"/>
        </w:rPr>
        <w:t>)</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Sólo las formaciones políticas reciben 65 millones de euros de las Administraciones. A la cabeza está el PSOE, con más de 25 millones</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(Por Francisco Núñez)</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 xml:space="preserve">España tuvo que crear a partir de 1976, una vez aprobada la Constitución, un sistema público de ayudas para financiar tanto a los agentes políticos como a los sociales y empresariales, en su labor representativa y negociadora para atender a los cambios democráticos y laborales que se iban a producir. Ese sistema de subvenciones no sólo se ha mantenido en estos casi 50 años, sino que ha aumentado exponencialmente sin que ningún Gobierno haya procedido en algún momento a su revisión, adaptación a las circunstancias o a su supresión. </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 xml:space="preserve">De esta forma, las Administraciones públicas (Estado, autonomías, diputaciones, cabildos y ayuntamientos) se han convertido en </w:t>
      </w:r>
      <w:r>
        <w:rPr>
          <w:rFonts w:ascii="Times New Roman" w:hAnsi="Times New Roman" w:cs="Times New Roman"/>
          <w:sz w:val="24"/>
          <w:szCs w:val="24"/>
          <w:shd w:val="clear" w:color="auto" w:fill="FFFFFF"/>
        </w:rPr>
        <w:t>los principales “mantenedores”</w:t>
      </w:r>
      <w:r w:rsidRPr="00446C1E">
        <w:rPr>
          <w:rFonts w:ascii="Times New Roman" w:hAnsi="Times New Roman" w:cs="Times New Roman"/>
          <w:sz w:val="24"/>
          <w:szCs w:val="24"/>
          <w:shd w:val="clear" w:color="auto" w:fill="FFFFFF"/>
        </w:rPr>
        <w:t xml:space="preserve"> de los partidos políticos, sindicatos y organizaciones empresariales, así como de un ingente puzzle de asociaciones de todo tipo (hasta 5.400), federaciones, confederaciones, uniones o unión de uniones tanto nacionales como regionales o comarcales, que en muchos casos no se sabe para qué s</w:t>
      </w:r>
      <w:r>
        <w:rPr>
          <w:rFonts w:ascii="Times New Roman" w:hAnsi="Times New Roman" w:cs="Times New Roman"/>
          <w:sz w:val="24"/>
          <w:szCs w:val="24"/>
          <w:shd w:val="clear" w:color="auto" w:fill="FFFFFF"/>
        </w:rPr>
        <w:t>irven. Y se ha configurado una “bola de nieve”</w:t>
      </w:r>
      <w:r w:rsidRPr="00446C1E">
        <w:rPr>
          <w:rFonts w:ascii="Times New Roman" w:hAnsi="Times New Roman" w:cs="Times New Roman"/>
          <w:sz w:val="24"/>
          <w:szCs w:val="24"/>
          <w:shd w:val="clear" w:color="auto" w:fill="FFFFFF"/>
        </w:rPr>
        <w:t xml:space="preserve"> de gasto que supera con creces los 300 millones de euros anuales. </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Hasta ahora, se sabía de su existencia pero se desconocía la cantidad que per</w:t>
      </w:r>
      <w:r>
        <w:rPr>
          <w:rFonts w:ascii="Times New Roman" w:hAnsi="Times New Roman" w:cs="Times New Roman"/>
          <w:sz w:val="24"/>
          <w:szCs w:val="24"/>
          <w:shd w:val="clear" w:color="auto" w:fill="FFFFFF"/>
        </w:rPr>
        <w:t>cibe con “nombre y apellidos”</w:t>
      </w:r>
      <w:r w:rsidRPr="00446C1E">
        <w:rPr>
          <w:rFonts w:ascii="Times New Roman" w:hAnsi="Times New Roman" w:cs="Times New Roman"/>
          <w:sz w:val="24"/>
          <w:szCs w:val="24"/>
          <w:shd w:val="clear" w:color="auto" w:fill="FFFFFF"/>
        </w:rPr>
        <w:t xml:space="preserve"> cada una de estas asociaciones. En todo caso, aunque se ha tardado y la información tiene muchas lagunas porque muchas Administraciones, sobre todo regionales y locales, no facilitan los datos o no los aportan en su integridad, Hacienda ha elaborado un listado de los grandes beneficiarios de estas ayudas públicas (a partir de los 100.000 euros de consignación) en aplicación de la Ley de Transparencia de 2013.</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Subvenciones para los políticos</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Según los cálculos realizados, los partidos recibieron en 2022 (últimos datos disponibles con información actualizada a finales de 2023), los partidos recibieron más de 67 millones en subvenciones, mientras que el conjunto de los sindicatos obtuvo 101 millones; y 88 millones, la patronal CEOE, así como sus organizaciones satélite</w:t>
      </w:r>
      <w:r>
        <w:rPr>
          <w:rFonts w:ascii="Times New Roman" w:hAnsi="Times New Roman" w:cs="Times New Roman"/>
          <w:sz w:val="24"/>
          <w:szCs w:val="24"/>
          <w:shd w:val="clear" w:color="auto" w:fill="FFFFFF"/>
        </w:rPr>
        <w:t>s</w:t>
      </w:r>
      <w:r w:rsidRPr="00446C1E">
        <w:rPr>
          <w:rFonts w:ascii="Times New Roman" w:hAnsi="Times New Roman" w:cs="Times New Roman"/>
          <w:sz w:val="24"/>
          <w:szCs w:val="24"/>
          <w:shd w:val="clear" w:color="auto" w:fill="FFFFFF"/>
        </w:rPr>
        <w:t xml:space="preserve">. Por su parte, otras asociaciones </w:t>
      </w:r>
      <w:r w:rsidRPr="00446C1E">
        <w:rPr>
          <w:rFonts w:ascii="Times New Roman" w:hAnsi="Times New Roman" w:cs="Times New Roman"/>
          <w:sz w:val="24"/>
          <w:szCs w:val="24"/>
          <w:shd w:val="clear" w:color="auto" w:fill="FFFFFF"/>
        </w:rPr>
        <w:lastRenderedPageBreak/>
        <w:t xml:space="preserve">empresariales, de tamaño regional o local, consiguieron más de 13 millones mientras que las organizaciones agrarias tuvieron a su disposición ayudas superiores a los 18 millones. Por su parte, las agrupaciones de autónomos alcanzaron los siete millones y las cooperativas se situaron por encima de los cinco millones. </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El PSOE es el partido que más subvenciones públicas recibió en ese ejercicio hasta superar los 25 millones. Obtuvo 17,8 millones de forma directa, mientras que el PSC (Cataluña) se aproximó a los dos millones. El resto de las ayudas publicadas vienen del Grupo Socialista del ayuntamiento de Sevilla (624.000 euros) así como de otras dos diputaciones, de la Fundación Pablo Iglesias y Fundación Carolina (adscrita al Gobierno).</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Es toda la información que aparece en el listado de Hacienda. Lo que significa una evidente falta de transparencia ya que faltan muchos datos por computar y mucho dinero sobre todo del ámbito autonómico y local mientras que el legislador se ha olvidado de establecer un régimen sancionador para quienes no cumplan con esta obligación legal. Es posible que la cifra real total del conjunto de los partidos triplique esos 67 millones que aparecen en este listado.</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 xml:space="preserve">El PP figura en segundo lugar con 15,3 millones, pero, a partir de ahora, la cifra será superior por el resultado electoral en 2023. De ellos, 12,9 millones son subvenciones directas mientras que hay datos del Grupo Popular de la Asamblea de Madrid (1,6 millones) y de cuatro diputaciones (por ejemplo, las de Jaén y Sevilla recibieron casi 200.000 euros cada una). </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A partir de aquí, la información existente se circunscribe a las subvenciones nacionales. El listado aporta estos datos: Vox obtiene 8,7 millones; Podemos, 4,9 millones; Ciudadanos (3,4 millones); ERC (1,9 millones); Izquierda Unida (1,5 millones); PDeCat (1,3 millones), partido fundador de Junts; PNV (1,1 millones incluyendo las ayudas recibidas por el grupo municipal en Bilbao); Catalunya en Comú (casi 900.000 euros); Bildu (700.000 euros); CUP (500.000 euros); BNG (373.000 euros); UPN (261.000 euros); Coalición Canaria (209.000 euros); Nueva Canarias (198.000 euros); y Partido Regionalista de Cantabria (197.000 euros).</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Los sindicatos se llevan 93 millones</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La información de las subvenciones públicas de los sindicatos y organizaciones empresariales es más amplia, pero también existen grandes ausencias en los datos autonómicos y locales. Los dos sindicatos mayoritarios de clase se reparten más de 93 millones de euros (53 millones para UGT y 40 millones para UGT), incluyendo la parte correspondiente que perciben las Fundaciones e Institutos dedicados a impartir cursos de formación, que en algunos casos comparten con la CEOE (por ejemplo, la Fundación Laboral de la Construcción percibe 25,5 millones), así como algún centro aislado también de formación en la Comunidad Valenciana y Castilla y León.</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Aquí se encuentran también las subvenciones de algunas confederaciones, federaciones o uniones regionales. En el caso de CCOO, la de Cataluña percibe 3,4 millones, 2,4 millones la Valenciana y 2,3 millones la de Castilla La Mancha; y en el de UGT, UGT Cataluña obtiene 3,1 millones y 2,6 millones la de Castilla y León mientras que la Federación de Servicios Públicos tiene asignados 3,3 millones.</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 xml:space="preserve">El resto de los sindicatos se reparte más de nueve millones en ayudas. Destacan los casi 4 millones de la Confederación Sindical Independiente de Funcionarios (CSIF); los 1,1 millones de la Confederación Intersindical Galega; el casi millón de USO; así como los 1,5 millones del Sindicato de Pagesos de Cataluña; los 300.000 euros de que dispone la </w:t>
      </w:r>
      <w:r w:rsidRPr="00446C1E">
        <w:rPr>
          <w:rFonts w:ascii="Times New Roman" w:hAnsi="Times New Roman" w:cs="Times New Roman"/>
          <w:sz w:val="24"/>
          <w:szCs w:val="24"/>
          <w:shd w:val="clear" w:color="auto" w:fill="FFFFFF"/>
        </w:rPr>
        <w:lastRenderedPageBreak/>
        <w:t xml:space="preserve">Federación de Asociaciones de Cuerpos Superiores de la Administración General del Estado (FEDECA); o los 200.000 euros del Sindicato Profesional de Médicos de Murcia. </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 xml:space="preserve">De los casi 88 millones que recibe CEOE, directamente obtiene casi 16 millones, de los que 15,3 millones corresponde a fondos europeos, casi nueve millones proceden de la Fundación Laboral de la Construcción a través de la CNC; mientras que Cepyme obtiene 5,1 millones y la patronal catalana Fomento Nacional de Trabajo alcanza los 2,5 millones. La ‘tarta’ es amplia también en las organizaciones regionales dependientes. Por ejemplo, Castilla y León ingresa 2,8 millones; Madrid, 2,5 millones; y Andalucía, 1,9 millones mientras que la Cepyme de Aragón supera los 1,8 millones y la de Guadalajara los 1,5 millones. A nivel sectorial el metal se lleva 2,6 millones y 1,9 millones el transporte de mercancías. </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Otras asociaciones empresariales</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Existe también otro grupo de asociaciones empresariales a escala más local que se llevan casi 13 millones en subvenciones. Por ejemplo, la Asociación de Empresarios de Constantina (Sevilla) percibe 1,7 millones, los mismos que la Asociación de Empresarios Emprendedores de Lanzarote o la de Móstoles (600.000 euros) o la Asociación Valenciana de Empresarios del Calzado (500.000 euros) así como la Asociación de Mutuas de Accidentes de Trabajo (300.000 euros) o la Asociación de Fabricantes de Ladrillos (100.000 euros).</w:t>
      </w:r>
    </w:p>
    <w:p w:rsidR="00571C96" w:rsidRPr="00446C1E"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 xml:space="preserve">De los más de 18 millones que reciben las organizaciones empresariales agrarias, la Asociación de Jóvenes Agricultores (ASAJA) consigue más de siete millones y la Unión de Pequeños Agricultores (UPA) llega los seis millones. Por su parte, las cooperativas que reciben ayudas públicas están muy diseminadas en este listado ya que algunas aparecen en la relación de empresas subvencionadas en lugar de las asociaciones. En todo caso, es la Confederación de Cooperativas de Cataluña (2,2 millones) la que más dinero obtiene. Le sigue la Federación de Cooperativas Agrarias de Murcia con 1,1 millones.  </w:t>
      </w:r>
    </w:p>
    <w:p w:rsidR="00571C96" w:rsidRDefault="00571C96" w:rsidP="00571C96">
      <w:pPr>
        <w:spacing w:line="240" w:lineRule="auto"/>
        <w:jc w:val="both"/>
        <w:rPr>
          <w:rFonts w:ascii="Times New Roman" w:hAnsi="Times New Roman" w:cs="Times New Roman"/>
          <w:sz w:val="24"/>
          <w:szCs w:val="24"/>
          <w:shd w:val="clear" w:color="auto" w:fill="FFFFFF"/>
        </w:rPr>
      </w:pPr>
      <w:r w:rsidRPr="00446C1E">
        <w:rPr>
          <w:rFonts w:ascii="Times New Roman" w:hAnsi="Times New Roman" w:cs="Times New Roman"/>
          <w:sz w:val="24"/>
          <w:szCs w:val="24"/>
          <w:shd w:val="clear" w:color="auto" w:fill="FFFFFF"/>
        </w:rPr>
        <w:t>En cuanto a las organizaciones de autónomos, tampoco están todas las que son en realidad. De los más de cinco millones que perciben globalmente en el listado de Hacienda, la que más recibe es la Asociación Profesional de Trabajadores Autónomos de Andalucía (1,7 millones). De las organizaciones de ámbito nacional hay pocos datos. Es el eterno problema de la información pública: se tarda en crear normas de transparencia y, cuando se configuran, se limita a datos incompletos y desagregados. Lo que evidencia una clara falta de compromiso con la ciudadanía y los contribuyentes.</w:t>
      </w:r>
    </w:p>
    <w:p w:rsidR="00571C96" w:rsidRPr="00553DB0" w:rsidRDefault="00571C96" w:rsidP="00571C96">
      <w:pPr>
        <w:spacing w:line="240" w:lineRule="auto"/>
        <w:jc w:val="both"/>
        <w:rPr>
          <w:rFonts w:ascii="Times New Roman" w:hAnsi="Times New Roman" w:cs="Times New Roman"/>
          <w:color w:val="FF0000"/>
          <w:sz w:val="24"/>
          <w:szCs w:val="24"/>
          <w:shd w:val="clear" w:color="auto" w:fill="FFFFFF"/>
        </w:rPr>
      </w:pPr>
      <w:r w:rsidRPr="00553DB0">
        <w:rPr>
          <w:rFonts w:ascii="Times New Roman" w:hAnsi="Times New Roman" w:cs="Times New Roman"/>
          <w:b/>
          <w:color w:val="FF0000"/>
          <w:sz w:val="24"/>
          <w:szCs w:val="24"/>
          <w:shd w:val="clear" w:color="auto" w:fill="FFFFFF"/>
        </w:rPr>
        <w:t>Nota</w:t>
      </w:r>
      <w:r w:rsidRPr="00553DB0">
        <w:rPr>
          <w:rFonts w:ascii="Times New Roman" w:hAnsi="Times New Roman" w:cs="Times New Roman"/>
          <w:color w:val="FF0000"/>
          <w:sz w:val="24"/>
          <w:szCs w:val="24"/>
          <w:shd w:val="clear" w:color="auto" w:fill="FFFFFF"/>
        </w:rPr>
        <w:t>: tanto las organizaciones gremiales (de trabajadores o empresarios), como los partidos políticos, deberían mantenerse con las cuotas de sus afiliados, o donaciones</w:t>
      </w:r>
      <w:r>
        <w:rPr>
          <w:rFonts w:ascii="Times New Roman" w:hAnsi="Times New Roman" w:cs="Times New Roman"/>
          <w:color w:val="FF0000"/>
          <w:sz w:val="24"/>
          <w:szCs w:val="24"/>
          <w:shd w:val="clear" w:color="auto" w:fill="FFFFFF"/>
        </w:rPr>
        <w:t xml:space="preserve"> de</w:t>
      </w:r>
      <w:r w:rsidRPr="00553DB0">
        <w:rPr>
          <w:rFonts w:ascii="Times New Roman" w:hAnsi="Times New Roman" w:cs="Times New Roman"/>
          <w:color w:val="FF0000"/>
          <w:sz w:val="24"/>
          <w:szCs w:val="24"/>
          <w:shd w:val="clear" w:color="auto" w:fill="FFFFFF"/>
        </w:rPr>
        <w:t xml:space="preserve"> particulares (transparentes, controladas, y auditadas), sin la intervención (subvención) del Estado. </w:t>
      </w:r>
    </w:p>
    <w:p w:rsidR="00571C96" w:rsidRPr="00553DB0" w:rsidRDefault="00571C96" w:rsidP="00571C96">
      <w:pPr>
        <w:spacing w:line="240" w:lineRule="auto"/>
        <w:jc w:val="both"/>
        <w:rPr>
          <w:rFonts w:ascii="Times New Roman" w:hAnsi="Times New Roman" w:cs="Times New Roman"/>
          <w:color w:val="FF0000"/>
          <w:sz w:val="24"/>
          <w:szCs w:val="24"/>
          <w:shd w:val="clear" w:color="auto" w:fill="FFFFFF"/>
        </w:rPr>
      </w:pPr>
      <w:r w:rsidRPr="00553DB0">
        <w:rPr>
          <w:rFonts w:ascii="Times New Roman" w:hAnsi="Times New Roman" w:cs="Times New Roman"/>
          <w:color w:val="FF0000"/>
          <w:sz w:val="24"/>
          <w:szCs w:val="24"/>
          <w:shd w:val="clear" w:color="auto" w:fill="FFFFFF"/>
        </w:rPr>
        <w:t>Según sostiene la doctrina vigente, las subvenciones a entidades gremiales y partidos políticos se justifican como una forma de fortalecer la participación ciudadana y la democracia. Estas ayudas permiten a estas organizaciones llevar a cabo sus actividades, promover sus objetivos y garantizar su funcionamiento, especialmente en el caso de los partidos políticos, que son fundamentales para el sistema democrático.</w:t>
      </w:r>
    </w:p>
    <w:p w:rsidR="00571C96" w:rsidRDefault="00571C96" w:rsidP="00571C96">
      <w:pPr>
        <w:spacing w:line="240" w:lineRule="auto"/>
        <w:jc w:val="both"/>
        <w:rPr>
          <w:rFonts w:ascii="Times New Roman" w:hAnsi="Times New Roman" w:cs="Times New Roman"/>
          <w:color w:val="FF0000"/>
          <w:sz w:val="24"/>
          <w:szCs w:val="24"/>
          <w:shd w:val="clear" w:color="auto" w:fill="FFFFFF"/>
        </w:rPr>
      </w:pPr>
      <w:r w:rsidRPr="00553DB0">
        <w:rPr>
          <w:rFonts w:ascii="Times New Roman" w:hAnsi="Times New Roman" w:cs="Times New Roman"/>
          <w:color w:val="FF0000"/>
          <w:sz w:val="24"/>
          <w:szCs w:val="24"/>
          <w:shd w:val="clear" w:color="auto" w:fill="FFFFFF"/>
        </w:rPr>
        <w:t xml:space="preserve">Nada más lejos de la verdad, en vez de fortalecer la participación ciudadana y la democracia, están favoreciendo la creación de “monstruosos” aparatos burocráticos, clientelismo, dependencia, manipulación, control social, connivencia, corrupción, y compra de voluntades. </w:t>
      </w:r>
    </w:p>
    <w:p w:rsidR="00FF62B8" w:rsidRDefault="00FF62B8" w:rsidP="00FF62B8">
      <w:pPr>
        <w:spacing w:line="240" w:lineRule="auto"/>
        <w:jc w:val="both"/>
        <w:rPr>
          <w:rFonts w:ascii="Times New Roman" w:hAnsi="Times New Roman" w:cs="Times New Roman"/>
          <w:color w:val="FF0000"/>
          <w:sz w:val="24"/>
          <w:szCs w:val="24"/>
          <w:shd w:val="clear" w:color="auto" w:fill="FFFFFF"/>
        </w:rPr>
      </w:pPr>
    </w:p>
    <w:p w:rsidR="00FF62B8" w:rsidRDefault="00FF62B8" w:rsidP="00FF62B8">
      <w:pPr>
        <w:spacing w:line="240" w:lineRule="auto"/>
        <w:jc w:val="both"/>
        <w:rPr>
          <w:rFonts w:ascii="Times New Roman" w:hAnsi="Times New Roman" w:cs="Times New Roman"/>
          <w:color w:val="FF0000"/>
          <w:sz w:val="24"/>
          <w:szCs w:val="24"/>
          <w:shd w:val="clear" w:color="auto" w:fill="FFFFFF"/>
        </w:rPr>
      </w:pPr>
      <w:r w:rsidRPr="00261E29">
        <w:rPr>
          <w:rFonts w:ascii="Times New Roman" w:hAnsi="Times New Roman" w:cs="Times New Roman"/>
          <w:color w:val="FF0000"/>
          <w:sz w:val="24"/>
          <w:szCs w:val="24"/>
          <w:shd w:val="clear" w:color="auto" w:fill="FFFFFF"/>
        </w:rPr>
        <w:lastRenderedPageBreak/>
        <w:t>- Asignar el reparto de la publicidad oficial igual y proporcional a la tirada (lectores, espectadores, oyentes, visitantes…) de cada medio</w:t>
      </w:r>
    </w:p>
    <w:p w:rsidR="00FF62B8" w:rsidRDefault="00FF62B8" w:rsidP="00FF62B8">
      <w:pPr>
        <w:spacing w:line="240" w:lineRule="auto"/>
        <w:jc w:val="both"/>
        <w:rPr>
          <w:rFonts w:ascii="Times New Roman" w:hAnsi="Times New Roman" w:cs="Times New Roman"/>
          <w:color w:val="FF0000"/>
          <w:sz w:val="24"/>
          <w:szCs w:val="24"/>
          <w:shd w:val="clear" w:color="auto" w:fill="FFFFFF"/>
        </w:rPr>
      </w:pPr>
      <w:r w:rsidRPr="00646B53">
        <w:rPr>
          <w:rFonts w:ascii="Times New Roman" w:hAnsi="Times New Roman" w:cs="Times New Roman"/>
          <w:noProof/>
          <w:sz w:val="24"/>
          <w:szCs w:val="24"/>
          <w:shd w:val="clear" w:color="auto" w:fill="FFFFFF"/>
          <w:lang w:eastAsia="es-ES"/>
        </w:rPr>
        <w:drawing>
          <wp:inline distT="0" distB="0" distL="0" distR="0" wp14:anchorId="58ABF53C" wp14:editId="57EBD689">
            <wp:extent cx="5727151" cy="3022600"/>
            <wp:effectExtent l="0" t="0" r="6985" b="635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3024900"/>
                    </a:xfrm>
                    <a:prstGeom prst="rect">
                      <a:avLst/>
                    </a:prstGeom>
                  </pic:spPr>
                </pic:pic>
              </a:graphicData>
            </a:graphic>
          </wp:inline>
        </w:drawing>
      </w:r>
    </w:p>
    <w:p w:rsidR="00FF62B8" w:rsidRPr="00646B53" w:rsidRDefault="00FF62B8" w:rsidP="00FF62B8">
      <w:pPr>
        <w:spacing w:line="240" w:lineRule="auto"/>
        <w:jc w:val="both"/>
        <w:rPr>
          <w:rFonts w:ascii="Times New Roman" w:hAnsi="Times New Roman" w:cs="Times New Roman"/>
          <w:sz w:val="24"/>
          <w:szCs w:val="24"/>
          <w:shd w:val="clear" w:color="auto" w:fill="FFFFFF"/>
        </w:rPr>
      </w:pPr>
      <w:r w:rsidRPr="00646B53">
        <w:rPr>
          <w:rFonts w:ascii="Times New Roman" w:hAnsi="Times New Roman" w:cs="Times New Roman"/>
          <w:sz w:val="24"/>
          <w:szCs w:val="24"/>
          <w:shd w:val="clear" w:color="auto" w:fill="FFFFFF"/>
        </w:rPr>
        <w:t>La Administración General del Estado llevará a cabo durante el año 2025 un total de 146 campañas de publicidad institucional, con un coste total previsto de 161.165.767 euros</w:t>
      </w:r>
    </w:p>
    <w:p w:rsidR="00FF62B8" w:rsidRPr="00646B53" w:rsidRDefault="00FF62B8" w:rsidP="00FF62B8">
      <w:pPr>
        <w:spacing w:line="240" w:lineRule="auto"/>
        <w:jc w:val="both"/>
        <w:rPr>
          <w:rFonts w:ascii="Times New Roman" w:hAnsi="Times New Roman" w:cs="Times New Roman"/>
          <w:sz w:val="24"/>
          <w:szCs w:val="24"/>
          <w:shd w:val="clear" w:color="auto" w:fill="FFFFFF"/>
        </w:rPr>
      </w:pPr>
    </w:p>
    <w:p w:rsidR="00FF62B8" w:rsidRPr="00646B53" w:rsidRDefault="00FF62B8" w:rsidP="00FF62B8">
      <w:pPr>
        <w:spacing w:line="240" w:lineRule="auto"/>
        <w:jc w:val="both"/>
        <w:rPr>
          <w:rFonts w:ascii="Times New Roman" w:hAnsi="Times New Roman" w:cs="Times New Roman"/>
          <w:sz w:val="24"/>
          <w:szCs w:val="24"/>
          <w:shd w:val="clear" w:color="auto" w:fill="FFFFFF"/>
        </w:rPr>
      </w:pPr>
      <w:r w:rsidRPr="00646B53">
        <w:rPr>
          <w:rFonts w:ascii="Times New Roman" w:hAnsi="Times New Roman" w:cs="Times New Roman"/>
          <w:noProof/>
          <w:sz w:val="24"/>
          <w:szCs w:val="24"/>
          <w:shd w:val="clear" w:color="auto" w:fill="FFFFFF"/>
          <w:lang w:eastAsia="es-ES"/>
        </w:rPr>
        <w:drawing>
          <wp:inline distT="0" distB="0" distL="0" distR="0" wp14:anchorId="0D923A83" wp14:editId="3DDB66EB">
            <wp:extent cx="5734050" cy="200660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2005711"/>
                    </a:xfrm>
                    <a:prstGeom prst="rect">
                      <a:avLst/>
                    </a:prstGeom>
                  </pic:spPr>
                </pic:pic>
              </a:graphicData>
            </a:graphic>
          </wp:inline>
        </w:drawing>
      </w:r>
    </w:p>
    <w:p w:rsidR="00FF62B8" w:rsidRDefault="00FF62B8" w:rsidP="00FF62B8">
      <w:pPr>
        <w:spacing w:line="240" w:lineRule="auto"/>
        <w:jc w:val="both"/>
        <w:rPr>
          <w:rFonts w:ascii="Times New Roman" w:hAnsi="Times New Roman" w:cs="Times New Roman"/>
          <w:sz w:val="24"/>
          <w:szCs w:val="24"/>
          <w:shd w:val="clear" w:color="auto" w:fill="FFFFFF"/>
        </w:rPr>
      </w:pPr>
      <w:r w:rsidRPr="00646B53">
        <w:rPr>
          <w:rFonts w:ascii="Times New Roman" w:hAnsi="Times New Roman" w:cs="Times New Roman"/>
          <w:noProof/>
          <w:sz w:val="24"/>
          <w:szCs w:val="24"/>
          <w:shd w:val="clear" w:color="auto" w:fill="FFFFFF"/>
          <w:lang w:eastAsia="es-ES"/>
        </w:rPr>
        <w:drawing>
          <wp:inline distT="0" distB="0" distL="0" distR="0" wp14:anchorId="2508091C" wp14:editId="40523271">
            <wp:extent cx="5723467" cy="2184400"/>
            <wp:effectExtent l="0" t="0" r="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2187470"/>
                    </a:xfrm>
                    <a:prstGeom prst="rect">
                      <a:avLst/>
                    </a:prstGeom>
                  </pic:spPr>
                </pic:pic>
              </a:graphicData>
            </a:graphic>
          </wp:inline>
        </w:drawing>
      </w:r>
    </w:p>
    <w:p w:rsidR="00FF62B8" w:rsidRPr="00646B53" w:rsidRDefault="00FF62B8" w:rsidP="00FF62B8">
      <w:pPr>
        <w:spacing w:line="240" w:lineRule="auto"/>
        <w:jc w:val="both"/>
        <w:rPr>
          <w:rFonts w:ascii="Times New Roman" w:hAnsi="Times New Roman" w:cs="Times New Roman"/>
          <w:sz w:val="24"/>
          <w:szCs w:val="24"/>
          <w:shd w:val="clear" w:color="auto" w:fill="FFFFFF"/>
        </w:rPr>
      </w:pPr>
    </w:p>
    <w:p w:rsidR="00FF62B8" w:rsidRDefault="00FF62B8" w:rsidP="00FF62B8">
      <w:pPr>
        <w:spacing w:line="240" w:lineRule="auto"/>
        <w:jc w:val="both"/>
        <w:rPr>
          <w:rFonts w:ascii="Times New Roman" w:hAnsi="Times New Roman" w:cs="Times New Roman"/>
          <w:sz w:val="24"/>
          <w:szCs w:val="24"/>
          <w:shd w:val="clear" w:color="auto" w:fill="FFFFFF"/>
        </w:rPr>
      </w:pPr>
      <w:r w:rsidRPr="00646B53">
        <w:rPr>
          <w:rFonts w:ascii="Times New Roman" w:hAnsi="Times New Roman" w:cs="Times New Roman"/>
          <w:noProof/>
          <w:sz w:val="24"/>
          <w:szCs w:val="24"/>
          <w:shd w:val="clear" w:color="auto" w:fill="FFFFFF"/>
          <w:lang w:eastAsia="es-ES"/>
        </w:rPr>
        <w:drawing>
          <wp:inline distT="0" distB="0" distL="0" distR="0" wp14:anchorId="2C65E687" wp14:editId="5C499BD6">
            <wp:extent cx="5724559" cy="2108200"/>
            <wp:effectExtent l="0" t="0" r="9525"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2110760"/>
                    </a:xfrm>
                    <a:prstGeom prst="rect">
                      <a:avLst/>
                    </a:prstGeom>
                  </pic:spPr>
                </pic:pic>
              </a:graphicData>
            </a:graphic>
          </wp:inline>
        </w:drawing>
      </w:r>
    </w:p>
    <w:p w:rsidR="00FF62B8" w:rsidRPr="00646B53" w:rsidRDefault="00FF62B8" w:rsidP="00FF62B8">
      <w:pPr>
        <w:spacing w:line="240" w:lineRule="auto"/>
        <w:jc w:val="both"/>
        <w:rPr>
          <w:rFonts w:ascii="Times New Roman" w:hAnsi="Times New Roman" w:cs="Times New Roman"/>
          <w:sz w:val="24"/>
          <w:szCs w:val="24"/>
          <w:shd w:val="clear" w:color="auto" w:fill="FFFFFF"/>
        </w:rPr>
      </w:pPr>
    </w:p>
    <w:p w:rsidR="00FF62B8" w:rsidRDefault="00FF62B8" w:rsidP="00FF62B8">
      <w:pPr>
        <w:spacing w:line="240" w:lineRule="auto"/>
        <w:jc w:val="both"/>
        <w:rPr>
          <w:rFonts w:ascii="Times New Roman" w:hAnsi="Times New Roman" w:cs="Times New Roman"/>
          <w:sz w:val="24"/>
          <w:szCs w:val="24"/>
          <w:shd w:val="clear" w:color="auto" w:fill="FFFFFF"/>
        </w:rPr>
      </w:pPr>
      <w:r w:rsidRPr="00646B53">
        <w:rPr>
          <w:rFonts w:ascii="Times New Roman" w:hAnsi="Times New Roman" w:cs="Times New Roman"/>
          <w:noProof/>
          <w:sz w:val="24"/>
          <w:szCs w:val="24"/>
          <w:shd w:val="clear" w:color="auto" w:fill="FFFFFF"/>
          <w:lang w:eastAsia="es-ES"/>
        </w:rPr>
        <w:drawing>
          <wp:inline distT="0" distB="0" distL="0" distR="0" wp14:anchorId="0EEC55EF" wp14:editId="1BA96899">
            <wp:extent cx="5734050" cy="2108200"/>
            <wp:effectExtent l="0" t="0" r="0"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2107266"/>
                    </a:xfrm>
                    <a:prstGeom prst="rect">
                      <a:avLst/>
                    </a:prstGeom>
                  </pic:spPr>
                </pic:pic>
              </a:graphicData>
            </a:graphic>
          </wp:inline>
        </w:drawing>
      </w:r>
    </w:p>
    <w:p w:rsidR="00FF62B8" w:rsidRPr="00646B53" w:rsidRDefault="00FF62B8" w:rsidP="00FF62B8">
      <w:pPr>
        <w:spacing w:line="240" w:lineRule="auto"/>
        <w:jc w:val="both"/>
        <w:rPr>
          <w:rFonts w:ascii="Times New Roman" w:hAnsi="Times New Roman" w:cs="Times New Roman"/>
          <w:sz w:val="24"/>
          <w:szCs w:val="24"/>
          <w:shd w:val="clear" w:color="auto" w:fill="FFFFFF"/>
        </w:rPr>
      </w:pPr>
    </w:p>
    <w:p w:rsidR="00FF62B8" w:rsidRPr="00646B53" w:rsidRDefault="00FF62B8" w:rsidP="00FF62B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646B53">
        <w:rPr>
          <w:rFonts w:ascii="Times New Roman" w:hAnsi="Times New Roman" w:cs="Times New Roman"/>
          <w:noProof/>
          <w:sz w:val="24"/>
          <w:szCs w:val="24"/>
          <w:shd w:val="clear" w:color="auto" w:fill="FFFFFF"/>
          <w:lang w:eastAsia="es-ES"/>
        </w:rPr>
        <w:drawing>
          <wp:inline distT="0" distB="0" distL="0" distR="0" wp14:anchorId="4D1E86F4" wp14:editId="272C2286">
            <wp:extent cx="4860430" cy="267335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4867955" cy="2677489"/>
                    </a:xfrm>
                    <a:prstGeom prst="rect">
                      <a:avLst/>
                    </a:prstGeom>
                  </pic:spPr>
                </pic:pic>
              </a:graphicData>
            </a:graphic>
          </wp:inline>
        </w:drawing>
      </w:r>
    </w:p>
    <w:p w:rsidR="00FF62B8" w:rsidRPr="00646B53" w:rsidRDefault="00FF62B8" w:rsidP="00FF62B8">
      <w:pPr>
        <w:spacing w:line="240" w:lineRule="auto"/>
        <w:jc w:val="both"/>
        <w:rPr>
          <w:rFonts w:ascii="Times New Roman" w:hAnsi="Times New Roman" w:cs="Times New Roman"/>
          <w:sz w:val="24"/>
          <w:szCs w:val="24"/>
          <w:shd w:val="clear" w:color="auto" w:fill="FFFFFF"/>
        </w:rPr>
      </w:pPr>
      <w:r w:rsidRPr="00646B53">
        <w:rPr>
          <w:rFonts w:ascii="Times New Roman" w:hAnsi="Times New Roman" w:cs="Times New Roman"/>
          <w:noProof/>
          <w:sz w:val="24"/>
          <w:szCs w:val="24"/>
          <w:shd w:val="clear" w:color="auto" w:fill="FFFFFF"/>
          <w:lang w:eastAsia="es-ES"/>
        </w:rPr>
        <w:lastRenderedPageBreak/>
        <w:drawing>
          <wp:inline distT="0" distB="0" distL="0" distR="0" wp14:anchorId="63352706" wp14:editId="092701CD">
            <wp:extent cx="5734050" cy="272415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2722943"/>
                    </a:xfrm>
                    <a:prstGeom prst="rect">
                      <a:avLst/>
                    </a:prstGeom>
                  </pic:spPr>
                </pic:pic>
              </a:graphicData>
            </a:graphic>
          </wp:inline>
        </w:drawing>
      </w:r>
    </w:p>
    <w:p w:rsidR="00FF62B8" w:rsidRPr="00646B53" w:rsidRDefault="00FF62B8" w:rsidP="00FF62B8">
      <w:pPr>
        <w:spacing w:line="240" w:lineRule="auto"/>
        <w:jc w:val="both"/>
        <w:rPr>
          <w:rFonts w:ascii="Times New Roman" w:hAnsi="Times New Roman" w:cs="Times New Roman"/>
          <w:sz w:val="24"/>
          <w:szCs w:val="24"/>
          <w:shd w:val="clear" w:color="auto" w:fill="FFFFFF"/>
        </w:rPr>
      </w:pPr>
      <w:r w:rsidRPr="00646B53">
        <w:rPr>
          <w:rFonts w:ascii="Times New Roman" w:hAnsi="Times New Roman" w:cs="Times New Roman"/>
          <w:sz w:val="24"/>
          <w:szCs w:val="24"/>
          <w:shd w:val="clear" w:color="auto" w:fill="FFFFFF"/>
        </w:rPr>
        <w:t>Campañas comerciales no sujetas a la Ley 29/2005</w:t>
      </w:r>
    </w:p>
    <w:p w:rsidR="00FF62B8" w:rsidRPr="00646B53" w:rsidRDefault="00FF62B8" w:rsidP="00FF62B8">
      <w:pPr>
        <w:spacing w:line="240" w:lineRule="auto"/>
        <w:jc w:val="both"/>
        <w:rPr>
          <w:rFonts w:ascii="Times New Roman" w:hAnsi="Times New Roman" w:cs="Times New Roman"/>
          <w:sz w:val="24"/>
          <w:szCs w:val="24"/>
          <w:shd w:val="clear" w:color="auto" w:fill="FFFFFF"/>
        </w:rPr>
      </w:pPr>
      <w:r w:rsidRPr="00646B53">
        <w:rPr>
          <w:rFonts w:ascii="Times New Roman" w:hAnsi="Times New Roman" w:cs="Times New Roman"/>
          <w:sz w:val="24"/>
          <w:szCs w:val="24"/>
          <w:shd w:val="clear" w:color="auto" w:fill="FFFFFF"/>
        </w:rPr>
        <w:t>Las campañas de carácter comercial no entran dentro del ámbito de aplicación de la Ley</w:t>
      </w:r>
    </w:p>
    <w:p w:rsidR="00FF62B8" w:rsidRPr="00646B53" w:rsidRDefault="00FF62B8" w:rsidP="00FF62B8">
      <w:pPr>
        <w:spacing w:line="240" w:lineRule="auto"/>
        <w:jc w:val="both"/>
        <w:rPr>
          <w:rFonts w:ascii="Times New Roman" w:hAnsi="Times New Roman" w:cs="Times New Roman"/>
          <w:sz w:val="24"/>
          <w:szCs w:val="24"/>
          <w:shd w:val="clear" w:color="auto" w:fill="FFFFFF"/>
        </w:rPr>
      </w:pPr>
      <w:r w:rsidRPr="00646B53">
        <w:rPr>
          <w:rFonts w:ascii="Times New Roman" w:hAnsi="Times New Roman" w:cs="Times New Roman"/>
          <w:sz w:val="24"/>
          <w:szCs w:val="24"/>
          <w:shd w:val="clear" w:color="auto" w:fill="FFFFFF"/>
        </w:rPr>
        <w:t>29/2005, no obstante, se recogen como información en el presente Plan. Diez son los ministerios que contratarán este tipo de campañas: Presidencia, Justicia y Relaciones con las Cortes; Hacienda; Transportes y Movilidad Sostenible; Industria y Turismo; Agricultura, Pesca y Alimentación; Transición Ecológica y el Reto Demográfico; Cultura; Economía, Comercio y Empresa; Ciencia, Innovación y Universidades y Transformación Digital y de la Función Pública.</w:t>
      </w:r>
    </w:p>
    <w:p w:rsidR="00FF62B8" w:rsidRDefault="00FF62B8" w:rsidP="00FF62B8">
      <w:pPr>
        <w:spacing w:line="240" w:lineRule="auto"/>
        <w:jc w:val="both"/>
        <w:rPr>
          <w:rFonts w:ascii="Times New Roman" w:hAnsi="Times New Roman" w:cs="Times New Roman"/>
          <w:sz w:val="24"/>
          <w:szCs w:val="24"/>
          <w:shd w:val="clear" w:color="auto" w:fill="FFFFFF"/>
        </w:rPr>
      </w:pPr>
      <w:r w:rsidRPr="00646B53">
        <w:rPr>
          <w:rFonts w:ascii="Times New Roman" w:hAnsi="Times New Roman" w:cs="Times New Roman"/>
          <w:sz w:val="24"/>
          <w:szCs w:val="24"/>
          <w:shd w:val="clear" w:color="auto" w:fill="FFFFFF"/>
        </w:rPr>
        <w:t>En 2025 se llevarán a cabo 53 campañas de carácter comercial, con una inversión total de 109.574.378 euros, disminuyendo la inversión planificada en 22.186.065 euros menos con respecto al año anterior (-16,84%).</w:t>
      </w:r>
    </w:p>
    <w:p w:rsidR="00FF62B8" w:rsidRDefault="00FF62B8" w:rsidP="00FF62B8">
      <w:pPr>
        <w:spacing w:line="240" w:lineRule="auto"/>
        <w:jc w:val="both"/>
        <w:rPr>
          <w:rFonts w:ascii="Times New Roman" w:hAnsi="Times New Roman" w:cs="Times New Roman"/>
          <w:sz w:val="24"/>
          <w:szCs w:val="24"/>
          <w:u w:val="single"/>
          <w:shd w:val="clear" w:color="auto" w:fill="FFFFFF"/>
        </w:rPr>
      </w:pPr>
      <w:r w:rsidRPr="00E72D01">
        <w:rPr>
          <w:rFonts w:ascii="Times New Roman" w:hAnsi="Times New Roman" w:cs="Times New Roman"/>
          <w:sz w:val="24"/>
          <w:szCs w:val="24"/>
          <w:u w:val="single"/>
          <w:shd w:val="clear" w:color="auto" w:fill="FFFFFF"/>
        </w:rPr>
        <w:t>El p</w:t>
      </w:r>
      <w:r>
        <w:rPr>
          <w:rFonts w:ascii="Times New Roman" w:hAnsi="Times New Roman" w:cs="Times New Roman"/>
          <w:sz w:val="24"/>
          <w:szCs w:val="24"/>
          <w:u w:val="single"/>
          <w:shd w:val="clear" w:color="auto" w:fill="FFFFFF"/>
        </w:rPr>
        <w:t>rincipal anunciante de España (</w:t>
      </w:r>
      <w:r w:rsidRPr="00E72D01">
        <w:rPr>
          <w:rFonts w:ascii="Times New Roman" w:hAnsi="Times New Roman" w:cs="Times New Roman"/>
          <w:sz w:val="24"/>
          <w:szCs w:val="24"/>
          <w:u w:val="single"/>
          <w:shd w:val="clear" w:color="auto" w:fill="FFFFFF"/>
        </w:rPr>
        <w:t>la “mano que mece la cuna”)</w:t>
      </w:r>
    </w:p>
    <w:p w:rsidR="00FF62B8" w:rsidRPr="00FF62B8" w:rsidRDefault="00FF62B8" w:rsidP="00FF62B8">
      <w:pPr>
        <w:spacing w:line="240" w:lineRule="auto"/>
        <w:jc w:val="both"/>
        <w:rPr>
          <w:rFonts w:ascii="Times New Roman" w:hAnsi="Times New Roman" w:cs="Times New Roman"/>
          <w:sz w:val="24"/>
          <w:szCs w:val="24"/>
          <w:shd w:val="clear" w:color="auto" w:fill="FFFFFF"/>
        </w:rPr>
      </w:pPr>
      <w:r w:rsidRPr="00FF62B8">
        <w:rPr>
          <w:rFonts w:ascii="Times New Roman" w:hAnsi="Times New Roman" w:cs="Times New Roman"/>
          <w:sz w:val="24"/>
          <w:szCs w:val="24"/>
          <w:shd w:val="clear" w:color="auto" w:fill="FFFFFF"/>
        </w:rPr>
        <w:t xml:space="preserve">- </w:t>
      </w:r>
      <w:r w:rsidRPr="00FF62B8">
        <w:rPr>
          <w:rFonts w:ascii="Times New Roman" w:hAnsi="Times New Roman" w:cs="Times New Roman"/>
          <w:sz w:val="24"/>
          <w:szCs w:val="24"/>
          <w:u w:val="single"/>
          <w:shd w:val="clear" w:color="auto" w:fill="FFFFFF"/>
        </w:rPr>
        <w:t>¿Adónde va la publicidad institucional en España? Los pagos a medios que el Gobierno oculta</w:t>
      </w:r>
      <w:r w:rsidRPr="00FF62B8">
        <w:rPr>
          <w:rFonts w:ascii="Times New Roman" w:hAnsi="Times New Roman" w:cs="Times New Roman"/>
          <w:sz w:val="24"/>
          <w:szCs w:val="24"/>
          <w:shd w:val="clear" w:color="auto" w:fill="FFFFFF"/>
        </w:rPr>
        <w:t xml:space="preserve"> (El Confidencial - </w:t>
      </w:r>
      <w:r w:rsidRPr="00FF62B8">
        <w:rPr>
          <w:rFonts w:ascii="Times New Roman" w:hAnsi="Times New Roman" w:cs="Times New Roman"/>
          <w:b/>
          <w:sz w:val="24"/>
          <w:szCs w:val="24"/>
          <w:shd w:val="clear" w:color="auto" w:fill="FFFFFF"/>
        </w:rPr>
        <w:t>27/6/24</w:t>
      </w:r>
      <w:r w:rsidRPr="00FF62B8">
        <w:rPr>
          <w:rFonts w:ascii="Times New Roman" w:hAnsi="Times New Roman" w:cs="Times New Roman"/>
          <w:sz w:val="24"/>
          <w:szCs w:val="24"/>
          <w:shd w:val="clear" w:color="auto" w:fill="FFFFFF"/>
        </w:rPr>
        <w:t>)</w:t>
      </w:r>
    </w:p>
    <w:p w:rsidR="00FF62B8" w:rsidRPr="00FF62B8" w:rsidRDefault="00FF62B8" w:rsidP="00FF62B8">
      <w:pPr>
        <w:spacing w:line="240" w:lineRule="auto"/>
        <w:jc w:val="both"/>
        <w:rPr>
          <w:rFonts w:ascii="Times New Roman" w:hAnsi="Times New Roman" w:cs="Times New Roman"/>
          <w:sz w:val="24"/>
          <w:szCs w:val="24"/>
          <w:shd w:val="clear" w:color="auto" w:fill="FFFFFF"/>
        </w:rPr>
      </w:pPr>
      <w:r w:rsidRPr="00FF62B8">
        <w:rPr>
          <w:rFonts w:ascii="Times New Roman" w:hAnsi="Times New Roman" w:cs="Times New Roman"/>
          <w:sz w:val="24"/>
          <w:szCs w:val="24"/>
          <w:shd w:val="clear" w:color="auto" w:fill="FFFFFF"/>
        </w:rPr>
        <w:t>Por primera vez, El Confidencial accede a más de 6.900 pagos a medios realizados desde Moncloa. Una información inédita hasta el momento que abarca 17 ministerios y 190 millones de euros</w:t>
      </w:r>
    </w:p>
    <w:p w:rsidR="00FF62B8" w:rsidRPr="00FF62B8" w:rsidRDefault="00FF62B8" w:rsidP="00FF62B8">
      <w:pPr>
        <w:spacing w:line="240" w:lineRule="auto"/>
        <w:jc w:val="both"/>
        <w:rPr>
          <w:rFonts w:ascii="Times New Roman" w:hAnsi="Times New Roman" w:cs="Times New Roman"/>
          <w:sz w:val="24"/>
          <w:szCs w:val="24"/>
          <w:shd w:val="clear" w:color="auto" w:fill="FFFFFF"/>
        </w:rPr>
      </w:pPr>
      <w:r w:rsidRPr="00FF62B8">
        <w:rPr>
          <w:rFonts w:ascii="Times New Roman" w:hAnsi="Times New Roman" w:cs="Times New Roman"/>
          <w:sz w:val="24"/>
          <w:szCs w:val="24"/>
          <w:shd w:val="clear" w:color="auto" w:fill="FFFFFF"/>
        </w:rPr>
        <w:t>(Por Antonio Villarreal, Miguel Ángel Gavilanes, y Alejandro Mata)</w:t>
      </w:r>
    </w:p>
    <w:p w:rsidR="00FF62B8" w:rsidRPr="00FF62B8" w:rsidRDefault="00FF62B8" w:rsidP="00FF62B8">
      <w:pPr>
        <w:pStyle w:val="NormalWeb"/>
        <w:spacing w:before="0" w:beforeAutospacing="0" w:after="360" w:afterAutospacing="0"/>
        <w:jc w:val="both"/>
      </w:pPr>
      <w:r w:rsidRPr="00FF62B8">
        <w:t>Tras sus cinco días de reflexión a finales de abril, Pedro Sánchez aseguró que los </w:t>
      </w:r>
      <w:r w:rsidRPr="00FF62B8">
        <w:rPr>
          <w:rStyle w:val="Textoennegrita"/>
          <w:b w:val="0"/>
        </w:rPr>
        <w:t>bulos y la desinformación estaban erosionando la democracia</w:t>
      </w:r>
      <w:r w:rsidRPr="00FF62B8">
        <w:t>. El día que anunció a España su decisión de continuar al frente del Gobierno, </w:t>
      </w:r>
      <w:hyperlink r:id="rId114" w:tgtFrame="_self" w:history="1">
        <w:r w:rsidRPr="00FF62B8">
          <w:rPr>
            <w:rStyle w:val="Hipervnculo"/>
            <w:rFonts w:eastAsiaTheme="majorEastAsia"/>
            <w:color w:val="auto"/>
            <w:u w:val="none"/>
          </w:rPr>
          <w:t>el presidente acudió a TVE</w:t>
        </w:r>
      </w:hyperlink>
      <w:r w:rsidRPr="00FF62B8">
        <w:t> para abundar en sus razonamientos. Allí, los periodistas Xabier Fortes y Marta Carazo le preguntaron qué medidas concretas podían aplicarse para frenar esta amenaza. “</w:t>
      </w:r>
      <w:r w:rsidRPr="00FF62B8">
        <w:rPr>
          <w:rStyle w:val="Textoennegrita"/>
          <w:b w:val="0"/>
        </w:rPr>
        <w:t>Existe una ley de Publicidad Institucional</w:t>
      </w:r>
      <w:r w:rsidRPr="00FF62B8">
        <w:t>”, respondió. “¿Se cumple por parte de todas las administraciones? No lo sé”.</w:t>
      </w:r>
    </w:p>
    <w:p w:rsidR="00FF62B8" w:rsidRPr="00FF62B8" w:rsidRDefault="00FF62B8" w:rsidP="00FF62B8">
      <w:pPr>
        <w:pStyle w:val="NormalWeb"/>
        <w:spacing w:before="0" w:beforeAutospacing="0" w:after="360" w:afterAutospacing="0"/>
        <w:jc w:val="both"/>
      </w:pPr>
      <w:r w:rsidRPr="00FF62B8">
        <w:t>En efecto, la </w:t>
      </w:r>
      <w:hyperlink r:id="rId115" w:tgtFrame="_self" w:history="1">
        <w:r w:rsidRPr="00FF62B8">
          <w:rPr>
            <w:rStyle w:val="Hipervnculo"/>
            <w:rFonts w:eastAsiaTheme="majorEastAsia"/>
            <w:color w:val="auto"/>
            <w:u w:val="none"/>
          </w:rPr>
          <w:t>Ley de Publicidad y Comunicación Institucional de 2006</w:t>
        </w:r>
      </w:hyperlink>
      <w:r w:rsidRPr="00FF62B8">
        <w:t> establece que "las </w:t>
      </w:r>
      <w:r w:rsidRPr="00FF62B8">
        <w:rPr>
          <w:rStyle w:val="Textoennegrita"/>
          <w:b w:val="0"/>
        </w:rPr>
        <w:t>campañas institucionales se ajustarán siempre</w:t>
      </w:r>
      <w:r w:rsidRPr="00FF62B8">
        <w:t xml:space="preserve"> a las exigencias derivadas de los principios de interés general, lealtad institucional, veracidad, transparencia, eficacia, responsabilidad y </w:t>
      </w:r>
      <w:r w:rsidRPr="00FF62B8">
        <w:lastRenderedPageBreak/>
        <w:t>austeridad en el gasto". ¿Se cumple por parte de todas las administraciones? En absoluto, y el Gobierno es el primer incumplidor. </w:t>
      </w:r>
    </w:p>
    <w:p w:rsidR="00FF62B8" w:rsidRPr="00FF62B8" w:rsidRDefault="00FF62B8" w:rsidP="00FF62B8">
      <w:pPr>
        <w:pStyle w:val="NormalWeb"/>
        <w:spacing w:before="0" w:beforeAutospacing="0" w:after="360" w:afterAutospacing="0"/>
        <w:jc w:val="both"/>
      </w:pPr>
      <w:r w:rsidRPr="00FF62B8">
        <w:t>Al igual que sus predecesores, </w:t>
      </w:r>
      <w:hyperlink r:id="rId116" w:tgtFrame="_self" w:history="1">
        <w:r w:rsidRPr="00FF62B8">
          <w:rPr>
            <w:rStyle w:val="Hipervnculo"/>
            <w:rFonts w:eastAsiaTheme="majorEastAsia"/>
            <w:color w:val="auto"/>
            <w:u w:val="none"/>
          </w:rPr>
          <w:t>Sánchez</w:t>
        </w:r>
      </w:hyperlink>
      <w:r w:rsidRPr="00FF62B8">
        <w:t> despacha la publicidad institucional de forma tanto opaca como discrecional. En los 18 años de vida de esta ley, Moncloa jamás ha hecho público </w:t>
      </w:r>
      <w:r w:rsidRPr="00FF62B8">
        <w:rPr>
          <w:rStyle w:val="Textoennegrita"/>
          <w:b w:val="0"/>
        </w:rPr>
        <w:t>cuánto dinero ingresa a cada medio</w:t>
      </w:r>
      <w:r w:rsidRPr="00FF62B8">
        <w:t> o grupo de comunicación en concepto de publicidad institucional, ni los criterios que se siguen para este reparto. Lo</w:t>
      </w:r>
      <w:r w:rsidRPr="00FF62B8">
        <w:rPr>
          <w:rStyle w:val="Textoennegrita"/>
          <w:b w:val="0"/>
        </w:rPr>
        <w:t> único que se publica cada año</w:t>
      </w:r>
      <w:r w:rsidRPr="00FF62B8">
        <w:t> es un plan de medios, donde Moncloa indica </w:t>
      </w:r>
      <w:r w:rsidRPr="00FF62B8">
        <w:rPr>
          <w:rStyle w:val="Textoennegrita"/>
          <w:b w:val="0"/>
        </w:rPr>
        <w:t>cuántas campañas se van a realizar y por cuánto dinero</w:t>
      </w:r>
      <w:r w:rsidRPr="00FF62B8">
        <w:t>. Posteriormente, otro informe detalla cuántas campañas se han ejecutado finalmente y a qué precio. </w:t>
      </w:r>
    </w:p>
    <w:p w:rsidR="00FF62B8" w:rsidRPr="00FF62B8" w:rsidRDefault="00FF62B8" w:rsidP="00FF62B8">
      <w:pPr>
        <w:pStyle w:val="NormalWeb"/>
        <w:spacing w:before="0" w:beforeAutospacing="0" w:after="360" w:afterAutospacing="0"/>
        <w:jc w:val="both"/>
      </w:pPr>
      <w:r w:rsidRPr="00FF62B8">
        <w:t>El Confidencial publica ahora, por primera vez, el importe y destinatarios de </w:t>
      </w:r>
      <w:r w:rsidRPr="00FF62B8">
        <w:rPr>
          <w:rStyle w:val="Textoennegrita"/>
          <w:b w:val="0"/>
        </w:rPr>
        <w:t>más de 6.900 pagos en publicidad institucional</w:t>
      </w:r>
      <w:r w:rsidRPr="00FF62B8">
        <w:t> realizados desde el Gobierno de España en las dos etapas de Sánchez al frente del Ejecutivo. En total, este periódico ha tenido acceso a cómo se han repartido en detalle más de 190 millones de euros durante su mandato.</w:t>
      </w:r>
    </w:p>
    <w:p w:rsidR="00FF62B8" w:rsidRPr="00FF62B8" w:rsidRDefault="00FF62B8" w:rsidP="00FF62B8">
      <w:pPr>
        <w:pStyle w:val="Ttulo2"/>
        <w:spacing w:before="240" w:after="240" w:line="240" w:lineRule="auto"/>
        <w:jc w:val="both"/>
        <w:rPr>
          <w:rFonts w:ascii="Times New Roman" w:hAnsi="Times New Roman" w:cs="Times New Roman"/>
          <w:b w:val="0"/>
          <w:color w:val="auto"/>
          <w:sz w:val="24"/>
          <w:szCs w:val="24"/>
        </w:rPr>
      </w:pPr>
      <w:r w:rsidRPr="00FF62B8">
        <w:rPr>
          <w:rFonts w:ascii="Times New Roman" w:hAnsi="Times New Roman" w:cs="Times New Roman"/>
          <w:b w:val="0"/>
          <w:color w:val="auto"/>
          <w:sz w:val="24"/>
          <w:szCs w:val="24"/>
        </w:rPr>
        <w:t>Dos años de lucha por la información</w:t>
      </w:r>
    </w:p>
    <w:p w:rsidR="00FF62B8" w:rsidRPr="00FF62B8" w:rsidRDefault="00FF62B8" w:rsidP="00FF62B8">
      <w:pPr>
        <w:pStyle w:val="NormalWeb"/>
        <w:spacing w:before="0" w:beforeAutospacing="0" w:after="360" w:afterAutospacing="0"/>
        <w:jc w:val="both"/>
      </w:pPr>
      <w:r w:rsidRPr="00FF62B8">
        <w:t>Esta información, que debería ser pública desde hace años, ha sido obtenida por este periódico gracias a sucesivas peticiones de Transparencia. Tras una solicitud remitida en 2022, Presidencia </w:t>
      </w:r>
      <w:r w:rsidRPr="00FF62B8">
        <w:rPr>
          <w:rStyle w:val="Textoennegrita"/>
          <w:b w:val="0"/>
        </w:rPr>
        <w:t>acordó inicialmente entregar la información</w:t>
      </w:r>
      <w:r w:rsidRPr="00FF62B8">
        <w:t> detallada del reparto. Sin embargo, se limitó a compartir un enlace a esos mismos planes de medios que ya </w:t>
      </w:r>
      <w:hyperlink r:id="rId117" w:tgtFrame="_blank" w:history="1">
        <w:r w:rsidRPr="00FF62B8">
          <w:rPr>
            <w:rStyle w:val="Hipervnculo"/>
            <w:rFonts w:eastAsiaTheme="majorEastAsia"/>
            <w:color w:val="auto"/>
            <w:u w:val="none"/>
          </w:rPr>
          <w:t>publica anualmente en su página web</w:t>
        </w:r>
      </w:hyperlink>
      <w:r w:rsidRPr="00FF62B8">
        <w:t>.</w:t>
      </w:r>
    </w:p>
    <w:p w:rsidR="00FF62B8" w:rsidRPr="00FF62B8" w:rsidRDefault="00FF62B8" w:rsidP="00FF62B8">
      <w:pPr>
        <w:pStyle w:val="NormalWeb"/>
        <w:spacing w:before="0" w:beforeAutospacing="0" w:after="360" w:afterAutospacing="0"/>
        <w:jc w:val="both"/>
      </w:pPr>
      <w:r w:rsidRPr="00FF62B8">
        <w:t>Este medio recurrió la resolución y el </w:t>
      </w:r>
      <w:hyperlink r:id="rId118" w:tgtFrame="_self" w:history="1">
        <w:r w:rsidRPr="00FF62B8">
          <w:rPr>
            <w:rStyle w:val="Hipervnculo"/>
            <w:rFonts w:eastAsiaTheme="majorEastAsia"/>
            <w:color w:val="auto"/>
            <w:u w:val="none"/>
          </w:rPr>
          <w:t>Consejo de Transparencia</w:t>
        </w:r>
      </w:hyperlink>
      <w:r w:rsidRPr="00FF62B8">
        <w:t> nos dio la razón. Casi un año más tarde, Moncloa reaccionó y abrió un poco la mano, pero solo ofreció un listado de qué medios </w:t>
      </w:r>
      <w:r w:rsidRPr="00FF62B8">
        <w:rPr>
          <w:rStyle w:val="Textoennegrita"/>
          <w:b w:val="0"/>
        </w:rPr>
        <w:t>habían recibido ingresos por publicidad institucional</w:t>
      </w:r>
      <w:r w:rsidRPr="00FF62B8">
        <w:t>, sin indicar las cuantías que percibieron. La respuesta, al ser incompleta, nos obligó a realizar una nueva petición, otra vez con la resolución favorable del Consejo de Transparencia. Finalmente, Presidencia respondió y trasladó esta misma petición a los distintos ministerios para que dieran curso a la misma.</w:t>
      </w:r>
    </w:p>
    <w:p w:rsidR="00FF62B8" w:rsidRPr="00FF62B8" w:rsidRDefault="00FF62B8" w:rsidP="00FF62B8">
      <w:pPr>
        <w:pStyle w:val="NormalWeb"/>
        <w:spacing w:before="0" w:beforeAutospacing="0" w:after="360" w:afterAutospacing="0"/>
        <w:jc w:val="both"/>
      </w:pPr>
      <w:r w:rsidRPr="00FF62B8">
        <w:t>Tras esto, vino un segundo año de recursos y reclamaciones al Consejo de Transparencia </w:t>
      </w:r>
      <w:hyperlink r:id="rId119" w:tgtFrame="_self" w:history="1">
        <w:r w:rsidRPr="00FF62B8">
          <w:rPr>
            <w:rStyle w:val="Hipervnculo"/>
            <w:rFonts w:eastAsiaTheme="majorEastAsia"/>
            <w:color w:val="auto"/>
            <w:u w:val="none"/>
          </w:rPr>
          <w:t>contra algunos ministerios</w:t>
        </w:r>
      </w:hyperlink>
      <w:r w:rsidRPr="00FF62B8">
        <w:t>. El ente </w:t>
      </w:r>
      <w:r w:rsidRPr="00FF62B8">
        <w:rPr>
          <w:rStyle w:val="Textoennegrita"/>
          <w:b w:val="0"/>
        </w:rPr>
        <w:t>volvió a dar la razón</w:t>
      </w:r>
      <w:r w:rsidRPr="00FF62B8">
        <w:t> a este periódico en su intento de conocer cómo se había repartido una bolsa de dinero público que, durante el mandato de Sánchez, se ha presupuestado </w:t>
      </w:r>
      <w:r w:rsidRPr="00FF62B8">
        <w:rPr>
          <w:rStyle w:val="Textoennegrita"/>
          <w:b w:val="0"/>
        </w:rPr>
        <w:t>entre 62 y 158 millones de euros</w:t>
      </w:r>
      <w:r w:rsidRPr="00FF62B8">
        <w:t> anuales.</w:t>
      </w:r>
    </w:p>
    <w:p w:rsidR="00FF62B8" w:rsidRDefault="00FF62B8" w:rsidP="00FF62B8">
      <w:pPr>
        <w:pStyle w:val="NormalWeb"/>
        <w:spacing w:before="0" w:beforeAutospacing="0" w:after="360" w:afterAutospacing="0"/>
        <w:jc w:val="both"/>
      </w:pPr>
      <w:r w:rsidRPr="00FF62B8">
        <w:t>En total, 628 millones entre 2018 -aunque el presupuesto de ese año corresponde al PP, que lo había aprobado antes de perder la moción de censura en mayo- y 2023. Pero no todo se acaba gastando. A falta de conocer cuánto se invirtió en 2023, en el lustro largo de Sánchez al frente del Gobierno </w:t>
      </w:r>
      <w:r w:rsidRPr="00FF62B8">
        <w:rPr>
          <w:rStyle w:val="Textoennegrita"/>
          <w:b w:val="0"/>
        </w:rPr>
        <w:t>se han adjudicado 240 millones</w:t>
      </w:r>
      <w:r w:rsidRPr="00FF62B8">
        <w:t> en publicidad institucional, un 40% de lo presupuestado.</w:t>
      </w:r>
    </w:p>
    <w:p w:rsidR="00FF62B8" w:rsidRPr="00FF62B8" w:rsidRDefault="00FF62B8" w:rsidP="00FF62B8">
      <w:pPr>
        <w:pStyle w:val="NormalWeb"/>
        <w:spacing w:before="0" w:beforeAutospacing="0" w:after="360" w:afterAutospacing="0"/>
        <w:jc w:val="both"/>
      </w:pPr>
      <w:r w:rsidRPr="00FF62B8">
        <w:t>Tras muchos meses reclamando la información, conseguimos que 17 ministerios y varios organismos dependientes, como </w:t>
      </w:r>
      <w:hyperlink r:id="rId120" w:tgtFrame="_self" w:history="1">
        <w:r w:rsidRPr="00EB02C7">
          <w:rPr>
            <w:rStyle w:val="Hipervnculo"/>
            <w:rFonts w:eastAsiaTheme="majorEastAsia"/>
            <w:color w:val="auto"/>
            <w:u w:val="none"/>
          </w:rPr>
          <w:t>el CIS</w:t>
        </w:r>
      </w:hyperlink>
      <w:r w:rsidRPr="00FF62B8">
        <w:t> o la Agencia Española de Medicamentos y Productos Sanitarios (Aemps) revelaran, por primera vez, a qué medios de comunicación </w:t>
      </w:r>
      <w:r w:rsidRPr="00EB02C7">
        <w:rPr>
          <w:rStyle w:val="Textoennegrita"/>
          <w:b w:val="0"/>
        </w:rPr>
        <w:t>ha ido el dinero</w:t>
      </w:r>
      <w:r w:rsidRPr="00EB02C7">
        <w:rPr>
          <w:b/>
        </w:rPr>
        <w:t> </w:t>
      </w:r>
      <w:r w:rsidRPr="00FF62B8">
        <w:t xml:space="preserve">de cada campaña. Algunos, como Industria, Comercio y Turismo o Agricultura -uno de los ministerios que tradicionalmente más dinero invierte en publicidad institucional- </w:t>
      </w:r>
      <w:r w:rsidRPr="00FF62B8">
        <w:lastRenderedPageBreak/>
        <w:t>ofrecieron un</w:t>
      </w:r>
      <w:r w:rsidRPr="00FF62B8">
        <w:rPr>
          <w:rStyle w:val="Textoennegrita"/>
        </w:rPr>
        <w:t> </w:t>
      </w:r>
      <w:r w:rsidRPr="00EB02C7">
        <w:rPr>
          <w:rStyle w:val="Textoennegrita"/>
          <w:b w:val="0"/>
        </w:rPr>
        <w:t>exhaustivo listado que llegaba hasta 2009</w:t>
      </w:r>
      <w:r w:rsidRPr="00FF62B8">
        <w:t>. Otros, como Interior o Inclusión, Seguridad Social y Migraciones, cubrieron el expediente con el curso 2022-23.</w:t>
      </w:r>
    </w:p>
    <w:p w:rsidR="00FF62B8" w:rsidRPr="00646B53" w:rsidRDefault="00FF62B8" w:rsidP="00FF62B8">
      <w:pPr>
        <w:pStyle w:val="NormalWeb"/>
        <w:spacing w:before="0" w:beforeAutospacing="0" w:after="360" w:afterAutospacing="0"/>
        <w:jc w:val="both"/>
      </w:pPr>
      <w:r w:rsidRPr="00646B53">
        <w:rPr>
          <w:noProof/>
        </w:rPr>
        <w:drawing>
          <wp:inline distT="0" distB="0" distL="0" distR="0" wp14:anchorId="387CC92D" wp14:editId="263E8390">
            <wp:extent cx="5727700" cy="3505200"/>
            <wp:effectExtent l="0" t="0" r="635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3507532"/>
                    </a:xfrm>
                    <a:prstGeom prst="rect">
                      <a:avLst/>
                    </a:prstGeom>
                  </pic:spPr>
                </pic:pic>
              </a:graphicData>
            </a:graphic>
          </wp:inline>
        </w:drawing>
      </w:r>
    </w:p>
    <w:p w:rsidR="00FF62B8" w:rsidRPr="00EB02C7" w:rsidRDefault="00FF62B8" w:rsidP="00FF62B8">
      <w:pPr>
        <w:pStyle w:val="NormalWeb"/>
        <w:spacing w:before="0" w:beforeAutospacing="0" w:after="360" w:afterAutospacing="0"/>
        <w:jc w:val="both"/>
      </w:pPr>
      <w:r w:rsidRPr="00EB02C7">
        <w:t>Solo cinco ministerios (Exteriores, Trabajo y Economía Social, Hacienda y Función Pública, Consumo, Política Territorial) y dos organismos dependientes (BOE, Agencia Española de Protección de Datos) </w:t>
      </w:r>
      <w:r w:rsidRPr="00EB02C7">
        <w:rPr>
          <w:rStyle w:val="Textoennegrita"/>
          <w:b w:val="0"/>
        </w:rPr>
        <w:t>se han negado a ofrecer datos</w:t>
      </w:r>
      <w:r w:rsidRPr="00EB02C7">
        <w:t> sobre el paradero de su publicidad institucional, contraviniendo tanto la propia ley de Publicidad Institucional como las resoluciones del Consejo de Transparencia y Buen Gobierno. Los ministerios de </w:t>
      </w:r>
      <w:r w:rsidRPr="00EB02C7">
        <w:rPr>
          <w:rStyle w:val="Textoennegrita"/>
          <w:b w:val="0"/>
        </w:rPr>
        <w:t>Yolanda Díaz</w:t>
      </w:r>
      <w:r w:rsidRPr="00EB02C7">
        <w:t> y </w:t>
      </w:r>
      <w:r w:rsidRPr="00EB02C7">
        <w:rPr>
          <w:rStyle w:val="Textoennegrita"/>
          <w:b w:val="0"/>
        </w:rPr>
        <w:t>José Manuel Albares</w:t>
      </w:r>
      <w:r w:rsidRPr="00EB02C7">
        <w:t> están en la parte baja de esta tabla, ya que </w:t>
      </w:r>
      <w:hyperlink r:id="rId122" w:tgtFrame="_self" w:history="1">
        <w:r w:rsidRPr="00EB02C7">
          <w:rPr>
            <w:rStyle w:val="Hipervnculo"/>
            <w:rFonts w:eastAsiaTheme="majorEastAsia"/>
            <w:color w:val="auto"/>
            <w:u w:val="none"/>
          </w:rPr>
          <w:t>tanto la ministra de Trabajo</w:t>
        </w:r>
      </w:hyperlink>
      <w:r w:rsidRPr="00EB02C7">
        <w:t> como el </w:t>
      </w:r>
      <w:hyperlink r:id="rId123" w:tgtFrame="_self" w:history="1">
        <w:r w:rsidRPr="00EB02C7">
          <w:rPr>
            <w:rStyle w:val="Hipervnculo"/>
            <w:rFonts w:eastAsiaTheme="majorEastAsia"/>
            <w:color w:val="auto"/>
            <w:u w:val="none"/>
          </w:rPr>
          <w:t>titular de Exteriores</w:t>
        </w:r>
      </w:hyperlink>
      <w:r w:rsidRPr="00EB02C7">
        <w:t> han sido </w:t>
      </w:r>
      <w:r w:rsidRPr="00EB02C7">
        <w:rPr>
          <w:rStyle w:val="Textoennegrita"/>
          <w:b w:val="0"/>
        </w:rPr>
        <w:t>amonestados varias veces por el CTBG</w:t>
      </w:r>
      <w:r w:rsidRPr="00EB02C7">
        <w:t> por ocultar gastos.</w:t>
      </w:r>
    </w:p>
    <w:p w:rsidR="00FF62B8" w:rsidRPr="00EB02C7" w:rsidRDefault="00FF62B8" w:rsidP="00FF62B8">
      <w:pPr>
        <w:pStyle w:val="NormalWeb"/>
        <w:spacing w:before="0" w:beforeAutospacing="0" w:after="360" w:afterAutospacing="0"/>
        <w:jc w:val="both"/>
      </w:pPr>
      <w:r w:rsidRPr="00EB02C7">
        <w:t>En total, hemos logrado desvelar el destino de 190 millones de euros, </w:t>
      </w:r>
      <w:r w:rsidRPr="00EB02C7">
        <w:rPr>
          <w:rStyle w:val="Textoennegrita"/>
          <w:b w:val="0"/>
        </w:rPr>
        <w:t>casi el 80% del dinero repartido</w:t>
      </w:r>
      <w:r w:rsidRPr="00EB02C7">
        <w:t> por el Gobierno de </w:t>
      </w:r>
      <w:hyperlink r:id="rId124" w:tgtFrame="_self" w:history="1">
        <w:r w:rsidRPr="00EB02C7">
          <w:rPr>
            <w:rStyle w:val="Hipervnculo"/>
            <w:rFonts w:eastAsiaTheme="majorEastAsia"/>
            <w:color w:val="auto"/>
            <w:u w:val="none"/>
          </w:rPr>
          <w:t>Pedro Sánchez</w:t>
        </w:r>
      </w:hyperlink>
      <w:r w:rsidRPr="00EB02C7">
        <w:t> en sus dos etapas.</w:t>
      </w:r>
    </w:p>
    <w:p w:rsidR="00FF62B8" w:rsidRPr="00EB02C7" w:rsidRDefault="00FF62B8" w:rsidP="00FF62B8">
      <w:pPr>
        <w:pStyle w:val="Ttulo2"/>
        <w:spacing w:before="240" w:after="240" w:line="240" w:lineRule="auto"/>
        <w:jc w:val="both"/>
        <w:rPr>
          <w:rFonts w:ascii="Times New Roman" w:hAnsi="Times New Roman" w:cs="Times New Roman"/>
          <w:b w:val="0"/>
          <w:color w:val="auto"/>
          <w:sz w:val="24"/>
          <w:szCs w:val="24"/>
        </w:rPr>
      </w:pPr>
      <w:r w:rsidRPr="00EB02C7">
        <w:rPr>
          <w:rFonts w:ascii="Times New Roman" w:hAnsi="Times New Roman" w:cs="Times New Roman"/>
          <w:b w:val="0"/>
          <w:color w:val="auto"/>
          <w:sz w:val="24"/>
          <w:szCs w:val="24"/>
        </w:rPr>
        <w:t>La prensa</w:t>
      </w:r>
    </w:p>
    <w:p w:rsidR="00FF62B8" w:rsidRPr="00EB02C7" w:rsidRDefault="00FF62B8" w:rsidP="00FF62B8">
      <w:pPr>
        <w:pStyle w:val="NormalWeb"/>
        <w:spacing w:before="0" w:beforeAutospacing="0" w:after="360" w:afterAutospacing="0"/>
        <w:jc w:val="both"/>
      </w:pPr>
      <w:r w:rsidRPr="00EB02C7">
        <w:rPr>
          <w:rStyle w:val="Textoennegrita"/>
          <w:b w:val="0"/>
        </w:rPr>
        <w:t>Eva Belmonte</w:t>
      </w:r>
      <w:r w:rsidRPr="00EB02C7">
        <w:t>, directora de la </w:t>
      </w:r>
      <w:hyperlink r:id="rId125" w:tgtFrame="_blank" w:history="1">
        <w:r w:rsidRPr="00EB02C7">
          <w:rPr>
            <w:rStyle w:val="Hipervnculo"/>
            <w:rFonts w:eastAsiaTheme="majorEastAsia"/>
            <w:color w:val="auto"/>
            <w:u w:val="none"/>
          </w:rPr>
          <w:t>Fundación Civio</w:t>
        </w:r>
      </w:hyperlink>
      <w:r w:rsidRPr="00EB02C7">
        <w:t>, explica que salvo “contadísimas excepciones y cuando no se usan directamente vías ilegales”, el sistema </w:t>
      </w:r>
      <w:r w:rsidRPr="00EB02C7">
        <w:rPr>
          <w:rStyle w:val="Textoennegrita"/>
          <w:b w:val="0"/>
        </w:rPr>
        <w:t>consiste en contratar a una central de medios</w:t>
      </w:r>
      <w:r w:rsidRPr="00EB02C7">
        <w:t>, que es la que se encarga del reparto. “Así, esa distribución ya no es pública, porque no se contrata a los medios directamente, y usan esa intermediaria también como </w:t>
      </w:r>
      <w:r w:rsidRPr="00EB02C7">
        <w:rPr>
          <w:rStyle w:val="Textoennegrita"/>
          <w:b w:val="0"/>
        </w:rPr>
        <w:t>tapadera a la transparencia</w:t>
      </w:r>
      <w:r w:rsidRPr="00EB02C7">
        <w:t>”. La central de medios devuelve su veredicto al gobierno, que decide en última instancia si lo altera en favor de uno o en perjuicio de otros.</w:t>
      </w:r>
    </w:p>
    <w:p w:rsidR="00FF62B8" w:rsidRPr="00EB02C7" w:rsidRDefault="00EB02C7" w:rsidP="00FF62B8">
      <w:pPr>
        <w:pStyle w:val="NormalWeb"/>
        <w:spacing w:before="0" w:beforeAutospacing="0" w:after="360" w:afterAutospacing="0"/>
        <w:jc w:val="both"/>
      </w:pPr>
      <w:r>
        <w:lastRenderedPageBreak/>
        <w:t xml:space="preserve">                </w:t>
      </w:r>
      <w:r w:rsidR="00FF62B8" w:rsidRPr="00EB02C7">
        <w:rPr>
          <w:noProof/>
        </w:rPr>
        <w:drawing>
          <wp:inline distT="0" distB="0" distL="0" distR="0" wp14:anchorId="31D2381A" wp14:editId="68BF0EBE">
            <wp:extent cx="4679285" cy="4851400"/>
            <wp:effectExtent l="0" t="0" r="762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4677428" cy="4849475"/>
                    </a:xfrm>
                    <a:prstGeom prst="rect">
                      <a:avLst/>
                    </a:prstGeom>
                  </pic:spPr>
                </pic:pic>
              </a:graphicData>
            </a:graphic>
          </wp:inline>
        </w:drawing>
      </w:r>
    </w:p>
    <w:p w:rsidR="00FF62B8" w:rsidRPr="00EB02C7" w:rsidRDefault="00FF62B8" w:rsidP="00FF62B8">
      <w:pPr>
        <w:pStyle w:val="NormalWeb"/>
        <w:spacing w:before="0" w:beforeAutospacing="0" w:after="360" w:afterAutospacing="0"/>
        <w:jc w:val="both"/>
      </w:pPr>
      <w:r w:rsidRPr="00EB02C7">
        <w:t>Incluso ofreciendo a regañadientes estos datos inéditos hasta el momento, el </w:t>
      </w:r>
      <w:r w:rsidRPr="00EB02C7">
        <w:rPr>
          <w:rStyle w:val="Textoennegrita"/>
          <w:b w:val="0"/>
        </w:rPr>
        <w:t>Gobierno no pone fácil</w:t>
      </w:r>
      <w:r w:rsidRPr="00EB02C7">
        <w:t> entender cómo reparte el maná de la publicidad institucional. Cada ministerio distribuye el dinero a su manera y no parecen existir criterios comunes. Mientras unos distinguen entre las partidas que van a parar a la versión en papel de un periódico y la digital, otros lo agrupan todo, suplementos incluidos, en un mismo epígrafe. Después de dos años de espera y muchos meses reclamando, llegaron semanas de trabajo ordenando y categorizando todas las líneas de gasto.</w:t>
      </w:r>
    </w:p>
    <w:p w:rsidR="00FF62B8" w:rsidRPr="00EB02C7" w:rsidRDefault="00FF62B8" w:rsidP="00FF62B8">
      <w:pPr>
        <w:pStyle w:val="NormalWeb"/>
        <w:spacing w:before="0" w:beforeAutospacing="0" w:after="360" w:afterAutospacing="0"/>
        <w:jc w:val="both"/>
      </w:pPr>
      <w:r w:rsidRPr="00EB02C7">
        <w:t>En el apartado dedicado a la prensa, ya sean periódicos de papel o digitales, </w:t>
      </w:r>
      <w:r w:rsidRPr="00EB02C7">
        <w:rPr>
          <w:rStyle w:val="nfasis"/>
        </w:rPr>
        <w:t>El País</w:t>
      </w:r>
      <w:r w:rsidRPr="00EB02C7">
        <w:t> </w:t>
      </w:r>
      <w:r w:rsidRPr="00EB02C7">
        <w:rPr>
          <w:rStyle w:val="Textoennegrita"/>
          <w:b w:val="0"/>
        </w:rPr>
        <w:t>lidera la clasificación con algo más de tres millones de euros</w:t>
      </w:r>
      <w:r w:rsidRPr="00EB02C7">
        <w:t> percibidos </w:t>
      </w:r>
      <w:hyperlink r:id="rId127" w:tgtFrame="_self" w:history="1">
        <w:r w:rsidRPr="00EB02C7">
          <w:rPr>
            <w:rStyle w:val="Hipervnculo"/>
            <w:rFonts w:eastAsiaTheme="majorEastAsia"/>
            <w:color w:val="auto"/>
            <w:u w:val="none"/>
          </w:rPr>
          <w:t>bajo el mandato de Sánchez</w:t>
        </w:r>
      </w:hyperlink>
      <w:r w:rsidRPr="00EB02C7">
        <w:t>, entre 2019 y 2023. Por detrás se situaría </w:t>
      </w:r>
      <w:r w:rsidRPr="00EB02C7">
        <w:rPr>
          <w:rStyle w:val="nfasis"/>
        </w:rPr>
        <w:t>El Mundo</w:t>
      </w:r>
      <w:r w:rsidRPr="00EB02C7">
        <w:t> con 2,58 millones. Sin embargo, en ambos casos hay una partida de unos 2,2 millones de euros que muchos ministerios asignan a sus grupos, PRISA y Unidad Editorial. Es imposible saber qué parte de ambas corresponde a sus buques insignia -teóricamente, podrían incluso superar los cinco millones- por ello hemos optado por </w:t>
      </w:r>
      <w:r w:rsidRPr="00EB02C7">
        <w:rPr>
          <w:rStyle w:val="Textoennegrita"/>
          <w:b w:val="0"/>
        </w:rPr>
        <w:t>realizar esta clasificación empleando grupos editoriales y no cabeceras</w:t>
      </w:r>
      <w:r w:rsidRPr="00EB02C7">
        <w:t>. En última instancia, el dinero acaba en las mismas cuentas. </w:t>
      </w:r>
    </w:p>
    <w:p w:rsidR="00FF62B8" w:rsidRPr="00EB02C7" w:rsidRDefault="00FF62B8" w:rsidP="00FF62B8">
      <w:pPr>
        <w:pStyle w:val="NormalWeb"/>
        <w:spacing w:before="0" w:beforeAutospacing="0" w:after="360" w:afterAutospacing="0"/>
        <w:jc w:val="both"/>
      </w:pPr>
      <w:r w:rsidRPr="00EB02C7">
        <w:rPr>
          <w:rStyle w:val="Textoennegrita"/>
          <w:b w:val="0"/>
        </w:rPr>
        <w:t>El líder en este caso es Vocento, con casi siete millones de euros repartidos</w:t>
      </w:r>
      <w:r w:rsidRPr="00EB02C7">
        <w:t> entre </w:t>
      </w:r>
      <w:r w:rsidRPr="00EB02C7">
        <w:rPr>
          <w:rStyle w:val="nfasis"/>
        </w:rPr>
        <w:t>ABC</w:t>
      </w:r>
      <w:r w:rsidRPr="00EB02C7">
        <w:t>, una docena larga de periódicos regionales como </w:t>
      </w:r>
      <w:r w:rsidRPr="00EB02C7">
        <w:rPr>
          <w:rStyle w:val="nfasis"/>
        </w:rPr>
        <w:t>El Correo</w:t>
      </w:r>
      <w:r w:rsidRPr="00EB02C7">
        <w:t xml:space="preserve"> y varios suplementos o revistas. Por </w:t>
      </w:r>
      <w:r w:rsidRPr="00EB02C7">
        <w:lastRenderedPageBreak/>
        <w:t>detrás se sitúa Unidad Editorial, con </w:t>
      </w:r>
      <w:r w:rsidRPr="00EB02C7">
        <w:rPr>
          <w:rStyle w:val="nfasis"/>
        </w:rPr>
        <w:t>El Mundo</w:t>
      </w:r>
      <w:r w:rsidRPr="00EB02C7">
        <w:t>, </w:t>
      </w:r>
      <w:r w:rsidRPr="00EB02C7">
        <w:rPr>
          <w:rStyle w:val="nfasis"/>
        </w:rPr>
        <w:t>Marca</w:t>
      </w:r>
      <w:r w:rsidRPr="00EB02C7">
        <w:t> o </w:t>
      </w:r>
      <w:r w:rsidRPr="00EB02C7">
        <w:rPr>
          <w:rStyle w:val="nfasis"/>
        </w:rPr>
        <w:t>Expansión</w:t>
      </w:r>
      <w:r w:rsidRPr="00EB02C7">
        <w:t> como principales beneficiarios, y en tercer lugar, PRISA.</w:t>
      </w:r>
    </w:p>
    <w:p w:rsidR="00FF62B8" w:rsidRPr="00EB02C7" w:rsidRDefault="00EB02C7" w:rsidP="00FF62B8">
      <w:pPr>
        <w:pStyle w:val="NormalWeb"/>
        <w:spacing w:before="0" w:beforeAutospacing="0" w:after="360" w:afterAutospacing="0"/>
        <w:jc w:val="both"/>
      </w:pPr>
      <w:r>
        <w:t xml:space="preserve">                    </w:t>
      </w:r>
      <w:r w:rsidR="00FF62B8" w:rsidRPr="00EB02C7">
        <w:rPr>
          <w:noProof/>
        </w:rPr>
        <w:drawing>
          <wp:inline distT="0" distB="0" distL="0" distR="0" wp14:anchorId="04A56BF0" wp14:editId="592A92A7">
            <wp:extent cx="4191000" cy="464820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4191585" cy="4648849"/>
                    </a:xfrm>
                    <a:prstGeom prst="rect">
                      <a:avLst/>
                    </a:prstGeom>
                  </pic:spPr>
                </pic:pic>
              </a:graphicData>
            </a:graphic>
          </wp:inline>
        </w:drawing>
      </w:r>
    </w:p>
    <w:p w:rsidR="00FF62B8" w:rsidRPr="00EB02C7" w:rsidRDefault="00FF62B8" w:rsidP="00FF62B8">
      <w:pPr>
        <w:pStyle w:val="NormalWeb"/>
        <w:spacing w:before="0" w:beforeAutospacing="0" w:after="360" w:afterAutospacing="0"/>
        <w:jc w:val="both"/>
      </w:pPr>
      <w:r w:rsidRPr="00EB02C7">
        <w:t>De los datos se desprende cómo el </w:t>
      </w:r>
      <w:r w:rsidRPr="00EB02C7">
        <w:rPr>
          <w:rStyle w:val="Textoennegrita"/>
          <w:b w:val="0"/>
        </w:rPr>
        <w:t>soporte papel sigue pesando mucho aún</w:t>
      </w:r>
      <w:r w:rsidRPr="00EB02C7">
        <w:t> en la inversión publicitaria del Gobierno, pese a la contracción en la venta de ejemplares. La diferencia en publicidad institucional entre los rotativos impresos y los 100% digitales resulta </w:t>
      </w:r>
      <w:r w:rsidRPr="00EB02C7">
        <w:rPr>
          <w:rStyle w:val="Textoennegrita"/>
          <w:b w:val="0"/>
        </w:rPr>
        <w:t>mucho más abultada que su distancia real </w:t>
      </w:r>
      <w:r w:rsidRPr="00EB02C7">
        <w:t>en cuanto a difusión </w:t>
      </w:r>
      <w:r w:rsidRPr="00EB02C7">
        <w:rPr>
          <w:rStyle w:val="nfasis"/>
        </w:rPr>
        <w:t>online</w:t>
      </w:r>
      <w:r w:rsidRPr="00EB02C7">
        <w:t>. En 2022 y 2023, los dos años completos registrados por el medidor GfK Dam que el sector suele tomar como referencia, medios como </w:t>
      </w:r>
      <w:r w:rsidRPr="00EB02C7">
        <w:rPr>
          <w:rStyle w:val="nfasis"/>
        </w:rPr>
        <w:t>El Español</w:t>
      </w:r>
      <w:r w:rsidRPr="00EB02C7">
        <w:t> o El Confidencial estuvieron, en promedio, en la 3ª y 6ª posición del ranking, a menudo superando a periódicos tradicionales en la clasificación. Sin embargo, en el reparto de la publicidad institucional </w:t>
      </w:r>
      <w:r w:rsidRPr="00EB02C7">
        <w:rPr>
          <w:rStyle w:val="Textoennegrita"/>
          <w:b w:val="0"/>
        </w:rPr>
        <w:t>sigue observándose una brecha</w:t>
      </w:r>
      <w:r w:rsidRPr="00EB02C7">
        <w:t> entre estos medios (u otros como OkDiario o eldiario.es) con los de papel. Salvando el gratuito 20minutos, que aún distribuye más de 100.000 copias, el liderazgo en los kioscos lo ostentan </w:t>
      </w:r>
      <w:r w:rsidRPr="00EB02C7">
        <w:rPr>
          <w:rStyle w:val="nfasis"/>
        </w:rPr>
        <w:t>El País</w:t>
      </w:r>
      <w:r w:rsidRPr="00EB02C7">
        <w:t> y </w:t>
      </w:r>
      <w:r w:rsidRPr="00EB02C7">
        <w:rPr>
          <w:rStyle w:val="nfasis"/>
        </w:rPr>
        <w:t>La Vanguardia</w:t>
      </w:r>
      <w:r w:rsidRPr="00EB02C7">
        <w:t>, con unos 50.000 ejemplares vendidos. El resto cae por debajo de los 40.000 periódicos, pero sigue siendo un </w:t>
      </w:r>
      <w:r w:rsidRPr="00EB02C7">
        <w:rPr>
          <w:rStyle w:val="Textoennegrita"/>
          <w:b w:val="0"/>
        </w:rPr>
        <w:t>soporte clave para la difusión de campañas</w:t>
      </w:r>
      <w:r w:rsidRPr="00EB02C7">
        <w:t>.</w:t>
      </w:r>
    </w:p>
    <w:p w:rsidR="00FF62B8" w:rsidRPr="00EB02C7" w:rsidRDefault="00FF62B8" w:rsidP="00FF62B8">
      <w:pPr>
        <w:pStyle w:val="NormalWeb"/>
        <w:spacing w:before="0" w:beforeAutospacing="0" w:after="360" w:afterAutospacing="0"/>
        <w:jc w:val="both"/>
      </w:pPr>
      <w:r w:rsidRPr="00EB02C7">
        <w:t>Como ya contó este periódico en 2021, el Ministerio de Hacienda </w:t>
      </w:r>
      <w:r w:rsidRPr="00EB02C7">
        <w:rPr>
          <w:rStyle w:val="Textoennegrita"/>
          <w:b w:val="0"/>
        </w:rPr>
        <w:t>manejaba cuatro decenas de informes internos</w:t>
      </w:r>
      <w:r w:rsidRPr="00EB02C7">
        <w:t> donde</w:t>
      </w:r>
      <w:hyperlink r:id="rId129" w:tgtFrame="_self" w:history="1">
        <w:r w:rsidRPr="00EB02C7">
          <w:rPr>
            <w:rStyle w:val="Hipervnculo"/>
            <w:rFonts w:eastAsiaTheme="majorEastAsia"/>
            <w:color w:val="auto"/>
            <w:u w:val="none"/>
          </w:rPr>
          <w:t> se desvelaba el nivel de impacto real que tiene la publicidad del Gobierno en la sociedad</w:t>
        </w:r>
      </w:hyperlink>
      <w:r w:rsidRPr="00EB02C7">
        <w:t>, cotejado a través de cada tipo de medio de comunicación.</w:t>
      </w:r>
    </w:p>
    <w:p w:rsidR="00FF62B8" w:rsidRPr="00EB02C7" w:rsidRDefault="00FF62B8" w:rsidP="00FF62B8">
      <w:pPr>
        <w:pStyle w:val="NormalWeb"/>
        <w:spacing w:before="0" w:beforeAutospacing="0" w:after="360" w:afterAutospacing="0"/>
        <w:jc w:val="both"/>
      </w:pPr>
      <w:r w:rsidRPr="00EB02C7">
        <w:lastRenderedPageBreak/>
        <w:t>Según estos estudios, la </w:t>
      </w:r>
      <w:hyperlink r:id="rId130" w:tgtFrame="_self" w:history="1">
        <w:r w:rsidRPr="00EB02C7">
          <w:rPr>
            <w:rStyle w:val="Hipervnculo"/>
            <w:rFonts w:eastAsiaTheme="majorEastAsia"/>
            <w:color w:val="auto"/>
            <w:u w:val="none"/>
          </w:rPr>
          <w:t>prensa de papel</w:t>
        </w:r>
      </w:hyperlink>
      <w:r w:rsidRPr="00EB02C7">
        <w:t>, a pesar de ser uno de los cuatro grandes receptores de esta inversión millonaria, era el medio en el que </w:t>
      </w:r>
      <w:r w:rsidRPr="00EB02C7">
        <w:rPr>
          <w:rStyle w:val="Textoennegrita"/>
          <w:b w:val="0"/>
        </w:rPr>
        <w:t>menos personas recordaban haber visto anuncios gubernamentales</w:t>
      </w:r>
      <w:r w:rsidRPr="00EB02C7">
        <w:t>; de media, su impacto apenas llega al 5%, frente al 23% de la radio, el 27% de los medios en internet y el 83% de la televisión.</w:t>
      </w:r>
    </w:p>
    <w:p w:rsidR="00FF62B8" w:rsidRPr="00EB02C7" w:rsidRDefault="00FF62B8" w:rsidP="00FF62B8">
      <w:pPr>
        <w:pStyle w:val="NormalWeb"/>
        <w:spacing w:before="0" w:beforeAutospacing="0" w:after="360" w:afterAutospacing="0"/>
        <w:jc w:val="both"/>
      </w:pPr>
      <w:r w:rsidRPr="00EB02C7">
        <w:t>La radio</w:t>
      </w:r>
    </w:p>
    <w:p w:rsidR="00FF62B8" w:rsidRDefault="00FF62B8" w:rsidP="00FF62B8">
      <w:pPr>
        <w:pStyle w:val="NormalWeb"/>
        <w:spacing w:before="0" w:beforeAutospacing="0" w:after="360" w:afterAutospacing="0"/>
        <w:jc w:val="both"/>
      </w:pPr>
      <w:r w:rsidRPr="00EB02C7">
        <w:t>En el caso de la radio, el grupo </w:t>
      </w:r>
      <w:r w:rsidRPr="00EB02C7">
        <w:rPr>
          <w:rStyle w:val="Textoennegrita"/>
          <w:b w:val="0"/>
        </w:rPr>
        <w:t>PRISA se lleva una parte muy importante</w:t>
      </w:r>
      <w:r w:rsidRPr="00EB02C7">
        <w:t> de la publicidad institucional. </w:t>
      </w:r>
      <w:r w:rsidRPr="00EB02C7">
        <w:rPr>
          <w:rStyle w:val="Textoennegrita"/>
          <w:b w:val="0"/>
        </w:rPr>
        <w:t>Su estandarte radiofónico, la Cadena Ser, ocupa el primer puesto,</w:t>
      </w:r>
      <w:r w:rsidRPr="00EB02C7">
        <w:t> habiendo recibido 8,3 millones de euros entre 2018 y 2023. Es </w:t>
      </w:r>
      <w:r w:rsidRPr="00EB02C7">
        <w:rPr>
          <w:rStyle w:val="Textoennegrita"/>
          <w:b w:val="0"/>
        </w:rPr>
        <w:t>más del doble</w:t>
      </w:r>
      <w:r w:rsidRPr="00EB02C7">
        <w:t> que lo que recibe la Cope, que está en segundo lugar con 4,1 millones de euros. </w:t>
      </w:r>
    </w:p>
    <w:p w:rsidR="00EB02C7" w:rsidRPr="00EB02C7" w:rsidRDefault="00EB02C7" w:rsidP="00FF62B8">
      <w:pPr>
        <w:pStyle w:val="NormalWeb"/>
        <w:spacing w:before="0" w:beforeAutospacing="0" w:after="360" w:afterAutospacing="0"/>
        <w:jc w:val="both"/>
      </w:pPr>
      <w:r>
        <w:t xml:space="preserve">                </w:t>
      </w:r>
      <w:r w:rsidRPr="00646B53">
        <w:rPr>
          <w:noProof/>
        </w:rPr>
        <w:drawing>
          <wp:inline distT="0" distB="0" distL="0" distR="0" wp14:anchorId="78B4C83A" wp14:editId="4A725441">
            <wp:extent cx="4762500" cy="45974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4763165" cy="4598042"/>
                    </a:xfrm>
                    <a:prstGeom prst="rect">
                      <a:avLst/>
                    </a:prstGeom>
                  </pic:spPr>
                </pic:pic>
              </a:graphicData>
            </a:graphic>
          </wp:inline>
        </w:drawing>
      </w:r>
    </w:p>
    <w:p w:rsidR="00FF62B8" w:rsidRPr="00EB02C7" w:rsidRDefault="00FF62B8" w:rsidP="00FF62B8">
      <w:pPr>
        <w:pStyle w:val="NormalWeb"/>
        <w:spacing w:before="0" w:beforeAutospacing="0" w:after="360" w:afterAutospacing="0"/>
        <w:jc w:val="both"/>
      </w:pPr>
      <w:r w:rsidRPr="00EB02C7">
        <w:t>La Ser ha sido tradicionalmente la emisora más oída de España, pero en los últimos años la “cadena de los obispos” ha logrado recortar esa distancia desde el millón de oyentes en 2019 hasta los 545.000 que lograron en la 3ª oleada del EGM de 2022. Sin embargo, la publicidad parece repartirse con el mantra de aquella canción de ABBA: el </w:t>
      </w:r>
      <w:r w:rsidRPr="00EB02C7">
        <w:rPr>
          <w:rStyle w:val="Textoennegrita"/>
          <w:b w:val="0"/>
        </w:rPr>
        <w:t>ganador se lo lleva todo</w:t>
      </w:r>
      <w:r w:rsidRPr="00EB02C7">
        <w:t>. O casi.</w:t>
      </w:r>
    </w:p>
    <w:p w:rsidR="00FF62B8" w:rsidRPr="00EB02C7" w:rsidRDefault="00FF62B8" w:rsidP="00FF62B8">
      <w:pPr>
        <w:pStyle w:val="NormalWeb"/>
        <w:spacing w:before="0" w:beforeAutospacing="0" w:after="360" w:afterAutospacing="0"/>
        <w:jc w:val="both"/>
      </w:pPr>
      <w:r w:rsidRPr="00EB02C7">
        <w:t>Por lo demás, la lista de perceptores </w:t>
      </w:r>
      <w:r w:rsidRPr="00EB02C7">
        <w:rPr>
          <w:rStyle w:val="Textoennegrita"/>
          <w:b w:val="0"/>
        </w:rPr>
        <w:t>se organiza de forma muy similar</w:t>
      </w:r>
      <w:r w:rsidRPr="00EB02C7">
        <w:t> a la clasificación de radios más escuchadas. Las siguientes en </w:t>
      </w:r>
      <w:hyperlink r:id="rId132" w:tgtFrame="_self" w:history="1">
        <w:r w:rsidRPr="00EB02C7">
          <w:rPr>
            <w:rStyle w:val="Hipervnculo"/>
            <w:rFonts w:eastAsiaTheme="majorEastAsia"/>
            <w:color w:val="auto"/>
            <w:u w:val="none"/>
          </w:rPr>
          <w:t>el ranking del EGM</w:t>
        </w:r>
      </w:hyperlink>
      <w:r w:rsidRPr="00EB02C7">
        <w:t>, Onda Cero y la catalana RAC 1, se han llevado 3,3 millones y 823.000 euros respectivamente.</w:t>
      </w:r>
    </w:p>
    <w:p w:rsidR="00FF62B8" w:rsidRPr="00EB02C7" w:rsidRDefault="00FF62B8" w:rsidP="00FF62B8">
      <w:pPr>
        <w:pStyle w:val="NormalWeb"/>
        <w:spacing w:before="0" w:beforeAutospacing="0" w:after="360" w:afterAutospacing="0"/>
        <w:jc w:val="both"/>
      </w:pPr>
      <w:r w:rsidRPr="00EB02C7">
        <w:lastRenderedPageBreak/>
        <w:t>La otra </w:t>
      </w:r>
      <w:r w:rsidRPr="00EB02C7">
        <w:rPr>
          <w:rStyle w:val="Textoennegrita"/>
          <w:b w:val="0"/>
        </w:rPr>
        <w:t>gran baza de PRISA</w:t>
      </w:r>
      <w:r w:rsidRPr="00EB02C7">
        <w:t> está en las radios temáticas, es decir musicales: Los 40 y Cadena Dial entran en el top cinco de mayores perceptores de publicidad institucional. Bajo el mandato de Sánchez, se llevaron 3,5 y 1,48 millones de euros. Por su parte, Cadena 100 (grupo Cope) ingresó 1,13 millones. Todas las demás radios temáticas, pese a presumir en ocasiones de </w:t>
      </w:r>
      <w:r w:rsidRPr="00EB02C7">
        <w:rPr>
          <w:rStyle w:val="Textoennegrita"/>
          <w:b w:val="0"/>
        </w:rPr>
        <w:t>audiencias superiores al millón de oyentes diarios</w:t>
      </w:r>
      <w:r w:rsidRPr="00EB02C7">
        <w:t>, se quedan por debajo de los 500.000 euros ingresados en este periodo.</w:t>
      </w:r>
    </w:p>
    <w:p w:rsidR="00FF62B8" w:rsidRPr="00EB02C7" w:rsidRDefault="00FF62B8" w:rsidP="00EB02C7">
      <w:pPr>
        <w:pStyle w:val="NormalWeb"/>
        <w:spacing w:before="0" w:beforeAutospacing="0" w:after="360" w:afterAutospacing="0"/>
        <w:jc w:val="both"/>
      </w:pPr>
      <w:r w:rsidRPr="00EB02C7">
        <w:t>Al analizar los pagos realizados desde el Gobierno por grupos, el resultado es llamativo: de los 24,26 millones invertidos en publicidad institucional para radio entre 2018 y 2023, </w:t>
      </w:r>
      <w:r w:rsidRPr="00EB02C7">
        <w:rPr>
          <w:rStyle w:val="Textoennegrita"/>
          <w:b w:val="0"/>
        </w:rPr>
        <w:t>15,75 millones han ido a parar a emisoras </w:t>
      </w:r>
      <w:hyperlink r:id="rId133" w:tgtFrame="_self" w:history="1">
        <w:r w:rsidRPr="00EB02C7">
          <w:rPr>
            <w:rStyle w:val="Hipervnculo"/>
            <w:rFonts w:eastAsiaTheme="majorEastAsia"/>
            <w:color w:val="auto"/>
            <w:u w:val="none"/>
          </w:rPr>
          <w:t>de PRISA</w:t>
        </w:r>
      </w:hyperlink>
      <w:r w:rsidRPr="00EB02C7">
        <w:t> o a su matriz, PRISA Radio, lo que supone un 64,9% o, dicho de otra forma, prácticamente </w:t>
      </w:r>
      <w:r w:rsidRPr="00EB02C7">
        <w:rPr>
          <w:rStyle w:val="Textoennegrita"/>
          <w:b w:val="0"/>
        </w:rPr>
        <w:t>dos de cada tres euros</w:t>
      </w:r>
      <w:r w:rsidRPr="00EB02C7">
        <w:t>.</w:t>
      </w:r>
    </w:p>
    <w:p w:rsidR="00FF62B8" w:rsidRDefault="00FF62B8" w:rsidP="00FF62B8">
      <w:pPr>
        <w:rPr>
          <w:rFonts w:ascii="Times New Roman" w:hAnsi="Times New Roman" w:cs="Times New Roman"/>
          <w:sz w:val="24"/>
          <w:szCs w:val="24"/>
        </w:rPr>
      </w:pPr>
      <w:r w:rsidRPr="008E4AF3">
        <w:rPr>
          <w:rFonts w:ascii="Times New Roman" w:hAnsi="Times New Roman" w:cs="Times New Roman"/>
          <w:sz w:val="24"/>
          <w:szCs w:val="24"/>
        </w:rPr>
        <w:t>La televisión</w:t>
      </w:r>
    </w:p>
    <w:p w:rsidR="00FF62B8" w:rsidRDefault="00FF62B8" w:rsidP="00FF62B8">
      <w:pPr>
        <w:pStyle w:val="NormalWeb"/>
        <w:spacing w:before="0" w:beforeAutospacing="0" w:after="360" w:afterAutospacing="0"/>
        <w:jc w:val="both"/>
      </w:pPr>
      <w:r w:rsidRPr="00646B53">
        <w:t>Una de las conclusiones más evidentes de los datos facilitados por el Gobierno es el </w:t>
      </w:r>
      <w:r w:rsidRPr="0048750D">
        <w:rPr>
          <w:rStyle w:val="Textoennegrita"/>
          <w:b w:val="0"/>
        </w:rPr>
        <w:t>poder que sigue teniendo la televisión tradicional</w:t>
      </w:r>
      <w:r w:rsidRPr="00646B53">
        <w:t>, pese a que todos los indicadores apuntan a que se encuentra en caída libre y cerró 2023 con el menor consumo de la historia. Si en lugar de por grupos mediáticos hacemos una clasificación por cadenas, Antena 3 y Telecinco, como buques insignias de estos grupos, resultan ser los </w:t>
      </w:r>
      <w:r w:rsidRPr="0048750D">
        <w:rPr>
          <w:rStyle w:val="Textoennegrita"/>
          <w:b w:val="0"/>
        </w:rPr>
        <w:t>mayores receptores con al menos 12,6 y 11,4 millones de euros</w:t>
      </w:r>
      <w:r w:rsidRPr="00646B53">
        <w:t> entre 2018 y 2023. Por detrás de ellos se sitúa La Sexta, con 5,5 millones, y Cuatro, con 5,04 millones.</w:t>
      </w:r>
    </w:p>
    <w:p w:rsidR="00EB02C7" w:rsidRDefault="00EB02C7" w:rsidP="00FF62B8">
      <w:pPr>
        <w:pStyle w:val="NormalWeb"/>
        <w:spacing w:before="0" w:beforeAutospacing="0" w:after="360" w:afterAutospacing="0"/>
        <w:jc w:val="both"/>
      </w:pPr>
      <w:r>
        <w:t xml:space="preserve">            </w:t>
      </w:r>
      <w:r w:rsidRPr="00DF2DE7">
        <w:rPr>
          <w:noProof/>
        </w:rPr>
        <w:drawing>
          <wp:inline distT="0" distB="0" distL="0" distR="0" wp14:anchorId="5D4ED1FB" wp14:editId="33DA7C13">
            <wp:extent cx="4870086" cy="4635500"/>
            <wp:effectExtent l="0" t="0" r="6985"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4867955" cy="4633471"/>
                    </a:xfrm>
                    <a:prstGeom prst="rect">
                      <a:avLst/>
                    </a:prstGeom>
                  </pic:spPr>
                </pic:pic>
              </a:graphicData>
            </a:graphic>
          </wp:inline>
        </w:drawing>
      </w:r>
    </w:p>
    <w:p w:rsidR="00FF62B8" w:rsidRPr="00EB02C7" w:rsidRDefault="00FF62B8" w:rsidP="00FF62B8">
      <w:pPr>
        <w:pStyle w:val="NormalWeb"/>
        <w:spacing w:before="0" w:beforeAutospacing="0" w:after="360" w:afterAutospacing="0"/>
        <w:jc w:val="both"/>
      </w:pPr>
      <w:r w:rsidRPr="00EB02C7">
        <w:lastRenderedPageBreak/>
        <w:t>Como sucede con la prensa, las cifras son de mínimos y a esto hay que añadir </w:t>
      </w:r>
      <w:r w:rsidRPr="00EB02C7">
        <w:rPr>
          <w:rStyle w:val="Textoennegrita"/>
          <w:b w:val="0"/>
        </w:rPr>
        <w:t>otros 4,36 millones para Atresmedia</w:t>
      </w:r>
      <w:r w:rsidRPr="00EB02C7">
        <w:t> y 3,91 para </w:t>
      </w:r>
      <w:hyperlink r:id="rId135" w:tgtFrame="_self" w:history="1">
        <w:r w:rsidRPr="00EB02C7">
          <w:rPr>
            <w:rStyle w:val="Hipervnculo"/>
            <w:rFonts w:eastAsiaTheme="majorEastAsia"/>
            <w:color w:val="auto"/>
          </w:rPr>
          <w:t>Mediaset</w:t>
        </w:r>
      </w:hyperlink>
      <w:r w:rsidRPr="00EB02C7">
        <w:t>, que los distintos ministerios han entregado sin desagregar por canal.</w:t>
      </w:r>
    </w:p>
    <w:p w:rsidR="00FF62B8" w:rsidRPr="00EB02C7" w:rsidRDefault="00FF62B8" w:rsidP="00FF62B8">
      <w:pPr>
        <w:pStyle w:val="NormalWeb"/>
        <w:spacing w:before="0" w:beforeAutospacing="0" w:after="360" w:afterAutospacing="0"/>
        <w:jc w:val="both"/>
      </w:pPr>
      <w:r w:rsidRPr="00EB02C7">
        <w:t>Haciendo la suma de los canales principales y los secundarios, en las dos últimas legislaturas -entre 2019 y 2023, ya que cuando accedió al poder en 2018 tras la moción de censura, estos planes ya estaban aprobados- los grupos televisivos que más publicidad institucional han recibido son </w:t>
      </w:r>
      <w:r w:rsidRPr="00EB02C7">
        <w:rPr>
          <w:rStyle w:val="Textoennegrita"/>
          <w:b w:val="0"/>
        </w:rPr>
        <w:t>Atresmedia,</w:t>
      </w:r>
      <w:r w:rsidRPr="00EB02C7">
        <w:rPr>
          <w:rStyle w:val="Textoennegrita"/>
        </w:rPr>
        <w:t> </w:t>
      </w:r>
      <w:r w:rsidRPr="00EB02C7">
        <w:t>con más de 25 millones de euros, y </w:t>
      </w:r>
      <w:r w:rsidRPr="00EB02C7">
        <w:rPr>
          <w:rStyle w:val="Textoennegrita"/>
          <w:b w:val="0"/>
        </w:rPr>
        <w:t>Mediaset,</w:t>
      </w:r>
      <w:r w:rsidRPr="00EB02C7">
        <w:rPr>
          <w:rStyle w:val="Textoennegrita"/>
        </w:rPr>
        <w:t> </w:t>
      </w:r>
      <w:r w:rsidRPr="00EB02C7">
        <w:t>con 24 millones.</w:t>
      </w:r>
    </w:p>
    <w:p w:rsidR="00FF62B8" w:rsidRPr="00D01248" w:rsidRDefault="00FF62B8" w:rsidP="00FF62B8">
      <w:r w:rsidRPr="00DF2DE7">
        <w:rPr>
          <w:noProof/>
          <w:lang w:eastAsia="es-ES"/>
        </w:rPr>
        <w:drawing>
          <wp:inline distT="0" distB="0" distL="0" distR="0" wp14:anchorId="57423ECA" wp14:editId="236FA347">
            <wp:extent cx="4870086" cy="4635500"/>
            <wp:effectExtent l="0" t="0" r="6985" b="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4867955" cy="4633471"/>
                    </a:xfrm>
                    <a:prstGeom prst="rect">
                      <a:avLst/>
                    </a:prstGeom>
                  </pic:spPr>
                </pic:pic>
              </a:graphicData>
            </a:graphic>
          </wp:inline>
        </w:drawing>
      </w:r>
    </w:p>
    <w:p w:rsidR="00FF62B8" w:rsidRPr="00646B53" w:rsidRDefault="00FF62B8" w:rsidP="00FF62B8">
      <w:pPr>
        <w:pStyle w:val="Ttulo2"/>
        <w:spacing w:before="240" w:after="240" w:line="240" w:lineRule="auto"/>
        <w:jc w:val="both"/>
        <w:rPr>
          <w:rFonts w:ascii="Times New Roman" w:hAnsi="Times New Roman" w:cs="Times New Roman"/>
          <w:b w:val="0"/>
          <w:color w:val="auto"/>
          <w:sz w:val="24"/>
          <w:szCs w:val="24"/>
        </w:rPr>
      </w:pPr>
      <w:r w:rsidRPr="00646B53">
        <w:rPr>
          <w:rFonts w:ascii="Times New Roman" w:hAnsi="Times New Roman" w:cs="Times New Roman"/>
          <w:b w:val="0"/>
          <w:color w:val="auto"/>
          <w:sz w:val="24"/>
          <w:szCs w:val="24"/>
        </w:rPr>
        <w:t>No son medios, pero ingresan mucho</w:t>
      </w:r>
    </w:p>
    <w:p w:rsidR="00FF62B8" w:rsidRPr="00EB02C7" w:rsidRDefault="00FF62B8" w:rsidP="00FF62B8">
      <w:pPr>
        <w:pStyle w:val="NormalWeb"/>
        <w:spacing w:before="0" w:beforeAutospacing="0" w:after="360" w:afterAutospacing="0"/>
        <w:jc w:val="both"/>
        <w:rPr>
          <w:b/>
        </w:rPr>
      </w:pPr>
      <w:r w:rsidRPr="00EB02C7">
        <w:t>Entre los más de 1.500 medios y empresas receptoras de publicidad institucional analizados, destacan entre los primeros lugares </w:t>
      </w:r>
      <w:r w:rsidRPr="00EB02C7">
        <w:rPr>
          <w:rStyle w:val="Textoennegrita"/>
          <w:b w:val="0"/>
        </w:rPr>
        <w:t>dos clases de compañías ajenas al sector mediático</w:t>
      </w:r>
      <w:r w:rsidRPr="00EB02C7">
        <w:t>. Las primeras son, por supuesto, las tecnológicas. </w:t>
      </w:r>
      <w:hyperlink r:id="rId136" w:tgtFrame="_self" w:history="1">
        <w:r w:rsidRPr="00EB02C7">
          <w:rPr>
            <w:rStyle w:val="Hipervnculo"/>
            <w:rFonts w:eastAsiaTheme="majorEastAsia"/>
            <w:color w:val="auto"/>
            <w:u w:val="none"/>
          </w:rPr>
          <w:t>Google</w:t>
        </w:r>
      </w:hyperlink>
      <w:r w:rsidRPr="00EB02C7">
        <w:t> recibió 6,63 millones de euros y Meta 7,23 de publicidad institucional gubernamental entre 2018 y 2023. </w:t>
      </w:r>
      <w:r w:rsidRPr="00EB02C7">
        <w:rPr>
          <w:rStyle w:val="Textoennegrita"/>
          <w:b w:val="0"/>
        </w:rPr>
        <w:t>Más que</w:t>
      </w:r>
      <w:r w:rsidRPr="00EB02C7">
        <w:rPr>
          <w:rStyle w:val="Textoennegrita"/>
        </w:rPr>
        <w:t> </w:t>
      </w:r>
      <w:r w:rsidRPr="00EB02C7">
        <w:rPr>
          <w:rStyle w:val="nfasis"/>
          <w:bCs/>
        </w:rPr>
        <w:t>El País</w:t>
      </w:r>
      <w:r w:rsidRPr="00EB02C7">
        <w:rPr>
          <w:rStyle w:val="Textoennegrita"/>
          <w:b w:val="0"/>
        </w:rPr>
        <w:t>,</w:t>
      </w:r>
      <w:r w:rsidRPr="00EB02C7">
        <w:rPr>
          <w:rStyle w:val="Textoennegrita"/>
        </w:rPr>
        <w:t xml:space="preserve"> </w:t>
      </w:r>
      <w:r w:rsidRPr="00EB02C7">
        <w:rPr>
          <w:rStyle w:val="Textoennegrita"/>
          <w:b w:val="0"/>
        </w:rPr>
        <w:t>la COPE o La Sexta</w:t>
      </w:r>
      <w:r w:rsidRPr="00EB02C7">
        <w:rPr>
          <w:b/>
        </w:rPr>
        <w:t>.</w:t>
      </w:r>
    </w:p>
    <w:p w:rsidR="00FF62B8" w:rsidRPr="00646B53" w:rsidRDefault="00FF62B8" w:rsidP="00FF62B8">
      <w:pPr>
        <w:pStyle w:val="NormalWeb"/>
        <w:spacing w:before="0" w:beforeAutospacing="0" w:after="360" w:afterAutospacing="0"/>
        <w:jc w:val="both"/>
      </w:pPr>
      <w:r w:rsidRPr="00646B53">
        <w:t>Meta ha percibido estos ingresos principalmente a través de Facebook e Instagram, mientras que Google ha ingresado más del 90% a través de YouTube. En la lista también aparecen otras redes como Twitter (ahora X, con 1,29 millones) y </w:t>
      </w:r>
      <w:hyperlink r:id="rId137" w:tgtFrame="_self" w:history="1">
        <w:r w:rsidRPr="00646B53">
          <w:rPr>
            <w:rStyle w:val="Hipervnculo"/>
            <w:rFonts w:eastAsiaTheme="majorEastAsia"/>
            <w:color w:val="auto"/>
          </w:rPr>
          <w:t>TikTok</w:t>
        </w:r>
      </w:hyperlink>
      <w:r w:rsidRPr="00646B53">
        <w:t xml:space="preserve">, que ha promocionado publicidad institucional por valor de 768.441 euros. Telefónica ha percibido algo más de un millón de euros (1,03) por este concepto en los últimos años, principalmente por anuncios en </w:t>
      </w:r>
      <w:r w:rsidRPr="00646B53">
        <w:lastRenderedPageBreak/>
        <w:t>Movistar+ y, por último, también aparece </w:t>
      </w:r>
      <w:hyperlink r:id="rId138" w:tgtFrame="_self" w:history="1">
        <w:r w:rsidRPr="00646B53">
          <w:rPr>
            <w:rStyle w:val="Hipervnculo"/>
            <w:rFonts w:eastAsiaTheme="majorEastAsia"/>
            <w:color w:val="auto"/>
          </w:rPr>
          <w:t>Twitch</w:t>
        </w:r>
      </w:hyperlink>
      <w:r w:rsidRPr="00646B53">
        <w:t>, la plataforma de </w:t>
      </w:r>
      <w:r w:rsidRPr="00646B53">
        <w:rPr>
          <w:rStyle w:val="nfasis"/>
        </w:rPr>
        <w:t>streaming </w:t>
      </w:r>
      <w:r w:rsidRPr="00646B53">
        <w:t>propiedad de Amazon, que se ha llevado un pellizco de 138.000 euros.</w:t>
      </w:r>
    </w:p>
    <w:p w:rsidR="00FF62B8" w:rsidRPr="00646B53" w:rsidRDefault="00FF62B8" w:rsidP="00FF62B8">
      <w:pPr>
        <w:pStyle w:val="NormalWeb"/>
        <w:spacing w:before="0" w:beforeAutospacing="0" w:after="360" w:afterAutospacing="0"/>
        <w:jc w:val="both"/>
      </w:pPr>
      <w:r w:rsidRPr="00646B53">
        <w:t>Entre unos y otros, encontramos empresas que a simple vista no resultan tan conocidas para el ciudadano de a pie, pero que resultan cruciales para engrasar el reparto de fondos públicos. Se trata de las agencias comercializadoras de publicidad o </w:t>
      </w:r>
      <w:r w:rsidRPr="00646B53">
        <w:rPr>
          <w:rStyle w:val="nfasis"/>
        </w:rPr>
        <w:t>AdTech.</w:t>
      </w:r>
      <w:r w:rsidRPr="00646B53">
        <w:t> SunMedia y Delivery Media son las dos que más dinero han recibido del Gobierno. Lo que hacen es actuar como </w:t>
      </w:r>
      <w:r w:rsidR="00EB02C7">
        <w:rPr>
          <w:rStyle w:val="Textoennegrita"/>
          <w:b w:val="0"/>
        </w:rPr>
        <w:t>bro</w:t>
      </w:r>
      <w:r w:rsidRPr="00EB02C7">
        <w:rPr>
          <w:rStyle w:val="Textoennegrita"/>
          <w:b w:val="0"/>
        </w:rPr>
        <w:t>kers de la publicidad institucional</w:t>
      </w:r>
      <w:r w:rsidRPr="00646B53">
        <w:t> y repartirla, habitualmente, en periódicos locales o regionales. Delivery Media, que ha recibido casi dos millones en estas dos últimas legislaturas, trabaja con un centenar de medios locales, de </w:t>
      </w:r>
      <w:r w:rsidRPr="00646B53">
        <w:rPr>
          <w:rStyle w:val="nfasis"/>
        </w:rPr>
        <w:t>La Tribuna de Cuenca</w:t>
      </w:r>
      <w:r w:rsidRPr="00646B53">
        <w:t> al </w:t>
      </w:r>
      <w:r w:rsidRPr="00646B53">
        <w:rPr>
          <w:rStyle w:val="nfasis"/>
        </w:rPr>
        <w:t>Diari de Manlleu</w:t>
      </w:r>
      <w:r w:rsidRPr="00646B53">
        <w:t>, y va colocando las campañas en función de la temática, público objetivo o difusión del medio en cuestión.</w:t>
      </w:r>
    </w:p>
    <w:p w:rsidR="00FF62B8" w:rsidRPr="00646B53" w:rsidRDefault="00FF62B8" w:rsidP="00FF62B8">
      <w:pPr>
        <w:pStyle w:val="NormalWeb"/>
        <w:spacing w:before="0" w:beforeAutospacing="0" w:after="360" w:afterAutospacing="0"/>
        <w:jc w:val="both"/>
      </w:pPr>
      <w:r w:rsidRPr="00646B53">
        <w:t>Muchas de estas agencias AdTech están integradas dentro de los propios grupos editoriales. Por ejemplo, </w:t>
      </w:r>
      <w:hyperlink r:id="rId139" w:tgtFrame="_self" w:history="1">
        <w:r w:rsidRPr="00646B53">
          <w:rPr>
            <w:rStyle w:val="Hipervnculo"/>
            <w:rFonts w:eastAsiaTheme="majorEastAsia"/>
            <w:color w:val="auto"/>
          </w:rPr>
          <w:t>Henneo</w:t>
        </w:r>
      </w:hyperlink>
      <w:r w:rsidRPr="00646B53">
        <w:t>, editor del </w:t>
      </w:r>
      <w:r w:rsidRPr="00646B53">
        <w:rPr>
          <w:rStyle w:val="nfasis"/>
        </w:rPr>
        <w:t>20minutos</w:t>
      </w:r>
      <w:r w:rsidRPr="00646B53">
        <w:t>, cuenta con Alayans y antes, con BlueMedia, que acabó absorbida por la primera. Esta empresa publicitaria recepciona la publicidad institucional y luego la </w:t>
      </w:r>
      <w:r w:rsidRPr="00EB02C7">
        <w:rPr>
          <w:rStyle w:val="Textoennegrita"/>
          <w:b w:val="0"/>
        </w:rPr>
        <w:t>distribuye por otros medios locales con los que tiene acuerdos</w:t>
      </w:r>
      <w:r w:rsidRPr="00646B53">
        <w:t>. En este caso, no solo pertenecientes a su grupo, sino también a otros como Grupo Joly, </w:t>
      </w:r>
      <w:r w:rsidRPr="00646B53">
        <w:rPr>
          <w:rStyle w:val="nfasis"/>
        </w:rPr>
        <w:t>Diario de Salamanca</w:t>
      </w:r>
      <w:r w:rsidRPr="00646B53">
        <w:t> o </w:t>
      </w:r>
      <w:r w:rsidRPr="00646B53">
        <w:rPr>
          <w:rStyle w:val="nfasis"/>
        </w:rPr>
        <w:t>El Progreso de Lugo</w:t>
      </w:r>
      <w:r w:rsidRPr="00646B53">
        <w:t>. </w:t>
      </w:r>
    </w:p>
    <w:p w:rsidR="00FF62B8" w:rsidRPr="00646B53" w:rsidRDefault="00FF62B8" w:rsidP="00FF62B8">
      <w:pPr>
        <w:pStyle w:val="NormalWeb"/>
        <w:spacing w:before="0" w:beforeAutospacing="0" w:after="360" w:afterAutospacing="0"/>
        <w:jc w:val="both"/>
      </w:pPr>
      <w:r w:rsidRPr="0048750D">
        <w:rPr>
          <w:rStyle w:val="Textoennegrita"/>
          <w:b w:val="0"/>
        </w:rPr>
        <w:t>Pulsa Media</w:t>
      </w:r>
      <w:r w:rsidRPr="00646B53">
        <w:rPr>
          <w:rStyle w:val="Textoennegrita"/>
        </w:rPr>
        <w:t> </w:t>
      </w:r>
      <w:r w:rsidRPr="00646B53">
        <w:t>también está en el top 15 de mayores receptores de publicidad institucional. En su caso intermedia para clientes tan dispares como Walt Disney, Warner Bros, Paramount, NBC, Sony, </w:t>
      </w:r>
      <w:hyperlink r:id="rId140" w:tgtFrame="_self" w:history="1">
        <w:r w:rsidRPr="0048750D">
          <w:rPr>
            <w:rStyle w:val="Hipervnculo"/>
            <w:rFonts w:eastAsiaTheme="majorEastAsia"/>
            <w:color w:val="auto"/>
            <w:u w:val="none"/>
          </w:rPr>
          <w:t>Real Madrid TV</w:t>
        </w:r>
      </w:hyperlink>
      <w:r w:rsidRPr="00646B53">
        <w:t>, Mediapro o TRECE, la cadena de la Conferencia Episcopal.</w:t>
      </w:r>
    </w:p>
    <w:p w:rsidR="00FF62B8" w:rsidRPr="00646B53" w:rsidRDefault="00FF62B8" w:rsidP="00FF62B8">
      <w:pPr>
        <w:pStyle w:val="NormalWeb"/>
        <w:spacing w:before="0" w:beforeAutospacing="0" w:after="360" w:afterAutospacing="0"/>
        <w:jc w:val="both"/>
      </w:pPr>
      <w:r w:rsidRPr="00646B53">
        <w:t>Hay que aclarar que, de esos 190 millones invertidos en publicidad institucional desde el Gobierno, la cantidad que va a medios de comunicación o agencias es de 159 millones. El resto se reparte entre anuncios en </w:t>
      </w:r>
      <w:r w:rsidRPr="00EB02C7">
        <w:rPr>
          <w:rStyle w:val="Textoennegrita"/>
          <w:b w:val="0"/>
        </w:rPr>
        <w:t>salas de cine, gastos burocráticos</w:t>
      </w:r>
      <w:r w:rsidRPr="00646B53">
        <w:rPr>
          <w:rStyle w:val="Textoennegrita"/>
        </w:rPr>
        <w:t>, </w:t>
      </w:r>
      <w:r w:rsidRPr="00646B53">
        <w:rPr>
          <w:rStyle w:val="nfasis"/>
          <w:bCs/>
        </w:rPr>
        <w:t>marketing </w:t>
      </w:r>
      <w:r w:rsidRPr="00EB02C7">
        <w:rPr>
          <w:rStyle w:val="Textoennegrita"/>
          <w:b w:val="0"/>
        </w:rPr>
        <w:t>o relaciones públicas, y publicidad exterior</w:t>
      </w:r>
      <w:r w:rsidRPr="00EB02C7">
        <w:rPr>
          <w:b/>
        </w:rPr>
        <w:t>,</w:t>
      </w:r>
      <w:r w:rsidRPr="00646B53">
        <w:t xml:space="preserve"> la que vemos en marquesinas o en el metro.</w:t>
      </w:r>
    </w:p>
    <w:p w:rsidR="00FF62B8" w:rsidRPr="00646B53" w:rsidRDefault="00FF62B8" w:rsidP="00FF62B8">
      <w:pPr>
        <w:pStyle w:val="Ttulo2"/>
        <w:spacing w:before="240" w:after="240" w:line="240" w:lineRule="auto"/>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Las “tapaderas a la transparencia”</w:t>
      </w:r>
    </w:p>
    <w:p w:rsidR="00FF62B8" w:rsidRPr="00646B53" w:rsidRDefault="00FF62B8" w:rsidP="00FF62B8">
      <w:pPr>
        <w:pStyle w:val="NormalWeb"/>
        <w:spacing w:before="0" w:beforeAutospacing="0" w:after="360" w:afterAutospacing="0"/>
        <w:jc w:val="both"/>
      </w:pPr>
      <w:r w:rsidRPr="00646B53">
        <w:t>En su ent</w:t>
      </w:r>
      <w:r>
        <w:t>revista en TVE, Sánchez aludió -sin dar nombres-</w:t>
      </w:r>
      <w:r w:rsidRPr="00646B53">
        <w:t xml:space="preserve"> a que muchos de esos digitales que le atacaban estaban </w:t>
      </w:r>
      <w:r w:rsidRPr="00EB02C7">
        <w:rPr>
          <w:rStyle w:val="Textoennegrita"/>
          <w:b w:val="0"/>
        </w:rPr>
        <w:t>sostenidos por “determinadas empresas”</w:t>
      </w:r>
      <w:r w:rsidRPr="00EB02C7">
        <w:rPr>
          <w:b/>
        </w:rPr>
        <w:t> </w:t>
      </w:r>
      <w:r w:rsidRPr="00646B53">
        <w:t>y financiados por gobiernos regionales y locales de PP y Vox. </w:t>
      </w:r>
    </w:p>
    <w:p w:rsidR="00FF62B8" w:rsidRPr="00EB02C7" w:rsidRDefault="00FF62B8" w:rsidP="00FF62B8">
      <w:pPr>
        <w:pStyle w:val="NormalWeb"/>
        <w:spacing w:before="0" w:beforeAutospacing="0" w:after="360" w:afterAutospacing="0"/>
        <w:jc w:val="both"/>
        <w:rPr>
          <w:b/>
        </w:rPr>
      </w:pPr>
      <w:r w:rsidRPr="00646B53">
        <w:t>Muchos de estos contratos, así como los presuntos tratos de favor a unos medios y no a otros, han trascendido gracias al periódico digital </w:t>
      </w:r>
      <w:r w:rsidRPr="00646B53">
        <w:rPr>
          <w:rStyle w:val="nfasis"/>
        </w:rPr>
        <w:t>El Salto</w:t>
      </w:r>
      <w:r w:rsidRPr="00646B53">
        <w:t>, que lleva tiempo </w:t>
      </w:r>
      <w:r w:rsidRPr="00EB02C7">
        <w:rPr>
          <w:rStyle w:val="Textoennegrita"/>
          <w:b w:val="0"/>
        </w:rPr>
        <w:t>siguiendo la pista al dinero público que va a los medios de comunicación</w:t>
      </w:r>
      <w:r w:rsidRPr="00646B53">
        <w:t> mediante la publicidad institucional. Han señalado el trato favorable de administraciones como el </w:t>
      </w:r>
      <w:hyperlink r:id="rId141" w:tgtFrame="_self" w:history="1">
        <w:r w:rsidRPr="00EB02C7">
          <w:rPr>
            <w:rStyle w:val="Hipervnculo"/>
            <w:rFonts w:eastAsiaTheme="majorEastAsia"/>
            <w:color w:val="auto"/>
            <w:u w:val="none"/>
          </w:rPr>
          <w:t>Ayuntamiento de Madrid</w:t>
        </w:r>
      </w:hyperlink>
      <w:r w:rsidRPr="00646B53">
        <w:t> o la Junta de Castilla y León a ciertos portales digitales de tendencia derechista. Sin embargo, si estas revelaciones son posibles es porque estos gobiernos cumplieron con su compromiso de transparencia, algo de lo que el</w:t>
      </w:r>
      <w:r w:rsidRPr="00646B53">
        <w:rPr>
          <w:rStyle w:val="Textoennegrita"/>
        </w:rPr>
        <w:t> </w:t>
      </w:r>
      <w:r w:rsidRPr="00EB02C7">
        <w:rPr>
          <w:rStyle w:val="Textoennegrita"/>
          <w:b w:val="0"/>
        </w:rPr>
        <w:t>gobierno central no puede presumir</w:t>
      </w:r>
      <w:r w:rsidRPr="00EB02C7">
        <w:rPr>
          <w:b/>
        </w:rPr>
        <w:t>.</w:t>
      </w:r>
    </w:p>
    <w:p w:rsidR="00FF62B8" w:rsidRPr="00646B53" w:rsidRDefault="00FF62B8" w:rsidP="00FF62B8">
      <w:pPr>
        <w:pStyle w:val="NormalWeb"/>
        <w:spacing w:before="0" w:beforeAutospacing="0" w:after="360" w:afterAutospacing="0"/>
        <w:jc w:val="both"/>
      </w:pPr>
      <w:r w:rsidRPr="00EB02C7">
        <w:rPr>
          <w:rStyle w:val="Textoennegrita"/>
          <w:b w:val="0"/>
        </w:rPr>
        <w:t>Yago Álvarez</w:t>
      </w:r>
      <w:r w:rsidRPr="00646B53">
        <w:t>, periodista y jefe de Economía en</w:t>
      </w:r>
      <w:r w:rsidR="0048750D">
        <w:t xml:space="preserve"> </w:t>
      </w:r>
      <w:r w:rsidRPr="00646B53">
        <w:rPr>
          <w:rStyle w:val="nfasis"/>
        </w:rPr>
        <w:t>El Salto</w:t>
      </w:r>
      <w:r w:rsidRPr="00646B53">
        <w:t>, explica que las administraciones </w:t>
      </w:r>
      <w:r w:rsidRPr="00EB02C7">
        <w:rPr>
          <w:rStyle w:val="Textoennegrita"/>
          <w:b w:val="0"/>
        </w:rPr>
        <w:t>suelen jugar la carta de la información privada</w:t>
      </w:r>
      <w:r w:rsidRPr="00646B53">
        <w:t>. Consiste en no detallar cómo es el reparto de dinero a los diferentes medios, con la excusa de que es una empresa, contratada a tal efecto por la administración, la que se encarga de hacer este reparto. Revelar esos datos interferiría con una información privada de la mercantil.</w:t>
      </w:r>
    </w:p>
    <w:p w:rsidR="00FF62B8" w:rsidRPr="00646B53" w:rsidRDefault="000335E9" w:rsidP="00FF62B8">
      <w:pPr>
        <w:pStyle w:val="NormalWeb"/>
        <w:spacing w:before="0" w:beforeAutospacing="0" w:after="360" w:afterAutospacing="0"/>
        <w:jc w:val="both"/>
      </w:pPr>
      <w:hyperlink r:id="rId142" w:tgtFrame="_self" w:history="1">
        <w:r w:rsidR="00FF62B8" w:rsidRPr="0048750D">
          <w:rPr>
            <w:rStyle w:val="Hipervnculo"/>
            <w:rFonts w:eastAsiaTheme="majorEastAsia"/>
            <w:color w:val="auto"/>
            <w:u w:val="none"/>
          </w:rPr>
          <w:t>Belmonte</w:t>
        </w:r>
      </w:hyperlink>
      <w:r w:rsidR="00FF62B8" w:rsidRPr="0048750D">
        <w:t> </w:t>
      </w:r>
      <w:r w:rsidR="00FF62B8" w:rsidRPr="00646B53">
        <w:t>añade que desde Civio llevan años advirtiendo sobre los desmanes de la publicid</w:t>
      </w:r>
      <w:r w:rsidR="00FF62B8">
        <w:t>ad institucional, por ejemplo, “</w:t>
      </w:r>
      <w:r w:rsidR="00FF62B8" w:rsidRPr="00646B53">
        <w:t xml:space="preserve">el uso de convenios que no lo son para </w:t>
      </w:r>
      <w:r w:rsidR="00FF62B8" w:rsidRPr="00EB02C7">
        <w:t>dar</w:t>
      </w:r>
      <w:r w:rsidR="00FF62B8" w:rsidRPr="00EB02C7">
        <w:rPr>
          <w:b/>
        </w:rPr>
        <w:t> </w:t>
      </w:r>
      <w:r w:rsidR="00FF62B8" w:rsidRPr="00EB02C7">
        <w:rPr>
          <w:rStyle w:val="Textoennegrita"/>
          <w:b w:val="0"/>
        </w:rPr>
        <w:t>dinero a medios por publicidad de forma camuflada</w:t>
      </w:r>
      <w:r w:rsidR="00FF62B8" w:rsidRPr="00646B53">
        <w:t>, repartos sin tener en cuenta número de lectores ni </w:t>
      </w:r>
      <w:r w:rsidR="00FF62B8" w:rsidRPr="00646B53">
        <w:rPr>
          <w:rStyle w:val="nfasis"/>
        </w:rPr>
        <w:t>target</w:t>
      </w:r>
      <w:r w:rsidR="00FF62B8" w:rsidRPr="00646B53">
        <w:t xml:space="preserve">, autobombos ilegales, así como contratos hechos a </w:t>
      </w:r>
      <w:r w:rsidR="00FF62B8">
        <w:t>medida para determinados medios”</w:t>
      </w:r>
      <w:r w:rsidR="00FF62B8" w:rsidRPr="00646B53">
        <w:t>.</w:t>
      </w:r>
    </w:p>
    <w:p w:rsidR="00FF62B8" w:rsidRPr="00646B53" w:rsidRDefault="00FF62B8" w:rsidP="00FF62B8">
      <w:pPr>
        <w:pStyle w:val="Ttulo2"/>
        <w:spacing w:before="240" w:after="240" w:line="240" w:lineRule="auto"/>
        <w:jc w:val="both"/>
        <w:rPr>
          <w:rFonts w:ascii="Times New Roman" w:hAnsi="Times New Roman" w:cs="Times New Roman"/>
          <w:b w:val="0"/>
          <w:color w:val="auto"/>
          <w:sz w:val="24"/>
          <w:szCs w:val="24"/>
        </w:rPr>
      </w:pPr>
      <w:r w:rsidRPr="00646B53">
        <w:rPr>
          <w:rFonts w:ascii="Times New Roman" w:hAnsi="Times New Roman" w:cs="Times New Roman"/>
          <w:b w:val="0"/>
          <w:color w:val="auto"/>
          <w:sz w:val="24"/>
          <w:szCs w:val="24"/>
        </w:rPr>
        <w:t>Empresas públicas: doble de gasto y cero controles</w:t>
      </w:r>
    </w:p>
    <w:p w:rsidR="00FF62B8" w:rsidRPr="00646B53" w:rsidRDefault="00FF62B8" w:rsidP="00FF62B8">
      <w:pPr>
        <w:pStyle w:val="NormalWeb"/>
        <w:spacing w:before="0" w:beforeAutospacing="0" w:after="360" w:afterAutospacing="0"/>
        <w:jc w:val="both"/>
      </w:pPr>
      <w:r w:rsidRPr="00646B53">
        <w:t>Pese a ser lo único que el Gobierno ha revelado y lo más exhaustivo que se ha publicado hasta el momento en nuestro país, los contratos desglosados aquí por El Confidencial están lejos de ofrecer una panorámica completa. Para empezar, </w:t>
      </w:r>
      <w:r w:rsidRPr="00646B53">
        <w:rPr>
          <w:bCs/>
        </w:rPr>
        <w:t>hay ministerios que no han detallado a qué medios beneficiaron con sus inversiones publicitarias,</w:t>
      </w:r>
      <w:r w:rsidRPr="00646B53">
        <w:t> otros que no desglosan algunas de sus campañas, dando una cifra de gasto total, y no todos ofrecen datos de los mismos años. Y después, todo lo relacionado con la </w:t>
      </w:r>
      <w:r w:rsidRPr="00EB02C7">
        <w:rPr>
          <w:rStyle w:val="Textoennegrita"/>
          <w:b w:val="0"/>
        </w:rPr>
        <w:t>publicidad comercial que realizan empresas públicas</w:t>
      </w:r>
      <w:r w:rsidRPr="00646B53">
        <w:t> como </w:t>
      </w:r>
      <w:hyperlink r:id="rId143" w:tgtFrame="_self" w:history="1">
        <w:r w:rsidRPr="00EB02C7">
          <w:rPr>
            <w:rStyle w:val="Hipervnculo"/>
            <w:rFonts w:eastAsiaTheme="majorEastAsia"/>
            <w:color w:val="auto"/>
            <w:u w:val="none"/>
          </w:rPr>
          <w:t>Grupo Correos</w:t>
        </w:r>
      </w:hyperlink>
      <w:r w:rsidRPr="00646B53">
        <w:t>, Adif, Aena, Loterías y Apuestas del Estado o </w:t>
      </w:r>
      <w:hyperlink r:id="rId144" w:tgtFrame="_self" w:history="1">
        <w:r w:rsidRPr="00EB02C7">
          <w:rPr>
            <w:rStyle w:val="Hipervnculo"/>
            <w:rFonts w:eastAsiaTheme="majorEastAsia"/>
            <w:color w:val="auto"/>
            <w:u w:val="none"/>
          </w:rPr>
          <w:t>Navantia</w:t>
        </w:r>
      </w:hyperlink>
      <w:r w:rsidRPr="00EB02C7">
        <w:t> </w:t>
      </w:r>
      <w:r w:rsidRPr="00646B53">
        <w:t>y que siguen otro cauce. </w:t>
      </w:r>
    </w:p>
    <w:p w:rsidR="00FF62B8" w:rsidRDefault="00FF62B8" w:rsidP="00FF62B8">
      <w:pPr>
        <w:pStyle w:val="NormalWeb"/>
        <w:spacing w:before="0" w:beforeAutospacing="0" w:after="360" w:afterAutospacing="0"/>
        <w:jc w:val="both"/>
      </w:pPr>
      <w:r w:rsidRPr="00646B53">
        <w:t>Desde 2009 hasta 2022, se han destinado 763 millones a publicidad institucional y más del doble, unos 1.553 millones de euros, para los anuncios de empresas públicas. De nuevo, se desconoce si estas han seguido criterios objetivables en la adjudicación o si </w:t>
      </w:r>
      <w:r w:rsidRPr="00EB02C7">
        <w:rPr>
          <w:rStyle w:val="Textoennegrita"/>
          <w:b w:val="0"/>
        </w:rPr>
        <w:t>han beneficiado más a unos medios o grupos</w:t>
      </w:r>
      <w:r w:rsidRPr="00646B53">
        <w:t> que a otros.</w:t>
      </w:r>
    </w:p>
    <w:p w:rsidR="00FF62B8" w:rsidRPr="00646B53" w:rsidRDefault="00EB02C7" w:rsidP="00FF62B8">
      <w:pPr>
        <w:pStyle w:val="NormalWeb"/>
        <w:spacing w:before="0" w:beforeAutospacing="0" w:after="360" w:afterAutospacing="0"/>
        <w:jc w:val="both"/>
      </w:pPr>
      <w:r>
        <w:t xml:space="preserve">          </w:t>
      </w:r>
      <w:r w:rsidR="00FF62B8" w:rsidRPr="00DF2DE7">
        <w:rPr>
          <w:noProof/>
        </w:rPr>
        <w:drawing>
          <wp:inline distT="0" distB="0" distL="0" distR="0" wp14:anchorId="0CD790BF" wp14:editId="44D89A78">
            <wp:extent cx="4791744" cy="3667637"/>
            <wp:effectExtent l="0" t="0" r="8890" b="952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4791744" cy="3667637"/>
                    </a:xfrm>
                    <a:prstGeom prst="rect">
                      <a:avLst/>
                    </a:prstGeom>
                  </pic:spPr>
                </pic:pic>
              </a:graphicData>
            </a:graphic>
          </wp:inline>
        </w:drawing>
      </w:r>
    </w:p>
    <w:p w:rsidR="00FF62B8" w:rsidRPr="00EB02C7" w:rsidRDefault="00FF62B8" w:rsidP="00FF62B8">
      <w:pPr>
        <w:pStyle w:val="NormalWeb"/>
        <w:spacing w:before="0" w:beforeAutospacing="0" w:after="360" w:afterAutospacing="0"/>
        <w:jc w:val="both"/>
      </w:pPr>
      <w:r w:rsidRPr="00EB02C7">
        <w:t>A diferencia de la publicidad institucional, que está regulada por la citada ley, la </w:t>
      </w:r>
      <w:hyperlink r:id="rId146" w:tgtFrame="_self" w:history="1">
        <w:r w:rsidRPr="00EB02C7">
          <w:rPr>
            <w:rStyle w:val="Hipervnculo"/>
            <w:rFonts w:eastAsiaTheme="majorEastAsia"/>
            <w:color w:val="auto"/>
            <w:u w:val="none"/>
          </w:rPr>
          <w:t>publicidad comercial de las empresas públicas</w:t>
        </w:r>
      </w:hyperlink>
      <w:r w:rsidRPr="00EB02C7">
        <w:rPr>
          <w:rStyle w:val="Textoennegrita"/>
        </w:rPr>
        <w:t> </w:t>
      </w:r>
      <w:r w:rsidRPr="00EB02C7">
        <w:rPr>
          <w:rStyle w:val="Textoennegrita"/>
          <w:b w:val="0"/>
        </w:rPr>
        <w:t>no tiene regulación</w:t>
      </w:r>
      <w:r w:rsidRPr="00EB02C7">
        <w:t>. Por lo tanto, carece de mecanismos de control y transparencia.</w:t>
      </w:r>
    </w:p>
    <w:p w:rsidR="00FF62B8" w:rsidRPr="00646B53" w:rsidRDefault="00FF62B8" w:rsidP="00FF62B8">
      <w:pPr>
        <w:pStyle w:val="NormalWeb"/>
        <w:spacing w:before="0" w:beforeAutospacing="0" w:after="360" w:afterAutospacing="0"/>
        <w:jc w:val="both"/>
      </w:pPr>
      <w:r w:rsidRPr="00646B53">
        <w:t>Belmonte apunta que </w:t>
      </w:r>
      <w:r w:rsidRPr="00EB02C7">
        <w:rPr>
          <w:rStyle w:val="Textoennegrita"/>
          <w:b w:val="0"/>
        </w:rPr>
        <w:t>desde Civio llevan pidiendo muchos años</w:t>
      </w:r>
      <w:r>
        <w:t> que “</w:t>
      </w:r>
      <w:r w:rsidRPr="00646B53">
        <w:t xml:space="preserve">se obligue por ley, ya sea en esta o en la de transparencia, a que todas las administraciones, también las empresas </w:t>
      </w:r>
      <w:r w:rsidRPr="00646B53">
        <w:lastRenderedPageBreak/>
        <w:t>públicas, publiquen el reparto de medios, las </w:t>
      </w:r>
      <w:r w:rsidRPr="0048750D">
        <w:rPr>
          <w:rStyle w:val="Textoennegrita"/>
          <w:b w:val="0"/>
        </w:rPr>
        <w:t>razones para ese reparto</w:t>
      </w:r>
      <w:r w:rsidRPr="00646B53">
        <w:t> y los</w:t>
      </w:r>
      <w:r>
        <w:t xml:space="preserve"> informes finales de evaluación”</w:t>
      </w:r>
      <w:r w:rsidRPr="00646B53">
        <w:t>.</w:t>
      </w:r>
    </w:p>
    <w:p w:rsidR="00FF62B8" w:rsidRPr="00646B53" w:rsidRDefault="00FF62B8" w:rsidP="00FF62B8">
      <w:pPr>
        <w:pStyle w:val="NormalWeb"/>
        <w:spacing w:before="0" w:beforeAutospacing="0" w:after="360" w:afterAutospacing="0"/>
        <w:jc w:val="both"/>
      </w:pPr>
      <w:r>
        <w:t>“</w:t>
      </w:r>
      <w:r w:rsidRPr="00646B53">
        <w:t>No solo</w:t>
      </w:r>
      <w:r w:rsidRPr="00646B53">
        <w:rPr>
          <w:rStyle w:val="Textoennegrita"/>
        </w:rPr>
        <w:t> </w:t>
      </w:r>
      <w:r w:rsidRPr="00EB02C7">
        <w:rPr>
          <w:rStyle w:val="Textoennegrita"/>
          <w:b w:val="0"/>
        </w:rPr>
        <w:t>queremos saber a dónde va</w:t>
      </w:r>
      <w:r w:rsidRPr="00646B53">
        <w:t xml:space="preserve">, sino lo más </w:t>
      </w:r>
      <w:r>
        <w:t>importante: si ha sido efectivo”, añade. “</w:t>
      </w:r>
      <w:r w:rsidRPr="00646B53">
        <w:t>Porque, pese a la mala fama de la </w:t>
      </w:r>
      <w:hyperlink r:id="rId147" w:tgtFrame="_self" w:history="1">
        <w:r w:rsidRPr="0048750D">
          <w:rPr>
            <w:rStyle w:val="Hipervnculo"/>
            <w:rFonts w:eastAsiaTheme="majorEastAsia"/>
            <w:color w:val="auto"/>
            <w:u w:val="none"/>
          </w:rPr>
          <w:t>publicidad institucional</w:t>
        </w:r>
      </w:hyperlink>
      <w:r w:rsidRPr="00EB02C7">
        <w:rPr>
          <w:u w:val="single"/>
        </w:rPr>
        <w:t>,</w:t>
      </w:r>
      <w:r w:rsidRPr="00646B53">
        <w:t xml:space="preserve"> debida, en parte con razón, a su abuso, el grueso va a campañas para prevenir accidentes de tráfico, contra la violencia machista, campañas contra incendios… y </w:t>
      </w:r>
      <w:r w:rsidRPr="00EB02C7">
        <w:rPr>
          <w:rStyle w:val="Textoennegrita"/>
          <w:b w:val="0"/>
        </w:rPr>
        <w:t>nos va mucho en que sean efectivas</w:t>
      </w:r>
      <w:r>
        <w:t>, que funcionen”</w:t>
      </w:r>
      <w:r w:rsidRPr="00646B53">
        <w:t>.</w:t>
      </w:r>
    </w:p>
    <w:p w:rsidR="00FF62B8" w:rsidRPr="00646B53" w:rsidRDefault="00FF62B8" w:rsidP="00FF62B8">
      <w:pPr>
        <w:pStyle w:val="NormalWeb"/>
        <w:spacing w:before="0" w:beforeAutospacing="0" w:after="360" w:afterAutospacing="0"/>
        <w:jc w:val="both"/>
      </w:pPr>
      <w:r w:rsidRPr="00646B53">
        <w:t xml:space="preserve">En respuesta a las demandas que el resto de grupos políticos realizaron durante su última comparecencia en el Pleno del Congreso de los Diputados, el presidente del Gobierno aseguró que </w:t>
      </w:r>
      <w:r w:rsidR="00EB02C7">
        <w:t>“</w:t>
      </w:r>
      <w:r w:rsidRPr="00EB02C7">
        <w:rPr>
          <w:rStyle w:val="Textoennegrita"/>
          <w:b w:val="0"/>
        </w:rPr>
        <w:t>antes de que termine el verano</w:t>
      </w:r>
      <w:r w:rsidR="00EB02C7">
        <w:t>”</w:t>
      </w:r>
      <w:r>
        <w:t xml:space="preserve"> llevará a las Cortes un “paquete de medidas”</w:t>
      </w:r>
      <w:r w:rsidRPr="00646B53">
        <w:t xml:space="preserve"> para mejorar la calidad democrática. Sánchez no entró a desglosar si entre estas medidas habrá avances en cuanto a la </w:t>
      </w:r>
      <w:hyperlink r:id="rId148" w:tgtFrame="_self" w:history="1">
        <w:r w:rsidRPr="00EB02C7">
          <w:rPr>
            <w:rStyle w:val="Hipervnculo"/>
            <w:rFonts w:eastAsiaTheme="majorEastAsia"/>
            <w:color w:val="auto"/>
            <w:u w:val="none"/>
          </w:rPr>
          <w:t>transparencia que rodea a toda la publicidad institucional</w:t>
        </w:r>
      </w:hyperlink>
      <w:r w:rsidRPr="00EB02C7">
        <w:t> </w:t>
      </w:r>
      <w:r w:rsidRPr="00646B53">
        <w:t>gestionada desde Moncloa. La información obtenida por El Confidencial</w:t>
      </w:r>
      <w:r>
        <w:t xml:space="preserve"> y desglosada en este artículo -</w:t>
      </w:r>
      <w:r w:rsidRPr="00646B53">
        <w:t>y</w:t>
      </w:r>
      <w:r>
        <w:t xml:space="preserve"> otros que le seguirán-</w:t>
      </w:r>
      <w:r w:rsidRPr="00646B53">
        <w:t xml:space="preserve"> solo suponen una parte del pastel.</w:t>
      </w:r>
    </w:p>
    <w:p w:rsidR="00FF62B8" w:rsidRPr="00646B53" w:rsidRDefault="00FF62B8" w:rsidP="00FF62B8">
      <w:pPr>
        <w:pStyle w:val="NormalWeb"/>
        <w:spacing w:before="0" w:beforeAutospacing="0" w:after="360" w:afterAutospacing="0"/>
        <w:jc w:val="both"/>
      </w:pPr>
      <w:r w:rsidRPr="00646B53">
        <w:t>Queda por saber el paradero de los millones de euros ocultos aún </w:t>
      </w:r>
      <w:r w:rsidRPr="008F7A2A">
        <w:rPr>
          <w:rStyle w:val="Textoennegrita"/>
          <w:b w:val="0"/>
        </w:rPr>
        <w:t>en los libros de cuentas de los ministerios</w:t>
      </w:r>
      <w:r w:rsidRPr="00646B53">
        <w:t> más refractarios a la transparencia. Entre ellos, el de Presidencia.</w:t>
      </w:r>
    </w:p>
    <w:p w:rsidR="008F7A2A" w:rsidRPr="008F7A2A" w:rsidRDefault="00FF62B8" w:rsidP="008F7A2A">
      <w:pPr>
        <w:pStyle w:val="Ttulo2"/>
        <w:spacing w:before="0" w:line="240" w:lineRule="auto"/>
        <w:jc w:val="both"/>
        <w:rPr>
          <w:rFonts w:ascii="Times New Roman" w:hAnsi="Times New Roman" w:cs="Times New Roman"/>
          <w:b w:val="0"/>
          <w:bCs w:val="0"/>
          <w:color w:val="auto"/>
          <w:sz w:val="24"/>
          <w:szCs w:val="24"/>
        </w:rPr>
      </w:pPr>
      <w:r w:rsidRPr="00D01248">
        <w:rPr>
          <w:rFonts w:ascii="Times New Roman" w:hAnsi="Times New Roman" w:cs="Times New Roman"/>
          <w:b w:val="0"/>
          <w:bCs w:val="0"/>
          <w:iCs/>
          <w:color w:val="auto"/>
          <w:sz w:val="24"/>
          <w:szCs w:val="24"/>
        </w:rPr>
        <w:t>Metodología</w:t>
      </w:r>
      <w:r w:rsidRPr="00D01248">
        <w:rPr>
          <w:rFonts w:ascii="Times New Roman" w:hAnsi="Times New Roman" w:cs="Times New Roman"/>
          <w:b w:val="0"/>
          <w:bCs w:val="0"/>
          <w:color w:val="auto"/>
          <w:sz w:val="24"/>
          <w:szCs w:val="24"/>
        </w:rPr>
        <w:t>: La información disponible en este artículo ha sido obtenida mediante decenas de solicitudes de información pública, al amparo de la Ley de Transparencia, y sus respectivas reclamaciones, ante el incumplimiento de algunos departamentos del Ejecutivo. Ante una misma petición (el reparto entre cabeceras de la publicidad institucional), los ministerios han proporcionado diferentes grados de información. Para homogeneizar la documentación facilitada en distintos formatos y estructuras, solo se han incluido en la base de datos utilizada en este artículo los importes (con IVA) asignados a una cabecera determinada o a un grupo de comunicación en campañas ejecutadas entre 2018 y 2023. No se han añadido aquellas campañas que no detallan el reparto entre los distintos medios beneficiados. Tampoco en las que la difusión de las creatividades, carteles, videos o mensajes se han realizado de manera exclusiva por las redes sociales y páginas oficiales de los distintos organismos, al no implicar ningún pago a un medio para su difusión.</w:t>
      </w:r>
    </w:p>
    <w:p w:rsidR="008F7A2A" w:rsidRDefault="008F7A2A" w:rsidP="00FF62B8">
      <w:pPr>
        <w:spacing w:line="240" w:lineRule="auto"/>
        <w:jc w:val="both"/>
        <w:rPr>
          <w:rFonts w:ascii="Times New Roman" w:hAnsi="Times New Roman" w:cs="Times New Roman"/>
          <w:b/>
          <w:color w:val="FF0000"/>
          <w:sz w:val="24"/>
          <w:szCs w:val="24"/>
          <w:shd w:val="clear" w:color="auto" w:fill="FFFFFF"/>
        </w:rPr>
      </w:pPr>
    </w:p>
    <w:p w:rsidR="00FF62B8" w:rsidRPr="00D01248" w:rsidRDefault="00FF62B8" w:rsidP="00FF62B8">
      <w:pPr>
        <w:spacing w:line="240" w:lineRule="auto"/>
        <w:jc w:val="both"/>
        <w:rPr>
          <w:rFonts w:ascii="Times New Roman" w:hAnsi="Times New Roman" w:cs="Times New Roman"/>
          <w:color w:val="FF0000"/>
          <w:sz w:val="24"/>
          <w:szCs w:val="24"/>
          <w:shd w:val="clear" w:color="auto" w:fill="FFFFFF"/>
        </w:rPr>
      </w:pPr>
      <w:r w:rsidRPr="00D01248">
        <w:rPr>
          <w:rFonts w:ascii="Times New Roman" w:hAnsi="Times New Roman" w:cs="Times New Roman"/>
          <w:b/>
          <w:color w:val="FF0000"/>
          <w:sz w:val="24"/>
          <w:szCs w:val="24"/>
          <w:shd w:val="clear" w:color="auto" w:fill="FFFFFF"/>
        </w:rPr>
        <w:t>Nota I</w:t>
      </w:r>
      <w:r w:rsidRPr="00D01248">
        <w:rPr>
          <w:rFonts w:ascii="Times New Roman" w:hAnsi="Times New Roman" w:cs="Times New Roman"/>
          <w:color w:val="FF0000"/>
          <w:sz w:val="24"/>
          <w:szCs w:val="24"/>
          <w:shd w:val="clear" w:color="auto" w:fill="FFFFFF"/>
        </w:rPr>
        <w:t>: a la información anterior habría que agregar la publicidad que realizan las autonomías y los ayuntamientos, más el rosario infinito de entidades satélites que giran en su órbita.</w:t>
      </w:r>
    </w:p>
    <w:p w:rsidR="00FF62B8" w:rsidRDefault="00FF62B8" w:rsidP="00FF62B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Unos datos de referencia:</w:t>
      </w: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A84ED4">
        <w:rPr>
          <w:rFonts w:ascii="Times New Roman" w:hAnsi="Times New Roman" w:cs="Times New Roman"/>
          <w:sz w:val="24"/>
          <w:szCs w:val="24"/>
          <w:u w:val="single"/>
          <w:shd w:val="clear" w:color="auto" w:fill="FFFFFF"/>
        </w:rPr>
        <w:t>La publicidad institucional, al descubierto: superó los 200 M€ el año pasado</w:t>
      </w:r>
      <w:r>
        <w:rPr>
          <w:rFonts w:ascii="Times New Roman" w:hAnsi="Times New Roman" w:cs="Times New Roman"/>
          <w:sz w:val="24"/>
          <w:szCs w:val="24"/>
          <w:shd w:val="clear" w:color="auto" w:fill="FFFFFF"/>
        </w:rPr>
        <w:t xml:space="preserve">  (Fuente: </w:t>
      </w:r>
      <w:r w:rsidRPr="00A84ED4">
        <w:rPr>
          <w:rFonts w:ascii="Times New Roman" w:hAnsi="Times New Roman" w:cs="Times New Roman"/>
          <w:sz w:val="24"/>
          <w:szCs w:val="24"/>
          <w:shd w:val="clear" w:color="auto" w:fill="FFFFFF"/>
        </w:rPr>
        <w:t>d</w:t>
      </w:r>
      <w:r>
        <w:rPr>
          <w:rFonts w:ascii="Times New Roman" w:hAnsi="Times New Roman" w:cs="Times New Roman"/>
          <w:sz w:val="24"/>
          <w:szCs w:val="24"/>
          <w:shd w:val="clear" w:color="auto" w:fill="FFFFFF"/>
        </w:rPr>
        <w:t xml:space="preserve">ircomfidencial.com - </w:t>
      </w:r>
      <w:r w:rsidRPr="00E72D01">
        <w:rPr>
          <w:rFonts w:ascii="Times New Roman" w:hAnsi="Times New Roman" w:cs="Times New Roman"/>
          <w:b/>
          <w:sz w:val="24"/>
          <w:szCs w:val="24"/>
          <w:shd w:val="clear" w:color="auto" w:fill="FFFFFF"/>
        </w:rPr>
        <w:t>3/4/24</w:t>
      </w:r>
      <w:r>
        <w:rPr>
          <w:rFonts w:ascii="Times New Roman" w:hAnsi="Times New Roman" w:cs="Times New Roman"/>
          <w:sz w:val="24"/>
          <w:szCs w:val="24"/>
          <w:shd w:val="clear" w:color="auto" w:fill="FFFFFF"/>
        </w:rPr>
        <w:t>)</w:t>
      </w: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sidRPr="00A84ED4">
        <w:rPr>
          <w:rFonts w:ascii="Times New Roman" w:hAnsi="Times New Roman" w:cs="Times New Roman"/>
          <w:sz w:val="24"/>
          <w:szCs w:val="24"/>
          <w:shd w:val="clear" w:color="auto" w:fill="FFFFFF"/>
        </w:rPr>
        <w:t>La Administración Pública es con mucha diferencia sobre los demás el mayor anunciante de España. Más que d</w:t>
      </w:r>
      <w:r>
        <w:rPr>
          <w:rFonts w:ascii="Times New Roman" w:hAnsi="Times New Roman" w:cs="Times New Roman"/>
          <w:sz w:val="24"/>
          <w:szCs w:val="24"/>
          <w:shd w:val="clear" w:color="auto" w:fill="FFFFFF"/>
        </w:rPr>
        <w:t>uplica al primer grupo privado.</w:t>
      </w: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sidRPr="00A84ED4">
        <w:rPr>
          <w:rFonts w:ascii="Times New Roman" w:hAnsi="Times New Roman" w:cs="Times New Roman"/>
          <w:sz w:val="24"/>
          <w:szCs w:val="24"/>
          <w:shd w:val="clear" w:color="auto" w:fill="FFFFFF"/>
        </w:rPr>
        <w:t>Según los datos de Infoadex a los que ha podido acceder este medio, la publicidad institucional en su conjunto supuso el pasado ejercicio 208 millones de euros. Aquí entra el Gobierno central, las empresas públicas, comunidades autónomas, ayuntamientos y entidades supramunicipales.</w:t>
      </w:r>
    </w:p>
    <w:p w:rsidR="00FF62B8" w:rsidRDefault="00FF62B8" w:rsidP="00FF62B8">
      <w:pPr>
        <w:spacing w:line="240" w:lineRule="auto"/>
        <w:jc w:val="both"/>
        <w:rPr>
          <w:rFonts w:ascii="Times New Roman" w:hAnsi="Times New Roman" w:cs="Times New Roman"/>
          <w:sz w:val="24"/>
          <w:szCs w:val="24"/>
          <w:shd w:val="clear" w:color="auto" w:fill="FFFFFF"/>
        </w:rPr>
      </w:pPr>
      <w:r w:rsidRPr="00A84ED4">
        <w:rPr>
          <w:rFonts w:ascii="Times New Roman" w:hAnsi="Times New Roman" w:cs="Times New Roman"/>
          <w:sz w:val="24"/>
          <w:szCs w:val="24"/>
          <w:shd w:val="clear" w:color="auto" w:fill="FFFFFF"/>
        </w:rPr>
        <w:lastRenderedPageBreak/>
        <w:t>Es una cantidad muy superior a gigantes empresariales como L’Oreal (72,2 millones de euros), Stellantis (68,4 millones) o Pr</w:t>
      </w:r>
      <w:r>
        <w:rPr>
          <w:rFonts w:ascii="Times New Roman" w:hAnsi="Times New Roman" w:cs="Times New Roman"/>
          <w:sz w:val="24"/>
          <w:szCs w:val="24"/>
          <w:shd w:val="clear" w:color="auto" w:fill="FFFFFF"/>
        </w:rPr>
        <w:t>octer &amp; Gamble (64,3 millones).</w:t>
      </w:r>
    </w:p>
    <w:p w:rsidR="008F7A2A" w:rsidRDefault="008F7A2A" w:rsidP="00FF62B8">
      <w:pPr>
        <w:spacing w:line="240" w:lineRule="auto"/>
        <w:jc w:val="both"/>
        <w:rPr>
          <w:rFonts w:ascii="Times New Roman" w:hAnsi="Times New Roman" w:cs="Times New Roman"/>
          <w:sz w:val="24"/>
          <w:szCs w:val="24"/>
          <w:shd w:val="clear" w:color="auto" w:fill="FFFFFF"/>
        </w:rPr>
      </w:pP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noProof/>
          <w:lang w:eastAsia="es-ES"/>
        </w:rPr>
        <w:drawing>
          <wp:inline distT="0" distB="0" distL="0" distR="0" wp14:anchorId="44AAD871" wp14:editId="693E41A3">
            <wp:extent cx="4476750" cy="2755900"/>
            <wp:effectExtent l="0" t="0" r="0" b="6350"/>
            <wp:docPr id="45" name="Imagen 45" descr="https://dircomfidencial.com/wp-content/uploads/2024/03/publicidad-institucio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rcomfidencial.com/wp-content/uploads/2024/03/publicidad-institucional.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76750" cy="2755900"/>
                    </a:xfrm>
                    <a:prstGeom prst="rect">
                      <a:avLst/>
                    </a:prstGeom>
                    <a:noFill/>
                    <a:ln>
                      <a:noFill/>
                    </a:ln>
                  </pic:spPr>
                </pic:pic>
              </a:graphicData>
            </a:graphic>
          </wp:inline>
        </w:drawing>
      </w:r>
    </w:p>
    <w:p w:rsidR="008F7A2A" w:rsidRDefault="008F7A2A" w:rsidP="00FF62B8">
      <w:pPr>
        <w:spacing w:line="240" w:lineRule="auto"/>
        <w:jc w:val="both"/>
        <w:rPr>
          <w:rFonts w:ascii="Times New Roman" w:hAnsi="Times New Roman" w:cs="Times New Roman"/>
          <w:sz w:val="24"/>
          <w:szCs w:val="24"/>
          <w:shd w:val="clear" w:color="auto" w:fill="FFFFFF"/>
        </w:rPr>
      </w:pPr>
    </w:p>
    <w:p w:rsidR="00FF62B8" w:rsidRDefault="00FF62B8" w:rsidP="00FF62B8">
      <w:pPr>
        <w:spacing w:line="240" w:lineRule="auto"/>
        <w:jc w:val="both"/>
        <w:rPr>
          <w:rFonts w:ascii="Times New Roman" w:hAnsi="Times New Roman" w:cs="Times New Roman"/>
          <w:sz w:val="24"/>
          <w:szCs w:val="24"/>
          <w:shd w:val="clear" w:color="auto" w:fill="FFFFFF"/>
        </w:rPr>
      </w:pPr>
      <w:r w:rsidRPr="00A84ED4">
        <w:rPr>
          <w:rFonts w:ascii="Times New Roman" w:hAnsi="Times New Roman" w:cs="Times New Roman"/>
          <w:sz w:val="24"/>
          <w:szCs w:val="24"/>
          <w:shd w:val="clear" w:color="auto" w:fill="FFFFFF"/>
        </w:rPr>
        <w:t>La publicidad institucional supuso el 3,5% del mercado publicitario en España, que registró el año pasado un volumen de 5.901 millones de euros, también según Infoadex.</w:t>
      </w:r>
    </w:p>
    <w:p w:rsidR="00FF62B8" w:rsidRPr="00D01248" w:rsidRDefault="00FF62B8" w:rsidP="00FF62B8">
      <w:pPr>
        <w:spacing w:line="240" w:lineRule="auto"/>
        <w:jc w:val="both"/>
        <w:rPr>
          <w:rFonts w:ascii="Times New Roman" w:hAnsi="Times New Roman" w:cs="Times New Roman"/>
          <w:color w:val="FF0000"/>
          <w:sz w:val="24"/>
          <w:szCs w:val="24"/>
          <w:shd w:val="clear" w:color="auto" w:fill="FFFFFF"/>
        </w:rPr>
      </w:pPr>
      <w:r w:rsidRPr="00D01248">
        <w:rPr>
          <w:rFonts w:ascii="Times New Roman" w:hAnsi="Times New Roman" w:cs="Times New Roman"/>
          <w:b/>
          <w:color w:val="FF0000"/>
          <w:sz w:val="24"/>
          <w:szCs w:val="24"/>
          <w:shd w:val="clear" w:color="auto" w:fill="FFFFFF"/>
        </w:rPr>
        <w:t>Nota II</w:t>
      </w:r>
      <w:r w:rsidRPr="00D01248">
        <w:rPr>
          <w:rFonts w:ascii="Times New Roman" w:hAnsi="Times New Roman" w:cs="Times New Roman"/>
          <w:color w:val="FF0000"/>
          <w:sz w:val="24"/>
          <w:szCs w:val="24"/>
          <w:shd w:val="clear" w:color="auto" w:fill="FFFFFF"/>
        </w:rPr>
        <w:t>: El manejo discrecional de la publicidad oficial puede tener graves consecuencias, incluyendo la erosión de la confianza pública, la manipulación de la opinión pública</w:t>
      </w:r>
      <w:r w:rsidR="008F7A2A">
        <w:rPr>
          <w:rFonts w:ascii="Times New Roman" w:hAnsi="Times New Roman" w:cs="Times New Roman"/>
          <w:color w:val="FF0000"/>
          <w:sz w:val="24"/>
          <w:szCs w:val="24"/>
          <w:shd w:val="clear" w:color="auto" w:fill="FFFFFF"/>
        </w:rPr>
        <w:t>,</w:t>
      </w:r>
      <w:r w:rsidRPr="00D01248">
        <w:rPr>
          <w:rFonts w:ascii="Times New Roman" w:hAnsi="Times New Roman" w:cs="Times New Roman"/>
          <w:color w:val="FF0000"/>
          <w:sz w:val="24"/>
          <w:szCs w:val="24"/>
          <w:shd w:val="clear" w:color="auto" w:fill="FFFFFF"/>
        </w:rPr>
        <w:t xml:space="preserve"> y la censura indirecta de medios de comunicación. Además, puede llevar a la distorsión del debate democrático y a la pérdida de credibilidad de las instituciones. </w:t>
      </w: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sidRPr="00A84ED4">
        <w:rPr>
          <w:rFonts w:ascii="Times New Roman" w:hAnsi="Times New Roman" w:cs="Times New Roman"/>
          <w:sz w:val="24"/>
          <w:szCs w:val="24"/>
          <w:shd w:val="clear" w:color="auto" w:fill="FFFFFF"/>
        </w:rPr>
        <w:t>Consecuencias del manejo discrecional:</w:t>
      </w: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sidRPr="00A84ED4">
        <w:rPr>
          <w:rFonts w:ascii="Times New Roman" w:hAnsi="Times New Roman" w:cs="Times New Roman"/>
          <w:sz w:val="24"/>
          <w:szCs w:val="24"/>
          <w:shd w:val="clear" w:color="auto" w:fill="FFFFFF"/>
        </w:rPr>
        <w:t>E</w:t>
      </w:r>
      <w:r>
        <w:rPr>
          <w:rFonts w:ascii="Times New Roman" w:hAnsi="Times New Roman" w:cs="Times New Roman"/>
          <w:sz w:val="24"/>
          <w:szCs w:val="24"/>
          <w:shd w:val="clear" w:color="auto" w:fill="FFFFFF"/>
        </w:rPr>
        <w:t xml:space="preserve">rosión de la confianza pública: </w:t>
      </w:r>
      <w:r w:rsidRPr="00A84ED4">
        <w:rPr>
          <w:rFonts w:ascii="Times New Roman" w:hAnsi="Times New Roman" w:cs="Times New Roman"/>
          <w:sz w:val="24"/>
          <w:szCs w:val="24"/>
          <w:shd w:val="clear" w:color="auto" w:fill="FFFFFF"/>
        </w:rPr>
        <w:t xml:space="preserve">Cuando la publicidad oficial se utiliza para favorecer a ciertos medios o para silenciar a otros, se genera desconfianza en las instituciones y en la información que difunden. </w:t>
      </w: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sidRPr="00A84ED4">
        <w:rPr>
          <w:rFonts w:ascii="Times New Roman" w:hAnsi="Times New Roman" w:cs="Times New Roman"/>
          <w:sz w:val="24"/>
          <w:szCs w:val="24"/>
          <w:shd w:val="clear" w:color="auto" w:fill="FFFFFF"/>
        </w:rPr>
        <w:t>Mani</w:t>
      </w:r>
      <w:r>
        <w:rPr>
          <w:rFonts w:ascii="Times New Roman" w:hAnsi="Times New Roman" w:cs="Times New Roman"/>
          <w:sz w:val="24"/>
          <w:szCs w:val="24"/>
          <w:shd w:val="clear" w:color="auto" w:fill="FFFFFF"/>
        </w:rPr>
        <w:t xml:space="preserve">pulación de la opinión pública: </w:t>
      </w:r>
      <w:r w:rsidRPr="00A84ED4">
        <w:rPr>
          <w:rFonts w:ascii="Times New Roman" w:hAnsi="Times New Roman" w:cs="Times New Roman"/>
          <w:sz w:val="24"/>
          <w:szCs w:val="24"/>
          <w:shd w:val="clear" w:color="auto" w:fill="FFFFFF"/>
        </w:rPr>
        <w:t xml:space="preserve">La distribución desigual de la publicidad oficial puede utilizarse para influir en la línea editorial de los medios y, por lo tanto, en la opinión pública. </w:t>
      </w: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Censura indirecta: </w:t>
      </w:r>
      <w:r w:rsidRPr="00A84ED4">
        <w:rPr>
          <w:rFonts w:ascii="Times New Roman" w:hAnsi="Times New Roman" w:cs="Times New Roman"/>
          <w:sz w:val="24"/>
          <w:szCs w:val="24"/>
          <w:shd w:val="clear" w:color="auto" w:fill="FFFFFF"/>
        </w:rPr>
        <w:t xml:space="preserve">La asignación o retirada de publicidad oficial puede utilizarse como herramienta para presionar a los medios y condicionar su cobertura de ciertos temas o figuras públicas. </w:t>
      </w: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sidRPr="00A84ED4">
        <w:rPr>
          <w:rFonts w:ascii="Times New Roman" w:hAnsi="Times New Roman" w:cs="Times New Roman"/>
          <w:sz w:val="24"/>
          <w:szCs w:val="24"/>
          <w:shd w:val="clear" w:color="auto" w:fill="FFFFFF"/>
        </w:rPr>
        <w:t>Dis</w:t>
      </w:r>
      <w:r>
        <w:rPr>
          <w:rFonts w:ascii="Times New Roman" w:hAnsi="Times New Roman" w:cs="Times New Roman"/>
          <w:sz w:val="24"/>
          <w:szCs w:val="24"/>
          <w:shd w:val="clear" w:color="auto" w:fill="FFFFFF"/>
        </w:rPr>
        <w:t xml:space="preserve">torsión del debate democrático: </w:t>
      </w:r>
      <w:r w:rsidRPr="00A84ED4">
        <w:rPr>
          <w:rFonts w:ascii="Times New Roman" w:hAnsi="Times New Roman" w:cs="Times New Roman"/>
          <w:sz w:val="24"/>
          <w:szCs w:val="24"/>
          <w:shd w:val="clear" w:color="auto" w:fill="FFFFFF"/>
        </w:rPr>
        <w:t xml:space="preserve">La falta de transparencia y equidad en la asignación de publicidad oficial puede limitar la diversidad de voces y la pluralidad de opiniones en el espacio público. </w:t>
      </w: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sidRPr="00A84ED4">
        <w:rPr>
          <w:rFonts w:ascii="Times New Roman" w:hAnsi="Times New Roman" w:cs="Times New Roman"/>
          <w:sz w:val="24"/>
          <w:szCs w:val="24"/>
          <w:shd w:val="clear" w:color="auto" w:fill="FFFFFF"/>
        </w:rPr>
        <w:t>Pérdida de cre</w:t>
      </w:r>
      <w:r>
        <w:rPr>
          <w:rFonts w:ascii="Times New Roman" w:hAnsi="Times New Roman" w:cs="Times New Roman"/>
          <w:sz w:val="24"/>
          <w:szCs w:val="24"/>
          <w:shd w:val="clear" w:color="auto" w:fill="FFFFFF"/>
        </w:rPr>
        <w:t xml:space="preserve">dibilidad de las instituciones: </w:t>
      </w:r>
      <w:r w:rsidRPr="00A84ED4">
        <w:rPr>
          <w:rFonts w:ascii="Times New Roman" w:hAnsi="Times New Roman" w:cs="Times New Roman"/>
          <w:sz w:val="24"/>
          <w:szCs w:val="24"/>
          <w:shd w:val="clear" w:color="auto" w:fill="FFFFFF"/>
        </w:rPr>
        <w:t xml:space="preserve">La discrecionalidad en el manejo de la publicidad oficial puede dañar la reputación de los gobiernos y otras instituciones públicas, especialmente si se percibe que se utiliza para fines partidistas o para favorecer a ciertos grupos. </w:t>
      </w: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sidRPr="00A84ED4">
        <w:rPr>
          <w:rFonts w:ascii="Times New Roman" w:hAnsi="Times New Roman" w:cs="Times New Roman"/>
          <w:sz w:val="24"/>
          <w:szCs w:val="24"/>
          <w:shd w:val="clear" w:color="auto" w:fill="FFFFFF"/>
        </w:rPr>
        <w:lastRenderedPageBreak/>
        <w:t>Factores que contribuyen a la discrecionalidad:</w:t>
      </w: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Falta de regulación: </w:t>
      </w:r>
      <w:r w:rsidRPr="00A84ED4">
        <w:rPr>
          <w:rFonts w:ascii="Times New Roman" w:hAnsi="Times New Roman" w:cs="Times New Roman"/>
          <w:sz w:val="24"/>
          <w:szCs w:val="24"/>
          <w:shd w:val="clear" w:color="auto" w:fill="FFFFFF"/>
        </w:rPr>
        <w:t>La ausencia de marcos normativos claros y transparentes para la distribución de la publicidad oficial facilita la discrecionalidad y la arbitrariedad en su gestión.</w:t>
      </w: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Falta de transparencia: </w:t>
      </w:r>
      <w:r w:rsidRPr="00A84ED4">
        <w:rPr>
          <w:rFonts w:ascii="Times New Roman" w:hAnsi="Times New Roman" w:cs="Times New Roman"/>
          <w:sz w:val="24"/>
          <w:szCs w:val="24"/>
          <w:shd w:val="clear" w:color="auto" w:fill="FFFFFF"/>
        </w:rPr>
        <w:t>La falta de información pública sobre los criterios y procedimientos para la asignación de publicidad oficial dificulta la fiscalización y el control ciudadano.</w:t>
      </w:r>
    </w:p>
    <w:p w:rsidR="00FF62B8" w:rsidRPr="00A84ED4" w:rsidRDefault="00FF62B8" w:rsidP="00FF62B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Presiones políticas: </w:t>
      </w:r>
      <w:r w:rsidRPr="00A84ED4">
        <w:rPr>
          <w:rFonts w:ascii="Times New Roman" w:hAnsi="Times New Roman" w:cs="Times New Roman"/>
          <w:sz w:val="24"/>
          <w:szCs w:val="24"/>
          <w:shd w:val="clear" w:color="auto" w:fill="FFFFFF"/>
        </w:rPr>
        <w:t xml:space="preserve">La publicidad oficial puede ser utilizada como herramienta para presionar a los medios y a otros actores sociales, especialmente en periodos electorales o en momentos de tensión política. </w:t>
      </w:r>
    </w:p>
    <w:p w:rsidR="00FF62B8" w:rsidRPr="003442E2" w:rsidRDefault="00FF62B8" w:rsidP="00FF62B8">
      <w:pPr>
        <w:spacing w:line="240" w:lineRule="auto"/>
        <w:jc w:val="both"/>
        <w:rPr>
          <w:rFonts w:ascii="Times New Roman" w:hAnsi="Times New Roman" w:cs="Times New Roman"/>
          <w:color w:val="FF0000"/>
          <w:sz w:val="24"/>
          <w:szCs w:val="24"/>
          <w:shd w:val="clear" w:color="auto" w:fill="FFFFFF"/>
        </w:rPr>
      </w:pPr>
      <w:r w:rsidRPr="003442E2">
        <w:rPr>
          <w:rFonts w:ascii="Times New Roman" w:hAnsi="Times New Roman" w:cs="Times New Roman"/>
          <w:b/>
          <w:color w:val="FF0000"/>
          <w:sz w:val="24"/>
          <w:szCs w:val="24"/>
          <w:shd w:val="clear" w:color="auto" w:fill="FFFFFF"/>
        </w:rPr>
        <w:t>Nota III</w:t>
      </w:r>
      <w:r w:rsidRPr="003442E2">
        <w:rPr>
          <w:rFonts w:ascii="Times New Roman" w:hAnsi="Times New Roman" w:cs="Times New Roman"/>
          <w:color w:val="FF0000"/>
          <w:sz w:val="24"/>
          <w:szCs w:val="24"/>
          <w:shd w:val="clear" w:color="auto" w:fill="FFFFFF"/>
        </w:rPr>
        <w:t>: Frente a esta compleja y sospechosa situación, se pueden realizar algunas recomendaciones: Establecer marcos normativos claros y transparentes (es fundamental que los gobiernos adopten leyes y regulaciones que establezcan criterios objetivos, claros y no discriminatorios para la asignación de publicidad oficial); promover la transparencia (la información sobre los criterios, procedimientos y resultados de la asignación de publicidad oficial debe ser accesible al público</w:t>
      </w:r>
      <w:r w:rsidR="0048750D">
        <w:rPr>
          <w:rFonts w:ascii="Times New Roman" w:hAnsi="Times New Roman" w:cs="Times New Roman"/>
          <w:color w:val="FF0000"/>
          <w:sz w:val="24"/>
          <w:szCs w:val="24"/>
          <w:shd w:val="clear" w:color="auto" w:fill="FFFFFF"/>
        </w:rPr>
        <w:t>)</w:t>
      </w:r>
      <w:r w:rsidRPr="003442E2">
        <w:rPr>
          <w:rFonts w:ascii="Times New Roman" w:hAnsi="Times New Roman" w:cs="Times New Roman"/>
          <w:color w:val="FF0000"/>
          <w:sz w:val="24"/>
          <w:szCs w:val="24"/>
          <w:shd w:val="clear" w:color="auto" w:fill="FFFFFF"/>
        </w:rPr>
        <w:t xml:space="preserve">; fomentar la participación ciudadana (la sociedad civil y los medios de comunicación deben participar activamente en el control y la fiscalización del manejo de la publicidad oficial); fortalecer la independencia de los medios: (es importante proteger la independencia de los medios de comunicación de las presiones políticas y económicas, incluyendo las derivadas de la publicidad oficial). </w:t>
      </w:r>
    </w:p>
    <w:p w:rsidR="008F7A2A" w:rsidRDefault="00FF62B8" w:rsidP="00FF62B8">
      <w:pPr>
        <w:spacing w:line="240" w:lineRule="auto"/>
        <w:jc w:val="both"/>
        <w:rPr>
          <w:rFonts w:ascii="Times New Roman" w:hAnsi="Times New Roman" w:cs="Times New Roman"/>
          <w:color w:val="FF0000"/>
          <w:sz w:val="24"/>
          <w:szCs w:val="24"/>
          <w:shd w:val="clear" w:color="auto" w:fill="FFFFFF"/>
        </w:rPr>
      </w:pPr>
      <w:r w:rsidRPr="003442E2">
        <w:rPr>
          <w:rFonts w:ascii="Times New Roman" w:hAnsi="Times New Roman" w:cs="Times New Roman"/>
          <w:color w:val="FF0000"/>
          <w:sz w:val="24"/>
          <w:szCs w:val="24"/>
          <w:shd w:val="clear" w:color="auto" w:fill="FFFFFF"/>
        </w:rPr>
        <w:t xml:space="preserve">Ninguna de estas recomendaciones se está cumpliendo en España, por parte del gobierno nacional, ni de los gobiernos autonómicos, y ayuntamientos. La publicidad institucional, es una caja negra donde se manejan las asignaciones presupuestarias con criterios políticos, discrecionalidad, manipulación de la línea editorial, compra de favores, tráfico de influencias, amiguismo, clientelismo, sumisión, dependencia, soborno… (y otros extremos sospechables). </w:t>
      </w:r>
    </w:p>
    <w:p w:rsidR="008F7A2A" w:rsidRDefault="008F7A2A" w:rsidP="008F7A2A">
      <w:pPr>
        <w:spacing w:line="240" w:lineRule="auto"/>
        <w:jc w:val="both"/>
        <w:rPr>
          <w:rFonts w:ascii="Times New Roman" w:hAnsi="Times New Roman" w:cs="Times New Roman"/>
          <w:color w:val="FF0000"/>
          <w:sz w:val="24"/>
          <w:szCs w:val="24"/>
          <w:shd w:val="clear" w:color="auto" w:fill="FFFFFF"/>
        </w:rPr>
      </w:pPr>
      <w:r w:rsidRPr="00261E29">
        <w:rPr>
          <w:rFonts w:ascii="Times New Roman" w:hAnsi="Times New Roman" w:cs="Times New Roman"/>
          <w:color w:val="FF0000"/>
          <w:sz w:val="24"/>
          <w:szCs w:val="24"/>
          <w:shd w:val="clear" w:color="auto" w:fill="FFFFFF"/>
        </w:rPr>
        <w:t>- Eliminar todo control sobre los alquileres</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 xml:space="preserve">- </w:t>
      </w:r>
      <w:r w:rsidRPr="005D7F7A">
        <w:rPr>
          <w:rFonts w:ascii="Times New Roman" w:hAnsi="Times New Roman" w:cs="Times New Roman"/>
          <w:sz w:val="24"/>
          <w:szCs w:val="24"/>
          <w:u w:val="single"/>
          <w:shd w:val="clear" w:color="auto" w:fill="FFFFFF"/>
        </w:rPr>
        <w:t>Intervenir los alquileres, un fracaso comprobado</w:t>
      </w:r>
      <w:r w:rsidRPr="005D7F7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Fuente: </w:t>
      </w:r>
      <w:r w:rsidRPr="005D7F7A">
        <w:rPr>
          <w:rFonts w:ascii="Times New Roman" w:hAnsi="Times New Roman" w:cs="Times New Roman"/>
          <w:sz w:val="24"/>
          <w:szCs w:val="24"/>
          <w:shd w:val="clear" w:color="auto" w:fill="FFFFFF"/>
        </w:rPr>
        <w:t xml:space="preserve">dlacalle.com - </w:t>
      </w:r>
      <w:r w:rsidRPr="005D7F7A">
        <w:rPr>
          <w:rFonts w:ascii="Times New Roman" w:hAnsi="Times New Roman" w:cs="Times New Roman"/>
          <w:b/>
          <w:sz w:val="24"/>
          <w:szCs w:val="24"/>
          <w:shd w:val="clear" w:color="auto" w:fill="FFFFFF"/>
        </w:rPr>
        <w:t>24/3/21</w:t>
      </w:r>
      <w:r w:rsidRPr="005D7F7A">
        <w:rPr>
          <w:rFonts w:ascii="Times New Roman" w:hAnsi="Times New Roman" w:cs="Times New Roman"/>
          <w:sz w:val="24"/>
          <w:szCs w:val="24"/>
          <w:shd w:val="clear" w:color="auto" w:fill="FFFFFF"/>
        </w:rPr>
        <w:t>)</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(Por Daniel Lacalle)</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Ningún país ha bajado el precio del alquiler de manera sostenida hundiendo la oferta y atacando a la propiedad. Ninguno.</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¿Qué ocurre siempre que se imponen precios fijados? Primero, que se desplome la oferta.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Cualquier español que no sea amnésico debería evitar como la plaga la propuesta de limitar el precio por ley ya que fue un fracaso sin paliativos en España con la Ley de Franco de 1964. “La regulación provocó una fuerte retracción de la oferta de las viviendas en alquiler -al resultar más rentable mantener el inmueble vacío que alquilado- y también provocó que se desatendiera el estado de conservación de las viviendas alquiladas, manteniéndose muchas en estado ruinoso, lo que fue deteriorando el parque inmobiliario español” explica un informe de Alquiler Seguro. Todos recordamos aquellos pisos cochambrosos e inmuebles mal conservados cuando íbamos a visitar a algún familiar en uno de esos pisos de “renta antigua”, y todos recordamos también cómo el acceso a alquiler era un problema por desplome de oferta.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lastRenderedPageBreak/>
        <w:t>¿Qué ocurre siempre que se imponen precios fijados?</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Primero, que se desplome la oferta. Los propietarios evitan poner sus pisos en alquiler al encontrarse indefensos jurídicamente entre los desincentivos ya existentes, incluyendo la permisividad con la ocupación, y el aumento de los impuestos (IBI, etc.) que hace que el piso sea una ruina si se alquila. En Berlín el fracaso ha sido rotundo. Un 60% menos oferta y pisos más caros. Perjudica desproporcionadamente a los futuros inquilinos, a los jóvenes y a los menos ricos, porque a los ricos de Paris o Berlín no les afecta la caída de oferta, pagan más por los pisos buenos en contrato privado y tan tranquilos. Como todas las medidas intervencionistas, terminan perjudicando a los que fingen proteger.</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Segundo, que la limitación de alquileres perjudica especialmente a los propietarios más indefensos, los que tienen un pequeño piso alquilado tras décadas de ahorro. Los grandes propietarios no sufren porque pueden poner esos inmuebles en venta, ajustar los ingresos perdidos subiendo los alquileres de otros inmuebles, generando un efecto extractivo o acondicionarlos para renta superior.</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 xml:space="preserve">Tercero, que funcionan como un fuerte desincentivo al acondicionamiento y mejora de los inmuebles. Cuando un piso es una ruina como inversión y el alquiler no cubre el coste de capital más los costes fijos y variables, el propietario no puede hacer otra cosa que desentenderse. </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No se puede subir constantemente el IBI y poner problemas a los propietarios a la hora de rescindir contratos no cumplidos, defender a ocupas y además pasarle al dueño el coste de la inflación y todos los riesgos.</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El caso de Madrid comparado con Barcelona es paradigmático.</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Desde la implantación de la ley de control de precios, en Barcelona ha caído la oferta un 10,2% mientras en Madrid subía un 1,7%. ¿Y los precios? En Madrid han bajado más, un 3,4% que en Barcelona (3%). Mientras tanto, la presión de la demanda aumenta un 7,2% y en Madrid baja un 6,2%. En el caso de Barcelona los contratos se desplomaron un 16%.</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El stock de casas en alquiler ha caído un 12% en los municipios regulados en Cataluña, mientras que en la Comunidad de Madrid el stock ha aumentado un 2%, según estudio de Idealista.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Los partidos políticos “progresistas” (de la izquierda), en su incansable utilización de la propaganda, dicen que las medidas de control de alquileres se implementan en países tan modernos como Francia, Alemania, Bélgica y Dinamarca. Lo que no explican es que los alquileres en esos países no solo no han bajado, en muchos casos han subido más que lo salarios reales y la inflación y, lo que es peor, ha empeorado la oferta y el acceso.</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¿Qué dice los partidos “progresistas” (de la izquierda)? Que, si no funciona, como buenos comunistas, es que no se ha intervenido lo suficiente. El burócrata siempre echa la culpa de los resultados negativos de su intervención a qu</w:t>
      </w:r>
      <w:r>
        <w:rPr>
          <w:rFonts w:ascii="Times New Roman" w:hAnsi="Times New Roman" w:cs="Times New Roman"/>
          <w:sz w:val="24"/>
          <w:szCs w:val="24"/>
          <w:shd w:val="clear" w:color="auto" w:fill="FFFFFF"/>
        </w:rPr>
        <w:t>e no ha intervenido suficiente.</w:t>
      </w:r>
    </w:p>
    <w:p w:rsidR="008F7A2A" w:rsidRPr="005D7F7A" w:rsidRDefault="008F7A2A" w:rsidP="0048750D">
      <w:pPr>
        <w:spacing w:line="240" w:lineRule="auto"/>
        <w:jc w:val="both"/>
        <w:rPr>
          <w:rFonts w:ascii="Times New Roman" w:hAnsi="Times New Roman" w:cs="Times New Roman"/>
          <w:sz w:val="24"/>
          <w:szCs w:val="24"/>
          <w:shd w:val="clear" w:color="auto" w:fill="FFFFFF"/>
          <w:lang w:val="en-GB"/>
        </w:rPr>
      </w:pPr>
      <w:r w:rsidRPr="005D7F7A">
        <w:rPr>
          <w:rFonts w:ascii="Times New Roman" w:hAnsi="Times New Roman" w:cs="Times New Roman"/>
          <w:sz w:val="24"/>
          <w:szCs w:val="24"/>
          <w:shd w:val="clear" w:color="auto" w:fill="FFFFFF"/>
        </w:rPr>
        <w:t xml:space="preserve">En Dinamarca, el estudio “Negative Impact of Danish Rent Control” (https://www.frpo.org/wp-content/uploads/2015/09/Negative-impact-of-Danish-rent-control.pdf) muestra el fracaso de la medida. Lo muestra también en Alemania (https://www.economist.com/europe/2021/03/09/after-a-year-berlins-experiment-with-rent-control-is-a-failure) The Economist.  Los ejemplos de políticas de control de precios desde Estados Unidos a Irlanda son elocuentes. En cuanto se imponen controles, empeora la oferta </w:t>
      </w:r>
      <w:r w:rsidRPr="005D7F7A">
        <w:rPr>
          <w:rFonts w:ascii="Times New Roman" w:hAnsi="Times New Roman" w:cs="Times New Roman"/>
          <w:sz w:val="24"/>
          <w:szCs w:val="24"/>
          <w:shd w:val="clear" w:color="auto" w:fill="FFFFFF"/>
        </w:rPr>
        <w:lastRenderedPageBreak/>
        <w:t xml:space="preserve">y suben los precios, generando un mayor problema para jóvenes y nuevos inquilinos buscando piso. </w:t>
      </w:r>
      <w:r w:rsidRPr="005D7F7A">
        <w:rPr>
          <w:rFonts w:ascii="Times New Roman" w:hAnsi="Times New Roman" w:cs="Times New Roman"/>
          <w:sz w:val="24"/>
          <w:szCs w:val="24"/>
          <w:shd w:val="clear" w:color="auto" w:fill="FFFFFF"/>
          <w:lang w:val="en-GB"/>
        </w:rPr>
        <w:t xml:space="preserve">Lean Why Rent Control Does Not Work (https://freakonomics.com/podcast/rent-control/), Rent Controls Do More Harm Than Good (https://www.bloomberg.com/opinion/articles/2018-01-18/yup-rent-control-does-more-harm-than-good), “It’s Not Just Ireland, Rent Controls Don’t Work In Germany Either” (https://www.irishtimes.com/business/economy/it-s-not-just-us-rent-controls-aren-t-working-in-germany-either-1.3543256) </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 xml:space="preserve">En Berlín, los alquileres subían históricamente a una media de 1-2% anual. Al gobierno se le ocurrió la idea de poner “freno al alquiler”. Desde entonces, en dos años, subieron un 10% (https://www.economist.com/the-economist-explains/2018/06/15/why-germanys-rent-brake-has-failed) </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“En el más benigno de los casos, el coste burocrático y administrativo no compensa y los efectos negativos de mayor intervención empeoran la situación para los inquilinos” (Edgar O. Olsen).</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Todos entendemos que imponer precios máximos destruye la oferta potencial y, con ello, la disponibilidad de productos. Los precios impuestos consiguen lo contrario de lo que buscan. Se disparan porque se ahoga la cantidad y la calidad de la oferta.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 xml:space="preserve">Todos queremos que mejore el acceso a vivienda en nuestras ciudades. Para eso hay que trabajar en mejorar y aumentar la oferta, con colaboración pública y privada, para que la demanda no se quede a merced de las veleidades intervencionistas de personas que jamás han creado un empleo o invertido en crear soluciones en vivienda. </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 xml:space="preserve">- </w:t>
      </w:r>
      <w:r w:rsidRPr="005D7F7A">
        <w:rPr>
          <w:rFonts w:ascii="Times New Roman" w:hAnsi="Times New Roman" w:cs="Times New Roman"/>
          <w:sz w:val="24"/>
          <w:szCs w:val="24"/>
          <w:u w:val="single"/>
          <w:shd w:val="clear" w:color="auto" w:fill="FFFFFF"/>
        </w:rPr>
        <w:t>Limitar el precio en grandes ciudades y promover más vivienda social: ¿cómo regulan los alquileres en Europa</w:t>
      </w:r>
      <w:r w:rsidRPr="005D7F7A">
        <w:rPr>
          <w:rFonts w:ascii="Times New Roman" w:hAnsi="Times New Roman" w:cs="Times New Roman"/>
          <w:sz w:val="24"/>
          <w:szCs w:val="24"/>
          <w:shd w:val="clear" w:color="auto" w:fill="FFFFFF"/>
        </w:rPr>
        <w:t xml:space="preserve">? (Fuente: rtve.es/noticias - </w:t>
      </w:r>
      <w:r w:rsidRPr="005D7F7A">
        <w:rPr>
          <w:rFonts w:ascii="Times New Roman" w:hAnsi="Times New Roman" w:cs="Times New Roman"/>
          <w:b/>
          <w:sz w:val="24"/>
          <w:szCs w:val="24"/>
          <w:shd w:val="clear" w:color="auto" w:fill="FFFFFF"/>
        </w:rPr>
        <w:t>12/1/23</w:t>
      </w:r>
      <w:r w:rsidRPr="005D7F7A">
        <w:rPr>
          <w:rFonts w:ascii="Times New Roman" w:hAnsi="Times New Roman" w:cs="Times New Roman"/>
          <w:sz w:val="24"/>
          <w:szCs w:val="24"/>
          <w:shd w:val="clear" w:color="auto" w:fill="FFFFFF"/>
        </w:rPr>
        <w:t>)</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En Austria, el 24% de viviendas son de alquiler social, una cifra que se dispara al 60% en su capital, Viena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Países Bajos limitará los alquileres a 1.100 euros mensuales a partir de 2024, lo que afectará a unas 300.000 viviendas</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Limitar el precio en grandes ciudades y promover más vivienda social: ¿cómo regulan los alquileres en Europa?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(Por Ruth Drake)</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Países Bajos, Austria, Alemania y Suecia. Hay que mirar a Europa Central y Europa del Norte para vislumbrar las regulaciones al alquiler más destacadas del continente: limitar las subidas en las zonas densamente pobladas de grandes ciudades y promover parques de vivienda</w:t>
      </w:r>
      <w:r>
        <w:rPr>
          <w:rFonts w:ascii="Times New Roman" w:hAnsi="Times New Roman" w:cs="Times New Roman"/>
          <w:sz w:val="24"/>
          <w:szCs w:val="24"/>
          <w:shd w:val="clear" w:color="auto" w:fill="FFFFFF"/>
        </w:rPr>
        <w:t xml:space="preserve"> destinados al alquiler social.</w:t>
      </w:r>
    </w:p>
    <w:p w:rsidR="008F7A2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En un escenario de inflación y un encarecimiento de las hipotecas, parte de la demanda se mueve al alquiler, que también se está disparando. En este escenario, muchos Gobiernos llevan años apl</w:t>
      </w:r>
      <w:r>
        <w:rPr>
          <w:rFonts w:ascii="Times New Roman" w:hAnsi="Times New Roman" w:cs="Times New Roman"/>
          <w:sz w:val="24"/>
          <w:szCs w:val="24"/>
          <w:shd w:val="clear" w:color="auto" w:fill="FFFFFF"/>
        </w:rPr>
        <w:t>icando ciertos límites, aunque “</w:t>
      </w:r>
      <w:r w:rsidRPr="005D7F7A">
        <w:rPr>
          <w:rFonts w:ascii="Times New Roman" w:hAnsi="Times New Roman" w:cs="Times New Roman"/>
          <w:sz w:val="24"/>
          <w:szCs w:val="24"/>
          <w:shd w:val="clear" w:color="auto" w:fill="FFFFFF"/>
        </w:rPr>
        <w:t xml:space="preserve">en general, el control en el precio de inicio y los aumentos de los alquileres son frecuentes, </w:t>
      </w:r>
      <w:r>
        <w:rPr>
          <w:rFonts w:ascii="Times New Roman" w:hAnsi="Times New Roman" w:cs="Times New Roman"/>
          <w:sz w:val="24"/>
          <w:szCs w:val="24"/>
          <w:shd w:val="clear" w:color="auto" w:fill="FFFFFF"/>
        </w:rPr>
        <w:t>sobre todo, en Europa del Norte”</w:t>
      </w:r>
      <w:r w:rsidRPr="005D7F7A">
        <w:rPr>
          <w:rFonts w:ascii="Times New Roman" w:hAnsi="Times New Roman" w:cs="Times New Roman"/>
          <w:sz w:val="24"/>
          <w:szCs w:val="24"/>
          <w:shd w:val="clear" w:color="auto" w:fill="FFFFFF"/>
        </w:rPr>
        <w:t>, explica a RTVE.es Julio Rodríguez López, vocal del Consejo Superior de Estadística del INE y expresidente del Banco Hipotecario de España.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lastRenderedPageBreak/>
        <w:t>En cierto modo, España intenta adecuarse a este impulso con la Ley de Vivienda que todavía está pendie</w:t>
      </w:r>
      <w:r>
        <w:rPr>
          <w:rFonts w:ascii="Times New Roman" w:hAnsi="Times New Roman" w:cs="Times New Roman"/>
          <w:sz w:val="24"/>
          <w:szCs w:val="24"/>
          <w:shd w:val="clear" w:color="auto" w:fill="FFFFFF"/>
        </w:rPr>
        <w:t>nte de aprobarse. No obstante, “</w:t>
      </w:r>
      <w:r w:rsidRPr="005D7F7A">
        <w:rPr>
          <w:rFonts w:ascii="Times New Roman" w:hAnsi="Times New Roman" w:cs="Times New Roman"/>
          <w:sz w:val="24"/>
          <w:szCs w:val="24"/>
          <w:shd w:val="clear" w:color="auto" w:fill="FFFFFF"/>
        </w:rPr>
        <w:t>la regulación de alquileres n</w:t>
      </w:r>
      <w:r>
        <w:rPr>
          <w:rFonts w:ascii="Times New Roman" w:hAnsi="Times New Roman" w:cs="Times New Roman"/>
          <w:sz w:val="24"/>
          <w:szCs w:val="24"/>
          <w:shd w:val="clear" w:color="auto" w:fill="FFFFFF"/>
        </w:rPr>
        <w:t>o es algo nuevo en nuestro país”</w:t>
      </w:r>
      <w:r w:rsidRPr="005D7F7A">
        <w:rPr>
          <w:rFonts w:ascii="Times New Roman" w:hAnsi="Times New Roman" w:cs="Times New Roman"/>
          <w:sz w:val="24"/>
          <w:szCs w:val="24"/>
          <w:shd w:val="clear" w:color="auto" w:fill="FFFFFF"/>
        </w:rPr>
        <w:t>, explica a RTVE.es José García Montalvo, catedrático de Economía de la Universidad Pompeu Fabra. Recuerda que en los años 60 y 70 del siglo pasado ya se establecían cuantías fijas en cada contrato y recientemente también se han fijado límites en zonas “tensas” de Barcelona. Ahora, matiza este experto, el objetivo a nivel estatal es otro: controlar la subida de un contrato al siguiente.</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 xml:space="preserve">Sin embargo, esto no es algo novedoso en Europa, donde Rodríguez López señala que hay países que ya controlan el precio inicial del contrato </w:t>
      </w:r>
      <w:r>
        <w:rPr>
          <w:rFonts w:ascii="Times New Roman" w:hAnsi="Times New Roman" w:cs="Times New Roman"/>
          <w:sz w:val="24"/>
          <w:szCs w:val="24"/>
          <w:shd w:val="clear" w:color="auto" w:fill="FFFFFF"/>
        </w:rPr>
        <w:t>o los posteriores incrementos: “</w:t>
      </w:r>
      <w:r w:rsidRPr="005D7F7A">
        <w:rPr>
          <w:rFonts w:ascii="Times New Roman" w:hAnsi="Times New Roman" w:cs="Times New Roman"/>
          <w:sz w:val="24"/>
          <w:szCs w:val="24"/>
          <w:shd w:val="clear" w:color="auto" w:fill="FFFFFF"/>
        </w:rPr>
        <w:t>Todavía tienen regulación directa seis países: Dinamarca, Países Bajos, Austria, Luxemburgo, Suecia, Alemania, y</w:t>
      </w:r>
      <w:r>
        <w:rPr>
          <w:rFonts w:ascii="Times New Roman" w:hAnsi="Times New Roman" w:cs="Times New Roman"/>
          <w:sz w:val="24"/>
          <w:szCs w:val="24"/>
          <w:shd w:val="clear" w:color="auto" w:fill="FFFFFF"/>
        </w:rPr>
        <w:t xml:space="preserve"> a esto se añade Estados Unidos”</w:t>
      </w:r>
      <w:r w:rsidRPr="005D7F7A">
        <w:rPr>
          <w:rFonts w:ascii="Times New Roman" w:hAnsi="Times New Roman" w:cs="Times New Roman"/>
          <w:sz w:val="24"/>
          <w:szCs w:val="24"/>
          <w:shd w:val="clear" w:color="auto" w:fill="FFFFFF"/>
        </w:rPr>
        <w:t>.</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Pero, ¿qué destaca en la normativa de cada uno de ellos?</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Alemania: la cuna de la regulación de las zonas densamente pobladas</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En Alemania se han tomado medidas que luego han servido de referencia para otros países. Por ejemplo, cada land o estado federado puede hacer que su municipio fije controles en los alquileres de zonas densamente pobladas, las llamadas “tensionadas”, donde el precio sube más que a nivel estatal y el esfuerzo de los inquilinos es mayor que la media nacional. Para ello, tienen en cuenta un precio de referencia en cada área y los nuevos contratos o los incrementos de los que ya están vigentes no pueden superarlo.</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“Hay 11 estados federados que lo aplican en 300 municipios, de forma que 20 millones de habitantes están en viviendas con un control muy fuerte”, señala Rodríguez López. Un sistema similar se aplica actualmente en Cataluña, donde la Agencia de Vivienda de Cataluña fija un precio medio por metro cuadrado y municipio, algo que no existe a nivel nacional ni en otras comunidades al mismo nivel. Como defiende el experto, “en el proyecto de ley estatal de España se nota mucho la influencia alemana y la catalana”.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En abril de 2021, el Tribunal Constitucional tumbó la ley que limitaba los precios de los alquileres en Berlín por considerar que invadía competencias estatales.</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Austria y Países Bajos, los mayores parques de alquiler social de Europa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Países Bajos tiene un 30% de viviendas destinadas al alquiler social, lo que le convierte en el país europeo con más parque destinado a esta modalidad en la que los precios que se aplican son inferiores a los del mercado. Por detrás está Austria, con el 24%; Dinamarca y Suecia, con un 20% aproximado cada uno; y Reino Unido y Francia, donde ronda el 17% en ambos casos. Son datos del Boletín Especial de Vivienda Social de 2020, el último de este tipo publicado por el Ministerio de Transportes, Movilidad y Agenda Urbana (Mitma).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Por ciudades, destaca la capital austriaca, Viena, don</w:t>
      </w:r>
      <w:r w:rsidR="0048750D">
        <w:rPr>
          <w:rFonts w:ascii="Times New Roman" w:hAnsi="Times New Roman" w:cs="Times New Roman"/>
          <w:sz w:val="24"/>
          <w:szCs w:val="24"/>
          <w:shd w:val="clear" w:color="auto" w:fill="FFFFFF"/>
        </w:rPr>
        <w:t>de la cifra sube hasta el 60%. “</w:t>
      </w:r>
      <w:r w:rsidRPr="005D7F7A">
        <w:rPr>
          <w:rFonts w:ascii="Times New Roman" w:hAnsi="Times New Roman" w:cs="Times New Roman"/>
          <w:sz w:val="24"/>
          <w:szCs w:val="24"/>
          <w:shd w:val="clear" w:color="auto" w:fill="FFFFFF"/>
        </w:rPr>
        <w:t>Es una ciudad ideal para cuestiones de vivienda y casi todas son de titularidad pú</w:t>
      </w:r>
      <w:r w:rsidR="0048750D">
        <w:rPr>
          <w:rFonts w:ascii="Times New Roman" w:hAnsi="Times New Roman" w:cs="Times New Roman"/>
          <w:sz w:val="24"/>
          <w:szCs w:val="24"/>
          <w:shd w:val="clear" w:color="auto" w:fill="FFFFFF"/>
        </w:rPr>
        <w:t>blica”</w:t>
      </w:r>
      <w:r>
        <w:rPr>
          <w:rFonts w:ascii="Times New Roman" w:hAnsi="Times New Roman" w:cs="Times New Roman"/>
          <w:sz w:val="24"/>
          <w:szCs w:val="24"/>
          <w:shd w:val="clear" w:color="auto" w:fill="FFFFFF"/>
        </w:rPr>
        <w:t>, señala Rodríguez López.</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En Países Bajos, los precios se indexan con la inflación y los alquileres no podrán costar más de 1.100 euros mensuales a partir de 2024, como ha aprobado recientemente su Gobierno, lo que afectará a unas 300.000 viviendas. “El 70% de las viviendas de alquiler privadas tienen una renta regulada y también tienen limitados los aumentos de cada año”, señala el experto.</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lastRenderedPageBreak/>
        <w:t>Paloma Taltavull, catedrática de Economía de la Universidad de Alicante, también explica a RTVE.es que “en Países Bajos hay una separación muy clara entre mercado social y privado”. Como nos cuenta, su mercado social equivale al modelo de Viviendas de Protección Oficial (VPO) español.</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Suecia y la negociación del precio de referencia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En el caso de Suecia, el precio de referencia surge de la negociación colectiva entre inquilinos, empresas municipales de vivienda y propietarios privados, como matiza el vocal del Consejo Superior de Estadística del INE. “Este precio de referencia afecta al 90% de las viviendas de alquiler”, es decir, a la gran mayoría. Aunque esto puede parecer “modélico”, recuerda que ha hecho que escaseen las viviendas disponibles y ha disparado los precios de las del mercado libre que no están reguladas.</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 xml:space="preserve"> “En países más al norte de Europa, donde destacan Suecia y Países Bajos, se considera un deber público que la gente pueda acc</w:t>
      </w:r>
      <w:r>
        <w:rPr>
          <w:rFonts w:ascii="Times New Roman" w:hAnsi="Times New Roman" w:cs="Times New Roman"/>
          <w:sz w:val="24"/>
          <w:szCs w:val="24"/>
          <w:shd w:val="clear" w:color="auto" w:fill="FFFFFF"/>
        </w:rPr>
        <w:t>eder a la vivienda”, señala, y “</w:t>
      </w:r>
      <w:r w:rsidRPr="005D7F7A">
        <w:rPr>
          <w:rFonts w:ascii="Times New Roman" w:hAnsi="Times New Roman" w:cs="Times New Roman"/>
          <w:sz w:val="24"/>
          <w:szCs w:val="24"/>
          <w:shd w:val="clear" w:color="auto" w:fill="FFFFFF"/>
        </w:rPr>
        <w:t>en general, la figura del control en el precio de inicio y los aumentos de los alquileres son frecuentes, sobre todo, en Europa del Norte”, nos explica.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Francia y la vinculación de las subidas a la inflación</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La legislación francesa suele cambiar a menudo, indica este experto, pero siempre establece alguna forma de control. Cuenta con un índice de referencia vinculado al IPC y, hasta ahora, permite que las ciudades que quieran puedan limitar la subida de alquileres a un máximo del 20% sobre el alquiler medio de referencia. Además, desde 2023 prohíbe alquilar aquellas viviendas mal aisladas térmicamente y que, por tanto, consuman un exceso de energía.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Portugal: sin control, pero con bonificaciones fiscales</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Portugal no controla los alquileres y es de los países que menos interviene en este aspecto. Es algo en lo que coincide el vocal del Consejo Superior de Estadística del INE y el catedrático de Economía de la Universidad Pompeu Fabra. Lo que sí ha aprobado es limitar la subida de los contratos al 2% este año y, aunque no hay máximos de precios directos, Taltavull recuerda que “hay una política generalizada de moderación del crecimiento, como hace España”.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En esta línea, Rodríguez López recuerda que este país “tiene una ayuda al alquiler que se basa en desgravar fiscalmente las viviendas que se alquilan por un precio inferior al del mercado”.</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Italia, una gran desconocida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En el caso de Italia, los expertos nos indican que apenas tienen datos acerca de su regulación. “Por la poca información que hay, entiendo que no hay regulación porque, cuando sí existe, siempre hay algún académico que intenta saber qué características y efectos tiene. En el caso de Alemania lo sabemos todo, pero Italia es el eterno desconocido”, reconoce el catedrático de Economía de la Universidad Pompeu Fabra.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 xml:space="preserve">No obstante, la catedrática de Economía de la Universidad de Alicante recuerda que en Italia existe un límite por indexación. Según sus datos, la actual legislación data de 1998 y se basa en un mercado libre en el que se fija una renta (cantidad) inicial para cuatro años. “No está permitido un aumento mayor que el crecimiento del IPC” y “tampoco que el precio se </w:t>
      </w:r>
      <w:r w:rsidRPr="005D7F7A">
        <w:rPr>
          <w:rFonts w:ascii="Times New Roman" w:hAnsi="Times New Roman" w:cs="Times New Roman"/>
          <w:sz w:val="24"/>
          <w:szCs w:val="24"/>
          <w:shd w:val="clear" w:color="auto" w:fill="FFFFFF"/>
        </w:rPr>
        <w:lastRenderedPageBreak/>
        <w:t>duplique en el periodo de contrato, cuatro años: si pagas 1.000 euros, no puede incrementarse a 2.000”, explica.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Reino Unido</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Rodríguez López nos cuenta que Reino Unido ha tenido regulación en cuestiones de alquiler, pero actualmente no cuenta con ella. “Es un país muy complicado en el acceso a la vivienda y el alquiler medio actualmente ronda las 2.300 libras”, defiende. En esta línea, Taltavull destaca que Reino Unido fue de los pioneros en el alquiler social y tiene un sistema de gestión basado en las building societies, empresas sin ánimo de lucro que gestionan los parques de vivienda públicos para hogares de renta baja. “La fijación de las rentas es política, pública, no son rentas indexadas al mercado”, señala.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En América, Canadá prohíbe la compra de viviendas a extranjeros</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El Gobierno de Canadá prohibirá a los extranjeros no residentes que compren viviendas durante los próximos dos años para controlar la subida de precios. “La ley de Canadá es similar a la de Nueva Zelanda y alguna isla del Pacífico”, señala el catedrático de Economía de la Universidad Pompeu Fabra. No obstante, defiende que los extranjeros no llegan al 1% de las compras y “todo esto es no querer afrontar el problema fundamental de las zonas densamente pobladas, que es la falta de oferta”.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¿Y los desahucios?</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Más que medidas para prohibirlos, se ha avanzado en las moratorias, sob</w:t>
      </w:r>
      <w:r w:rsidR="0048750D">
        <w:rPr>
          <w:rFonts w:ascii="Times New Roman" w:hAnsi="Times New Roman" w:cs="Times New Roman"/>
          <w:sz w:val="24"/>
          <w:szCs w:val="24"/>
          <w:shd w:val="clear" w:color="auto" w:fill="FFFFFF"/>
        </w:rPr>
        <w:t>re todo a raíz de la pandemia: “</w:t>
      </w:r>
      <w:r w:rsidRPr="005D7F7A">
        <w:rPr>
          <w:rFonts w:ascii="Times New Roman" w:hAnsi="Times New Roman" w:cs="Times New Roman"/>
          <w:sz w:val="24"/>
          <w:szCs w:val="24"/>
          <w:shd w:val="clear" w:color="auto" w:fill="FFFFFF"/>
        </w:rPr>
        <w:t xml:space="preserve">La mayoría de países, entre ellos España, han aplicado moratorias al impago de hipoteca y alquiler, lo que ha servido para mantener la estabilidad de muchos </w:t>
      </w:r>
      <w:r w:rsidR="0048750D">
        <w:rPr>
          <w:rFonts w:ascii="Times New Roman" w:hAnsi="Times New Roman" w:cs="Times New Roman"/>
          <w:sz w:val="24"/>
          <w:szCs w:val="24"/>
          <w:shd w:val="clear" w:color="auto" w:fill="FFFFFF"/>
        </w:rPr>
        <w:t>hogares”</w:t>
      </w:r>
      <w:r w:rsidRPr="005D7F7A">
        <w:rPr>
          <w:rFonts w:ascii="Times New Roman" w:hAnsi="Times New Roman" w:cs="Times New Roman"/>
          <w:sz w:val="24"/>
          <w:szCs w:val="24"/>
          <w:shd w:val="clear" w:color="auto" w:fill="FFFFFF"/>
        </w:rPr>
        <w:t>, indica Taltavull. Ahora se ha puesto en la mesa la diferenciación del desahucio: si el impago se produce porque el inquilino no quiere hacerlo y no lo comunica, o si es por una causa sobrevenida, como perder el trabajo por una crisis económica o una pandemia.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Esto también se ha trasladado a nuestro país, como explica Rodríguez López: “España ha sido un país muy duro en este aspecto y está siendo paliado, no tanto por el código de buenas prácticas, sino por las moratorias que el Gobierno establece a los desahucios”.</w:t>
      </w:r>
    </w:p>
    <w:p w:rsidR="008F7A2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En el caso de hipotecas, señala que Francia y Suecia tienen los mejores sistemas para proteger al inquilino. En Francia, “un juez determina si el arrendatario es realmente insolvente sobrevenido no doloso, y se establece un mecanismo de segunda oportunidad con una nueva cantidad a pagar teniendo en cuenta sus circunstancias, por ejemplo, de empleo”. El juez incluso puede paralizar la ejecución hipotecaria y establecer un plan para que el comprador moroso pueda seguir afrontando la hipoteca en un plazo mayor, indica Rodríguez López.</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Consolidar un parque de alquiler social, la tarea pendiente</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Una de las claves para estos expertos es la promoción de las viviendas destinadas al alquiler social, algo en lo que España se sitúa a la cola de Europa. Del total del parque de viviendas, nuestro país solo destina el 2,5% al alquiler social, una cifra diez veces inferior a la de Países Bajos y Austria. “España está muy por debajo del promedio de la Unión Europea, que es del 10% de viviendas principales”, remarca Rodríguez López.</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 xml:space="preserve">Por ello, García Montalvo ve necesario dejar de dar subvenciones a la “piedra” (la venta de viviendas) y apostar por consolidar un parque de vivienda social permanente en el país. “Una </w:t>
      </w:r>
      <w:r w:rsidRPr="005D7F7A">
        <w:rPr>
          <w:rFonts w:ascii="Times New Roman" w:hAnsi="Times New Roman" w:cs="Times New Roman"/>
          <w:sz w:val="24"/>
          <w:szCs w:val="24"/>
          <w:shd w:val="clear" w:color="auto" w:fill="FFFFFF"/>
        </w:rPr>
        <w:lastRenderedPageBreak/>
        <w:t>regulación para hacer vivienda en alquiler social y que nunca salga del parque público para venderse en el privado, ya sea para alquiler o para compra”, recalca. También ve fundamental no cambiar de regulación y estrategia “cada dos por tres”: “Se habla de la maravilla del parque de vivienda social en Viena, pero claro, se ha construido en 105 años”, nos asegura.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Esta normativa también debe recoger una tendencia sociológica vital alejada de la tendencia tradicional española que suele priorizar la compra antes que el alquiler. De hecho, en Austria, Alemania y Dinamarca más del 40% de la población vive en régimen de alquiler, mientras que en España la cifra roza el 25%, según el Boletín Especial de Alquiler Residencial 2022 del Mitma.</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Para García Montalvo, “en cualquier país razonable, lo que hace una persona joven es alquilar en vez de comprar, porque no ha podido ahorrar o no tiene un trabajo consistente para meterse en una hipoteca”. Por ello, apuesta por seguir el ejemplo del País Vasco, con una trayectoria de 20 años mejorando su promoción de vivienda en alquiler social y donde Vitoria cuenta con aproximadamente un 20% de viviendas destinadas a alquiler social, según indica, una cifra más en la línea de otras capitales europeas. “Lo que se necesita es un mercado de alquiler eficiente, que funcione y con precios asequibles”, concluye.</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Medidas de primera, segunda y tercera generación: ¿cómo ha avanzado la regulación del alquiler?</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Como nos explican los expertos, hay tres categorías en la limitación de precios en el mercado de alquiler que han ido apareciendo con el avance de las décadas: de primera, segunda y tercera generación.</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En los controles de primera generación, se fija un precio inicial y no se toca más independientemente de lo que pueda suceder, estableciendo unos máximos de renta o rent caps. Es lo que se llama renta antigua y, aunque todavía quedan contratos de este tipo, se aplicó mucho más en los años 60 y 70 del siglo pasado.</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Con las de segunda generación se controla es la evolución de los contratos de alquiler y pueden aplicarse en el mismo contrato o en el paso a otro diferente. Se fijan límites en las subidas, como el IPC, un modelo que aplica en la mayoría de países europeos y en España en viviendas principales.</w:t>
      </w:r>
    </w:p>
    <w:p w:rsidR="008F7A2A" w:rsidRPr="005D7F7A" w:rsidRDefault="008F7A2A" w:rsidP="008F7A2A">
      <w:pPr>
        <w:spacing w:line="240" w:lineRule="auto"/>
        <w:jc w:val="both"/>
        <w:rPr>
          <w:rFonts w:ascii="Times New Roman" w:hAnsi="Times New Roman" w:cs="Times New Roman"/>
          <w:sz w:val="24"/>
          <w:szCs w:val="24"/>
          <w:shd w:val="clear" w:color="auto" w:fill="FFFFFF"/>
        </w:rPr>
      </w:pPr>
      <w:r w:rsidRPr="005D7F7A">
        <w:rPr>
          <w:rFonts w:ascii="Times New Roman" w:hAnsi="Times New Roman" w:cs="Times New Roman"/>
          <w:sz w:val="24"/>
          <w:szCs w:val="24"/>
          <w:shd w:val="clear" w:color="auto" w:fill="FFFFFF"/>
        </w:rPr>
        <w:t>Finalmente, las de tercera generación buscan afinar estas regulaciones en el espacio y establecen límites en “zonas tensionadas” dentro de grandes ciudades y donde más crecen los precios. A diferencia de las de segunda generación, estas afectan a la evolución dentro del mismo contrato y comenzaron a aplicarse en Reino Unido a partir de 2015 o 2016 y, a raíz de la pandemia. Ya se han generalizado a prácticamente todos los países europeos, cada uno con sus concreciones.</w:t>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t xml:space="preserve">- </w:t>
      </w:r>
      <w:r w:rsidRPr="004F4186">
        <w:rPr>
          <w:rFonts w:ascii="Times New Roman" w:hAnsi="Times New Roman" w:cs="Times New Roman"/>
          <w:sz w:val="24"/>
          <w:szCs w:val="24"/>
          <w:u w:val="single"/>
          <w:shd w:val="clear" w:color="auto" w:fill="FFFFFF"/>
        </w:rPr>
        <w:t>Regular el alquiler baja los precios de la vivienda, los problemas vienen después: menos oferta, más ilegalidades y peor calidad</w:t>
      </w:r>
      <w:r w:rsidRPr="004F4186">
        <w:rPr>
          <w:rFonts w:ascii="Times New Roman" w:hAnsi="Times New Roman" w:cs="Times New Roman"/>
          <w:sz w:val="24"/>
          <w:szCs w:val="24"/>
          <w:shd w:val="clear" w:color="auto" w:fill="FFFFFF"/>
        </w:rPr>
        <w:t xml:space="preserve"> (Fuente: infobae.com - </w:t>
      </w:r>
      <w:r w:rsidRPr="004F4186">
        <w:rPr>
          <w:rFonts w:ascii="Times New Roman" w:hAnsi="Times New Roman" w:cs="Times New Roman"/>
          <w:b/>
          <w:sz w:val="24"/>
          <w:szCs w:val="24"/>
          <w:shd w:val="clear" w:color="auto" w:fill="FFFFFF"/>
        </w:rPr>
        <w:t>20/4/25</w:t>
      </w:r>
      <w:r w:rsidRPr="004F4186">
        <w:rPr>
          <w:rFonts w:ascii="Times New Roman" w:hAnsi="Times New Roman" w:cs="Times New Roman"/>
          <w:sz w:val="24"/>
          <w:szCs w:val="24"/>
          <w:shd w:val="clear" w:color="auto" w:fill="FFFFFF"/>
        </w:rPr>
        <w:t>)</w:t>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t>Una investigación resume los principales resultados de más de 200 artículos publicados entre 1967 y 2023. La mayoría confirman que los alquileres de las viviendas sujetas a control disminuyen significativamente, con una reducción promedio cercana al 9,4%. Pero hay efectos adversos</w:t>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t>(Por Noelia Tabanera)</w:t>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lastRenderedPageBreak/>
        <w:t>Regular el alquiler de la vivienda. Sí o no. He aquí la cuestión. Quienes sufren para pagarlo y destinan más de la mitad de su salario a este bien de primera necesidad dirán que sí. Quienes tienen pisos en propiedad y los sacan al mercado con un precio elevado dirán que no. Ningún país del mundo ha puesto un tope al precio del metro cuadrado, aunque son muchos los que han tratado de llevar a cabo medidas para controlarlo. Pero lo cierto es que ninguna resuelve un dilema que se ha convertido en estructural y en un auténtico quebradero de cabeza para los ciudadanos con menos ingresos. En España, es el principal problema para una mayoría de la población.</w:t>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t>Ni las ayudas al alquiler, ni la facilidad para conseguir una hipoteca si eres menor de 35 años y no tienes ahorros ni los créditos ICO han conseguido paliar esta situación en España, especialmente en las zonas más tensionadas. Una de las preguntas que surgen es si regular el precio del alquiler sería una solución, es decir, que el precio del metro cuadrado tenga un máximo. Fijar un techo reduciría en un primer momento la carga económica de los inquilinos y la reducción de precios sería inmediata. A corto plazo el efecto es positivo. No obstante, con el tiempo, puede haber efectos adversos, como la reducción en la oferta de vivienda, un aumento de las ilegalidades en el mercado o una caída en la calidad de las viviendas.</w:t>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t>Esta es la conclusión a la que llega una investigación llevada a cabo por el economista Konstantin A. Kholodilin, que ha publicado un artículo en el que resume los principales resultados de más de 200 artículos publicados entre 1967 y 2023. El estudio, titulado Los efectos del control de alquileres a través de la investigación empírica: una revisión casi completa de la literatura, concluye que la mayoría de los trabajos sobre el tema confirman que los alquileres de las viviendas sujetas a control disminuyen significativamente, con una reducción promedio cercana al 9,4%.</w:t>
      </w:r>
    </w:p>
    <w:p w:rsidR="008F7A2A"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noProof/>
          <w:sz w:val="24"/>
          <w:szCs w:val="24"/>
          <w:shd w:val="clear" w:color="auto" w:fill="FFFFFF"/>
          <w:lang w:eastAsia="es-ES"/>
        </w:rPr>
        <w:drawing>
          <wp:inline distT="0" distB="0" distL="0" distR="0" wp14:anchorId="03D7068A" wp14:editId="6B22960D">
            <wp:extent cx="5727700" cy="4171950"/>
            <wp:effectExtent l="0" t="0" r="635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4174725"/>
                    </a:xfrm>
                    <a:prstGeom prst="rect">
                      <a:avLst/>
                    </a:prstGeom>
                  </pic:spPr>
                </pic:pic>
              </a:graphicData>
            </a:graphic>
          </wp:inline>
        </w:drawing>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lastRenderedPageBreak/>
        <w:t>Este impacto es especialmente evidente en mercados de alta demanda, donde los precios alcanzan niveles inalcanzables para una gran parte de la población. De esta forma, el control de alquileres puede aliviar la presión financiera sobre los inquilinos de las viviendas reguladas.</w:t>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t>Los efectos del control de alquileres que ocupan los lugares más destacados en la literatura.</w:t>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t>No se puede negar entonces que la implementación de políticas de control del precio de los alquileres genera una disminución inmediata del precio de la vivienda -siempre que se ajusten a la norma, claro-. Sin embargo, las ventajas inmediatas se ven contrarrestadas por efectos no deseados que afectan a la oferta y la calidad de la vivienda.</w:t>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t>Principal inconveniente: menos oferta</w:t>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t>El principal inconveniente es la disminución de la oferta de viviendas disponibles en el mercado del alquiler. Al reducir las ganancias de los arrendadores, los incentivos para construir nuevas viviendas o mantener las existentes se ven mermados. Este fenómeno no solo afecta a los nuevos inquilinos, sino que puede resultar en un aumento de la escasez de viviendas en alquiler. La regulación de los precios de alquiler también puede llevar a que muchos propietarios decidan vender sus propiedades o convertirlas en viviendas de propiedad, lo que reduce aún más la disponibilidad de alquiler.</w:t>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t>Otra consecuencia directa del control de los alquileres es el fomento de prácticas ilegales en el mercado. En contextos donde la demanda de vivienda supera la oferta, es común que los propietarios recurran a tener a los inquilinos sin contrato, lo que implica pagos no oficiales al arrendador para asegurar el alquiler de una vivienda. O que tengan un contrato, pero deban pagar en B la cantidad restante. Estas prácticas distorsionan el mercado y lo hacen aún más opaco, dificultando el acceso a vivienda para aquellos que no pueden o no quieren involucrarse en actividades informales. La cuestión sería implementar algún tipo de norma que evitara que se diera esta situación.</w:t>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t>El control de los alquileres también tiene un impacto negativo en la calidad de las viviendas reguladas. Debido a la reducción en los ingresos de los propietarios, los incentivos para realizar mantenimientos o mejoras en las propiedades se ven fuertemente disminuidos. Como resultado, muchas viviendas sujetas a control experimentan un deterioro gradual, ya que los propietarios no están dispuestos a invertir en su mantenimiento sin un retorno adecuado de la inversión.</w:t>
      </w:r>
    </w:p>
    <w:p w:rsidR="008F7A2A" w:rsidRPr="004F4186"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t>Por otro lado, también dificulta la movilidad residencial. Al estar los alquileres más bajos de lo que serían en un mercado libre, los inquilinos en viviendas reguladas tienden a quedarse más tiempo en sus residencias, incluso cuando sus necesidades cambian. Esto reduce las opciones de cambio, lo que puede tener efectos negativos sobre la flexibilidad laboral y la eficiencia del mercado laboral.</w:t>
      </w:r>
    </w:p>
    <w:p w:rsidR="008F7A2A" w:rsidRDefault="008F7A2A" w:rsidP="008F7A2A">
      <w:pPr>
        <w:spacing w:line="240" w:lineRule="auto"/>
        <w:jc w:val="both"/>
        <w:rPr>
          <w:rFonts w:ascii="Times New Roman" w:hAnsi="Times New Roman" w:cs="Times New Roman"/>
          <w:sz w:val="24"/>
          <w:szCs w:val="24"/>
          <w:shd w:val="clear" w:color="auto" w:fill="FFFFFF"/>
        </w:rPr>
      </w:pPr>
      <w:r w:rsidRPr="004F4186">
        <w:rPr>
          <w:rFonts w:ascii="Times New Roman" w:hAnsi="Times New Roman" w:cs="Times New Roman"/>
          <w:sz w:val="24"/>
          <w:szCs w:val="24"/>
          <w:shd w:val="clear" w:color="auto" w:fill="FFFFFF"/>
        </w:rPr>
        <w:t>Aunque una de las justificaciones para la implementación de políticas de control de alquileres es la lucha contra la desigualdad económica, estos sistemas pueden, paradójicamente, generar situaciones de una mala asignación de recursos, según el estudio. Los inquilinos con ingresos más altos, que se benefician de alquileres más bajos en propiedades en buenas condiciones, pueden obtener una ventaja injusta sobre aquellos que realmente necesitan la vivienda. Además, la escasez de viviendas disponibles para el alquiler puede forzar a los inquilinos de bajos ingresos a desplazarse a zonas menos atractivas.</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lastRenderedPageBreak/>
        <w:t xml:space="preserve">- </w:t>
      </w:r>
      <w:r w:rsidRPr="000458C0">
        <w:rPr>
          <w:rFonts w:ascii="Times New Roman" w:hAnsi="Times New Roman" w:cs="Times New Roman"/>
          <w:sz w:val="24"/>
          <w:szCs w:val="24"/>
          <w:u w:val="single"/>
        </w:rPr>
        <w:t>Los salarios de los españoles no consiguen despegar de niveles de hace 30 años</w:t>
      </w:r>
      <w:r w:rsidRPr="000458C0">
        <w:rPr>
          <w:rFonts w:ascii="Times New Roman" w:hAnsi="Times New Roman" w:cs="Times New Roman"/>
          <w:sz w:val="24"/>
          <w:szCs w:val="24"/>
        </w:rPr>
        <w:t xml:space="preserve"> (Libertad Digital - </w:t>
      </w:r>
      <w:r w:rsidRPr="000458C0">
        <w:rPr>
          <w:rFonts w:ascii="Times New Roman" w:hAnsi="Times New Roman" w:cs="Times New Roman"/>
          <w:b/>
          <w:sz w:val="24"/>
          <w:szCs w:val="24"/>
        </w:rPr>
        <w:t>25/7/25</w:t>
      </w:r>
      <w:r w:rsidRPr="000458C0">
        <w:rPr>
          <w:rFonts w:ascii="Times New Roman" w:hAnsi="Times New Roman" w:cs="Times New Roman"/>
          <w:sz w:val="24"/>
          <w:szCs w:val="24"/>
        </w:rPr>
        <w:t>)</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Ni suben los sueldos ni crece la ambición por crear riqueza, sumiendo a España en una mentalidad tercermundista.</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(Por Diego Sánchez de la Cruz)</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España lleva décadas atrapada en una parálisis salarial que no encuentra solución. Los datos lo confirman de forma abrumadora: en los últimos treinta años, el salario real medio ha crecido apenas un 6 %, según Eurostat. Mientras tanto, Irlanda lo ha hecho un +72 %, Suecia un +57 %, y países comparables como Portugal o Francia superan el +24 % y +27 % respectivamente. Solo Italia comparte con España este estancamiento, con un crecimiento del +3 % que incluso se torna negativo al analizar las cifras para los empleados a tiempo completo. Según los últimos datos de la OCDE que ha recogido El Mundo, el resultado es todavía peor para España porque los salarios reales en ese mismo periodo sólo habrían crecido un 2,76%, el cuarto peor de los 38 países miembros.</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Y lo más grave es que la situación no ha mejorado en los últimos años, sino que ha empeorado. Como muestra la Encuesta Anual de Estructura Salarial del INE, el salario medio real en España en el año 2023 fue un 1,9 % inferior al de 2018, a pesar de que el salario nominal ha subido a lo largo de este periodo. La razón: la inflación ha devorado cualquier ganancia.</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Los salarios no suben, pero los costes sobre el trabajo sí lo hacen. Desde que entró en vigor el Mecanismo de Equidad Intergeneracional y la nueva cuota de solidaridad, las cotizaciones se han disparado, provocando un aumento del 6,2 % en los costes laborales no salariales. Todo esto ha ocurrido en apenas dos años. ¿El resultado? Trabajar en España es cada vez menos rentable para todos: para el empleado, para el empleador y para el país.</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Además, el número de personas con ingresos relativamente altos es muy limitado. Como ha explicado el ingeniero industrial y divulgador económico Jon González, apenas 6 millones de personas declaran más de 30.000 euros de ingresos brutos anuales, una cifra muy reducida, especialmente si tenemos en cuenta que 30.000 euros son un umbral de ingresos muy alejado de lo que verda</w:t>
      </w:r>
      <w:r w:rsidR="0048750D">
        <w:rPr>
          <w:rFonts w:ascii="Times New Roman" w:hAnsi="Times New Roman" w:cs="Times New Roman"/>
          <w:sz w:val="24"/>
          <w:szCs w:val="24"/>
        </w:rPr>
        <w:t>deramente podríamos considerar “renta alta”</w:t>
      </w:r>
      <w:r w:rsidRPr="000458C0">
        <w:rPr>
          <w:rFonts w:ascii="Times New Roman" w:hAnsi="Times New Roman" w:cs="Times New Roman"/>
          <w:sz w:val="24"/>
          <w:szCs w:val="24"/>
        </w:rPr>
        <w:t>. De esta cifra, y según datos cruzados de Hacienda, la Seguridad Social y la EPA, sabemos que un tercio son pensionistas y otra tercera parte, empleados públicos, de modo que el peso del sector privado en esa franja es minoritario.</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¿Dónde están los verdaderamente ricos? Simple: no están. En 2022, según la Agencia Tributaria, solo 852 personas en toda España declararon un patrimonio superior a los 30 millones de euros. Para comparar: en Estados Unidos había más de 200.000 personas con ese nivel, con una población solo siete veces mayor. Ajustando las cifras, nuestro país debería tener en torno a 6.000 ricos para presentar una estructura de grandes patrimonios comparable a la del país norteamericano. Incluso aspirando simplemente a una tasa equivalente al 50% de las cifras alcanzadas en suelo estadounidense, hablaríamos de algo más de 3.000 patrimonios de más de 30 millones, es decir, casi 4 veces menos de lo que realmente nos encontramos en nuestro país.</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 xml:space="preserve">Este empobrecimiento, objetivo en base a los datos y apuntalado por el hecho de que la renta de los españoles está cada vez más lejos de la media europea y ya está a años luz de los niveles apreciados en Estados Unidos, se refuerza con un problema subjetivo: la visión </w:t>
      </w:r>
      <w:r w:rsidRPr="000458C0">
        <w:rPr>
          <w:rFonts w:ascii="Times New Roman" w:hAnsi="Times New Roman" w:cs="Times New Roman"/>
          <w:sz w:val="24"/>
          <w:szCs w:val="24"/>
        </w:rPr>
        <w:lastRenderedPageBreak/>
        <w:t>cultural de la riqueza. En su estudio internacional sobre la percepción de los ricos, el empresario, autor superventas y colaborador de Libre Mercado, Rainer Zitelmann puso de manifiesto que España es uno de los países donde más predomina la mentalidad de suma cero, es decir, la idea de que, en el mercado, si uno gana es porque otro pierde. En lugar de ver la riqueza como un proceso de creación, esta forma de entender el comercio percibe cualquier enriquecimiento como resultado de un reparto injusto. Siguiendo esa lógica, aspirar al éxito económico despierta sospechas, no admiración.</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Y eso nos lleva a lo más profundo del problema: la mediocridad no</w:t>
      </w:r>
      <w:r>
        <w:rPr>
          <w:rFonts w:ascii="Times New Roman" w:hAnsi="Times New Roman" w:cs="Times New Roman"/>
          <w:sz w:val="24"/>
          <w:szCs w:val="24"/>
        </w:rPr>
        <w:t>rmalizada. En España, se llama “rico”</w:t>
      </w:r>
      <w:r w:rsidRPr="000458C0">
        <w:rPr>
          <w:rFonts w:ascii="Times New Roman" w:hAnsi="Times New Roman" w:cs="Times New Roman"/>
          <w:sz w:val="24"/>
          <w:szCs w:val="24"/>
        </w:rPr>
        <w:t xml:space="preserve"> a aquel que, simplemente, no es pobre. Como ha denunciado el profesor de la Universidad de Pensilvania, Jesús Fernández-Villaverde, en sus últimas conferencias y en sus publicaciones en redes sociales, el hecho de que se considere que c</w:t>
      </w:r>
      <w:r>
        <w:rPr>
          <w:rFonts w:ascii="Times New Roman" w:hAnsi="Times New Roman" w:cs="Times New Roman"/>
          <w:sz w:val="24"/>
          <w:szCs w:val="24"/>
        </w:rPr>
        <w:t>on 80.000 euros brutos anuales “se vive de cine”</w:t>
      </w:r>
      <w:r w:rsidRPr="000458C0">
        <w:rPr>
          <w:rFonts w:ascii="Times New Roman" w:hAnsi="Times New Roman" w:cs="Times New Roman"/>
          <w:sz w:val="24"/>
          <w:szCs w:val="24"/>
        </w:rPr>
        <w:t xml:space="preserve"> revela hasta qué punto se han desdibujado las referencias. Con ese sueldo, JFV recalca que una familia no puede permitirse lujo alguno y simplemente puede aspirar a tener una vida clasemediera, quizá sin apuros, pero lejos de grandes comodidades.</w:t>
      </w:r>
    </w:p>
    <w:p w:rsidR="008F7A2A" w:rsidRPr="000458C0" w:rsidRDefault="008F7A2A" w:rsidP="008F7A2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458C0">
        <w:rPr>
          <w:rFonts w:ascii="Times New Roman" w:hAnsi="Times New Roman" w:cs="Times New Roman"/>
          <w:sz w:val="24"/>
          <w:szCs w:val="24"/>
        </w:rPr>
        <w:t>Pocas cosas ilustran mejor cómo hemos interiorizado la mediocridad económica que creer que ganar 250.000 euros br</w:t>
      </w:r>
      <w:r>
        <w:rPr>
          <w:rFonts w:ascii="Times New Roman" w:hAnsi="Times New Roman" w:cs="Times New Roman"/>
          <w:sz w:val="24"/>
          <w:szCs w:val="24"/>
        </w:rPr>
        <w:t>utos al año en Madrid es “vivir bien”</w:t>
      </w:r>
      <w:r w:rsidRPr="000458C0">
        <w:rPr>
          <w:rFonts w:ascii="Times New Roman" w:hAnsi="Times New Roman" w:cs="Times New Roman"/>
          <w:sz w:val="24"/>
          <w:szCs w:val="24"/>
        </w:rPr>
        <w:t>. Esa renta equivale a tener unos seis millones de euros en activos financieros más una vivienda en propiedad. Es vivir mejor que la inmensa mayoría de los españoles, sí. Pero no es vivir como un rico. Nos conformamos c</w:t>
      </w:r>
      <w:r>
        <w:rPr>
          <w:rFonts w:ascii="Times New Roman" w:hAnsi="Times New Roman" w:cs="Times New Roman"/>
          <w:sz w:val="24"/>
          <w:szCs w:val="24"/>
        </w:rPr>
        <w:t>on nada”</w:t>
      </w:r>
      <w:r w:rsidRPr="000458C0">
        <w:rPr>
          <w:rFonts w:ascii="Times New Roman" w:hAnsi="Times New Roman" w:cs="Times New Roman"/>
          <w:sz w:val="24"/>
          <w:szCs w:val="24"/>
        </w:rPr>
        <w:t>, ha señalado a este respecto Fernández Villaverde.</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El pobrismo domina el debate en España</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El problema no es solo económico. Es moral y aspiracional. Como expliqué en mi libro Por qué soy liberal (Deusto, 2021), el pobrismo es esa ideología que condena la ambición, glorifica el conformismo y castiga la excelencia. Este marco de pensamiento prefiere el igualitarismo mediocre a la desigualdad dinámica. Es el credo de quien teme el éxito ajeno y desconfía del mérito. Cuando cala esta idea, el problema ya no es que no haya ricos, sino que, además, nadie se atreve a aspirar a serlo, porque el predominio de esta cultura significa traicionar al grupo y convertirse en sospechoso.</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Estas ideas encuentran eco en los escritos de pensadores como Deirdre McCloskey y Antonio Escohotado, quienes escribieron páginas y páginas sobre la importancia de respetar y tolerar la creación de riqueza como paso previo para asegurar que una sociedad puede prosperar. Sin embargo, el rechazo a los ricos y al capitalismo sigue teniendo demasiado eco en la sociedad de nuestro país. Y, mientras tanto, el resultado es el que es: la productividad se estanca, los salarios reales no suben, y la generación de riqueza sigue siendo una excepción en lugar de una aspiración nacional.</w:t>
      </w:r>
    </w:p>
    <w:p w:rsidR="008F7A2A"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España no necesita más reparto de la riqueza: necesita más creación de riqueza… y eso solo vendrá con menos pobrismo, más ambición y una reconciliación cultural con el éxito. O abandonamos el tercermundismo mental en el que nos hemos enfrascado o el resultado no será otro que la profundización de la decadencia que ya venimos sufriendo desde hace demasiados años.</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 xml:space="preserve">- </w:t>
      </w:r>
      <w:r w:rsidRPr="000458C0">
        <w:rPr>
          <w:rFonts w:ascii="Times New Roman" w:hAnsi="Times New Roman" w:cs="Times New Roman"/>
          <w:sz w:val="24"/>
          <w:szCs w:val="24"/>
          <w:u w:val="single"/>
        </w:rPr>
        <w:t>Un trabajador necesita más de 45 años de media para comprar un piso sin sobrepasar el umbral de esfuerzo recomendado</w:t>
      </w:r>
      <w:r w:rsidRPr="000458C0">
        <w:rPr>
          <w:rFonts w:ascii="Times New Roman" w:hAnsi="Times New Roman" w:cs="Times New Roman"/>
          <w:sz w:val="24"/>
          <w:szCs w:val="24"/>
        </w:rPr>
        <w:t xml:space="preserve"> (El País - </w:t>
      </w:r>
      <w:r w:rsidRPr="000458C0">
        <w:rPr>
          <w:rFonts w:ascii="Times New Roman" w:hAnsi="Times New Roman" w:cs="Times New Roman"/>
          <w:b/>
          <w:sz w:val="24"/>
          <w:szCs w:val="24"/>
        </w:rPr>
        <w:t>28/7/25</w:t>
      </w:r>
      <w:r w:rsidRPr="000458C0">
        <w:rPr>
          <w:rFonts w:ascii="Times New Roman" w:hAnsi="Times New Roman" w:cs="Times New Roman"/>
          <w:sz w:val="24"/>
          <w:szCs w:val="24"/>
        </w:rPr>
        <w:t>)</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Los empleados con peores condiciones del sector de la hostelería, comercio o agricultura, deben destinar casi el 100% de su salario para pagar un alquiler básico, según un estudio de la UGT</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lastRenderedPageBreak/>
        <w:t>(Por Luis Paz Villa)</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El coste de la vivienda en España escala sin tregua y cada vez son menos los que pueden permitirse adquirir un piso sin destinar una ingente proporción de sus ingresos mensuales al pago de las cuotas de la hipoteca. Un trabajador necesita, de media, más de 45,6 años para poder afrontar el pago de una vivienda utilizan</w:t>
      </w:r>
      <w:r>
        <w:rPr>
          <w:rFonts w:ascii="Times New Roman" w:hAnsi="Times New Roman" w:cs="Times New Roman"/>
          <w:sz w:val="24"/>
          <w:szCs w:val="24"/>
        </w:rPr>
        <w:t>do el 40% del salario neto, -</w:t>
      </w:r>
      <w:r w:rsidRPr="000458C0">
        <w:rPr>
          <w:rFonts w:ascii="Times New Roman" w:hAnsi="Times New Roman" w:cs="Times New Roman"/>
          <w:sz w:val="24"/>
          <w:szCs w:val="24"/>
        </w:rPr>
        <w:t>umbral de esfuerzo recomendado por la Organización para la Cooperación y el Desarrollo Económicos (OCDE) y 10 puntos por encima de lo rec</w:t>
      </w:r>
      <w:r>
        <w:rPr>
          <w:rFonts w:ascii="Times New Roman" w:hAnsi="Times New Roman" w:cs="Times New Roman"/>
          <w:sz w:val="24"/>
          <w:szCs w:val="24"/>
        </w:rPr>
        <w:t>omendado por la Ley de Vivienda-</w:t>
      </w:r>
      <w:r w:rsidRPr="000458C0">
        <w:rPr>
          <w:rFonts w:ascii="Times New Roman" w:hAnsi="Times New Roman" w:cs="Times New Roman"/>
          <w:sz w:val="24"/>
          <w:szCs w:val="24"/>
        </w:rPr>
        <w:t>. Este periodo es, además, un 50% más de tiempo del que necesitaría si no pagara intereses (30,4 años). Así lo refleja el informe Convenios colectivos y derecho a la vivienda, publicado este lunes por UGT.</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En algunos territorios como Madrid, Cataluña o Baleares, el precio de un inm</w:t>
      </w:r>
      <w:r>
        <w:rPr>
          <w:rFonts w:ascii="Times New Roman" w:hAnsi="Times New Roman" w:cs="Times New Roman"/>
          <w:sz w:val="24"/>
          <w:szCs w:val="24"/>
        </w:rPr>
        <w:t>ueble de esas características, -</w:t>
      </w:r>
      <w:r w:rsidRPr="000458C0">
        <w:rPr>
          <w:rFonts w:ascii="Times New Roman" w:hAnsi="Times New Roman" w:cs="Times New Roman"/>
          <w:sz w:val="24"/>
          <w:szCs w:val="24"/>
        </w:rPr>
        <w:t>tomando como referenci</w:t>
      </w:r>
      <w:r>
        <w:rPr>
          <w:rFonts w:ascii="Times New Roman" w:hAnsi="Times New Roman" w:cs="Times New Roman"/>
          <w:sz w:val="24"/>
          <w:szCs w:val="24"/>
        </w:rPr>
        <w:t>a el índice del portal Fotocasa-</w:t>
      </w:r>
      <w:r w:rsidRPr="000458C0">
        <w:rPr>
          <w:rFonts w:ascii="Times New Roman" w:hAnsi="Times New Roman" w:cs="Times New Roman"/>
          <w:sz w:val="24"/>
          <w:szCs w:val="24"/>
        </w:rPr>
        <w:t xml:space="preserve"> equivale a entre 20 y 25 sueldos anuales íntegros. Por este motivo, el sindicato alerta de que la vivienda se ha convertido en “un lujo inalcanzable” para el grueso de la clase trabajadora. “Ni la vía del alquiler ni la de la compra son hoy opciones reales para miles de personas cuyos ingresos provienen del trabajo”, reza el informe.</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En cuanto a los arrendamientos, la central sindical revela que algunos empleados están condenados a abonar el total de su sueldo a sus caseros si quieren vivir en un piso de una superficie básica. Es el caso de los trabajadores sujetos a los convenios de hostelería, comercio o sector agrario en grandes capitales como Madrid y Barcelona; o el de los correspondientes a las categorías salariales más bajas del sector de limpieza de edificios y locales en Islas Baleares y Málaga. En concreto, solo en el 15% de los 195 supu</w:t>
      </w:r>
      <w:r>
        <w:rPr>
          <w:rFonts w:ascii="Times New Roman" w:hAnsi="Times New Roman" w:cs="Times New Roman"/>
          <w:sz w:val="24"/>
          <w:szCs w:val="24"/>
        </w:rPr>
        <w:t>estos analizados en el estudio -</w:t>
      </w:r>
      <w:r w:rsidRPr="000458C0">
        <w:rPr>
          <w:rFonts w:ascii="Times New Roman" w:hAnsi="Times New Roman" w:cs="Times New Roman"/>
          <w:sz w:val="24"/>
          <w:szCs w:val="24"/>
        </w:rPr>
        <w:t>que toman en cuenta los salarios netos de las categorías retributivas bajas, medias y altas de los d</w:t>
      </w:r>
      <w:r>
        <w:rPr>
          <w:rFonts w:ascii="Times New Roman" w:hAnsi="Times New Roman" w:cs="Times New Roman"/>
          <w:sz w:val="24"/>
          <w:szCs w:val="24"/>
        </w:rPr>
        <w:t>istintos territorios y sectores-</w:t>
      </w:r>
      <w:r w:rsidRPr="000458C0">
        <w:rPr>
          <w:rFonts w:ascii="Times New Roman" w:hAnsi="Times New Roman" w:cs="Times New Roman"/>
          <w:sz w:val="24"/>
          <w:szCs w:val="24"/>
        </w:rPr>
        <w:t>, el alquiler supone un esfuerzo menor al recomendado. En tanto, en el resto, el sobrecoste “es tan desproporcionado que convierte el acceso a la vivienda en una quimera”, señalan los autores.</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Además, el estudio constata que el problema de la carga hipotecaria se intensifica en el caso de convenios y territorios específicos. En los acuerdos de comercio, limpieza de edificios y locales y del sector agrario este gasto se come más del 40% del salario neto de una categoría retributiva media en casi la totalidad del territorio analizado. Incluso en los conve</w:t>
      </w:r>
      <w:r>
        <w:rPr>
          <w:rFonts w:ascii="Times New Roman" w:hAnsi="Times New Roman" w:cs="Times New Roman"/>
          <w:sz w:val="24"/>
          <w:szCs w:val="24"/>
        </w:rPr>
        <w:t>nios de la Industria del Metal -</w:t>
      </w:r>
      <w:r w:rsidRPr="000458C0">
        <w:rPr>
          <w:rFonts w:ascii="Times New Roman" w:hAnsi="Times New Roman" w:cs="Times New Roman"/>
          <w:sz w:val="24"/>
          <w:szCs w:val="24"/>
        </w:rPr>
        <w:t>con salarios comparati</w:t>
      </w:r>
      <w:r>
        <w:rPr>
          <w:rFonts w:ascii="Times New Roman" w:hAnsi="Times New Roman" w:cs="Times New Roman"/>
          <w:sz w:val="24"/>
          <w:szCs w:val="24"/>
        </w:rPr>
        <w:t>vamente más elevados, según UGT-</w:t>
      </w:r>
      <w:r w:rsidRPr="000458C0">
        <w:rPr>
          <w:rFonts w:ascii="Times New Roman" w:hAnsi="Times New Roman" w:cs="Times New Roman"/>
          <w:sz w:val="24"/>
          <w:szCs w:val="24"/>
        </w:rPr>
        <w:t xml:space="preserve"> se sobrepasa el umbral de esfuerzo en Baleares, Madrid, Santa Cruz de Tenerife, Málaga, Barcelona, Valencia y Guipúzcoa.</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A la luz de estos resultados, la vicesecretaria general del sindicato, Lola Navarro, ha dicho que “la brecha entre los salarios y los precios de la vivienda es tan profunda que pone en cuestión uno de los pilares fundamentales de cualquier proyecto de vida digno”. Por su parte, los autores del informe exigen “una apuesta decidida por mejorar los salarios”, y precisan que “no se puede hablar de derecho a la vivienda sin hablar de trabajo decente”. Alertan de que si no se garantiza una subida salarial y la estabilidad laboral, si no se combate la parcialidad y la temporalidad, y si no se refuerza la negociación colectiva, la exclusión residencial no hará más que crecer.</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Indicador para negociar la subida salarial</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“Para que las personas trabajadoras dejen de destinar un porcentaje desproporcionado de sus ingresos al pago del alquiler, en algunos territorios el salario neto debería, como mínimo, duplicarse”, se lee en el documento. En este sentido, la UGT impulsará en el próximo Acuerdo para el Empleo y l</w:t>
      </w:r>
      <w:r>
        <w:rPr>
          <w:rFonts w:ascii="Times New Roman" w:hAnsi="Times New Roman" w:cs="Times New Roman"/>
          <w:sz w:val="24"/>
          <w:szCs w:val="24"/>
        </w:rPr>
        <w:t>a Negociación Colectiva (AENC) -</w:t>
      </w:r>
      <w:r w:rsidRPr="000458C0">
        <w:rPr>
          <w:rFonts w:ascii="Times New Roman" w:hAnsi="Times New Roman" w:cs="Times New Roman"/>
          <w:sz w:val="24"/>
          <w:szCs w:val="24"/>
        </w:rPr>
        <w:t xml:space="preserve">pacto general que alcanzan los </w:t>
      </w:r>
      <w:r w:rsidRPr="000458C0">
        <w:rPr>
          <w:rFonts w:ascii="Times New Roman" w:hAnsi="Times New Roman" w:cs="Times New Roman"/>
          <w:sz w:val="24"/>
          <w:szCs w:val="24"/>
        </w:rPr>
        <w:lastRenderedPageBreak/>
        <w:t>sindicatos y las organizaciones patronales a nivel estatal cuya actualizac</w:t>
      </w:r>
      <w:r>
        <w:rPr>
          <w:rFonts w:ascii="Times New Roman" w:hAnsi="Times New Roman" w:cs="Times New Roman"/>
          <w:sz w:val="24"/>
          <w:szCs w:val="24"/>
        </w:rPr>
        <w:t>ión está prevista para este año-</w:t>
      </w:r>
      <w:r w:rsidRPr="000458C0">
        <w:rPr>
          <w:rFonts w:ascii="Times New Roman" w:hAnsi="Times New Roman" w:cs="Times New Roman"/>
          <w:sz w:val="24"/>
          <w:szCs w:val="24"/>
        </w:rPr>
        <w:t xml:space="preserve"> que el precio de la vivienda sea un indicador estructural a la hora de negociar la subida salarial.</w:t>
      </w:r>
    </w:p>
    <w:p w:rsidR="008F7A2A" w:rsidRPr="000458C0"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Así lo ha dicho este lunes el vicesecretario general de Política Sindical de UGT, Fernando Luján, durante la presentación del estudio. Junto a la vivienda, el dirigente también ve necesario que los datos del Observatorio de Márgenes Empresariales se tengan en cuenta para la fijación de los sueldos en los convenios colectivos, ya que ofrecen una imagen precisa de la evolución real de los beneficios de las firmas.</w:t>
      </w:r>
    </w:p>
    <w:p w:rsidR="008F7A2A" w:rsidRDefault="008F7A2A" w:rsidP="008F7A2A">
      <w:pPr>
        <w:spacing w:line="240" w:lineRule="auto"/>
        <w:jc w:val="both"/>
        <w:rPr>
          <w:rFonts w:ascii="Times New Roman" w:hAnsi="Times New Roman" w:cs="Times New Roman"/>
          <w:sz w:val="24"/>
          <w:szCs w:val="24"/>
        </w:rPr>
      </w:pPr>
      <w:r w:rsidRPr="000458C0">
        <w:rPr>
          <w:rFonts w:ascii="Times New Roman" w:hAnsi="Times New Roman" w:cs="Times New Roman"/>
          <w:sz w:val="24"/>
          <w:szCs w:val="24"/>
        </w:rPr>
        <w:t>Otros reclamos de la UGT pasan por la aplicación efectiva e íntegra de la Ley de Vivienda, por lo que exigen la declaración de zonas tensionadas y la regulación de precios de alquiler. También hacen hincapié en la ampliación del parque público de vivienda social y solicitan medidas fiscales y regulatorias para impulsar el uso de los inmuebles vacíos. Finalmente, hacen un llamado a las Administraciones públicas, de todos los niveles, para que unan sus esfuerzos en la misión de enfrentar la crisis residencial. “Esto no es un problema solo de negociación colectiva, es un problema mayor, de dignidad de derechos humanos y puede provocar, si no lo atajamos, un estallido social”, ha sentenciado Luján.</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 xml:space="preserve">- </w:t>
      </w:r>
      <w:r w:rsidRPr="00FE6DBF">
        <w:rPr>
          <w:rFonts w:ascii="Times New Roman" w:hAnsi="Times New Roman" w:cs="Times New Roman"/>
          <w:sz w:val="24"/>
          <w:szCs w:val="24"/>
          <w:u w:val="single"/>
        </w:rPr>
        <w:t>Los sal</w:t>
      </w:r>
      <w:r>
        <w:rPr>
          <w:rFonts w:ascii="Times New Roman" w:hAnsi="Times New Roman" w:cs="Times New Roman"/>
          <w:sz w:val="24"/>
          <w:szCs w:val="24"/>
          <w:u w:val="single"/>
        </w:rPr>
        <w:t>arios en España no van como un “cohete”</w:t>
      </w:r>
      <w:r w:rsidRPr="00FE6DBF">
        <w:rPr>
          <w:rFonts w:ascii="Times New Roman" w:hAnsi="Times New Roman" w:cs="Times New Roman"/>
          <w:sz w:val="24"/>
          <w:szCs w:val="24"/>
          <w:u w:val="single"/>
        </w:rPr>
        <w:t>: crecen apenas un 3% en 30 años mientras Irlanda sube un 63%</w:t>
      </w:r>
      <w:r w:rsidRPr="00FE6DBF">
        <w:rPr>
          <w:rFonts w:ascii="Times New Roman" w:hAnsi="Times New Roman" w:cs="Times New Roman"/>
          <w:sz w:val="24"/>
          <w:szCs w:val="24"/>
        </w:rPr>
        <w:t xml:space="preserve"> (Vozpópuli - </w:t>
      </w:r>
      <w:r w:rsidRPr="00FE6DBF">
        <w:rPr>
          <w:rFonts w:ascii="Times New Roman" w:hAnsi="Times New Roman" w:cs="Times New Roman"/>
          <w:b/>
          <w:sz w:val="24"/>
          <w:szCs w:val="24"/>
        </w:rPr>
        <w:t>2/8/25</w:t>
      </w:r>
      <w:r w:rsidRPr="00FE6DBF">
        <w:rPr>
          <w:rFonts w:ascii="Times New Roman" w:hAnsi="Times New Roman" w:cs="Times New Roman"/>
          <w:sz w:val="24"/>
          <w:szCs w:val="24"/>
        </w:rPr>
        <w:t>)</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Ambos países estaban igualados en 1994, pero España se ha estancado e Irlanda ha crecido 20 veces más</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(Por Guillermo Rodríguez Pérez)</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Pedro Sánchez asegura que l</w:t>
      </w:r>
      <w:r w:rsidR="0048750D">
        <w:rPr>
          <w:rFonts w:ascii="Times New Roman" w:hAnsi="Times New Roman" w:cs="Times New Roman"/>
          <w:sz w:val="24"/>
          <w:szCs w:val="24"/>
        </w:rPr>
        <w:t>a economía española va como un “cohete”</w:t>
      </w:r>
      <w:r w:rsidRPr="00FE6DBF">
        <w:rPr>
          <w:rFonts w:ascii="Times New Roman" w:hAnsi="Times New Roman" w:cs="Times New Roman"/>
          <w:sz w:val="24"/>
          <w:szCs w:val="24"/>
        </w:rPr>
        <w:t>. Esta misma semana, en una comparecencia en Moncloa, el presidente del Gobierno celebró el crecimiento de la economía y el aumento del poder adquisitivo de las familias.</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Sin embargo, y a pesar de las constantes subidas del salario mínimo y de que el salario medio actual de España se sitúe por encima de los 27.000 euros anuales, no es suficiente para que las familias puedan adecuarse a la inflación.</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La Organización para la Cooperación y el Desarrollo Económicos (OCDE) ha revelado esta misma semana que el salario real de los españoles tan solo ha crecido un 2,7% desde 1994.</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Esta cifra, que hace que nuestro país comparta ranking con países como Italia o Países Bajos, contrasta con la de otras economías del euro:</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 Irlanda creció en salarios un 63% en el mismo periodo.</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 Luxemburgo, un 38%.</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 Finlandia, un 34%.</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 Francia, un 28%.</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Incluso Portugal y Grecia han aumentado sus salarios reales en un 21% y 22% respectivamente.</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Qué es el salario real y cómo ha evolucionado en España</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lastRenderedPageBreak/>
        <w:t>El término de salario real hace referencia a cómo queda un sueldo tras descontar el efecto de la inflación. Es decir, que a pesar de que los salarios en España suban a un ritmo récord durante los últimos cuatro años -un 3,8% en 2024- y el salario mínimo</w:t>
      </w:r>
      <w:r>
        <w:rPr>
          <w:rFonts w:ascii="Times New Roman" w:hAnsi="Times New Roman" w:cs="Times New Roman"/>
          <w:sz w:val="24"/>
          <w:szCs w:val="24"/>
        </w:rPr>
        <w:t>,</w:t>
      </w:r>
      <w:r w:rsidRPr="00FE6DBF">
        <w:rPr>
          <w:rFonts w:ascii="Times New Roman" w:hAnsi="Times New Roman" w:cs="Times New Roman"/>
          <w:sz w:val="24"/>
          <w:szCs w:val="24"/>
        </w:rPr>
        <w:t xml:space="preserve"> sea ya 400 euros superior al de 2018, esto no es suficiente como para paliar la inflación, y por tanto, ganar en riqueza y poder adquisitivo.</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En 1994, el salario medio en España era de 32.157 euros (si aplicamos la equivalencia de las pesetas). En Irlanda, era de 34.000 euros. En 2025, el salario medio real español es de 33.044 euros, mientras que el de Irlanda es de 55.591 euros.</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A pesar de que hace 30 años estaban nivelados, en España solo han subido un 2,7% y, en Irlanda, un 63%.</w:t>
      </w:r>
    </w:p>
    <w:p w:rsidR="008F7A2A" w:rsidRPr="00FE6DBF"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Este nivel tan bajo se refleja en que la cesta de la compra cada día es más cara para los españoles, mientras que los alquileres y el precio de la vivienda se vuelve completamente inasumible.</w:t>
      </w:r>
    </w:p>
    <w:p w:rsidR="008F7A2A" w:rsidRDefault="008F7A2A" w:rsidP="008F7A2A">
      <w:pPr>
        <w:spacing w:line="240" w:lineRule="auto"/>
        <w:jc w:val="both"/>
        <w:rPr>
          <w:rFonts w:ascii="Times New Roman" w:hAnsi="Times New Roman" w:cs="Times New Roman"/>
          <w:sz w:val="24"/>
          <w:szCs w:val="24"/>
        </w:rPr>
      </w:pPr>
      <w:r w:rsidRPr="00FE6DBF">
        <w:rPr>
          <w:rFonts w:ascii="Times New Roman" w:hAnsi="Times New Roman" w:cs="Times New Roman"/>
          <w:sz w:val="24"/>
          <w:szCs w:val="24"/>
        </w:rPr>
        <w:t>Hoy día, un español necesita el sueldo de 52 años para comprar una casa y el 100% del sueldo mensual para alquilar. Estos datos se reflejan en que la media de emancipación en nuestro país está en los 30,4 años -cuatro más que la media europea-. En Irlanda, es de 27,9 años.</w:t>
      </w:r>
    </w:p>
    <w:p w:rsidR="008F7A2A" w:rsidRPr="00507E38" w:rsidRDefault="008F7A2A" w:rsidP="008F7A2A">
      <w:pPr>
        <w:spacing w:line="240" w:lineRule="auto"/>
        <w:jc w:val="both"/>
        <w:rPr>
          <w:rFonts w:ascii="Times New Roman" w:hAnsi="Times New Roman" w:cs="Times New Roman"/>
          <w:sz w:val="24"/>
          <w:szCs w:val="24"/>
        </w:rPr>
      </w:pPr>
      <w:r w:rsidRPr="00507E38">
        <w:rPr>
          <w:rFonts w:ascii="Times New Roman" w:hAnsi="Times New Roman" w:cs="Times New Roman"/>
          <w:sz w:val="24"/>
          <w:szCs w:val="24"/>
        </w:rPr>
        <w:t xml:space="preserve">- </w:t>
      </w:r>
      <w:r w:rsidRPr="00507E38">
        <w:rPr>
          <w:rFonts w:ascii="Times New Roman" w:hAnsi="Times New Roman" w:cs="Times New Roman"/>
          <w:sz w:val="24"/>
          <w:szCs w:val="24"/>
          <w:u w:val="single"/>
        </w:rPr>
        <w:t>No es el mercado, es Sánchez: los españoles destinan casi la mitad del sueldo al pago del alquiler</w:t>
      </w:r>
      <w:r w:rsidRPr="00507E38">
        <w:rPr>
          <w:rFonts w:ascii="Times New Roman" w:hAnsi="Times New Roman" w:cs="Times New Roman"/>
          <w:sz w:val="24"/>
          <w:szCs w:val="24"/>
        </w:rPr>
        <w:t xml:space="preserve"> (Libertad Digital - </w:t>
      </w:r>
      <w:r w:rsidRPr="00507E38">
        <w:rPr>
          <w:rFonts w:ascii="Times New Roman" w:hAnsi="Times New Roman" w:cs="Times New Roman"/>
          <w:b/>
          <w:sz w:val="24"/>
          <w:szCs w:val="24"/>
        </w:rPr>
        <w:t>9/8/25</w:t>
      </w:r>
      <w:r w:rsidRPr="00507E38">
        <w:rPr>
          <w:rFonts w:ascii="Times New Roman" w:hAnsi="Times New Roman" w:cs="Times New Roman"/>
          <w:sz w:val="24"/>
          <w:szCs w:val="24"/>
        </w:rPr>
        <w:t>)</w:t>
      </w:r>
    </w:p>
    <w:p w:rsidR="008F7A2A" w:rsidRPr="00507E38" w:rsidRDefault="008F7A2A" w:rsidP="008F7A2A">
      <w:pPr>
        <w:spacing w:line="240" w:lineRule="auto"/>
        <w:jc w:val="both"/>
        <w:rPr>
          <w:rFonts w:ascii="Times New Roman" w:hAnsi="Times New Roman" w:cs="Times New Roman"/>
          <w:sz w:val="24"/>
          <w:szCs w:val="24"/>
        </w:rPr>
      </w:pPr>
      <w:r w:rsidRPr="00507E38">
        <w:rPr>
          <w:rFonts w:ascii="Times New Roman" w:hAnsi="Times New Roman" w:cs="Times New Roman"/>
          <w:sz w:val="24"/>
          <w:szCs w:val="24"/>
        </w:rPr>
        <w:t>Sólo en 2024 el precio de la vivienda aumentó un 14%, mientras que los sueldos se incrementaron apenas un 3,1%.</w:t>
      </w:r>
    </w:p>
    <w:p w:rsidR="008F7A2A" w:rsidRPr="00507E38" w:rsidRDefault="008F7A2A" w:rsidP="008F7A2A">
      <w:pPr>
        <w:spacing w:line="240" w:lineRule="auto"/>
        <w:jc w:val="both"/>
        <w:rPr>
          <w:rFonts w:ascii="Times New Roman" w:hAnsi="Times New Roman" w:cs="Times New Roman"/>
          <w:sz w:val="24"/>
          <w:szCs w:val="24"/>
        </w:rPr>
      </w:pPr>
      <w:r w:rsidRPr="00507E38">
        <w:rPr>
          <w:rFonts w:ascii="Times New Roman" w:hAnsi="Times New Roman" w:cs="Times New Roman"/>
          <w:sz w:val="24"/>
          <w:szCs w:val="24"/>
        </w:rPr>
        <w:t>(Por Rubén Folguera Agra)</w:t>
      </w:r>
    </w:p>
    <w:p w:rsidR="008F7A2A" w:rsidRPr="00507E38" w:rsidRDefault="008F7A2A" w:rsidP="008F7A2A">
      <w:pPr>
        <w:spacing w:line="240" w:lineRule="auto"/>
        <w:jc w:val="both"/>
        <w:rPr>
          <w:rFonts w:ascii="Times New Roman" w:hAnsi="Times New Roman" w:cs="Times New Roman"/>
          <w:sz w:val="24"/>
          <w:szCs w:val="24"/>
        </w:rPr>
      </w:pPr>
      <w:r w:rsidRPr="00507E38">
        <w:rPr>
          <w:rFonts w:ascii="Times New Roman" w:hAnsi="Times New Roman" w:cs="Times New Roman"/>
          <w:sz w:val="24"/>
          <w:szCs w:val="24"/>
        </w:rPr>
        <w:t>Aunque desde el Gobierno de Pedro Sánchez se feliciten de su gestión económica, presumiendo especialmente de un crecimiento del PIB sustentado sobre el gasto público y la incorporación masiva de mano de obra extranjera en los puestos de menor cualificación, lo cierto es que las condiciones de vida de los españoles no dejan de empeorar. Una muestra de ello es la situación del mercado de la vivienda, donde los precios siguen subiendo como consecuencia de la intervención gubernamental.</w:t>
      </w:r>
    </w:p>
    <w:p w:rsidR="008F7A2A" w:rsidRPr="00507E38" w:rsidRDefault="008F7A2A" w:rsidP="008F7A2A">
      <w:pPr>
        <w:spacing w:line="240" w:lineRule="auto"/>
        <w:jc w:val="both"/>
        <w:rPr>
          <w:rFonts w:ascii="Times New Roman" w:hAnsi="Times New Roman" w:cs="Times New Roman"/>
          <w:sz w:val="24"/>
          <w:szCs w:val="24"/>
        </w:rPr>
      </w:pPr>
      <w:r w:rsidRPr="00507E38">
        <w:rPr>
          <w:rFonts w:ascii="Times New Roman" w:hAnsi="Times New Roman" w:cs="Times New Roman"/>
          <w:sz w:val="24"/>
          <w:szCs w:val="24"/>
        </w:rPr>
        <w:t>En consecuencia, debido a la nefasta política del PSOE en materia de vivienda, los españoles se han visto obligados a dedicar cada vez una mayor proporción de su salario al pago del alquiler. De hecho, durante el mandato de Pedro Sánchez esta proporción ha alcanzado niveles récord y ha aumentado a mayor ritmo que con Mariano Rajoy.</w:t>
      </w:r>
    </w:p>
    <w:p w:rsidR="008F7A2A" w:rsidRPr="00FE6DBF" w:rsidRDefault="008F7A2A" w:rsidP="008F7A2A">
      <w:pPr>
        <w:pStyle w:val="Ttulo3"/>
        <w:shd w:val="clear" w:color="auto" w:fill="FFFFFF"/>
        <w:spacing w:before="0" w:after="242" w:line="240" w:lineRule="auto"/>
        <w:jc w:val="both"/>
        <w:textAlignment w:val="baseline"/>
        <w:rPr>
          <w:rFonts w:ascii="Times New Roman" w:hAnsi="Times New Roman" w:cs="Times New Roman"/>
          <w:b w:val="0"/>
          <w:color w:val="auto"/>
          <w:sz w:val="24"/>
          <w:szCs w:val="24"/>
        </w:rPr>
      </w:pPr>
      <w:r w:rsidRPr="00FE6DBF">
        <w:rPr>
          <w:rFonts w:ascii="Times New Roman" w:hAnsi="Times New Roman" w:cs="Times New Roman"/>
          <w:b w:val="0"/>
          <w:color w:val="auto"/>
          <w:sz w:val="24"/>
          <w:szCs w:val="24"/>
        </w:rPr>
        <w:t>Dificultades para acceder al alquiler</w:t>
      </w:r>
    </w:p>
    <w:p w:rsidR="008F7A2A" w:rsidRPr="00FE6DBF" w:rsidRDefault="008F7A2A" w:rsidP="008F7A2A">
      <w:pPr>
        <w:pStyle w:val="NormalWeb"/>
        <w:shd w:val="clear" w:color="auto" w:fill="FFFFFF"/>
        <w:spacing w:before="0" w:beforeAutospacing="0" w:after="0" w:afterAutospacing="0"/>
        <w:jc w:val="both"/>
        <w:textAlignment w:val="baseline"/>
      </w:pPr>
      <w:r w:rsidRPr="00FE6DBF">
        <w:t>La proporción del salario que los españoles destinan al pago del alquiler </w:t>
      </w:r>
      <w:r w:rsidRPr="008F7A2A">
        <w:rPr>
          <w:rStyle w:val="Textoennegrita"/>
          <w:rFonts w:eastAsiaTheme="majorEastAsia"/>
          <w:b w:val="0"/>
          <w:bdr w:val="none" w:sz="0" w:space="0" w:color="auto" w:frame="1"/>
        </w:rPr>
        <w:t>se ha disparado un 23,7% desde que Sánchez llegó a la Moncloa</w:t>
      </w:r>
      <w:r w:rsidRPr="008F7A2A">
        <w:rPr>
          <w:b/>
        </w:rPr>
        <w:t>.</w:t>
      </w:r>
      <w:r w:rsidRPr="00FE6DBF">
        <w:t xml:space="preserve"> De este modo, </w:t>
      </w:r>
      <w:hyperlink r:id="rId151" w:tgtFrame="_blank" w:history="1">
        <w:r w:rsidRPr="008F7A2A">
          <w:rPr>
            <w:rStyle w:val="Hipervnculo"/>
            <w:rFonts w:eastAsiaTheme="majorEastAsia"/>
            <w:color w:val="auto"/>
            <w:u w:val="none"/>
            <w:bdr w:val="none" w:sz="0" w:space="0" w:color="auto" w:frame="1"/>
          </w:rPr>
          <w:t>según un informe elaborado por Fotocasa e InfoJobs</w:t>
        </w:r>
      </w:hyperlink>
      <w:r w:rsidRPr="008F7A2A">
        <w:t>,</w:t>
      </w:r>
      <w:r w:rsidRPr="00FE6DBF">
        <w:t xml:space="preserve"> mientras que en el año 2019 se destinaba el 38% del salario bruto al pago del alquiler, en 2024 esta proporción alcanzó el 47%. Y es que sólo en el último año el precio de la vivienda aumentó un 14%, mientras que los sueldos se incrementaron apenas un 3,1%.</w:t>
      </w:r>
    </w:p>
    <w:p w:rsidR="008F7A2A" w:rsidRPr="00FE6DBF" w:rsidRDefault="008F7A2A" w:rsidP="008F7A2A">
      <w:pPr>
        <w:pStyle w:val="NormalWeb"/>
        <w:shd w:val="clear" w:color="auto" w:fill="FFFFFF"/>
        <w:spacing w:before="0" w:beforeAutospacing="0" w:after="0" w:afterAutospacing="0"/>
        <w:jc w:val="both"/>
        <w:textAlignment w:val="baseline"/>
      </w:pPr>
    </w:p>
    <w:p w:rsidR="008F7A2A" w:rsidRPr="00FE6DBF" w:rsidRDefault="008F7A2A" w:rsidP="008F7A2A">
      <w:pPr>
        <w:pStyle w:val="NormalWeb"/>
        <w:shd w:val="clear" w:color="auto" w:fill="FFFFFF"/>
        <w:spacing w:before="0" w:beforeAutospacing="0" w:after="0" w:afterAutospacing="0"/>
        <w:jc w:val="both"/>
        <w:textAlignment w:val="baseline"/>
      </w:pPr>
      <w:r w:rsidRPr="00FE6DBF">
        <w:t>Asimismo, </w:t>
      </w:r>
      <w:r w:rsidRPr="00C02DB5">
        <w:rPr>
          <w:rStyle w:val="Textoennegrita"/>
          <w:rFonts w:eastAsiaTheme="majorEastAsia"/>
          <w:b w:val="0"/>
          <w:bdr w:val="none" w:sz="0" w:space="0" w:color="auto" w:frame="1"/>
        </w:rPr>
        <w:t>esta situación empeoró en casi todas las regiones del país</w:t>
      </w:r>
      <w:r w:rsidRPr="00C02DB5">
        <w:rPr>
          <w:b/>
        </w:rPr>
        <w:t>,</w:t>
      </w:r>
      <w:r w:rsidRPr="00FE6DBF">
        <w:t xml:space="preserve"> puesto que, de acuerdo con este informe, en 2024 aumentó la cantidad de dinero destinado a pagar el alquiler en 15 </w:t>
      </w:r>
      <w:r w:rsidRPr="00FE6DBF">
        <w:lastRenderedPageBreak/>
        <w:t>comunidades autónomas. Tan sólo en Baleares se redujo este porcentaje, al mismo tiempo que en Cantabria permaneció inalterado.</w:t>
      </w:r>
    </w:p>
    <w:p w:rsidR="00C02DB5" w:rsidRDefault="00C02DB5" w:rsidP="008F7A2A">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008F7A2A" w:rsidRPr="00FE6DBF">
        <w:rPr>
          <w:rFonts w:ascii="Times New Roman" w:hAnsi="Times New Roman" w:cs="Times New Roman"/>
          <w:noProof/>
          <w:sz w:val="24"/>
          <w:szCs w:val="24"/>
          <w:bdr w:val="none" w:sz="0" w:space="0" w:color="auto" w:frame="1"/>
          <w:lang w:eastAsia="es-ES"/>
        </w:rPr>
        <w:drawing>
          <wp:inline distT="0" distB="0" distL="0" distR="0" wp14:anchorId="28E35A39" wp14:editId="35090CF5">
            <wp:extent cx="4756150" cy="2273300"/>
            <wp:effectExtent l="0" t="0" r="6350" b="0"/>
            <wp:docPr id="260" name="Imagen 260" descr="fotocasa-infojobs-salario-alquiler.jpg">
              <a:hlinkClick xmlns:a="http://schemas.openxmlformats.org/drawingml/2006/main" r:id="rId15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otocasa-infojobs-salario-alquiler.jpg">
                      <a:hlinkClick r:id="rId152" tooltip="&quot;&quot;"/>
                    </pic:cNvPr>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756150" cy="2273300"/>
                    </a:xfrm>
                    <a:prstGeom prst="rect">
                      <a:avLst/>
                    </a:prstGeom>
                    <a:noFill/>
                    <a:ln>
                      <a:noFill/>
                    </a:ln>
                  </pic:spPr>
                </pic:pic>
              </a:graphicData>
            </a:graphic>
          </wp:inline>
        </w:drawing>
      </w:r>
    </w:p>
    <w:p w:rsidR="008F7A2A" w:rsidRPr="00FE6DBF" w:rsidRDefault="008F7A2A" w:rsidP="008F7A2A">
      <w:pPr>
        <w:shd w:val="clear" w:color="auto" w:fill="FFFFFF"/>
        <w:spacing w:line="240" w:lineRule="auto"/>
        <w:jc w:val="both"/>
        <w:textAlignment w:val="baseline"/>
        <w:rPr>
          <w:rFonts w:ascii="Times New Roman" w:hAnsi="Times New Roman" w:cs="Times New Roman"/>
          <w:sz w:val="24"/>
          <w:szCs w:val="24"/>
        </w:rPr>
      </w:pPr>
      <w:r w:rsidRPr="00FE6DBF">
        <w:rPr>
          <w:rFonts w:ascii="Times New Roman" w:hAnsi="Times New Roman" w:cs="Times New Roman"/>
          <w:sz w:val="24"/>
          <w:szCs w:val="24"/>
        </w:rPr>
        <w:t>Fotocasa</w:t>
      </w:r>
    </w:p>
    <w:p w:rsidR="008F7A2A" w:rsidRPr="00FE6DBF" w:rsidRDefault="008F7A2A" w:rsidP="008F7A2A">
      <w:pPr>
        <w:pStyle w:val="NormalWeb"/>
        <w:shd w:val="clear" w:color="auto" w:fill="FFFFFF"/>
        <w:spacing w:before="0" w:beforeAutospacing="0" w:after="0" w:afterAutospacing="0"/>
        <w:jc w:val="both"/>
        <w:textAlignment w:val="baseline"/>
      </w:pPr>
      <w:r w:rsidRPr="00FE6DBF">
        <w:t xml:space="preserve">En cualquier caso, como podemos ver, la </w:t>
      </w:r>
      <w:r w:rsidRPr="00C02DB5">
        <w:t>situación</w:t>
      </w:r>
      <w:r w:rsidRPr="00C02DB5">
        <w:rPr>
          <w:b/>
        </w:rPr>
        <w:t> </w:t>
      </w:r>
      <w:r w:rsidRPr="00C02DB5">
        <w:rPr>
          <w:rStyle w:val="Textoennegrita"/>
          <w:rFonts w:eastAsiaTheme="majorEastAsia"/>
          <w:b w:val="0"/>
          <w:bdr w:val="none" w:sz="0" w:space="0" w:color="auto" w:frame="1"/>
        </w:rPr>
        <w:t>se ha agravado especialmente a partir del año 2023</w:t>
      </w:r>
      <w:r w:rsidRPr="00FE6DBF">
        <w:t> después de que se aprobara la Ley de Vivienda, en la que s</w:t>
      </w:r>
      <w:r w:rsidR="00C02DB5">
        <w:t>e ampliaron las conocidas como “zonas tensionadas”</w:t>
      </w:r>
      <w:r w:rsidRPr="00FE6DBF">
        <w:t>, se modificaron también los criterios de clasificación de los "grandes tenedores" (ahora serían aquellos que tuvieran cinco o más viviendas en zonas tensionadas, o diez o más en zonas no tensionadas) y se limitaba la actualización del alquiler.</w:t>
      </w:r>
    </w:p>
    <w:p w:rsidR="008F7A2A" w:rsidRDefault="008F7A2A" w:rsidP="008F7A2A">
      <w:pPr>
        <w:pStyle w:val="NormalWeb"/>
        <w:shd w:val="clear" w:color="auto" w:fill="FFFFFF"/>
        <w:spacing w:before="0" w:beforeAutospacing="0" w:after="0" w:afterAutospacing="0"/>
        <w:jc w:val="both"/>
        <w:textAlignment w:val="baseline"/>
      </w:pPr>
      <w:r w:rsidRPr="00FE6DBF">
        <w:t>De hecho, lo cierto es que con Sánchez, además de dispararse casi al 50% del salario bruto y alcanzar cifras récord, </w:t>
      </w:r>
      <w:r w:rsidRPr="00C02DB5">
        <w:rPr>
          <w:rStyle w:val="Textoennegrita"/>
          <w:rFonts w:eastAsiaTheme="majorEastAsia"/>
          <w:b w:val="0"/>
          <w:bdr w:val="none" w:sz="0" w:space="0" w:color="auto" w:frame="1"/>
        </w:rPr>
        <w:t>este porcentaje ha aumentado a mayor ritmo que con el anterior presidente del Gobierno</w:t>
      </w:r>
      <w:r w:rsidRPr="00C02DB5">
        <w:rPr>
          <w:b/>
        </w:rPr>
        <w:t>,</w:t>
      </w:r>
      <w:r w:rsidRPr="00FE6DBF">
        <w:t xml:space="preserve"> Mariano Rajoy. Así lo demuestran los </w:t>
      </w:r>
      <w:hyperlink r:id="rId154" w:tgtFrame="_blank" w:history="1">
        <w:r w:rsidRPr="00C02DB5">
          <w:rPr>
            <w:rStyle w:val="Hipervnculo"/>
            <w:rFonts w:eastAsiaTheme="majorEastAsia"/>
            <w:color w:val="auto"/>
            <w:u w:val="none"/>
            <w:bdr w:val="none" w:sz="0" w:space="0" w:color="auto" w:frame="1"/>
          </w:rPr>
          <w:t>datos ofrecidos por estos dos mismos portales especializados</w:t>
        </w:r>
      </w:hyperlink>
      <w:r w:rsidRPr="00C02DB5">
        <w:t> </w:t>
      </w:r>
      <w:r w:rsidRPr="00FE6DBF">
        <w:t>en ediciones anteriores de este mismo estudio.</w:t>
      </w:r>
    </w:p>
    <w:p w:rsidR="00C02DB5" w:rsidRPr="00FE6DBF" w:rsidRDefault="00C02DB5" w:rsidP="008F7A2A">
      <w:pPr>
        <w:pStyle w:val="NormalWeb"/>
        <w:shd w:val="clear" w:color="auto" w:fill="FFFFFF"/>
        <w:spacing w:before="0" w:beforeAutospacing="0" w:after="0" w:afterAutospacing="0"/>
        <w:jc w:val="both"/>
        <w:textAlignment w:val="baseline"/>
      </w:pPr>
    </w:p>
    <w:p w:rsidR="008F7A2A" w:rsidRDefault="008F7A2A" w:rsidP="008F7A2A">
      <w:pPr>
        <w:pStyle w:val="NormalWeb"/>
        <w:shd w:val="clear" w:color="auto" w:fill="FFFFFF"/>
        <w:spacing w:before="0" w:beforeAutospacing="0" w:after="0" w:afterAutospacing="0"/>
        <w:jc w:val="both"/>
        <w:textAlignment w:val="baseline"/>
      </w:pPr>
      <w:r w:rsidRPr="00FE6DBF">
        <w:t>Si anteriormente veíamos que con el líder socialista los españoles han tenido que destinar casi un 24% más de su salario al pago del alquiler, entre 2012 y 2018, bajo el gobierno de Rajoy, el incremento de esta proporción fue del 14,5%. Es decir, con Sánchez </w:t>
      </w:r>
      <w:r w:rsidRPr="00C02DB5">
        <w:rPr>
          <w:rStyle w:val="Textoennegrita"/>
          <w:rFonts w:eastAsiaTheme="majorEastAsia"/>
          <w:b w:val="0"/>
          <w:bdr w:val="none" w:sz="0" w:space="0" w:color="auto" w:frame="1"/>
        </w:rPr>
        <w:t>este incremento ha superado en más de 9 puntos porcentuales</w:t>
      </w:r>
      <w:r w:rsidRPr="00FE6DBF">
        <w:rPr>
          <w:rStyle w:val="Textoennegrita"/>
          <w:rFonts w:eastAsiaTheme="majorEastAsia"/>
          <w:bdr w:val="none" w:sz="0" w:space="0" w:color="auto" w:frame="1"/>
        </w:rPr>
        <w:t> </w:t>
      </w:r>
      <w:r w:rsidRPr="00FE6DBF">
        <w:t>el registrado con la anterior administración.</w:t>
      </w:r>
    </w:p>
    <w:p w:rsidR="008F7A2A" w:rsidRPr="00FE6DBF" w:rsidRDefault="008F7A2A" w:rsidP="008F7A2A">
      <w:pPr>
        <w:pStyle w:val="NormalWeb"/>
        <w:shd w:val="clear" w:color="auto" w:fill="FFFFFF"/>
        <w:spacing w:before="0" w:beforeAutospacing="0" w:after="0" w:afterAutospacing="0"/>
        <w:jc w:val="both"/>
        <w:textAlignment w:val="baseline"/>
      </w:pPr>
    </w:p>
    <w:p w:rsidR="008F7A2A" w:rsidRPr="00FE6DBF" w:rsidRDefault="00C02DB5" w:rsidP="008F7A2A">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008F7A2A" w:rsidRPr="00FE6DBF">
        <w:rPr>
          <w:rFonts w:ascii="Times New Roman" w:hAnsi="Times New Roman" w:cs="Times New Roman"/>
          <w:noProof/>
          <w:sz w:val="24"/>
          <w:szCs w:val="24"/>
          <w:bdr w:val="none" w:sz="0" w:space="0" w:color="auto" w:frame="1"/>
          <w:lang w:eastAsia="es-ES"/>
        </w:rPr>
        <w:drawing>
          <wp:inline distT="0" distB="0" distL="0" distR="0" wp14:anchorId="3742DB16" wp14:editId="1ADBAACB">
            <wp:extent cx="4870450" cy="2470150"/>
            <wp:effectExtent l="0" t="0" r="6350" b="6350"/>
            <wp:docPr id="261" name="Imagen 261" descr="fotocasa-infojobs-salario-alquiler-2.jpg">
              <a:hlinkClick xmlns:a="http://schemas.openxmlformats.org/drawingml/2006/main" r:id="rId15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otocasa-infojobs-salario-alquiler-2.jpg">
                      <a:hlinkClick r:id="rId155" tooltip="&quot;&quot;"/>
                    </pic:cNvPr>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70450" cy="2470150"/>
                    </a:xfrm>
                    <a:prstGeom prst="rect">
                      <a:avLst/>
                    </a:prstGeom>
                    <a:noFill/>
                    <a:ln>
                      <a:noFill/>
                    </a:ln>
                  </pic:spPr>
                </pic:pic>
              </a:graphicData>
            </a:graphic>
          </wp:inline>
        </w:drawing>
      </w:r>
      <w:r w:rsidR="008F7A2A" w:rsidRPr="00FE6DBF">
        <w:rPr>
          <w:rFonts w:ascii="Times New Roman" w:hAnsi="Times New Roman" w:cs="Times New Roman"/>
          <w:sz w:val="24"/>
          <w:szCs w:val="24"/>
        </w:rPr>
        <w:t>InfoJobs</w:t>
      </w:r>
    </w:p>
    <w:p w:rsidR="008F7A2A" w:rsidRDefault="008F7A2A" w:rsidP="008F7A2A">
      <w:pPr>
        <w:pStyle w:val="NormalWeb"/>
        <w:shd w:val="clear" w:color="auto" w:fill="FFFFFF"/>
        <w:spacing w:before="0" w:beforeAutospacing="0" w:after="0" w:afterAutospacing="0"/>
        <w:jc w:val="both"/>
        <w:textAlignment w:val="baseline"/>
        <w:rPr>
          <w:b/>
        </w:rPr>
      </w:pPr>
      <w:r w:rsidRPr="00FE6DBF">
        <w:t xml:space="preserve">De esta forma, gracias a su intervencionismo sobre el mercado de la vivienda, el Ejecutivo sanchista ha logrado que el porcentaje del salario bruto que los españoles deben emplear en el </w:t>
      </w:r>
      <w:r w:rsidRPr="00FE6DBF">
        <w:lastRenderedPageBreak/>
        <w:t>pago del alquiler supere por primer vez el umbral del 40% (ocurrió en 2019 y, tras reducirse al año siguiente, repuntó de nuevo en 2021), acercándose cada vez más al 50%. Por lo tanto, si sigue esta tendencia en los próximos años, estamos muy cerca de que en España, de media para el conjunto del país, se necesite </w:t>
      </w:r>
      <w:r w:rsidRPr="00C02DB5">
        <w:rPr>
          <w:rStyle w:val="Textoennegrita"/>
          <w:rFonts w:eastAsiaTheme="majorEastAsia"/>
          <w:b w:val="0"/>
          <w:bdr w:val="none" w:sz="0" w:space="0" w:color="auto" w:frame="1"/>
        </w:rPr>
        <w:t>la mitad o más del salario para poder vivir de alquiler</w:t>
      </w:r>
      <w:r w:rsidRPr="00C02DB5">
        <w:rPr>
          <w:b/>
        </w:rPr>
        <w:t>.</w:t>
      </w:r>
    </w:p>
    <w:p w:rsidR="00C02DB5" w:rsidRDefault="00C02DB5" w:rsidP="008F7A2A">
      <w:pPr>
        <w:pStyle w:val="NormalWeb"/>
        <w:shd w:val="clear" w:color="auto" w:fill="FFFFFF"/>
        <w:spacing w:before="0" w:beforeAutospacing="0" w:after="0" w:afterAutospacing="0"/>
        <w:jc w:val="both"/>
        <w:textAlignment w:val="baseline"/>
      </w:pPr>
    </w:p>
    <w:p w:rsidR="00C02DB5" w:rsidRPr="00C02DB5" w:rsidRDefault="008F7A2A" w:rsidP="00C02DB5">
      <w:pPr>
        <w:pStyle w:val="Ttulo3"/>
        <w:shd w:val="clear" w:color="auto" w:fill="FFFFFF"/>
        <w:spacing w:before="0" w:after="242" w:line="240" w:lineRule="auto"/>
        <w:jc w:val="both"/>
        <w:textAlignment w:val="baseline"/>
        <w:rPr>
          <w:rFonts w:ascii="Times New Roman" w:hAnsi="Times New Roman" w:cs="Times New Roman"/>
          <w:b w:val="0"/>
          <w:color w:val="auto"/>
          <w:sz w:val="24"/>
          <w:szCs w:val="24"/>
        </w:rPr>
      </w:pPr>
      <w:r w:rsidRPr="00FE6DBF">
        <w:rPr>
          <w:rFonts w:ascii="Times New Roman" w:hAnsi="Times New Roman" w:cs="Times New Roman"/>
          <w:b w:val="0"/>
          <w:color w:val="auto"/>
          <w:sz w:val="24"/>
          <w:szCs w:val="24"/>
        </w:rPr>
        <w:t>Los precios siguen subiendo</w:t>
      </w:r>
    </w:p>
    <w:p w:rsidR="008F7A2A" w:rsidRPr="00FE6DBF" w:rsidRDefault="008F7A2A" w:rsidP="008F7A2A">
      <w:pPr>
        <w:pStyle w:val="NormalWeb"/>
        <w:shd w:val="clear" w:color="auto" w:fill="FFFFFF"/>
        <w:spacing w:before="0" w:beforeAutospacing="0" w:after="0" w:afterAutospacing="0"/>
        <w:jc w:val="both"/>
        <w:textAlignment w:val="baseline"/>
      </w:pPr>
      <w:r w:rsidRPr="00FE6DBF">
        <w:t>Con todo, lo cierto es que la política de Sánchez en materia de vivienda (que, como hemos dicho, se ha reducido a intervenir el mercado, limitando la actualización de las rentas del alquiler, prohibiendo los desahucios y protegiendo a los okupas) </w:t>
      </w:r>
      <w:r w:rsidRPr="00C02DB5">
        <w:rPr>
          <w:rStyle w:val="Textoennegrita"/>
          <w:rFonts w:eastAsiaTheme="majorEastAsia"/>
          <w:b w:val="0"/>
          <w:bdr w:val="none" w:sz="0" w:space="0" w:color="auto" w:frame="1"/>
        </w:rPr>
        <w:t>ha destrozado el sector inmobiliario</w:t>
      </w:r>
      <w:r w:rsidRPr="00C02DB5">
        <w:rPr>
          <w:b/>
        </w:rPr>
        <w:t>,</w:t>
      </w:r>
      <w:r w:rsidRPr="00FE6DBF">
        <w:t xml:space="preserve"> pese a la cansina insistencia de la izquierda política y mediática con la que denuncian la responsabilidad de los fondos de inversión y los pisos turísticos.</w:t>
      </w:r>
    </w:p>
    <w:p w:rsidR="008F7A2A" w:rsidRDefault="008F7A2A" w:rsidP="008F7A2A">
      <w:pPr>
        <w:pStyle w:val="NormalWeb"/>
        <w:shd w:val="clear" w:color="auto" w:fill="FFFFFF"/>
        <w:spacing w:before="0" w:beforeAutospacing="0" w:after="0" w:afterAutospacing="0"/>
        <w:jc w:val="both"/>
        <w:textAlignment w:val="baseline"/>
      </w:pPr>
    </w:p>
    <w:p w:rsidR="008F7A2A" w:rsidRPr="00FE6DBF" w:rsidRDefault="008F7A2A" w:rsidP="008F7A2A">
      <w:pPr>
        <w:pStyle w:val="NormalWeb"/>
        <w:shd w:val="clear" w:color="auto" w:fill="FFFFFF"/>
        <w:spacing w:before="0" w:beforeAutospacing="0" w:after="0" w:afterAutospacing="0"/>
        <w:jc w:val="both"/>
        <w:textAlignment w:val="baseline"/>
      </w:pPr>
      <w:r w:rsidRPr="00FE6DBF">
        <w:t xml:space="preserve">Así, </w:t>
      </w:r>
      <w:r w:rsidRPr="00C02DB5">
        <w:t>el </w:t>
      </w:r>
      <w:hyperlink r:id="rId157" w:tgtFrame="_blank" w:history="1">
        <w:r w:rsidRPr="00C02DB5">
          <w:rPr>
            <w:rStyle w:val="Hipervnculo"/>
            <w:rFonts w:eastAsiaTheme="majorEastAsia"/>
            <w:color w:val="auto"/>
            <w:u w:val="none"/>
            <w:bdr w:val="none" w:sz="0" w:space="0" w:color="auto" w:frame="1"/>
          </w:rPr>
          <w:t>precio de la vivienda en venta en España</w:t>
        </w:r>
      </w:hyperlink>
      <w:r w:rsidRPr="00507E38">
        <w:t> </w:t>
      </w:r>
      <w:r w:rsidRPr="00FE6DBF">
        <w:t>se situó el pasado mes de julio en los </w:t>
      </w:r>
      <w:r w:rsidRPr="00C02DB5">
        <w:rPr>
          <w:rStyle w:val="Textoennegrita"/>
          <w:rFonts w:eastAsiaTheme="majorEastAsia"/>
          <w:b w:val="0"/>
          <w:bdr w:val="none" w:sz="0" w:space="0" w:color="auto" w:frame="1"/>
        </w:rPr>
        <w:t>2.471 euros por metro cuadrado</w:t>
      </w:r>
      <w:r w:rsidRPr="00C02DB5">
        <w:rPr>
          <w:b/>
        </w:rPr>
        <w:t>,</w:t>
      </w:r>
      <w:r w:rsidRPr="00FE6DBF">
        <w:t xml:space="preserve"> incrementándose un 14,7% con respecto a julio del año anterior. De hecho, desde enero de 2019 este incremento ha sido del 47,7%.</w:t>
      </w:r>
    </w:p>
    <w:p w:rsidR="008F7A2A" w:rsidRPr="00FE6DBF" w:rsidRDefault="008F7A2A" w:rsidP="008F7A2A">
      <w:pPr>
        <w:shd w:val="clear" w:color="auto" w:fill="FFFFFF"/>
        <w:spacing w:line="240" w:lineRule="auto"/>
        <w:jc w:val="both"/>
        <w:textAlignment w:val="baseline"/>
        <w:rPr>
          <w:rFonts w:ascii="Times New Roman" w:hAnsi="Times New Roman" w:cs="Times New Roman"/>
          <w:sz w:val="24"/>
          <w:szCs w:val="24"/>
        </w:rPr>
      </w:pPr>
      <w:r w:rsidRPr="00FE6DBF">
        <w:rPr>
          <w:rFonts w:ascii="Times New Roman" w:hAnsi="Times New Roman" w:cs="Times New Roman"/>
          <w:noProof/>
          <w:sz w:val="24"/>
          <w:szCs w:val="24"/>
          <w:bdr w:val="none" w:sz="0" w:space="0" w:color="auto" w:frame="1"/>
          <w:lang w:eastAsia="es-ES"/>
        </w:rPr>
        <w:drawing>
          <wp:inline distT="0" distB="0" distL="0" distR="0" wp14:anchorId="7833F261" wp14:editId="7BE65BC3">
            <wp:extent cx="5422900" cy="2419350"/>
            <wp:effectExtent l="0" t="0" r="6350" b="0"/>
            <wp:docPr id="262" name="Imagen 262" descr="precio-vivienda-julio-25.jpg">
              <a:hlinkClick xmlns:a="http://schemas.openxmlformats.org/drawingml/2006/main" r:id="rId15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recio-vivienda-julio-25.jpg">
                      <a:hlinkClick r:id="rId158" tooltip="&quot;&quot;"/>
                    </pic:cNvPr>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22900" cy="2419350"/>
                    </a:xfrm>
                    <a:prstGeom prst="rect">
                      <a:avLst/>
                    </a:prstGeom>
                    <a:noFill/>
                    <a:ln>
                      <a:noFill/>
                    </a:ln>
                  </pic:spPr>
                </pic:pic>
              </a:graphicData>
            </a:graphic>
          </wp:inline>
        </w:drawing>
      </w:r>
      <w:r w:rsidRPr="00FE6DBF">
        <w:rPr>
          <w:rFonts w:ascii="Times New Roman" w:hAnsi="Times New Roman" w:cs="Times New Roman"/>
          <w:sz w:val="24"/>
          <w:szCs w:val="24"/>
        </w:rPr>
        <w:t>Idealista</w:t>
      </w:r>
    </w:p>
    <w:p w:rsidR="008F7A2A" w:rsidRPr="00FE6DBF" w:rsidRDefault="008F7A2A" w:rsidP="008F7A2A">
      <w:pPr>
        <w:pStyle w:val="NormalWeb"/>
        <w:shd w:val="clear" w:color="auto" w:fill="FFFFFF"/>
        <w:spacing w:before="0" w:beforeAutospacing="0" w:after="0" w:afterAutospacing="0"/>
        <w:jc w:val="both"/>
        <w:textAlignment w:val="baseline"/>
      </w:pPr>
      <w:r w:rsidRPr="00FE6DBF">
        <w:t xml:space="preserve">Del mismo modo, como podemos ver a continuación. </w:t>
      </w:r>
      <w:r w:rsidRPr="00C02DB5">
        <w:t>el </w:t>
      </w:r>
      <w:hyperlink r:id="rId160" w:tgtFrame="_blank" w:history="1">
        <w:r w:rsidRPr="00C02DB5">
          <w:rPr>
            <w:rStyle w:val="Hipervnculo"/>
            <w:rFonts w:eastAsiaTheme="majorEastAsia"/>
            <w:color w:val="auto"/>
            <w:u w:val="none"/>
            <w:bdr w:val="none" w:sz="0" w:space="0" w:color="auto" w:frame="1"/>
          </w:rPr>
          <w:t>precio de la vivienda en alquiler</w:t>
        </w:r>
      </w:hyperlink>
      <w:r w:rsidRPr="00C02DB5">
        <w:rPr>
          <w:rStyle w:val="Textoennegrita"/>
          <w:rFonts w:eastAsiaTheme="majorEastAsia"/>
          <w:bdr w:val="none" w:sz="0" w:space="0" w:color="auto" w:frame="1"/>
        </w:rPr>
        <w:t> </w:t>
      </w:r>
      <w:r w:rsidRPr="00FE6DBF">
        <w:t>alcanzó los </w:t>
      </w:r>
      <w:r w:rsidRPr="00C02DB5">
        <w:rPr>
          <w:rStyle w:val="Textoennegrita"/>
          <w:rFonts w:eastAsiaTheme="majorEastAsia"/>
          <w:b w:val="0"/>
          <w:bdr w:val="none" w:sz="0" w:space="0" w:color="auto" w:frame="1"/>
        </w:rPr>
        <w:t>14,6 euros por metro cuadrado</w:t>
      </w:r>
      <w:r w:rsidRPr="00FE6DBF">
        <w:t> en julio de 2025. Así, se ha disparado casi un 11% en tasa anual y un 46% desde enero de 2019.</w:t>
      </w:r>
    </w:p>
    <w:p w:rsidR="008F7A2A" w:rsidRPr="00FE6DBF" w:rsidRDefault="008F7A2A" w:rsidP="008F7A2A">
      <w:pPr>
        <w:shd w:val="clear" w:color="auto" w:fill="FFFFFF"/>
        <w:spacing w:line="240" w:lineRule="auto"/>
        <w:jc w:val="both"/>
        <w:textAlignment w:val="baseline"/>
        <w:rPr>
          <w:rFonts w:ascii="Times New Roman" w:hAnsi="Times New Roman" w:cs="Times New Roman"/>
          <w:sz w:val="24"/>
          <w:szCs w:val="24"/>
        </w:rPr>
      </w:pPr>
      <w:r w:rsidRPr="00FE6DBF">
        <w:rPr>
          <w:rFonts w:ascii="Times New Roman" w:hAnsi="Times New Roman" w:cs="Times New Roman"/>
          <w:noProof/>
          <w:sz w:val="24"/>
          <w:szCs w:val="24"/>
          <w:bdr w:val="none" w:sz="0" w:space="0" w:color="auto" w:frame="1"/>
          <w:lang w:eastAsia="es-ES"/>
        </w:rPr>
        <w:drawing>
          <wp:inline distT="0" distB="0" distL="0" distR="0" wp14:anchorId="4F5B30AA" wp14:editId="7866C817">
            <wp:extent cx="5734050" cy="2628900"/>
            <wp:effectExtent l="0" t="0" r="0" b="0"/>
            <wp:docPr id="263" name="Imagen 263" descr="2-precio-vivienda-julio-25.jpg">
              <a:hlinkClick xmlns:a="http://schemas.openxmlformats.org/drawingml/2006/main" r:id="rId16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precio-vivienda-julio-25.jpg">
                      <a:hlinkClick r:id="rId161" tooltip="&quot;&quot;"/>
                    </pic:cNvPr>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34050" cy="2628900"/>
                    </a:xfrm>
                    <a:prstGeom prst="rect">
                      <a:avLst/>
                    </a:prstGeom>
                    <a:noFill/>
                    <a:ln>
                      <a:noFill/>
                    </a:ln>
                  </pic:spPr>
                </pic:pic>
              </a:graphicData>
            </a:graphic>
          </wp:inline>
        </w:drawing>
      </w:r>
      <w:r w:rsidRPr="00FE6DBF">
        <w:rPr>
          <w:rFonts w:ascii="Times New Roman" w:hAnsi="Times New Roman" w:cs="Times New Roman"/>
          <w:sz w:val="24"/>
          <w:szCs w:val="24"/>
        </w:rPr>
        <w:t>Idealista</w:t>
      </w:r>
    </w:p>
    <w:p w:rsidR="008F7A2A" w:rsidRDefault="008F7A2A" w:rsidP="008F7A2A">
      <w:pPr>
        <w:pStyle w:val="NormalWeb"/>
        <w:shd w:val="clear" w:color="auto" w:fill="FFFFFF"/>
        <w:spacing w:before="0" w:beforeAutospacing="0" w:after="0" w:afterAutospacing="0"/>
        <w:jc w:val="both"/>
        <w:textAlignment w:val="baseline"/>
      </w:pPr>
      <w:r w:rsidRPr="00FE6DBF">
        <w:lastRenderedPageBreak/>
        <w:t>En este sentido, </w:t>
      </w:r>
      <w:hyperlink r:id="rId163" w:history="1">
        <w:r w:rsidRPr="00C02DB5">
          <w:rPr>
            <w:rStyle w:val="Hipervnculo"/>
            <w:rFonts w:eastAsiaTheme="majorEastAsia"/>
            <w:color w:val="auto"/>
            <w:u w:val="none"/>
            <w:bdr w:val="none" w:sz="0" w:space="0" w:color="auto" w:frame="1"/>
          </w:rPr>
          <w:t>tal y como hemos publicado en Libre Mercado</w:t>
        </w:r>
      </w:hyperlink>
      <w:r w:rsidRPr="00C02DB5">
        <w:t>,</w:t>
      </w:r>
      <w:r w:rsidRPr="00FE6DBF">
        <w:t xml:space="preserve"> cabe recordar que, de acuerdo con un informe publicado recientemente por Fotocasa Research, el impacto de los pisos turísticos sobre el aumento del precio de la vivienda en alquiler es ínfimo, puesto que </w:t>
      </w:r>
      <w:r w:rsidRPr="00C02DB5">
        <w:rPr>
          <w:rStyle w:val="Textoennegrita"/>
          <w:rFonts w:eastAsiaTheme="majorEastAsia"/>
          <w:b w:val="0"/>
          <w:bdr w:val="none" w:sz="0" w:space="0" w:color="auto" w:frame="1"/>
        </w:rPr>
        <w:t>menos del 1% del parque de vivienda en España se destina al alquiler vacacional</w:t>
      </w:r>
      <w:r w:rsidRPr="00FE6DBF">
        <w:t>. Además, este mismo estudio detallaba que la proporción de pisos turísticos sobre el total del parque de vivienda se ha mantenido estable en el tiempo, habiendo crecido durante los últimos años "de forma muy leve".</w:t>
      </w:r>
    </w:p>
    <w:p w:rsidR="00C02DB5" w:rsidRPr="00FE6DBF" w:rsidRDefault="00C02DB5" w:rsidP="008F7A2A">
      <w:pPr>
        <w:pStyle w:val="NormalWeb"/>
        <w:shd w:val="clear" w:color="auto" w:fill="FFFFFF"/>
        <w:spacing w:before="0" w:beforeAutospacing="0" w:after="0" w:afterAutospacing="0"/>
        <w:jc w:val="both"/>
        <w:textAlignment w:val="baseline"/>
      </w:pPr>
    </w:p>
    <w:p w:rsidR="008F7A2A" w:rsidRDefault="008F7A2A" w:rsidP="008F7A2A">
      <w:pPr>
        <w:pStyle w:val="NormalWeb"/>
        <w:shd w:val="clear" w:color="auto" w:fill="FFFFFF"/>
        <w:spacing w:before="0" w:beforeAutospacing="0" w:after="0" w:afterAutospacing="0"/>
        <w:jc w:val="both"/>
        <w:textAlignment w:val="baseline"/>
      </w:pPr>
      <w:r w:rsidRPr="00FE6DBF">
        <w:t>Asimismo, Fotocasa señalaba que </w:t>
      </w:r>
      <w:r w:rsidRPr="00C02DB5">
        <w:rPr>
          <w:rStyle w:val="Textoennegrita"/>
          <w:rFonts w:eastAsiaTheme="majorEastAsia"/>
          <w:b w:val="0"/>
          <w:bdr w:val="none" w:sz="0" w:space="0" w:color="auto" w:frame="1"/>
        </w:rPr>
        <w:t>sólo el 3% de los compradores de vivienda tienen pensado adquirir un inmueble con el fin de dedicarlo al alquiler turístico</w:t>
      </w:r>
      <w:r w:rsidRPr="00C02DB5">
        <w:rPr>
          <w:b/>
        </w:rPr>
        <w:t>.</w:t>
      </w:r>
      <w:r w:rsidRPr="00FE6DBF">
        <w:t xml:space="preserve"> Por lo tanto, para el portal inmobiliario era evidente que "las cifras constatan que el volumen de alquiler turístico es muy reducido, por lo que el verdadero problema del mercado no está en la prohibición del alquiler turístico, sino en la falta de vivienda disponible para dar respuesta a una demanda creciente y sostenida".</w:t>
      </w:r>
    </w:p>
    <w:p w:rsidR="008F7A2A" w:rsidRPr="00FE6DBF" w:rsidRDefault="008F7A2A" w:rsidP="008F7A2A">
      <w:pPr>
        <w:pStyle w:val="NormalWeb"/>
        <w:shd w:val="clear" w:color="auto" w:fill="FFFFFF"/>
        <w:spacing w:before="0" w:beforeAutospacing="0" w:after="0" w:afterAutospacing="0"/>
        <w:jc w:val="both"/>
        <w:textAlignment w:val="baseline"/>
      </w:pPr>
    </w:p>
    <w:p w:rsidR="008F7A2A" w:rsidRDefault="008F7A2A" w:rsidP="008F7A2A">
      <w:pPr>
        <w:pStyle w:val="NormalWeb"/>
        <w:shd w:val="clear" w:color="auto" w:fill="FFFFFF"/>
        <w:spacing w:before="0" w:beforeAutospacing="0" w:after="0" w:afterAutospacing="0"/>
        <w:jc w:val="both"/>
        <w:textAlignment w:val="baseline"/>
      </w:pPr>
      <w:r w:rsidRPr="00FE6DBF">
        <w:t>En cambio, en una España en la que </w:t>
      </w:r>
      <w:hyperlink r:id="rId164" w:history="1">
        <w:r w:rsidRPr="00C02DB5">
          <w:rPr>
            <w:rStyle w:val="Hipervnculo"/>
            <w:rFonts w:eastAsiaTheme="majorEastAsia"/>
            <w:color w:val="auto"/>
            <w:u w:val="none"/>
            <w:bdr w:val="none" w:sz="0" w:space="0" w:color="auto" w:frame="1"/>
          </w:rPr>
          <w:t>el porcentaje de personas que viven de alquiler ha pasado del 18% al 25%</w:t>
        </w:r>
      </w:hyperlink>
      <w:r w:rsidRPr="00C02DB5">
        <w:t> durante el mandato de Pedro Sánchez, la oferta de vivienda en alquiler ha caído drásticamente tras la aprobación y puesta en marcha de la Ley de Vivienda. Así lo explicaba </w:t>
      </w:r>
      <w:hyperlink r:id="rId165" w:tgtFrame="_blank" w:history="1">
        <w:r w:rsidRPr="00C02DB5">
          <w:rPr>
            <w:rStyle w:val="Hipervnculo"/>
            <w:rFonts w:eastAsiaTheme="majorEastAsia"/>
            <w:color w:val="auto"/>
            <w:u w:val="none"/>
            <w:bdr w:val="none" w:sz="0" w:space="0" w:color="auto" w:frame="1"/>
          </w:rPr>
          <w:t>el Observatorio del Alquiler</w:t>
        </w:r>
      </w:hyperlink>
      <w:r w:rsidRPr="00C02DB5">
        <w:t xml:space="preserve">, </w:t>
      </w:r>
      <w:r w:rsidRPr="00507E38">
        <w:t>que demostraba que en los dos años en los que se ha aplicado esta normativa </w:t>
      </w:r>
      <w:r w:rsidRPr="00C02DB5">
        <w:rPr>
          <w:rStyle w:val="Textoennegrita"/>
          <w:rFonts w:eastAsiaTheme="majorEastAsia"/>
          <w:b w:val="0"/>
          <w:bdr w:val="none" w:sz="0" w:space="0" w:color="auto" w:frame="1"/>
        </w:rPr>
        <w:t>la oferta se ha reducido en más de 120.000 viviendas</w:t>
      </w:r>
      <w:r w:rsidRPr="00507E38">
        <w:t>, mientras que la presión de la demanda se ha disparado con más de 100 interesados por cada vivienda que sale al merca</w:t>
      </w:r>
      <w:r>
        <w:t>do.</w:t>
      </w:r>
    </w:p>
    <w:p w:rsidR="008F7A2A" w:rsidRPr="000458C0" w:rsidRDefault="008F7A2A" w:rsidP="008F7A2A">
      <w:pPr>
        <w:pStyle w:val="NormalWeb"/>
        <w:shd w:val="clear" w:color="auto" w:fill="FFFFFF"/>
        <w:spacing w:before="0" w:beforeAutospacing="0" w:after="0" w:afterAutospacing="0"/>
        <w:jc w:val="both"/>
        <w:textAlignment w:val="baseline"/>
      </w:pPr>
    </w:p>
    <w:p w:rsidR="008F7A2A" w:rsidRPr="003442E2" w:rsidRDefault="008F7A2A" w:rsidP="008F7A2A">
      <w:pPr>
        <w:spacing w:line="240" w:lineRule="auto"/>
        <w:jc w:val="both"/>
        <w:rPr>
          <w:rFonts w:ascii="Times New Roman" w:hAnsi="Times New Roman" w:cs="Times New Roman"/>
          <w:color w:val="FF0000"/>
          <w:sz w:val="24"/>
          <w:szCs w:val="24"/>
          <w:shd w:val="clear" w:color="auto" w:fill="FFFFFF"/>
        </w:rPr>
      </w:pPr>
      <w:r w:rsidRPr="003442E2">
        <w:rPr>
          <w:rFonts w:ascii="Times New Roman" w:hAnsi="Times New Roman" w:cs="Times New Roman"/>
          <w:b/>
          <w:color w:val="FF0000"/>
          <w:sz w:val="24"/>
          <w:szCs w:val="24"/>
          <w:shd w:val="clear" w:color="auto" w:fill="FFFFFF"/>
        </w:rPr>
        <w:t>Nota</w:t>
      </w:r>
      <w:r w:rsidRPr="003442E2">
        <w:rPr>
          <w:rFonts w:ascii="Times New Roman" w:hAnsi="Times New Roman" w:cs="Times New Roman"/>
          <w:color w:val="FF0000"/>
          <w:sz w:val="24"/>
          <w:szCs w:val="24"/>
          <w:shd w:val="clear" w:color="auto" w:fill="FFFFFF"/>
        </w:rPr>
        <w:t>: creo haber incorporado suficientes antecedentes como para demostrar que regular el alquiles no es tan efectivo. En un país donde alrededor del 75% de la población española reside en una vivienda de su propiedad, según datos recientes de Eurostat (esto sitúa a España como uno de los países de la Unión Europea con mayor porcentaje de propietarios de vivienda, por detrás de Italia), y donde aproximadamente el 16% de los propietarios tienen dos o más viviendas, no parece haber un problema de oferta.</w:t>
      </w:r>
    </w:p>
    <w:p w:rsidR="008F7A2A" w:rsidRPr="003442E2" w:rsidRDefault="008F7A2A" w:rsidP="008F7A2A">
      <w:pPr>
        <w:spacing w:line="240" w:lineRule="auto"/>
        <w:jc w:val="both"/>
        <w:rPr>
          <w:rFonts w:ascii="Times New Roman" w:hAnsi="Times New Roman" w:cs="Times New Roman"/>
          <w:color w:val="FF0000"/>
          <w:sz w:val="24"/>
          <w:szCs w:val="24"/>
          <w:shd w:val="clear" w:color="auto" w:fill="FFFFFF"/>
        </w:rPr>
      </w:pPr>
      <w:r w:rsidRPr="003442E2">
        <w:rPr>
          <w:rFonts w:ascii="Times New Roman" w:hAnsi="Times New Roman" w:cs="Times New Roman"/>
          <w:color w:val="FF0000"/>
          <w:sz w:val="24"/>
          <w:szCs w:val="24"/>
          <w:shd w:val="clear" w:color="auto" w:fill="FFFFFF"/>
        </w:rPr>
        <w:t>El problema está en la demanda, que no tiene ingresos suficientes para pagar una renta por alquiler atractivo para el propietario. Y los ingresos insuficientes están causados por la baja calidad del empleo, la represión fiscal, la precariedad laboral, la temporalidad, el empleo de usar y tirar, los fijos discontinuos,  los minijobs, los riders (falsos autónomos), los horarios reducidos (involuntarios)… además de la baja productividad del empleo estable.</w:t>
      </w:r>
    </w:p>
    <w:p w:rsidR="008F7A2A" w:rsidRPr="003442E2" w:rsidRDefault="008F7A2A" w:rsidP="008F7A2A">
      <w:pPr>
        <w:spacing w:line="240" w:lineRule="auto"/>
        <w:jc w:val="both"/>
        <w:rPr>
          <w:rFonts w:ascii="Times New Roman" w:hAnsi="Times New Roman" w:cs="Times New Roman"/>
          <w:color w:val="FF0000"/>
          <w:sz w:val="24"/>
          <w:szCs w:val="24"/>
          <w:shd w:val="clear" w:color="auto" w:fill="FFFFFF"/>
        </w:rPr>
      </w:pPr>
      <w:r w:rsidRPr="003442E2">
        <w:rPr>
          <w:rFonts w:ascii="Times New Roman" w:hAnsi="Times New Roman" w:cs="Times New Roman"/>
          <w:color w:val="FF0000"/>
          <w:sz w:val="24"/>
          <w:szCs w:val="24"/>
          <w:shd w:val="clear" w:color="auto" w:fill="FFFFFF"/>
        </w:rPr>
        <w:t xml:space="preserve">O sea, es un problema de la demanda (trabajo / renta) y no de la oferta (disponibilidad / precio). Solo por citar un ejemplo: los grandes fondos de inversión que compraron grandes partidas de inmuebles durante la crisis financiera (2008), deberían estar muy “interesados” en alquilar sus propiedades a inquilinos dispuestos a pagar la renta de mercado. </w:t>
      </w:r>
    </w:p>
    <w:p w:rsidR="008F7A2A" w:rsidRPr="003442E2" w:rsidRDefault="008F7A2A" w:rsidP="008F7A2A">
      <w:pPr>
        <w:spacing w:line="240" w:lineRule="auto"/>
        <w:jc w:val="both"/>
        <w:rPr>
          <w:rFonts w:ascii="Times New Roman" w:hAnsi="Times New Roman" w:cs="Times New Roman"/>
          <w:color w:val="FF0000"/>
          <w:sz w:val="24"/>
          <w:szCs w:val="24"/>
          <w:shd w:val="clear" w:color="auto" w:fill="FFFFFF"/>
        </w:rPr>
      </w:pPr>
      <w:r w:rsidRPr="003442E2">
        <w:rPr>
          <w:rFonts w:ascii="Times New Roman" w:hAnsi="Times New Roman" w:cs="Times New Roman"/>
          <w:color w:val="FF0000"/>
          <w:sz w:val="24"/>
          <w:szCs w:val="24"/>
          <w:shd w:val="clear" w:color="auto" w:fill="FFFFFF"/>
        </w:rPr>
        <w:t xml:space="preserve">Además también está el tema de la “seguridad jurídica” de la propiedad (inquilinos morosos, falta de pago, dificultades para el desalojo, okupas…), pero ese tema lo abordo en el siguiente punto. La fiscalidad (que podría favorecer la oferta), también se trata más adelante.    </w:t>
      </w:r>
    </w:p>
    <w:p w:rsidR="00C02DB5" w:rsidRDefault="00C02DB5" w:rsidP="00C02DB5">
      <w:pPr>
        <w:spacing w:line="240" w:lineRule="auto"/>
        <w:jc w:val="both"/>
        <w:rPr>
          <w:rFonts w:ascii="Times New Roman" w:hAnsi="Times New Roman" w:cs="Times New Roman"/>
          <w:color w:val="FF0000"/>
          <w:sz w:val="24"/>
          <w:szCs w:val="24"/>
          <w:shd w:val="clear" w:color="auto" w:fill="FFFFFF"/>
        </w:rPr>
      </w:pPr>
      <w:r w:rsidRPr="0082040B">
        <w:rPr>
          <w:rFonts w:ascii="Times New Roman" w:hAnsi="Times New Roman" w:cs="Times New Roman"/>
          <w:color w:val="FF0000"/>
          <w:sz w:val="24"/>
          <w:szCs w:val="24"/>
          <w:shd w:val="clear" w:color="auto" w:fill="FFFFFF"/>
        </w:rPr>
        <w:t>- Crear un sistema de desalojo rápido (2 meses sin pago, y desalojo automático)</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 xml:space="preserve">En España, desalojar a un inquilino moroso puede tomar entre 6 y 12 meses, aunque la duración real puede variar según el juzgado y las circunstancias específicas del caso. Este proceso, conocido como desahucio por impago, suele ser más rápido si se cuenta con un contrato de alquiler y se siguen los procedimientos legales adecuados. En comparación con </w:t>
      </w:r>
      <w:r w:rsidRPr="00796DD6">
        <w:rPr>
          <w:rFonts w:ascii="Times New Roman" w:hAnsi="Times New Roman" w:cs="Times New Roman"/>
          <w:sz w:val="24"/>
          <w:szCs w:val="24"/>
          <w:shd w:val="clear" w:color="auto" w:fill="FFFFFF"/>
        </w:rPr>
        <w:lastRenderedPageBreak/>
        <w:t xml:space="preserve">otros países, España se encuentra en un punto medio en cuanto a la rapidez de los desahucios, con algunos países siendo más ágiles y otros más lentos en este proceso. </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Desahucio por impago en España:</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 xml:space="preserve">Plazo mínimo: La ley establece un plazo mínimo de 6 meses para que se ejecute un desahucio por impago, pero la realidad suele ser más prolongada. </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 xml:space="preserve">Factores que influyen: La carga de trabajo del juzgado, la complejidad del caso (por ejemplo, la existencia de menores o personas vulnerables), y la presentación de recursos por parte del inquilino pueden retrasar el proceso. </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 xml:space="preserve">Proceso: El proceso generalmente implica la presentación de una demanda de desahucio, notificación al inquilino, y en caso de no pago o acuerdo, la ejecución del desalojo por parte de las autoridades. </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 xml:space="preserve">Desahucio express: Existe la posibilidad de acelerar el proceso a través de un desahucio express, que puede reducir los plazos, aunque no siempre es aplicable ni garantizado. </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Comparativa con otros países:</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 xml:space="preserve">Países con desahucios más rápidos: Algunos países de Europa del Norte, como Alemania, tienen procedimientos de desahucio más ágiles, con plazos que pueden ser inferiores a seis meses. </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 xml:space="preserve">Países con desahucios más lentos: En algunos países latinoamericanos, por ejemplo, el proceso de desahucio puede ser más largo y complejo, a veces superando los 12 meses. </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 ¿</w:t>
      </w:r>
      <w:r w:rsidRPr="00796DD6">
        <w:rPr>
          <w:rFonts w:ascii="Times New Roman" w:hAnsi="Times New Roman" w:cs="Times New Roman"/>
          <w:sz w:val="24"/>
          <w:szCs w:val="24"/>
          <w:u w:val="single"/>
          <w:shd w:val="clear" w:color="auto" w:fill="FFFFFF"/>
        </w:rPr>
        <w:t>Cuánto tiempo tarda un desahucio por impago de alquiler</w:t>
      </w:r>
      <w:r w:rsidRPr="00796DD6">
        <w:rPr>
          <w:rFonts w:ascii="Times New Roman" w:hAnsi="Times New Roman" w:cs="Times New Roman"/>
          <w:sz w:val="24"/>
          <w:szCs w:val="24"/>
          <w:shd w:val="clear" w:color="auto" w:fill="FFFFFF"/>
        </w:rPr>
        <w:t xml:space="preserve">? (Fuente: idealista.com - </w:t>
      </w:r>
      <w:r w:rsidRPr="00796DD6">
        <w:rPr>
          <w:rFonts w:ascii="Times New Roman" w:hAnsi="Times New Roman" w:cs="Times New Roman"/>
          <w:b/>
          <w:sz w:val="24"/>
          <w:szCs w:val="24"/>
          <w:shd w:val="clear" w:color="auto" w:fill="FFFFFF"/>
        </w:rPr>
        <w:t>8/1/25</w:t>
      </w:r>
      <w:r w:rsidRPr="00796DD6">
        <w:rPr>
          <w:rFonts w:ascii="Times New Roman" w:hAnsi="Times New Roman" w:cs="Times New Roman"/>
          <w:sz w:val="24"/>
          <w:szCs w:val="24"/>
          <w:shd w:val="clear" w:color="auto" w:fill="FFFFFF"/>
        </w:rPr>
        <w:t>)</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El desahucio por impago de alquiler es un proceso lento y costoso, ¿pero cuánto tiempo tarda en producirse? Te lo contamos</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(Por Eduardo G. Martínez - Colaborador de idealista news)</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 xml:space="preserve">El desahucio por impago de alquiler es uno de los procedimientos legales más temidos tanto por propietarios como por inquilinos. Aunque la normativa en España establece pasos claros para resolver este tipo de conflictos, el tiempo que puede tardar en completarse varía dependiendo de múltiples factores, como la carga de trabajo de los juzgados, la respuesta del inquilino y las circunstancias específicas de cada caso. </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En este artículo, analizaremos los plazos generales y los elementos que influyen en la duración de un proceso de desahucio, para que tanto arrendadores como arrendatarios puedan entender mejor qué esperar en estas situaciones.</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El proceso de desahucio por impago de alquiler</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Si un inquilino no paga el alquiler, antes de recurrir a los juzgados, hay que tratar de solventar la solución por la vía extrajudicial. El primer paso del proceso debe ser la de darle la oportunidad al inquilino de que pague lo que debe. Para ello, habrá que enviarle un burofax, dejando constancia fehaciente en él de la cantidad que debe y el plazo (nor</w:t>
      </w:r>
      <w:r>
        <w:rPr>
          <w:rFonts w:ascii="Times New Roman" w:hAnsi="Times New Roman" w:cs="Times New Roman"/>
          <w:sz w:val="24"/>
          <w:szCs w:val="24"/>
          <w:shd w:val="clear" w:color="auto" w:fill="FFFFFF"/>
        </w:rPr>
        <w:t>malmente 10 días) para pagarla.</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lastRenderedPageBreak/>
        <w:t>Si pasan 30 días desde el envío del mensaje y el inquilino no paga ni contesta, a ojos de la ley es como si estuviera reafirmando su decisión de no pagar, por lo que no podrá enervar el proceso de desahucio. Tendrá que irse sí o sí en cuanto lo dictamine un juez.</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¿Quiénes forman parte del proceso de desahucio?</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En el caso de desahucios por falta de pago de alquiler, se necesitarán abogado y procurador para redactar una demanda en la que se pedirá:</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Echar al inquilino moroso para recuperar el piso</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El pago de las rentas del alquiler y demás cantidades adeudadas, permitiendo a la ley cuantificar la demanda en una anualidad de renta, aunque el inquilino no haya llegado todavía a dicha cantidad</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Tras la admisión a trámite de la demanda, el juzgado da un plazo de 10 días al inquilino para que conteste y fija las fechas del juicio, así como las del posterior lanzamiento, fecha en la que el propietario recuperará la vivienda. Si el inquilino no responde, no se celebrará ningún juicio y se pasará directamente al lanzamiento.</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Si el inquilino decide oponerse a la demanda, es importante tener en cuenta que el proceso de desahucio se alargará. Esta extensión se debe a que, en caso de oposición, se procederá a un juicio de desahucio, que posteriormente requerirá una sentencia. Esa sentencia debe ser firme, lo que añade tiempo al proceso completo.</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Adicionalmente, es relevante considerar que muchos inquilinos que optan por oponerse recurren a los servicios de un abogado y procurador de oficio. El proceso para asignar estos profesionales puede demorarse, de media, un mes. Asimismo, la oposición a la demanda por parte del inquilino conlleva un proceso más prolongado, mientras que, si no hay oposición, el proceso será más ágil.</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¿Cuánto tarda un desahucio por impago de alquiler?</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 xml:space="preserve">En España, el plazo mínimo para que se haga efectivo un desahucio por impago de alquiler es de seis meses, aunque suele demorarse más tiempo. </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No obstante, si te preguntas cuánto tarda un desahucio y buscas un plazo realista, lo habitual es que se prolongue hasta 12 meses o más, aunque la media podrían ser 8.</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¿Cuánto tarda un desahucio por finalización de contrato?</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Para llevar a cabo un desahucio al terminar un contrato de alquiler, se necesita un abogado y un procurador. Si se presenta una demanda de desahucio, debe hacerse en el Juzgado de Primera Instancia del lugar donde se ubique el inmueble, adjuntando el contrato de arrendamiento. Una vez aceptada, se notifica al inquilino, quien tiene 10 días hábiles para oponerse. Si se opone, puede haber un juicio donde el Juez decida una fecha de desahucio. Si el inquilino no se opone, este puede ser opcional.</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Si el arrendatario no deja la propiedad para la fecha determinada, se procede al desahucio con la presencia de representantes judiciales, el procurador, el dueño (si lo desea) y un cerrajero. Al finalizar, se redacta un acta de lanzamiento, que demuestra que el propietario ha recuperado su propiedad.</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lastRenderedPageBreak/>
        <w:t>Aunque un inquilino siga pagando la renta al terminar el contrato, el propietario puede desahuciarlo si ya ha informado su intención de recuperar la propiedad cumpliendo los plazos de preaviso.</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Factores que influyen en el tiempo que tarda un desahucio</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El tiempo para echar a un inquilino que no paga el alquiler depende de la carga de trabajo del juzgado en el que se lleve a cabo la demanda. Por otro lado, según datos del Consejo General del Poder Judicial (CGPJ), se tarda casi dos años en echar a un okupa.</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Además, la nueva Ley de Vivienda ha dilatado los plazos para desalojar a inquilinos que no pagan y que se encuentran en situación de vulnerabilidad económica. En estos casos, la nueva normativa establece que se deberá informar a las Administraciones Públicas competentes en materia de vivienda, asistencia social y evaluación de situaciones de necesidad, así como a aquellas encargadas de la atención inmediata a personas en riesgo de exclusión social, con el fin de que puedan adoptar las medidas oportunas, si procede. Esto, en la práctica, aumenta mucho los plazos para el desalojo.</w:t>
      </w:r>
    </w:p>
    <w:p w:rsidR="00C02DB5" w:rsidRPr="00796DD6" w:rsidRDefault="00C02DB5" w:rsidP="00C02DB5">
      <w:pPr>
        <w:spacing w:line="240" w:lineRule="auto"/>
        <w:jc w:val="both"/>
        <w:rPr>
          <w:rFonts w:ascii="Times New Roman" w:hAnsi="Times New Roman" w:cs="Times New Roman"/>
          <w:sz w:val="24"/>
          <w:szCs w:val="24"/>
          <w:shd w:val="clear" w:color="auto" w:fill="FFFFFF"/>
        </w:rPr>
      </w:pPr>
      <w:r w:rsidRPr="00796DD6">
        <w:rPr>
          <w:rFonts w:ascii="Times New Roman" w:hAnsi="Times New Roman" w:cs="Times New Roman"/>
          <w:sz w:val="24"/>
          <w:szCs w:val="24"/>
          <w:shd w:val="clear" w:color="auto" w:fill="FFFFFF"/>
        </w:rPr>
        <w:t xml:space="preserve">Asimismo, para tramitar una demanda de desahucio, será necesario incluir información específica, como si el inmueble constituye la residencia habitual del inquilino, si el demandante es considerado un “gran tenedor” y, en caso afirmativo, si también se encuentra en una situación de vulnerabilidad económica. En los casos en que el demandante sea un “gran tenedor”, deberá acreditarse previamente la realización de un procedimiento de conciliación o intermediación. </w:t>
      </w:r>
    </w:p>
    <w:p w:rsidR="00C02DB5" w:rsidRPr="004D4289" w:rsidRDefault="00C02DB5" w:rsidP="00C02DB5">
      <w:pPr>
        <w:spacing w:line="240" w:lineRule="auto"/>
        <w:jc w:val="both"/>
        <w:rPr>
          <w:rFonts w:ascii="Times New Roman" w:hAnsi="Times New Roman" w:cs="Times New Roman"/>
          <w:color w:val="FF0000"/>
          <w:sz w:val="24"/>
          <w:szCs w:val="24"/>
          <w:shd w:val="clear" w:color="auto" w:fill="FFFFFF"/>
        </w:rPr>
      </w:pPr>
      <w:r w:rsidRPr="004D4289">
        <w:rPr>
          <w:rFonts w:ascii="Times New Roman" w:hAnsi="Times New Roman" w:cs="Times New Roman"/>
          <w:b/>
          <w:color w:val="FF0000"/>
          <w:sz w:val="24"/>
          <w:szCs w:val="24"/>
          <w:shd w:val="clear" w:color="auto" w:fill="FFFFFF"/>
        </w:rPr>
        <w:t xml:space="preserve">Nota I: </w:t>
      </w:r>
      <w:r w:rsidRPr="004D4289">
        <w:rPr>
          <w:rFonts w:ascii="Times New Roman" w:hAnsi="Times New Roman" w:cs="Times New Roman"/>
          <w:color w:val="FF0000"/>
          <w:sz w:val="24"/>
          <w:szCs w:val="24"/>
          <w:shd w:val="clear" w:color="auto" w:fill="FFFFFF"/>
        </w:rPr>
        <w:t>La suspensión de los desahucios en 2025</w:t>
      </w:r>
    </w:p>
    <w:p w:rsidR="00C02DB5" w:rsidRPr="004D4289" w:rsidRDefault="00C02DB5" w:rsidP="00C02DB5">
      <w:pPr>
        <w:spacing w:line="240" w:lineRule="auto"/>
        <w:jc w:val="both"/>
        <w:rPr>
          <w:rFonts w:ascii="Times New Roman" w:hAnsi="Times New Roman" w:cs="Times New Roman"/>
          <w:color w:val="FF0000"/>
          <w:sz w:val="24"/>
          <w:szCs w:val="24"/>
          <w:shd w:val="clear" w:color="auto" w:fill="FFFFFF"/>
        </w:rPr>
      </w:pPr>
      <w:r w:rsidRPr="004D4289">
        <w:rPr>
          <w:rFonts w:ascii="Times New Roman" w:hAnsi="Times New Roman" w:cs="Times New Roman"/>
          <w:color w:val="FF0000"/>
          <w:sz w:val="24"/>
          <w:szCs w:val="24"/>
          <w:shd w:val="clear" w:color="auto" w:fill="FFFFFF"/>
        </w:rPr>
        <w:t xml:space="preserve">El Gobierno, vía decreto ley, ha vuelto a extender la paralización de los desahucios que comenzó con la pandemia del coronavirus. En concreto, se extiende hasta el 31 de diciembre de 2025, cumpliendo así cinco años en vigor. </w:t>
      </w:r>
    </w:p>
    <w:p w:rsidR="00C02DB5" w:rsidRPr="004D4289" w:rsidRDefault="00C02DB5" w:rsidP="00C02DB5">
      <w:pPr>
        <w:spacing w:line="240" w:lineRule="auto"/>
        <w:jc w:val="both"/>
        <w:rPr>
          <w:rFonts w:ascii="Times New Roman" w:hAnsi="Times New Roman" w:cs="Times New Roman"/>
          <w:color w:val="FF0000"/>
          <w:sz w:val="24"/>
          <w:szCs w:val="24"/>
          <w:shd w:val="clear" w:color="auto" w:fill="FFFFFF"/>
        </w:rPr>
      </w:pPr>
      <w:r w:rsidRPr="004D4289">
        <w:rPr>
          <w:rFonts w:ascii="Times New Roman" w:hAnsi="Times New Roman" w:cs="Times New Roman"/>
          <w:color w:val="FF0000"/>
          <w:sz w:val="24"/>
          <w:szCs w:val="24"/>
          <w:shd w:val="clear" w:color="auto" w:fill="FFFFFF"/>
        </w:rPr>
        <w:t xml:space="preserve">De esta manera, seguirá aplicándose en los mismos supuestos que hasta ahora: En los casos de hogares vulnerables sin alternativa habitacional sujetos a la LAU de 1994, cuando habiten una vivienda sin título mujeres víctimas de violencia de género, dependientes o con dependientes, o menores a su cargo y se encuentren en situación de vulnerabilidad, siempre que la vivienda esté en manos de un gran tenedor. </w:t>
      </w:r>
    </w:p>
    <w:p w:rsidR="00C02DB5" w:rsidRPr="004D4289" w:rsidRDefault="00C02DB5" w:rsidP="00C02DB5">
      <w:pPr>
        <w:spacing w:line="240" w:lineRule="auto"/>
        <w:jc w:val="both"/>
        <w:rPr>
          <w:rFonts w:ascii="Times New Roman" w:hAnsi="Times New Roman" w:cs="Times New Roman"/>
          <w:color w:val="FF0000"/>
          <w:sz w:val="24"/>
          <w:szCs w:val="24"/>
          <w:shd w:val="clear" w:color="auto" w:fill="FFFFFF"/>
        </w:rPr>
      </w:pPr>
      <w:r w:rsidRPr="004D4289">
        <w:rPr>
          <w:rFonts w:ascii="Times New Roman" w:hAnsi="Times New Roman" w:cs="Times New Roman"/>
          <w:color w:val="FF0000"/>
          <w:sz w:val="24"/>
          <w:szCs w:val="24"/>
          <w:shd w:val="clear" w:color="auto" w:fill="FFFFFF"/>
        </w:rPr>
        <w:t>Con esta medida, cualquier inquilino moroso o “inquiokupa” que se declare en vulnerabilidad económica y que sea considerado como tal por los servicios sociales podrá paralizar el desahucio o el lanzamiento del piso alquilado que ha dejado de pagar.</w:t>
      </w:r>
    </w:p>
    <w:p w:rsidR="00C02DB5" w:rsidRPr="004D4289" w:rsidRDefault="00C02DB5" w:rsidP="00C02DB5">
      <w:pPr>
        <w:spacing w:line="240" w:lineRule="auto"/>
        <w:jc w:val="both"/>
        <w:rPr>
          <w:rFonts w:ascii="Times New Roman" w:hAnsi="Times New Roman" w:cs="Times New Roman"/>
          <w:color w:val="FF0000"/>
          <w:sz w:val="24"/>
          <w:szCs w:val="24"/>
          <w:shd w:val="clear" w:color="auto" w:fill="FFFFFF"/>
        </w:rPr>
      </w:pPr>
      <w:r w:rsidRPr="004D4289">
        <w:rPr>
          <w:rFonts w:ascii="Times New Roman" w:hAnsi="Times New Roman" w:cs="Times New Roman"/>
          <w:color w:val="FF0000"/>
          <w:sz w:val="24"/>
          <w:szCs w:val="24"/>
          <w:shd w:val="clear" w:color="auto" w:fill="FFFFFF"/>
        </w:rPr>
        <w:t>Asimismo, se extenderá hasta el 31 de enero de 2026 la posibilidad de solicitar la compensación por parte del propietario si la Administración y los servicios públicos no encuentran una alternativa habitacional, para lo que tienen un plazo de tres meses.</w:t>
      </w:r>
    </w:p>
    <w:p w:rsidR="00C02DB5" w:rsidRPr="003442E2" w:rsidRDefault="00C02DB5" w:rsidP="00C02DB5">
      <w:pPr>
        <w:spacing w:line="240" w:lineRule="auto"/>
        <w:jc w:val="both"/>
        <w:rPr>
          <w:rFonts w:ascii="Times New Roman" w:hAnsi="Times New Roman" w:cs="Times New Roman"/>
          <w:color w:val="FF0000"/>
          <w:sz w:val="24"/>
          <w:szCs w:val="24"/>
          <w:shd w:val="clear" w:color="auto" w:fill="FFFFFF"/>
        </w:rPr>
      </w:pPr>
      <w:r w:rsidRPr="003442E2">
        <w:rPr>
          <w:rFonts w:ascii="Times New Roman" w:hAnsi="Times New Roman" w:cs="Times New Roman"/>
          <w:b/>
          <w:color w:val="FF0000"/>
          <w:sz w:val="24"/>
          <w:szCs w:val="24"/>
          <w:shd w:val="clear" w:color="auto" w:fill="FFFFFF"/>
        </w:rPr>
        <w:t>Nota II</w:t>
      </w:r>
      <w:r w:rsidRPr="003442E2">
        <w:rPr>
          <w:rFonts w:ascii="Times New Roman" w:hAnsi="Times New Roman" w:cs="Times New Roman"/>
          <w:color w:val="FF0000"/>
          <w:sz w:val="24"/>
          <w:szCs w:val="24"/>
          <w:shd w:val="clear" w:color="auto" w:fill="FFFFFF"/>
        </w:rPr>
        <w:t>: para mejorar la oferta de vivienda en alquiler, y aumentar las garantías jurídicas para el propietario, mi propuesta es llevar a dos meses el tiempo de desalojo por causa justa.</w:t>
      </w:r>
    </w:p>
    <w:p w:rsidR="00C02DB5" w:rsidRPr="002E049A" w:rsidRDefault="00C02DB5" w:rsidP="00C02DB5">
      <w:pPr>
        <w:spacing w:line="240" w:lineRule="auto"/>
        <w:jc w:val="both"/>
        <w:rPr>
          <w:rFonts w:ascii="Times New Roman" w:hAnsi="Times New Roman" w:cs="Times New Roman"/>
          <w:color w:val="FF0000"/>
          <w:sz w:val="24"/>
          <w:szCs w:val="24"/>
          <w:shd w:val="clear" w:color="auto" w:fill="FFFFFF"/>
        </w:rPr>
      </w:pPr>
      <w:r w:rsidRPr="002E049A">
        <w:rPr>
          <w:rFonts w:ascii="Times New Roman" w:hAnsi="Times New Roman" w:cs="Times New Roman"/>
          <w:color w:val="FF0000"/>
          <w:sz w:val="24"/>
          <w:szCs w:val="24"/>
          <w:shd w:val="clear" w:color="auto" w:fill="FFFFFF"/>
        </w:rPr>
        <w:t>- Reprimir todo método de ocupación ilegal de inmuebles (desalojo policial en 48 horas, sin necesidad de orden judicial)</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La “okupación”</w:t>
      </w:r>
      <w:r w:rsidRPr="002E049A">
        <w:rPr>
          <w:rFonts w:ascii="Times New Roman" w:hAnsi="Times New Roman" w:cs="Times New Roman"/>
          <w:color w:val="000000"/>
          <w:sz w:val="24"/>
          <w:szCs w:val="24"/>
          <w:shd w:val="clear" w:color="auto" w:fill="FFFFFF"/>
        </w:rPr>
        <w:t xml:space="preserve"> de viviendas, también conocida como usurpación de inmuebles, se refiere a la acción de entrar y ocupar una vivienda sin el consentimiento de su propietario. Este </w:t>
      </w:r>
      <w:r w:rsidRPr="002E049A">
        <w:rPr>
          <w:rFonts w:ascii="Times New Roman" w:hAnsi="Times New Roman" w:cs="Times New Roman"/>
          <w:color w:val="000000"/>
          <w:sz w:val="24"/>
          <w:szCs w:val="24"/>
          <w:shd w:val="clear" w:color="auto" w:fill="FFFFFF"/>
        </w:rPr>
        <w:lastRenderedPageBreak/>
        <w:t xml:space="preserve">término, a menudo con connotaciones sociales y políticas, se refiere a la ocupación de propiedades, usualmente deshabitadas o abandonadas, con el objetivo de establecerse en ellas, a veces como forma de protesta contra la especulación inmobiliaria o la falta de acceso a la vivienda. </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Conceptos Clave:</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Inmueble sin consentimiento: </w:t>
      </w:r>
      <w:r w:rsidRPr="002E049A">
        <w:rPr>
          <w:rFonts w:ascii="Times New Roman" w:hAnsi="Times New Roman" w:cs="Times New Roman"/>
          <w:color w:val="000000"/>
          <w:sz w:val="24"/>
          <w:szCs w:val="24"/>
          <w:shd w:val="clear" w:color="auto" w:fill="FFFFFF"/>
        </w:rPr>
        <w:t xml:space="preserve">La </w:t>
      </w:r>
      <w:r>
        <w:rPr>
          <w:rFonts w:ascii="Times New Roman" w:hAnsi="Times New Roman" w:cs="Times New Roman"/>
          <w:color w:val="000000"/>
          <w:sz w:val="24"/>
          <w:szCs w:val="24"/>
          <w:shd w:val="clear" w:color="auto" w:fill="FFFFFF"/>
        </w:rPr>
        <w:t>característica principal de la “okupación”</w:t>
      </w:r>
      <w:r w:rsidRPr="002E049A">
        <w:rPr>
          <w:rFonts w:ascii="Times New Roman" w:hAnsi="Times New Roman" w:cs="Times New Roman"/>
          <w:color w:val="000000"/>
          <w:sz w:val="24"/>
          <w:szCs w:val="24"/>
          <w:shd w:val="clear" w:color="auto" w:fill="FFFFFF"/>
        </w:rPr>
        <w:t xml:space="preserve"> es la ausencia de autorización del propietario para ocupar la propiedad. </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Propiedades deshabitadas: </w:t>
      </w:r>
      <w:r w:rsidRPr="002E049A">
        <w:rPr>
          <w:rFonts w:ascii="Times New Roman" w:hAnsi="Times New Roman" w:cs="Times New Roman"/>
          <w:color w:val="000000"/>
          <w:sz w:val="24"/>
          <w:szCs w:val="24"/>
          <w:shd w:val="clear" w:color="auto" w:fill="FFFFFF"/>
        </w:rPr>
        <w:t xml:space="preserve">La práctica suele enfocarse en viviendas o locales vacíos, abandonados o en desuso. </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Reivindicación social: </w:t>
      </w:r>
      <w:r w:rsidRPr="002E049A">
        <w:rPr>
          <w:rFonts w:ascii="Times New Roman" w:hAnsi="Times New Roman" w:cs="Times New Roman"/>
          <w:color w:val="000000"/>
          <w:sz w:val="24"/>
          <w:szCs w:val="24"/>
          <w:shd w:val="clear" w:color="auto" w:fill="FFFFFF"/>
        </w:rPr>
        <w:t xml:space="preserve">En algunos casos, la </w:t>
      </w:r>
      <w:r w:rsidR="00C84C09">
        <w:rPr>
          <w:rFonts w:ascii="Times New Roman" w:hAnsi="Times New Roman" w:cs="Times New Roman"/>
          <w:color w:val="000000"/>
          <w:sz w:val="24"/>
          <w:szCs w:val="24"/>
          <w:shd w:val="clear" w:color="auto" w:fill="FFFFFF"/>
        </w:rPr>
        <w:t>“</w:t>
      </w:r>
      <w:r w:rsidRPr="002E049A">
        <w:rPr>
          <w:rFonts w:ascii="Times New Roman" w:hAnsi="Times New Roman" w:cs="Times New Roman"/>
          <w:color w:val="000000"/>
          <w:sz w:val="24"/>
          <w:szCs w:val="24"/>
          <w:shd w:val="clear" w:color="auto" w:fill="FFFFFF"/>
        </w:rPr>
        <w:t>okupación</w:t>
      </w:r>
      <w:r w:rsidR="00C84C09">
        <w:rPr>
          <w:rFonts w:ascii="Times New Roman" w:hAnsi="Times New Roman" w:cs="Times New Roman"/>
          <w:color w:val="000000"/>
          <w:sz w:val="24"/>
          <w:szCs w:val="24"/>
          <w:shd w:val="clear" w:color="auto" w:fill="FFFFFF"/>
        </w:rPr>
        <w:t>”</w:t>
      </w:r>
      <w:r w:rsidRPr="002E049A">
        <w:rPr>
          <w:rFonts w:ascii="Times New Roman" w:hAnsi="Times New Roman" w:cs="Times New Roman"/>
          <w:color w:val="000000"/>
          <w:sz w:val="24"/>
          <w:szCs w:val="24"/>
          <w:shd w:val="clear" w:color="auto" w:fill="FFFFFF"/>
        </w:rPr>
        <w:t xml:space="preserve"> se asocia con movimientos sociales que buscan denunciar la falta de acceso a la vivienda y la especulación inmobiliaria. </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 xml:space="preserve">Diferencia entre </w:t>
      </w:r>
      <w:r>
        <w:rPr>
          <w:rFonts w:ascii="Times New Roman" w:hAnsi="Times New Roman" w:cs="Times New Roman"/>
          <w:color w:val="000000"/>
          <w:sz w:val="24"/>
          <w:szCs w:val="24"/>
          <w:shd w:val="clear" w:color="auto" w:fill="FFFFFF"/>
        </w:rPr>
        <w:t xml:space="preserve">okupa y allanamiento de morada: </w:t>
      </w:r>
      <w:r w:rsidRPr="002E049A">
        <w:rPr>
          <w:rFonts w:ascii="Times New Roman" w:hAnsi="Times New Roman" w:cs="Times New Roman"/>
          <w:color w:val="000000"/>
          <w:sz w:val="24"/>
          <w:szCs w:val="24"/>
          <w:shd w:val="clear" w:color="auto" w:fill="FFFFFF"/>
        </w:rPr>
        <w:t>La ley distingue entre allanamiento de morada (cuando se ocupa la vivienda habitual del propietario) y usurpación (cuando se ocupa una vivienda que no es la residen</w:t>
      </w:r>
      <w:r>
        <w:rPr>
          <w:rFonts w:ascii="Times New Roman" w:hAnsi="Times New Roman" w:cs="Times New Roman"/>
          <w:color w:val="000000"/>
          <w:sz w:val="24"/>
          <w:szCs w:val="24"/>
          <w:shd w:val="clear" w:color="auto" w:fill="FFFFFF"/>
        </w:rPr>
        <w:t xml:space="preserve">cia habitual del propietario). </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Usurpación: </w:t>
      </w:r>
      <w:r w:rsidRPr="002E049A">
        <w:rPr>
          <w:rFonts w:ascii="Times New Roman" w:hAnsi="Times New Roman" w:cs="Times New Roman"/>
          <w:color w:val="000000"/>
          <w:sz w:val="24"/>
          <w:szCs w:val="24"/>
          <w:shd w:val="clear" w:color="auto" w:fill="FFFFFF"/>
        </w:rPr>
        <w:t xml:space="preserve">La ocupación ilegal de un inmueble se considera un delito de usurpación, según el Código Penal. </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Allanamiento de morada: </w:t>
      </w:r>
      <w:r w:rsidRPr="002E049A">
        <w:rPr>
          <w:rFonts w:ascii="Times New Roman" w:hAnsi="Times New Roman" w:cs="Times New Roman"/>
          <w:color w:val="000000"/>
          <w:sz w:val="24"/>
          <w:szCs w:val="24"/>
          <w:shd w:val="clear" w:color="auto" w:fill="FFFFFF"/>
        </w:rPr>
        <w:t xml:space="preserve">Si la vivienda ocupada es la residencia habitual del propietario, se considera allanamiento de morada, un delito más grave. </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Desalojo: </w:t>
      </w:r>
      <w:r w:rsidRPr="002E049A">
        <w:rPr>
          <w:rFonts w:ascii="Times New Roman" w:hAnsi="Times New Roman" w:cs="Times New Roman"/>
          <w:color w:val="000000"/>
          <w:sz w:val="24"/>
          <w:szCs w:val="24"/>
          <w:shd w:val="clear" w:color="auto" w:fill="FFFFFF"/>
        </w:rPr>
        <w:t xml:space="preserve">La expulsión de los okupas solo puede ser realizada por las fuerzas de seguridad tras una sentencia judicial. </w:t>
      </w:r>
    </w:p>
    <w:p w:rsidR="00C02DB5" w:rsidRPr="002E049A" w:rsidRDefault="00C02DB5" w:rsidP="00C02DB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color w:val="000000"/>
          <w:sz w:val="24"/>
          <w:szCs w:val="24"/>
          <w:shd w:val="clear" w:color="auto" w:fill="FFFFFF"/>
        </w:rPr>
        <w:t xml:space="preserve">- </w:t>
      </w:r>
      <w:r w:rsidRPr="00C52926">
        <w:rPr>
          <w:rFonts w:ascii="Times New Roman" w:hAnsi="Times New Roman" w:cs="Times New Roman"/>
          <w:color w:val="000000"/>
          <w:sz w:val="24"/>
          <w:szCs w:val="24"/>
          <w:u w:val="single"/>
          <w:shd w:val="clear" w:color="auto" w:fill="FFFFFF"/>
        </w:rPr>
        <w:t>Manual de okupación: conoce sus trucos y evita que te ocurra</w:t>
      </w:r>
      <w:r>
        <w:rPr>
          <w:rFonts w:ascii="Times New Roman" w:hAnsi="Times New Roman" w:cs="Times New Roman"/>
          <w:color w:val="000000"/>
          <w:sz w:val="24"/>
          <w:szCs w:val="24"/>
          <w:shd w:val="clear" w:color="auto" w:fill="FFFFFF"/>
        </w:rPr>
        <w:t xml:space="preserve"> </w:t>
      </w:r>
      <w:r w:rsidRPr="00796DD6">
        <w:rPr>
          <w:rFonts w:ascii="Times New Roman" w:hAnsi="Times New Roman" w:cs="Times New Roman"/>
          <w:sz w:val="24"/>
          <w:szCs w:val="24"/>
          <w:shd w:val="clear" w:color="auto" w:fill="FFFFFF"/>
        </w:rPr>
        <w:t xml:space="preserve">(Fuente: idealista.com - </w:t>
      </w:r>
      <w:r>
        <w:rPr>
          <w:rFonts w:ascii="Times New Roman" w:hAnsi="Times New Roman" w:cs="Times New Roman"/>
          <w:b/>
          <w:sz w:val="24"/>
          <w:szCs w:val="24"/>
          <w:shd w:val="clear" w:color="auto" w:fill="FFFFFF"/>
        </w:rPr>
        <w:t>29/5/24</w:t>
      </w:r>
      <w:r w:rsidRPr="00796DD6">
        <w:rPr>
          <w:rFonts w:ascii="Times New Roman" w:hAnsi="Times New Roman" w:cs="Times New Roman"/>
          <w:sz w:val="24"/>
          <w:szCs w:val="24"/>
          <w:shd w:val="clear" w:color="auto" w:fill="FFFFFF"/>
        </w:rPr>
        <w:t>)</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Junto a los inquilinos morosos, los okupas son el principal quebradero de cabeza para los propietarios de viviendas en España</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(Por </w:t>
      </w:r>
      <w:r w:rsidRPr="002E049A">
        <w:rPr>
          <w:rFonts w:ascii="Times New Roman" w:hAnsi="Times New Roman" w:cs="Times New Roman"/>
          <w:color w:val="000000"/>
          <w:sz w:val="24"/>
          <w:szCs w:val="24"/>
          <w:shd w:val="clear" w:color="auto" w:fill="FFFFFF"/>
        </w:rPr>
        <w:t>Ed</w:t>
      </w:r>
      <w:r>
        <w:rPr>
          <w:rFonts w:ascii="Times New Roman" w:hAnsi="Times New Roman" w:cs="Times New Roman"/>
          <w:color w:val="000000"/>
          <w:sz w:val="24"/>
          <w:szCs w:val="24"/>
          <w:shd w:val="clear" w:color="auto" w:fill="FFFFFF"/>
        </w:rPr>
        <w:t xml:space="preserve">uardo G. Martínez - </w:t>
      </w:r>
      <w:r w:rsidRPr="002E049A">
        <w:rPr>
          <w:rFonts w:ascii="Times New Roman" w:hAnsi="Times New Roman" w:cs="Times New Roman"/>
          <w:color w:val="000000"/>
          <w:sz w:val="24"/>
          <w:szCs w:val="24"/>
          <w:shd w:val="clear" w:color="auto" w:fill="FFFFFF"/>
        </w:rPr>
        <w:t>Colaborador de idealista news)</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La okupación, junto a los inquilinos morosos, es uno de los problemas graves de España y una de las principales preocupaciones de los propietarios de viviendas, ya sean grandes o pequeños. Y es que, lo que los okupas denominan como un acto de rebelión o de lucha contra el sistema, afecta a personas particulares que han heredado una vivienda o que, con sudor y esfuerzo</w:t>
      </w:r>
      <w:r>
        <w:rPr>
          <w:rFonts w:ascii="Times New Roman" w:hAnsi="Times New Roman" w:cs="Times New Roman"/>
          <w:color w:val="000000"/>
          <w:sz w:val="24"/>
          <w:szCs w:val="24"/>
          <w:shd w:val="clear" w:color="auto" w:fill="FFFFFF"/>
        </w:rPr>
        <w:t>, han logrado comprar una casa.</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¿Por qué ha de recaer el acceso digno a una vivienda, algo que debería ser responsabilidad del Estado, en personas particulares? Esta y otras cuestiones pasan de largo en el extenso manual del okupa: una biblia en la que se recogen y se enseñan las técnicas y métodos de este colectivo para ocupar casas. Conocer los trucos que aparecen aquí puede evitar que te pase a ti.</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 xml:space="preserve">Recientemente, se ha difundido la noticia de una mujer que ha ocupado ilegalmente un chalet valorado en 670.000 euros en Menorca. La okupa, llamada María, es ama de casa y madre de cinco hijos. Según ha compartido ella misma en redes sociales, recibe alrededor de 1.600 euros del Ingreso Mínimo Vital (IMV). En un video donde hace un recorrido por la vivienda, </w:t>
      </w:r>
      <w:r w:rsidRPr="002E049A">
        <w:rPr>
          <w:rFonts w:ascii="Times New Roman" w:hAnsi="Times New Roman" w:cs="Times New Roman"/>
          <w:color w:val="000000"/>
          <w:sz w:val="24"/>
          <w:szCs w:val="24"/>
          <w:shd w:val="clear" w:color="auto" w:fill="FFFFFF"/>
        </w:rPr>
        <w:lastRenderedPageBreak/>
        <w:t>María ha expresado su sentido de merecimiento con las palabras: “Esto,</w:t>
      </w:r>
      <w:r>
        <w:rPr>
          <w:rFonts w:ascii="Times New Roman" w:hAnsi="Times New Roman" w:cs="Times New Roman"/>
          <w:color w:val="000000"/>
          <w:sz w:val="24"/>
          <w:szCs w:val="24"/>
          <w:shd w:val="clear" w:color="auto" w:fill="FFFFFF"/>
        </w:rPr>
        <w:t xml:space="preserve"> ni Beyoncé... ¡Me lo merezco!”</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De inquilino a okupa:</w:t>
      </w:r>
      <w:r>
        <w:rPr>
          <w:rFonts w:ascii="Times New Roman" w:hAnsi="Times New Roman" w:cs="Times New Roman"/>
          <w:color w:val="000000"/>
          <w:sz w:val="24"/>
          <w:szCs w:val="24"/>
          <w:shd w:val="clear" w:color="auto" w:fill="FFFFFF"/>
        </w:rPr>
        <w:t xml:space="preserve"> así funciona la inquiokupación</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 xml:space="preserve">Mientras el resto nos tenemos que conformar con vivir de alquiler o en los pisos que nuestros bolsillos se permiten, hay un colectivo que se beneficia de la laxitud de la ley española respecto a la ocupación ilegal de una vivienda y que viven gratis sin oficio ni beneficio, a costa del Estado; muchas veces, cobrando subvenciones. De hecho, existen mafias que usurpan casas y se dedican a pedir </w:t>
      </w:r>
      <w:r>
        <w:rPr>
          <w:rFonts w:ascii="Times New Roman" w:hAnsi="Times New Roman" w:cs="Times New Roman"/>
          <w:color w:val="000000"/>
          <w:sz w:val="24"/>
          <w:szCs w:val="24"/>
          <w:shd w:val="clear" w:color="auto" w:fill="FFFFFF"/>
        </w:rPr>
        <w:t>un “rescate” para abandonarlas.</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 xml:space="preserve">Asimismo, la mejor forma de evitar que ocupen tu casa o propiedad es conocer sus trucos y métodos, algo que recoge el manual de okupación. En este documento se detallan los pasos a seguir para okupar una vivienda. Tener en cuenta sus métodos es la mejor herramienta para evitar que te pase a </w:t>
      </w:r>
      <w:r>
        <w:rPr>
          <w:rFonts w:ascii="Times New Roman" w:hAnsi="Times New Roman" w:cs="Times New Roman"/>
          <w:color w:val="000000"/>
          <w:sz w:val="24"/>
          <w:szCs w:val="24"/>
          <w:shd w:val="clear" w:color="auto" w:fill="FFFFFF"/>
        </w:rPr>
        <w:t>ti:</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Evita la okupación omitiendo ciertos datos de tu propiedad</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Los okupas buscan información de los inmuebles que quieren ocupar. Miran en Internet si hay algún anuncio de la propiedad que indique que está en venta o alquiler, pero deshabitada. En otras ocasiones, hablan con los vecinos y les hacen preguntas para valo</w:t>
      </w:r>
      <w:r>
        <w:rPr>
          <w:rFonts w:ascii="Times New Roman" w:hAnsi="Times New Roman" w:cs="Times New Roman"/>
          <w:color w:val="000000"/>
          <w:sz w:val="24"/>
          <w:szCs w:val="24"/>
          <w:shd w:val="clear" w:color="auto" w:fill="FFFFFF"/>
        </w:rPr>
        <w:t xml:space="preserve">rar si puede ser ocupada. </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Evita poner carteles de “Se vende”</w:t>
      </w:r>
      <w:r w:rsidRPr="002E049A">
        <w:rPr>
          <w:rFonts w:ascii="Times New Roman" w:hAnsi="Times New Roman" w:cs="Times New Roman"/>
          <w:color w:val="000000"/>
          <w:sz w:val="24"/>
          <w:szCs w:val="24"/>
          <w:shd w:val="clear" w:color="auto" w:fill="FFFFFF"/>
        </w:rPr>
        <w:t xml:space="preserve"> y sube los anuncios a idealista sin mencionar que la vivienda se encuentra vacía. Si vendes o alquilas con una agencia inmobiliaria o tienes vecinos de confianza, puedes pedirles que se pasen po</w:t>
      </w:r>
      <w:r>
        <w:rPr>
          <w:rFonts w:ascii="Times New Roman" w:hAnsi="Times New Roman" w:cs="Times New Roman"/>
          <w:color w:val="000000"/>
          <w:sz w:val="24"/>
          <w:szCs w:val="24"/>
          <w:shd w:val="clear" w:color="auto" w:fill="FFFFFF"/>
        </w:rPr>
        <w:t>r el inmueble de vez en cuando.</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Las cámaras de seguridad y alarmas pueden proteger tu hogar</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Los okupas hacen rondas para vigilar las propiedades, comprobando si existen cámaras de seguridad y dónde se ubican. Además, examinan la afluencia de personas en el inmueble, por ejemplo, si van jardineros, o los</w:t>
      </w:r>
      <w:r>
        <w:rPr>
          <w:rFonts w:ascii="Times New Roman" w:hAnsi="Times New Roman" w:cs="Times New Roman"/>
          <w:color w:val="000000"/>
          <w:sz w:val="24"/>
          <w:szCs w:val="24"/>
          <w:shd w:val="clear" w:color="auto" w:fill="FFFFFF"/>
        </w:rPr>
        <w:t xml:space="preserve"> períodos que esta queda vacía.</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Tener cámaras de videovigilancia o un sistema de alarma es la mejor opción para proteger tu propiedad. Si a los okupas se les pilla en el acto de entrar en la vivienda, se les puede echar inmediatamente. El problema aparece cuando transcurre algo de tiempo.</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Las avanzadas tácticas de los okupas para tomar viviendas</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El tercer paso de los okupas es entrar en la propiedad. El manual del okupa enseña métodos para sortear cerraduras, verjas, candados y todo tipo de obstáculos, además de inutilizarlos para que el propietario no pueda utilizarlos para entrar. Tras haber accedido, los okupas bloquean la cerradura desde dentro, por ejemplo, con soldadura en frío o con un palillo y pegamento. Su objetivo es impedir la entrada a la policía en los prime</w:t>
      </w:r>
      <w:r>
        <w:rPr>
          <w:rFonts w:ascii="Times New Roman" w:hAnsi="Times New Roman" w:cs="Times New Roman"/>
          <w:color w:val="000000"/>
          <w:sz w:val="24"/>
          <w:szCs w:val="24"/>
          <w:shd w:val="clear" w:color="auto" w:fill="FFFFFF"/>
        </w:rPr>
        <w:t>ros momentos tras la ocupación.</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Evitarlo es complejo. Los okupas son capaces de abrir hasta puertas de difícil acceso. Están organizados y saben lo que hacen. Sin embargo, cuanto más robusta y de más calidad sea la puerta, más difícil les será y, quizá, desvíe</w:t>
      </w:r>
      <w:r>
        <w:rPr>
          <w:rFonts w:ascii="Times New Roman" w:hAnsi="Times New Roman" w:cs="Times New Roman"/>
          <w:color w:val="000000"/>
          <w:sz w:val="24"/>
          <w:szCs w:val="24"/>
          <w:shd w:val="clear" w:color="auto" w:fill="FFFFFF"/>
        </w:rPr>
        <w:t>n su atención a otra propiedad.</w:t>
      </w:r>
    </w:p>
    <w:p w:rsidR="00C02DB5"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Posteriormente, y cuando la cerradura ha quedado inutilizada, procederán a cambiarla, así como a poner cadenas en vallas y verjas.</w:t>
      </w:r>
    </w:p>
    <w:p w:rsidR="005B7CC5" w:rsidRPr="002E049A" w:rsidRDefault="005B7CC5" w:rsidP="00C02DB5">
      <w:pPr>
        <w:spacing w:line="240" w:lineRule="auto"/>
        <w:jc w:val="both"/>
        <w:rPr>
          <w:rFonts w:ascii="Times New Roman" w:hAnsi="Times New Roman" w:cs="Times New Roman"/>
          <w:color w:val="000000"/>
          <w:sz w:val="24"/>
          <w:szCs w:val="24"/>
          <w:shd w:val="clear" w:color="auto" w:fill="FFFFFF"/>
        </w:rPr>
      </w:pP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lastRenderedPageBreak/>
        <w:t>Así evitan los okupas el desalojo inmediato</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Para dificultar el desalojo por parte de la policía, meten a otras personas a la vivienda, así esta n</w:t>
      </w:r>
      <w:r>
        <w:rPr>
          <w:rFonts w:ascii="Times New Roman" w:hAnsi="Times New Roman" w:cs="Times New Roman"/>
          <w:color w:val="000000"/>
          <w:sz w:val="24"/>
          <w:szCs w:val="24"/>
          <w:shd w:val="clear" w:color="auto" w:fill="FFFFFF"/>
        </w:rPr>
        <w:t>unca queda completamente vacía.</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Además, la presencia de numerosas personas evita actuaciones en solitario del propietario o los vecinos. En muchas ocasiones, incluso dejan a sus hijos o a sus mascotas durante estancias pro</w:t>
      </w:r>
      <w:r>
        <w:rPr>
          <w:rFonts w:ascii="Times New Roman" w:hAnsi="Times New Roman" w:cs="Times New Roman"/>
          <w:color w:val="000000"/>
          <w:sz w:val="24"/>
          <w:szCs w:val="24"/>
          <w:shd w:val="clear" w:color="auto" w:fill="FFFFFF"/>
        </w:rPr>
        <w:t>longadas para que no les echen.</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Por otra parte, los okupas aseguran las pertenencias valiosas de la vivienda para evitar denuncias por</w:t>
      </w:r>
      <w:r>
        <w:rPr>
          <w:rFonts w:ascii="Times New Roman" w:hAnsi="Times New Roman" w:cs="Times New Roman"/>
          <w:color w:val="000000"/>
          <w:sz w:val="24"/>
          <w:szCs w:val="24"/>
          <w:shd w:val="clear" w:color="auto" w:fill="FFFFFF"/>
        </w:rPr>
        <w:t xml:space="preserve"> robo.</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Los okupantes buscan minimizar daños para evitar delitos</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 xml:space="preserve">Los asaltantes intentan que los daños ocasionados durante el asalto sean inferiores a 400 euros, de modo que sean considerados una </w:t>
      </w:r>
      <w:r>
        <w:rPr>
          <w:rFonts w:ascii="Times New Roman" w:hAnsi="Times New Roman" w:cs="Times New Roman"/>
          <w:color w:val="000000"/>
          <w:sz w:val="24"/>
          <w:szCs w:val="24"/>
          <w:shd w:val="clear" w:color="auto" w:fill="FFFFFF"/>
        </w:rPr>
        <w:t>falta, y no un delito como tal.</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En este punto, conservar facturas de los elementos de la vivienda puede revelar que los daños sí que han super</w:t>
      </w:r>
      <w:r>
        <w:rPr>
          <w:rFonts w:ascii="Times New Roman" w:hAnsi="Times New Roman" w:cs="Times New Roman"/>
          <w:color w:val="000000"/>
          <w:sz w:val="24"/>
          <w:szCs w:val="24"/>
          <w:shd w:val="clear" w:color="auto" w:fill="FFFFFF"/>
        </w:rPr>
        <w:t>ado el límite de los 400 euros.</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Elude la okupación dejando pertenencias personales</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Muchos okupas dejan sus pertenencias en la casa: marcos con fotos, neceseres o bolsas, para así establecer su</w:t>
      </w:r>
      <w:r>
        <w:rPr>
          <w:rFonts w:ascii="Times New Roman" w:hAnsi="Times New Roman" w:cs="Times New Roman"/>
          <w:color w:val="000000"/>
          <w:sz w:val="24"/>
          <w:szCs w:val="24"/>
          <w:shd w:val="clear" w:color="auto" w:fill="FFFFFF"/>
        </w:rPr>
        <w:t xml:space="preserve"> morada y evitar que los echen.</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Si posees, por ejemplo, una segunda residencia, resulta fundamental dejar bienes personales que indiquen que en caso de okupación se está produciendo un allanamiento de morada y no una usurpación, lo que acarr</w:t>
      </w:r>
      <w:r>
        <w:rPr>
          <w:rFonts w:ascii="Times New Roman" w:hAnsi="Times New Roman" w:cs="Times New Roman"/>
          <w:color w:val="000000"/>
          <w:sz w:val="24"/>
          <w:szCs w:val="24"/>
          <w:shd w:val="clear" w:color="auto" w:fill="FFFFFF"/>
        </w:rPr>
        <w:t>ea penas más graves para ellos.</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La estrategia de los okupas para extender procesos judiciales</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La estrategia principal es alargar el proceso judicial el mayor tiempo posible. Retrasan testificaciones, ignoran notificaciones del juzgado y se inculpan en masa, lo que puede exte</w:t>
      </w:r>
      <w:r>
        <w:rPr>
          <w:rFonts w:ascii="Times New Roman" w:hAnsi="Times New Roman" w:cs="Times New Roman"/>
          <w:color w:val="000000"/>
          <w:sz w:val="24"/>
          <w:szCs w:val="24"/>
          <w:shd w:val="clear" w:color="auto" w:fill="FFFFFF"/>
        </w:rPr>
        <w:t>nder el proceso hasta dos años.</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En cuanto tengas constancia de la okupación, no dudes en llamar a las autoridades y poner una denuncia. Cuán</w:t>
      </w:r>
      <w:r>
        <w:rPr>
          <w:rFonts w:ascii="Times New Roman" w:hAnsi="Times New Roman" w:cs="Times New Roman"/>
          <w:color w:val="000000"/>
          <w:sz w:val="24"/>
          <w:szCs w:val="24"/>
          <w:shd w:val="clear" w:color="auto" w:fill="FFFFFF"/>
        </w:rPr>
        <w:t>to más tiempo pase, peor.</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¿Qué pasa si un okupa está más de 48 horas?</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Según la jurisprudencia en la materia, la policía puede desalojar sin orden judicial una vivienda ocupada ilegalmente, siempre y cuando lo haga dentro de las primeras 48 horas de la entrada al piso. Pasado este plazo, es necesaria una orden judicial para proceder con el desalojo. Esto inicia un proceso legal que puede prolongarse durante años, complicando sustancialmente la recuperación de la propi</w:t>
      </w:r>
      <w:r>
        <w:rPr>
          <w:rFonts w:ascii="Times New Roman" w:hAnsi="Times New Roman" w:cs="Times New Roman"/>
          <w:color w:val="000000"/>
          <w:sz w:val="24"/>
          <w:szCs w:val="24"/>
          <w:shd w:val="clear" w:color="auto" w:fill="FFFFFF"/>
        </w:rPr>
        <w:t>edad por parte del propietario.</w:t>
      </w:r>
    </w:p>
    <w:p w:rsidR="00C02DB5" w:rsidRPr="002E049A"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¿Cómo echar a un okupa de forma legal?</w:t>
      </w:r>
    </w:p>
    <w:p w:rsidR="00C02DB5" w:rsidRDefault="00C02DB5" w:rsidP="00C02DB5">
      <w:pPr>
        <w:spacing w:line="240" w:lineRule="auto"/>
        <w:jc w:val="both"/>
        <w:rPr>
          <w:rFonts w:ascii="Times New Roman" w:hAnsi="Times New Roman" w:cs="Times New Roman"/>
          <w:color w:val="000000"/>
          <w:sz w:val="24"/>
          <w:szCs w:val="24"/>
          <w:shd w:val="clear" w:color="auto" w:fill="FFFFFF"/>
        </w:rPr>
      </w:pPr>
      <w:r w:rsidRPr="002E049A">
        <w:rPr>
          <w:rFonts w:ascii="Times New Roman" w:hAnsi="Times New Roman" w:cs="Times New Roman"/>
          <w:color w:val="000000"/>
          <w:sz w:val="24"/>
          <w:szCs w:val="24"/>
          <w:shd w:val="clear" w:color="auto" w:fill="FFFFFF"/>
        </w:rPr>
        <w:t>Si no se les ha podido echar durante las primeras horas de la okupación, habrá que interponer una demanda civil de desahucio. Para que los okupas sean desalojados, se necesita una orden judicial que autorice a la policía a entrar en la casa. En cuanto tengas constancia de que han okupado un inmueble de tu propiedad, lo mejor es contratar los servicios de un abogado experto en derecho inmobiliario.</w:t>
      </w:r>
    </w:p>
    <w:p w:rsidR="00C02DB5" w:rsidRPr="00FE6DBF" w:rsidRDefault="00C02DB5" w:rsidP="00C02DB5">
      <w:pPr>
        <w:pStyle w:val="NormalWeb"/>
        <w:shd w:val="clear" w:color="auto" w:fill="FFFFFF"/>
        <w:spacing w:after="0"/>
        <w:jc w:val="both"/>
      </w:pPr>
      <w:r w:rsidRPr="00FE6DBF">
        <w:lastRenderedPageBreak/>
        <w:t xml:space="preserve">- </w:t>
      </w:r>
      <w:r w:rsidRPr="00FE6DBF">
        <w:rPr>
          <w:u w:val="single"/>
        </w:rPr>
        <w:t>Vicente Magro (Tribunal Supremo), sobre el princ</w:t>
      </w:r>
      <w:r w:rsidR="005B7CC5">
        <w:rPr>
          <w:u w:val="single"/>
        </w:rPr>
        <w:t>ipal problema de la okupación: “</w:t>
      </w:r>
      <w:r w:rsidRPr="00FE6DBF">
        <w:rPr>
          <w:u w:val="single"/>
        </w:rPr>
        <w:t>La policía tiene miedo</w:t>
      </w:r>
      <w:r w:rsidR="005B7CC5">
        <w:t>”</w:t>
      </w:r>
      <w:r w:rsidRPr="00FE6DBF">
        <w:t xml:space="preserve"> (El Economista - </w:t>
      </w:r>
      <w:r w:rsidRPr="00FE6DBF">
        <w:rPr>
          <w:b/>
        </w:rPr>
        <w:t>31/7/25</w:t>
      </w:r>
      <w:r w:rsidRPr="00FE6DBF">
        <w:t>)</w:t>
      </w:r>
    </w:p>
    <w:p w:rsidR="00C02DB5" w:rsidRPr="00FE6DBF" w:rsidRDefault="00C02DB5" w:rsidP="00C02DB5">
      <w:pPr>
        <w:pStyle w:val="NormalWeb"/>
        <w:shd w:val="clear" w:color="auto" w:fill="FFFFFF"/>
        <w:spacing w:after="0"/>
        <w:jc w:val="both"/>
      </w:pPr>
      <w:r w:rsidRPr="00FE6DBF">
        <w:t>Los policías, en ocasiones, no entran a la vivienda para desocuparla por un motivo concreto</w:t>
      </w:r>
    </w:p>
    <w:p w:rsidR="00C02DB5" w:rsidRPr="00FE6DBF" w:rsidRDefault="00C02DB5" w:rsidP="00C02DB5">
      <w:pPr>
        <w:pStyle w:val="NormalWeb"/>
        <w:shd w:val="clear" w:color="auto" w:fill="FFFFFF"/>
        <w:spacing w:after="0"/>
        <w:jc w:val="both"/>
      </w:pPr>
      <w:r w:rsidRPr="00FE6DBF">
        <w:t>La ocupación ilegal de viviendas es un problema arraigado en España. La dificultad para adquirir una vivienda en propiedad, el aumento de los precios tanto de compra como de alquiler, las zonas más tensionadas que nunca y una regulación legal que deja varios frentes abiertos hacen que el proceso de okupación sea muy sencillo en comparación con el desalojo de los okupas.</w:t>
      </w:r>
    </w:p>
    <w:p w:rsidR="00C02DB5" w:rsidRPr="00FE6DBF" w:rsidRDefault="00C02DB5" w:rsidP="00C02DB5">
      <w:pPr>
        <w:pStyle w:val="NormalWeb"/>
        <w:shd w:val="clear" w:color="auto" w:fill="FFFFFF"/>
        <w:spacing w:after="0"/>
        <w:jc w:val="both"/>
      </w:pPr>
      <w:r w:rsidRPr="00FE6DBF">
        <w:t>De hecho, el Doctor en Derecho y magistrado del Tribunal Supremo, Vicente Magro, habla sobre el tema de la okupación, así como de algunas soluciones antiokupas eficaces, en una entrevista realizada por Confilegal y recogida en una publicación del Ilustre Colegio de la Abogacía de Barcelona (ICAB), donde indica cuál es el principal problema contra los okupas y la imposibilidad del desalojo.</w:t>
      </w:r>
    </w:p>
    <w:p w:rsidR="00C02DB5" w:rsidRPr="00FE6DBF" w:rsidRDefault="00C02DB5" w:rsidP="00C02DB5">
      <w:pPr>
        <w:pStyle w:val="NormalWeb"/>
        <w:shd w:val="clear" w:color="auto" w:fill="FFFFFF"/>
        <w:spacing w:after="0"/>
        <w:jc w:val="both"/>
      </w:pPr>
      <w:r w:rsidRPr="00FE6DBF">
        <w:t>El problema para el desalojo de okupas</w:t>
      </w:r>
    </w:p>
    <w:p w:rsidR="00C02DB5" w:rsidRPr="00FE6DBF" w:rsidRDefault="00C02DB5" w:rsidP="00C02DB5">
      <w:pPr>
        <w:pStyle w:val="NormalWeb"/>
        <w:shd w:val="clear" w:color="auto" w:fill="FFFFFF"/>
        <w:spacing w:after="0"/>
        <w:jc w:val="both"/>
      </w:pPr>
      <w:r w:rsidRPr="00FE6DBF">
        <w:t>Existe en España una creencia extendida de que, en caso de que ocupen de forma ilegal una vivienda, la policía no puede desaloja</w:t>
      </w:r>
      <w:r w:rsidR="005B7CC5">
        <w:t>r inmediatamente a los okupas: “</w:t>
      </w:r>
      <w:r w:rsidRPr="00FE6DBF">
        <w:t>Para tener las cosas claras, a día de hoy una ocupación ilegal</w:t>
      </w:r>
      <w:r w:rsidR="005B7CC5">
        <w:t xml:space="preserve"> se puede acordar perfectamente”</w:t>
      </w:r>
      <w:r w:rsidRPr="00FE6DBF">
        <w:t>, dice el experto, que señala que, en caso de que unos okupas entren a una casa vacía o una c</w:t>
      </w:r>
      <w:r w:rsidR="005B7CC5">
        <w:t>asa que constituya una morada, “</w:t>
      </w:r>
      <w:r w:rsidRPr="00FE6DBF">
        <w:t>el</w:t>
      </w:r>
      <w:r w:rsidR="005B7CC5">
        <w:t xml:space="preserve"> juez puede acordar el desalojo”</w:t>
      </w:r>
      <w:r w:rsidRPr="00FE6DBF">
        <w:t>.</w:t>
      </w:r>
    </w:p>
    <w:p w:rsidR="00C02DB5" w:rsidRPr="00FE6DBF" w:rsidRDefault="005B7CC5" w:rsidP="00C02DB5">
      <w:pPr>
        <w:pStyle w:val="NormalWeb"/>
        <w:shd w:val="clear" w:color="auto" w:fill="FFFFFF"/>
        <w:spacing w:after="0"/>
        <w:jc w:val="both"/>
      </w:pPr>
      <w:r>
        <w:t>“</w:t>
      </w:r>
      <w:r w:rsidR="00C02DB5" w:rsidRPr="00FE6DBF">
        <w:t>Si ahora mismo entra una persona en un chalé y lo ocupa, el juez tiene el poder de ordenar el desalojo. Y no solamente el juez. Si la policía comprueba que la entrada se ha producido 5, 6 o 7 siete horas antes puede h</w:t>
      </w:r>
      <w:r>
        <w:t>acerlo hasta sin orden judicial”</w:t>
      </w:r>
      <w:r w:rsidR="00C02DB5" w:rsidRPr="00FE6DBF">
        <w:t>, añade Vicente Magro.</w:t>
      </w:r>
    </w:p>
    <w:p w:rsidR="00C02DB5" w:rsidRPr="00FE6DBF" w:rsidRDefault="00C02DB5" w:rsidP="00C02DB5">
      <w:pPr>
        <w:pStyle w:val="NormalWeb"/>
        <w:shd w:val="clear" w:color="auto" w:fill="FFFFFF"/>
        <w:spacing w:after="0"/>
        <w:jc w:val="both"/>
      </w:pPr>
      <w:r w:rsidRPr="00FE6DBF">
        <w:t>E</w:t>
      </w:r>
      <w:r w:rsidR="005B7CC5">
        <w:t>ntonces, ¿cuál es el problema? “</w:t>
      </w:r>
      <w:r w:rsidRPr="00FE6DBF">
        <w:t>El problema está en que ahora mismo hace falta una ley integral sobre el fenómeno de la ocupación que d</w:t>
      </w:r>
      <w:r w:rsidR="005B7CC5">
        <w:t>efina el concepto de flagrancia”</w:t>
      </w:r>
      <w:r w:rsidRPr="00FE6DBF">
        <w:t>, dice como pr</w:t>
      </w:r>
      <w:r w:rsidR="005B7CC5">
        <w:t>incipal problema, alegando que “</w:t>
      </w:r>
      <w:r w:rsidRPr="00FE6DBF">
        <w:t xml:space="preserve">es comprensible que la policía tenga miedo de actuar, porque no sabe cuál es el periodo que le va a acreditar el juez si le presentan una querella por haber desalojado </w:t>
      </w:r>
      <w:r w:rsidR="005B7CC5">
        <w:t>a unas personas de forma ilegal”</w:t>
      </w:r>
      <w:r w:rsidRPr="00FE6DBF">
        <w:t>.</w:t>
      </w:r>
    </w:p>
    <w:p w:rsidR="00C02DB5" w:rsidRPr="00FE6DBF" w:rsidRDefault="005B7CC5" w:rsidP="00C02DB5">
      <w:pPr>
        <w:pStyle w:val="NormalWeb"/>
        <w:shd w:val="clear" w:color="auto" w:fill="FFFFFF"/>
        <w:spacing w:after="0"/>
        <w:jc w:val="both"/>
      </w:pPr>
      <w:r>
        <w:t>“</w:t>
      </w:r>
      <w:r w:rsidR="00C02DB5" w:rsidRPr="00FE6DBF">
        <w:t>La policía tiene miedo de los problemas a la</w:t>
      </w:r>
      <w:r>
        <w:t xml:space="preserve"> hora de desalojar a los ocupas”</w:t>
      </w:r>
    </w:p>
    <w:p w:rsidR="00C02DB5" w:rsidRPr="00FE6DBF" w:rsidRDefault="00C02DB5" w:rsidP="00C02DB5">
      <w:pPr>
        <w:pStyle w:val="NormalWeb"/>
        <w:shd w:val="clear" w:color="auto" w:fill="FFFFFF"/>
        <w:spacing w:after="0"/>
        <w:jc w:val="both"/>
      </w:pPr>
      <w:r w:rsidRPr="00FE6DBF">
        <w:t>Para el experto, ese periodo de flagrancia, en referencia al momento en que se está llevando a cabo el delito, de manera in fraganti, sin que ese autor haya podido huir, puede ser un periodo de entre 12 y 24 horas, pero eso tend</w:t>
      </w:r>
      <w:r w:rsidR="005B7CC5">
        <w:t>ría que estar regulado por ley “</w:t>
      </w:r>
      <w:r w:rsidRPr="00FE6DBF">
        <w:t>para segu</w:t>
      </w:r>
      <w:r w:rsidR="005B7CC5">
        <w:t>ridad de los agentes policiales”. “</w:t>
      </w:r>
      <w:r w:rsidRPr="00FE6DBF">
        <w:t>La policía tiene miedo de los problemas a la</w:t>
      </w:r>
      <w:r w:rsidR="005B7CC5">
        <w:t xml:space="preserve"> hora de desalojar a los ocupas”</w:t>
      </w:r>
      <w:r w:rsidRPr="00FE6DBF">
        <w:t>, asevera.</w:t>
      </w:r>
    </w:p>
    <w:p w:rsidR="00C02DB5" w:rsidRPr="00FE6DBF" w:rsidRDefault="005B7CC5" w:rsidP="00C02DB5">
      <w:pPr>
        <w:pStyle w:val="NormalWeb"/>
        <w:shd w:val="clear" w:color="auto" w:fill="FFFFFF"/>
        <w:spacing w:after="0"/>
        <w:jc w:val="both"/>
      </w:pPr>
      <w:r>
        <w:t>“</w:t>
      </w:r>
      <w:r w:rsidR="00C02DB5" w:rsidRPr="00FE6DBF">
        <w:t>Habría que hacer una ley que especificara la extensión temporal del concepto flagrancia. O que a nosotros nos llegara un caso, a la Sala de lo Penal del Tribunal Supremo, que nos permitiera interpretar la exte</w:t>
      </w:r>
      <w:r>
        <w:t>nsión temporal de este concepto”</w:t>
      </w:r>
      <w:r w:rsidR="00C02DB5" w:rsidRPr="00FE6DBF">
        <w:t>, dice el magistrado.</w:t>
      </w:r>
    </w:p>
    <w:p w:rsidR="00C02DB5" w:rsidRDefault="00C02DB5" w:rsidP="00C02DB5">
      <w:pPr>
        <w:pStyle w:val="NormalWeb"/>
        <w:shd w:val="clear" w:color="auto" w:fill="FFFFFF"/>
        <w:spacing w:before="0" w:beforeAutospacing="0" w:after="0" w:afterAutospacing="0"/>
        <w:jc w:val="both"/>
      </w:pPr>
      <w:r w:rsidRPr="00FE6DBF">
        <w:t>También explica una de las mejores soluciones a este problema a la hora de echar a los okupas de las viviendas, que no es otro que</w:t>
      </w:r>
      <w:r w:rsidR="005B7CC5">
        <w:t xml:space="preserve"> instalar una alarma 24 horas: “</w:t>
      </w:r>
      <w:r w:rsidRPr="00FE6DBF">
        <w:t xml:space="preserve">Si yo me pongo </w:t>
      </w:r>
      <w:r w:rsidRPr="00FE6DBF">
        <w:lastRenderedPageBreak/>
        <w:t xml:space="preserve">una alarma, la empresa de seguridad llamará a la policía, que tendrá una prueba irrefutable de la flagrancia, de cuándo se produjo la entrada </w:t>
      </w:r>
      <w:r w:rsidR="005B7CC5">
        <w:t>en la vivienda. Va sobre seguro”</w:t>
      </w:r>
      <w:r w:rsidRPr="00FE6DBF">
        <w:t>, dice.</w:t>
      </w:r>
    </w:p>
    <w:p w:rsidR="00C02DB5" w:rsidRPr="00FE6DBF" w:rsidRDefault="00C02DB5" w:rsidP="00C02DB5">
      <w:pPr>
        <w:pStyle w:val="NormalWeb"/>
        <w:shd w:val="clear" w:color="auto" w:fill="FFFFFF"/>
        <w:spacing w:before="0" w:beforeAutospacing="0" w:after="0" w:afterAutospacing="0"/>
        <w:jc w:val="both"/>
      </w:pPr>
    </w:p>
    <w:p w:rsidR="00C02DB5" w:rsidRPr="00FE6DBF" w:rsidRDefault="00C02DB5" w:rsidP="00C02DB5">
      <w:pPr>
        <w:spacing w:line="240" w:lineRule="auto"/>
        <w:jc w:val="both"/>
        <w:rPr>
          <w:rFonts w:ascii="Times New Roman" w:hAnsi="Times New Roman" w:cs="Times New Roman"/>
          <w:color w:val="FF0000"/>
          <w:sz w:val="24"/>
          <w:szCs w:val="24"/>
          <w:shd w:val="clear" w:color="auto" w:fill="FFFFFF"/>
        </w:rPr>
      </w:pPr>
      <w:r w:rsidRPr="00FE6DBF">
        <w:rPr>
          <w:rFonts w:ascii="Times New Roman" w:hAnsi="Times New Roman" w:cs="Times New Roman"/>
          <w:b/>
          <w:color w:val="FF0000"/>
          <w:sz w:val="24"/>
          <w:szCs w:val="24"/>
          <w:shd w:val="clear" w:color="auto" w:fill="FFFFFF"/>
        </w:rPr>
        <w:t>Nota I</w:t>
      </w:r>
      <w:r w:rsidRPr="00FE6DBF">
        <w:rPr>
          <w:rFonts w:ascii="Times New Roman" w:hAnsi="Times New Roman" w:cs="Times New Roman"/>
          <w:color w:val="FF0000"/>
          <w:sz w:val="24"/>
          <w:szCs w:val="24"/>
          <w:shd w:val="clear" w:color="auto" w:fill="FFFFFF"/>
        </w:rPr>
        <w:t>: La “okupación” es un problema a nivel social en España desde hace años. A finales de 2023, el Portal Estadístico de Criminalidad del Ministerio de Interior informó de que en España hay más de 15.000 pisos ocupados de manera ilegal. Los procesos de desahucio son largos y costosos.</w:t>
      </w:r>
    </w:p>
    <w:p w:rsidR="00C02DB5" w:rsidRPr="00FE6DBF" w:rsidRDefault="00C02DB5" w:rsidP="00C02DB5">
      <w:pPr>
        <w:spacing w:line="240" w:lineRule="auto"/>
        <w:jc w:val="both"/>
        <w:rPr>
          <w:rFonts w:ascii="Times New Roman" w:hAnsi="Times New Roman" w:cs="Times New Roman"/>
          <w:color w:val="FF0000"/>
          <w:sz w:val="24"/>
          <w:szCs w:val="24"/>
          <w:shd w:val="clear" w:color="auto" w:fill="FFFFFF"/>
        </w:rPr>
      </w:pPr>
      <w:r w:rsidRPr="00FE6DBF">
        <w:rPr>
          <w:rFonts w:ascii="Times New Roman" w:hAnsi="Times New Roman" w:cs="Times New Roman"/>
          <w:b/>
          <w:color w:val="FF0000"/>
          <w:sz w:val="24"/>
          <w:szCs w:val="24"/>
          <w:shd w:val="clear" w:color="auto" w:fill="FFFFFF"/>
        </w:rPr>
        <w:t>Nota II</w:t>
      </w:r>
      <w:r w:rsidRPr="00FE6DBF">
        <w:rPr>
          <w:rFonts w:ascii="Times New Roman" w:hAnsi="Times New Roman" w:cs="Times New Roman"/>
          <w:color w:val="FF0000"/>
          <w:sz w:val="24"/>
          <w:szCs w:val="24"/>
          <w:shd w:val="clear" w:color="auto" w:fill="FFFFFF"/>
        </w:rPr>
        <w:t>: Junts consigue el apoyo de PSOE, PP y Vox para tramitar una ley para desalojar okupas en 48 horas (elperiodico.com - 18/3/25). Los socialistas se desmarcan del resto de formaciones de izquierdas y alegan que el ordenamiento jurídico es “susceptible de mejora”.</w:t>
      </w:r>
    </w:p>
    <w:p w:rsidR="00C02DB5" w:rsidRPr="007B1876" w:rsidRDefault="00C02DB5" w:rsidP="00C02DB5">
      <w:pPr>
        <w:spacing w:line="240" w:lineRule="auto"/>
        <w:jc w:val="both"/>
        <w:rPr>
          <w:rFonts w:ascii="Times New Roman" w:hAnsi="Times New Roman" w:cs="Times New Roman"/>
          <w:color w:val="000000"/>
          <w:sz w:val="24"/>
          <w:szCs w:val="24"/>
          <w:shd w:val="clear" w:color="auto" w:fill="FFFFFF"/>
        </w:rPr>
      </w:pPr>
      <w:r w:rsidRPr="007B1876">
        <w:rPr>
          <w:rFonts w:ascii="Times New Roman" w:hAnsi="Times New Roman" w:cs="Times New Roman"/>
          <w:color w:val="000000"/>
          <w:sz w:val="24"/>
          <w:szCs w:val="24"/>
          <w:shd w:val="clear" w:color="auto" w:fill="FFFFFF"/>
        </w:rPr>
        <w:t xml:space="preserve">Los socialistas, desmarcándose del resto de socios del bloque de la investidura, a excepción también del PNV, han respaldado la iniciativa de los posconvergentes, aunque han sostenido </w:t>
      </w:r>
      <w:r>
        <w:rPr>
          <w:rFonts w:ascii="Times New Roman" w:hAnsi="Times New Roman" w:cs="Times New Roman"/>
          <w:color w:val="000000"/>
          <w:sz w:val="24"/>
          <w:szCs w:val="24"/>
          <w:shd w:val="clear" w:color="auto" w:fill="FFFFFF"/>
        </w:rPr>
        <w:t>que la derecha no hace más que “meter miedo”</w:t>
      </w:r>
      <w:r w:rsidRPr="007B1876">
        <w:rPr>
          <w:rFonts w:ascii="Times New Roman" w:hAnsi="Times New Roman" w:cs="Times New Roman"/>
          <w:color w:val="000000"/>
          <w:sz w:val="24"/>
          <w:szCs w:val="24"/>
          <w:shd w:val="clear" w:color="auto" w:fill="FFFFFF"/>
        </w:rPr>
        <w:t xml:space="preserve"> con el discurso de la</w:t>
      </w:r>
      <w:r w:rsidR="005B7CC5">
        <w:rPr>
          <w:rFonts w:ascii="Times New Roman" w:hAnsi="Times New Roman" w:cs="Times New Roman"/>
          <w:color w:val="000000"/>
          <w:sz w:val="24"/>
          <w:szCs w:val="24"/>
          <w:shd w:val="clear" w:color="auto" w:fill="FFFFFF"/>
        </w:rPr>
        <w:t xml:space="preserve"> ocupación de viviendas cuando “</w:t>
      </w:r>
      <w:r w:rsidRPr="007B1876">
        <w:rPr>
          <w:rFonts w:ascii="Times New Roman" w:hAnsi="Times New Roman" w:cs="Times New Roman"/>
          <w:color w:val="000000"/>
          <w:sz w:val="24"/>
          <w:szCs w:val="24"/>
          <w:shd w:val="clear" w:color="auto" w:fill="FFFFFF"/>
        </w:rPr>
        <w:t>los datos no corrob</w:t>
      </w:r>
      <w:r w:rsidR="005B7CC5">
        <w:rPr>
          <w:rFonts w:ascii="Times New Roman" w:hAnsi="Times New Roman" w:cs="Times New Roman"/>
          <w:color w:val="000000"/>
          <w:sz w:val="24"/>
          <w:szCs w:val="24"/>
          <w:shd w:val="clear" w:color="auto" w:fill="FFFFFF"/>
        </w:rPr>
        <w:t>oran para nada esta situación”</w:t>
      </w:r>
      <w:r>
        <w:rPr>
          <w:rFonts w:ascii="Times New Roman" w:hAnsi="Times New Roman" w:cs="Times New Roman"/>
          <w:color w:val="000000"/>
          <w:sz w:val="24"/>
          <w:szCs w:val="24"/>
          <w:shd w:val="clear" w:color="auto" w:fill="FFFFFF"/>
        </w:rPr>
        <w:t>.</w:t>
      </w:r>
    </w:p>
    <w:p w:rsidR="00C02DB5" w:rsidRPr="007B1876" w:rsidRDefault="00C02DB5" w:rsidP="00C02DB5">
      <w:pPr>
        <w:spacing w:line="240" w:lineRule="auto"/>
        <w:jc w:val="both"/>
        <w:rPr>
          <w:rFonts w:ascii="Times New Roman" w:hAnsi="Times New Roman" w:cs="Times New Roman"/>
          <w:color w:val="000000"/>
          <w:sz w:val="24"/>
          <w:szCs w:val="24"/>
          <w:shd w:val="clear" w:color="auto" w:fill="FFFFFF"/>
        </w:rPr>
      </w:pPr>
      <w:r w:rsidRPr="007B1876">
        <w:rPr>
          <w:rFonts w:ascii="Times New Roman" w:hAnsi="Times New Roman" w:cs="Times New Roman"/>
          <w:color w:val="000000"/>
          <w:sz w:val="24"/>
          <w:szCs w:val="24"/>
          <w:shd w:val="clear" w:color="auto" w:fill="FFFFFF"/>
        </w:rPr>
        <w:t>La diputada de Junts Marta Madrenas ha asegurado ante el pleno de la Cámara Baja que la ocupación de viviendas es un problema de primer orden y que no se puede situar la responsabilidad en los particulares que tienen una vivienda y la ven usurpada. La proposición de ley de Junts plantea una reforma la Ley de Enjuiciamiento Criminal (LeCrim) para agilizar los trámites en caso de allanamiento de la morada o usurpación de una vivienda vacía con el objetivo de potenciar la adopción de medidas cautelares y establecer una medida cautelar urgente de desalojo, cuando se interpon</w:t>
      </w:r>
      <w:r>
        <w:rPr>
          <w:rFonts w:ascii="Times New Roman" w:hAnsi="Times New Roman" w:cs="Times New Roman"/>
          <w:color w:val="000000"/>
          <w:sz w:val="24"/>
          <w:szCs w:val="24"/>
          <w:shd w:val="clear" w:color="auto" w:fill="FFFFFF"/>
        </w:rPr>
        <w:t>ga la correspondiente denuncia.</w:t>
      </w:r>
    </w:p>
    <w:p w:rsidR="00C02DB5" w:rsidRDefault="00C02DB5" w:rsidP="00C02DB5">
      <w:pPr>
        <w:spacing w:line="240" w:lineRule="auto"/>
        <w:jc w:val="both"/>
        <w:rPr>
          <w:rFonts w:ascii="Times New Roman" w:hAnsi="Times New Roman" w:cs="Times New Roman"/>
          <w:color w:val="000000"/>
          <w:sz w:val="24"/>
          <w:szCs w:val="24"/>
          <w:shd w:val="clear" w:color="auto" w:fill="FFFFFF"/>
        </w:rPr>
      </w:pPr>
      <w:r w:rsidRPr="007B1876">
        <w:rPr>
          <w:rFonts w:ascii="Times New Roman" w:hAnsi="Times New Roman" w:cs="Times New Roman"/>
          <w:color w:val="000000"/>
          <w:sz w:val="24"/>
          <w:szCs w:val="24"/>
          <w:shd w:val="clear" w:color="auto" w:fill="FFFFFF"/>
        </w:rPr>
        <w:t xml:space="preserve">Así, la intención de los posconvergentes es que la recuperación del inmueble se produzca en un plazo máximo de 48 </w:t>
      </w:r>
      <w:r>
        <w:rPr>
          <w:rFonts w:ascii="Times New Roman" w:hAnsi="Times New Roman" w:cs="Times New Roman"/>
          <w:color w:val="000000"/>
          <w:sz w:val="24"/>
          <w:szCs w:val="24"/>
          <w:shd w:val="clear" w:color="auto" w:fill="FFFFFF"/>
        </w:rPr>
        <w:t>horas y que no haya dilaciones “</w:t>
      </w:r>
      <w:r w:rsidRPr="007B1876">
        <w:rPr>
          <w:rFonts w:ascii="Times New Roman" w:hAnsi="Times New Roman" w:cs="Times New Roman"/>
          <w:color w:val="000000"/>
          <w:sz w:val="24"/>
          <w:szCs w:val="24"/>
          <w:shd w:val="clear" w:color="auto" w:fill="FFFFFF"/>
        </w:rPr>
        <w:t xml:space="preserve">por la alegación de vulnerabilidad por parte de los </w:t>
      </w:r>
      <w:r>
        <w:rPr>
          <w:rFonts w:ascii="Times New Roman" w:hAnsi="Times New Roman" w:cs="Times New Roman"/>
          <w:color w:val="000000"/>
          <w:sz w:val="24"/>
          <w:szCs w:val="24"/>
          <w:shd w:val="clear" w:color="auto" w:fill="FFFFFF"/>
        </w:rPr>
        <w:t>ocupantes ilegales del inmueble”</w:t>
      </w:r>
      <w:r w:rsidRPr="007B1876">
        <w:rPr>
          <w:rFonts w:ascii="Times New Roman" w:hAnsi="Times New Roman" w:cs="Times New Roman"/>
          <w:color w:val="000000"/>
          <w:sz w:val="24"/>
          <w:szCs w:val="24"/>
          <w:shd w:val="clear" w:color="auto" w:fill="FFFFFF"/>
        </w:rPr>
        <w:t>. En este sentido, Madrenas ha so</w:t>
      </w:r>
      <w:r>
        <w:rPr>
          <w:rFonts w:ascii="Times New Roman" w:hAnsi="Times New Roman" w:cs="Times New Roman"/>
          <w:color w:val="000000"/>
          <w:sz w:val="24"/>
          <w:szCs w:val="24"/>
          <w:shd w:val="clear" w:color="auto" w:fill="FFFFFF"/>
        </w:rPr>
        <w:t>stenido que hay que evitar que “</w:t>
      </w:r>
      <w:r w:rsidRPr="007B1876">
        <w:rPr>
          <w:rFonts w:ascii="Times New Roman" w:hAnsi="Times New Roman" w:cs="Times New Roman"/>
          <w:color w:val="000000"/>
          <w:sz w:val="24"/>
          <w:szCs w:val="24"/>
          <w:shd w:val="clear" w:color="auto" w:fill="FFFFFF"/>
        </w:rPr>
        <w:t>la protección de la vulnerabilidad r</w:t>
      </w:r>
      <w:r>
        <w:rPr>
          <w:rFonts w:ascii="Times New Roman" w:hAnsi="Times New Roman" w:cs="Times New Roman"/>
          <w:color w:val="000000"/>
          <w:sz w:val="24"/>
          <w:szCs w:val="24"/>
          <w:shd w:val="clear" w:color="auto" w:fill="FFFFFF"/>
        </w:rPr>
        <w:t>ecaiga solo en los propietarios”. “</w:t>
      </w:r>
      <w:r w:rsidRPr="007B1876">
        <w:rPr>
          <w:rFonts w:ascii="Times New Roman" w:hAnsi="Times New Roman" w:cs="Times New Roman"/>
          <w:color w:val="000000"/>
          <w:sz w:val="24"/>
          <w:szCs w:val="24"/>
          <w:shd w:val="clear" w:color="auto" w:fill="FFFFFF"/>
        </w:rPr>
        <w:t>El sentido común nos debería impedir justificar que para garantizar un derech</w:t>
      </w:r>
      <w:r>
        <w:rPr>
          <w:rFonts w:ascii="Times New Roman" w:hAnsi="Times New Roman" w:cs="Times New Roman"/>
          <w:color w:val="000000"/>
          <w:sz w:val="24"/>
          <w:szCs w:val="24"/>
          <w:shd w:val="clear" w:color="auto" w:fill="FFFFFF"/>
        </w:rPr>
        <w:t>o humano se pueda pisotear otro”</w:t>
      </w:r>
      <w:r w:rsidRPr="007B1876">
        <w:rPr>
          <w:rFonts w:ascii="Times New Roman" w:hAnsi="Times New Roman" w:cs="Times New Roman"/>
          <w:color w:val="000000"/>
          <w:sz w:val="24"/>
          <w:szCs w:val="24"/>
          <w:shd w:val="clear" w:color="auto" w:fill="FFFFFF"/>
        </w:rPr>
        <w:t>, ha dicho, en referencia al derecho a la propiedad privada.</w:t>
      </w:r>
      <w:r>
        <w:rPr>
          <w:rFonts w:ascii="Times New Roman" w:hAnsi="Times New Roman" w:cs="Times New Roman"/>
          <w:color w:val="000000"/>
          <w:sz w:val="24"/>
          <w:szCs w:val="24"/>
          <w:shd w:val="clear" w:color="auto" w:fill="FFFFFF"/>
        </w:rPr>
        <w:t xml:space="preserve"> </w:t>
      </w:r>
    </w:p>
    <w:p w:rsidR="00C02DB5" w:rsidRPr="003442E2" w:rsidRDefault="00C02DB5" w:rsidP="00C02DB5">
      <w:pPr>
        <w:spacing w:line="240" w:lineRule="auto"/>
        <w:jc w:val="both"/>
        <w:rPr>
          <w:rFonts w:ascii="Times New Roman" w:hAnsi="Times New Roman" w:cs="Times New Roman"/>
          <w:color w:val="FF0000"/>
          <w:sz w:val="24"/>
          <w:szCs w:val="24"/>
          <w:shd w:val="clear" w:color="auto" w:fill="FFFFFF"/>
        </w:rPr>
      </w:pPr>
      <w:r w:rsidRPr="003442E2">
        <w:rPr>
          <w:rFonts w:ascii="Times New Roman" w:hAnsi="Times New Roman" w:cs="Times New Roman"/>
          <w:b/>
          <w:color w:val="FF0000"/>
          <w:sz w:val="24"/>
          <w:szCs w:val="24"/>
          <w:shd w:val="clear" w:color="auto" w:fill="FFFFFF"/>
        </w:rPr>
        <w:t>Nota III</w:t>
      </w:r>
      <w:r w:rsidRPr="003442E2">
        <w:rPr>
          <w:rFonts w:ascii="Times New Roman" w:hAnsi="Times New Roman" w:cs="Times New Roman"/>
          <w:color w:val="FF0000"/>
          <w:sz w:val="24"/>
          <w:szCs w:val="24"/>
          <w:shd w:val="clear" w:color="auto" w:fill="FFFFFF"/>
        </w:rPr>
        <w:t>: por primera vez, y sin que el hecho sirva de precedente, estoy de acuerdo con una propuesta de un partido independentista (Junts per Catalunya), para resolver este lamentable problema de los “okupas” (utilizado con demagogia y sectarismo, por los políticos de izquierda). Una usurpación en toda regla, que no debería tener ninguna garantía -legal, social, y  policial- a la hora de ejecutar u</w:t>
      </w:r>
      <w:r>
        <w:rPr>
          <w:rFonts w:ascii="Times New Roman" w:hAnsi="Times New Roman" w:cs="Times New Roman"/>
          <w:color w:val="FF0000"/>
          <w:sz w:val="24"/>
          <w:szCs w:val="24"/>
          <w:shd w:val="clear" w:color="auto" w:fill="FFFFFF"/>
        </w:rPr>
        <w:t>n desalojo en</w:t>
      </w:r>
      <w:r w:rsidRPr="003442E2">
        <w:rPr>
          <w:rFonts w:ascii="Times New Roman" w:hAnsi="Times New Roman" w:cs="Times New Roman"/>
          <w:color w:val="FF0000"/>
          <w:sz w:val="24"/>
          <w:szCs w:val="24"/>
          <w:shd w:val="clear" w:color="auto" w:fill="FFFFFF"/>
        </w:rPr>
        <w:t xml:space="preserve"> 48 horas)</w:t>
      </w:r>
      <w:r>
        <w:rPr>
          <w:rFonts w:ascii="Times New Roman" w:hAnsi="Times New Roman" w:cs="Times New Roman"/>
          <w:color w:val="FF0000"/>
          <w:sz w:val="24"/>
          <w:szCs w:val="24"/>
          <w:shd w:val="clear" w:color="auto" w:fill="FFFFFF"/>
        </w:rPr>
        <w:t>. No se puede tolerar la “okupación” bajo ninguna circunstancia.</w:t>
      </w:r>
      <w:r w:rsidRPr="003442E2">
        <w:rPr>
          <w:rFonts w:ascii="Times New Roman" w:hAnsi="Times New Roman" w:cs="Times New Roman"/>
          <w:color w:val="FF0000"/>
          <w:sz w:val="24"/>
          <w:szCs w:val="24"/>
          <w:shd w:val="clear" w:color="auto" w:fill="FFFFFF"/>
        </w:rPr>
        <w:t xml:space="preserve"> </w:t>
      </w:r>
      <w:r>
        <w:rPr>
          <w:rFonts w:ascii="Times New Roman" w:hAnsi="Times New Roman" w:cs="Times New Roman"/>
          <w:color w:val="FF0000"/>
          <w:sz w:val="24"/>
          <w:szCs w:val="24"/>
          <w:shd w:val="clear" w:color="auto" w:fill="FFFFFF"/>
        </w:rPr>
        <w:t xml:space="preserve">Fin de la “okupación”: “patada en el culo”, y “a prisión por allanamiento de morada”. Que los “piji/proges” se lleven a los “okupas” a vivir a su casa. </w:t>
      </w:r>
    </w:p>
    <w:p w:rsidR="005B7CC5" w:rsidRPr="00C52926" w:rsidRDefault="005B7CC5" w:rsidP="005B7CC5">
      <w:pPr>
        <w:spacing w:line="240" w:lineRule="auto"/>
        <w:jc w:val="both"/>
        <w:rPr>
          <w:rFonts w:ascii="Times New Roman" w:hAnsi="Times New Roman" w:cs="Times New Roman"/>
          <w:color w:val="FF0000"/>
          <w:sz w:val="24"/>
          <w:szCs w:val="24"/>
          <w:shd w:val="clear" w:color="auto" w:fill="FFFFFF"/>
        </w:rPr>
      </w:pPr>
      <w:r w:rsidRPr="00C52926">
        <w:rPr>
          <w:rFonts w:ascii="Times New Roman" w:hAnsi="Times New Roman" w:cs="Times New Roman"/>
          <w:color w:val="FF0000"/>
          <w:sz w:val="24"/>
          <w:szCs w:val="24"/>
          <w:shd w:val="clear" w:color="auto" w:fill="FFFFFF"/>
        </w:rPr>
        <w:t>- Quitar a los Ayuntamientos la capacidad de regular la utilización el suelo (calificación)</w:t>
      </w:r>
    </w:p>
    <w:p w:rsidR="005B7CC5" w:rsidRPr="00C84C09" w:rsidRDefault="005B7CC5" w:rsidP="005B7CC5">
      <w:pPr>
        <w:spacing w:line="240" w:lineRule="auto"/>
        <w:jc w:val="both"/>
        <w:rPr>
          <w:rFonts w:ascii="Times New Roman" w:hAnsi="Times New Roman" w:cs="Times New Roman"/>
          <w:color w:val="FF0000"/>
          <w:sz w:val="24"/>
          <w:szCs w:val="24"/>
          <w:shd w:val="clear" w:color="auto" w:fill="FFFFFF"/>
        </w:rPr>
      </w:pPr>
      <w:r w:rsidRPr="00C84C09">
        <w:rPr>
          <w:rFonts w:ascii="Times New Roman" w:hAnsi="Times New Roman" w:cs="Times New Roman"/>
          <w:b/>
          <w:color w:val="FF0000"/>
          <w:sz w:val="24"/>
          <w:szCs w:val="24"/>
          <w:shd w:val="clear" w:color="auto" w:fill="FFFFFF"/>
        </w:rPr>
        <w:t>Nota preliminar</w:t>
      </w:r>
      <w:r w:rsidRPr="00C84C09">
        <w:rPr>
          <w:rFonts w:ascii="Times New Roman" w:hAnsi="Times New Roman" w:cs="Times New Roman"/>
          <w:color w:val="FF0000"/>
          <w:sz w:val="24"/>
          <w:szCs w:val="24"/>
          <w:shd w:val="clear" w:color="auto" w:fill="FFFFFF"/>
        </w:rPr>
        <w:t xml:space="preserve">: Esta es otra “pieza” fundamental a la hora de aumentar la oferta de vivienda (en propiedad o alquiler). Uno de los principales “tapones” (si no, el mayor), que atascan el desarrollo inmobiliario, en España.  </w:t>
      </w:r>
    </w:p>
    <w:p w:rsidR="005B7CC5" w:rsidRPr="00357AEC"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 xml:space="preserve">La calificación del suelo, en el contexto urbanístico, se refiere a la determinación del uso específico que se le puede dar a un terreno, incluyendo las posibilidades de edificación. La calificación del suelo la realiza la administración pública, generalmente el ayuntamiento, a través de los planes urbanísticos. </w:t>
      </w:r>
    </w:p>
    <w:p w:rsidR="005B7CC5" w:rsidRPr="00357AEC"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 xml:space="preserve">La calificación del suelo establece las actividades o usos permitidos en un terreno, como residencial, comercial, industrial, o zonas verdes. Además, define las características </w:t>
      </w:r>
      <w:r w:rsidRPr="00357AEC">
        <w:rPr>
          <w:rFonts w:ascii="Times New Roman" w:hAnsi="Times New Roman" w:cs="Times New Roman"/>
          <w:sz w:val="24"/>
          <w:szCs w:val="24"/>
          <w:shd w:val="clear" w:color="auto" w:fill="FFFFFF"/>
        </w:rPr>
        <w:lastRenderedPageBreak/>
        <w:t xml:space="preserve">específicas de la edificación que se puede construir, como la altura máxima, los coeficientes de edificabilidad, y otros requisitos de ordenación. </w:t>
      </w:r>
    </w:p>
    <w:p w:rsidR="005B7CC5" w:rsidRPr="00357AEC"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 xml:space="preserve">La calificación del suelo es una función de la administración pública, específicamente los ayuntamientos, a través de sus planes urbanísticos. Estos planes, como el Plan General de Ordenación Urbana (PGOU), establecen la clasificación y calificación del suelo en todo el municipio. </w:t>
      </w:r>
    </w:p>
    <w:p w:rsidR="005B7CC5" w:rsidRPr="00357AEC"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Tipos de calificación del suelo:</w:t>
      </w:r>
    </w:p>
    <w:p w:rsidR="005B7CC5" w:rsidRPr="00357AEC"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 xml:space="preserve">Usos generales: No especifican un uso concreto, sino que permiten una gama de usos dentro de una categoría general. </w:t>
      </w:r>
    </w:p>
    <w:p w:rsidR="005B7CC5" w:rsidRPr="00357AEC"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 xml:space="preserve">Usos específicos: Definen el uso particular que se le puede dar al terreno, como residencial, comercial, industrial, etc. </w:t>
      </w:r>
    </w:p>
    <w:p w:rsidR="005B7CC5" w:rsidRPr="00357AEC"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 xml:space="preserve">Zonificación: Clasifica el suelo en zonas con características específicas, como zonas verdes, zonas de equipamiento, etc. </w:t>
      </w:r>
    </w:p>
    <w:p w:rsidR="005B7CC5" w:rsidRPr="00357AEC"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 xml:space="preserve">Según dicen “los que saben”… la calificación del suelo es fundamental para: Ordenar el territorio; Establecer las normas y usos del suelo para un desarrollo urbano sostenible; Garantizar el cumplimiento de la normativa; Asegura que las construcciones y actividades se ajusten a las regulaciones establecidas; Proteger el medio ambiente; Permitir la conservación de espacios verdes y la gestión adecuada de los recursos naturales; Definir las posibilidades de construcción y uso del suelo, lo que facilita la toma de decisiones para inversores y promotores… </w:t>
      </w:r>
    </w:p>
    <w:p w:rsidR="005B7CC5" w:rsidRPr="00357AEC"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En resumen, según “los que saben”</w:t>
      </w:r>
      <w:r>
        <w:rPr>
          <w:rFonts w:ascii="Times New Roman" w:hAnsi="Times New Roman" w:cs="Times New Roman"/>
          <w:sz w:val="24"/>
          <w:szCs w:val="24"/>
          <w:shd w:val="clear" w:color="auto" w:fill="FFFFFF"/>
        </w:rPr>
        <w:t>:</w:t>
      </w:r>
      <w:r w:rsidRPr="00357AEC">
        <w:rPr>
          <w:rFonts w:ascii="Times New Roman" w:hAnsi="Times New Roman" w:cs="Times New Roman"/>
          <w:sz w:val="24"/>
          <w:szCs w:val="24"/>
          <w:shd w:val="clear" w:color="auto" w:fill="FFFFFF"/>
        </w:rPr>
        <w:t xml:space="preserve"> la calificación del suelo es un instrumento clave en la ordenación urbanística, que determina el uso y las posibilidades de edificación de cada terreno, y es responsabilidad de la administración pública.</w:t>
      </w:r>
    </w:p>
    <w:p w:rsidR="005B7CC5" w:rsidRPr="00357AEC" w:rsidRDefault="005B7CC5" w:rsidP="005B7CC5">
      <w:pPr>
        <w:pStyle w:val="Ttulo2"/>
        <w:rPr>
          <w:rFonts w:ascii="Times New Roman" w:hAnsi="Times New Roman" w:cs="Times New Roman"/>
          <w:b w:val="0"/>
          <w:color w:val="auto"/>
          <w:sz w:val="24"/>
          <w:szCs w:val="24"/>
        </w:rPr>
      </w:pPr>
      <w:r w:rsidRPr="00357AEC">
        <w:rPr>
          <w:rFonts w:ascii="Times New Roman" w:hAnsi="Times New Roman" w:cs="Times New Roman"/>
          <w:b w:val="0"/>
          <w:color w:val="auto"/>
          <w:sz w:val="24"/>
          <w:szCs w:val="24"/>
        </w:rPr>
        <w:t>Diferencias entre clasificación y calificación del suelo</w:t>
      </w:r>
      <w:r>
        <w:rPr>
          <w:rFonts w:ascii="Times New Roman" w:hAnsi="Times New Roman" w:cs="Times New Roman"/>
          <w:b w:val="0"/>
          <w:color w:val="auto"/>
          <w:sz w:val="24"/>
          <w:szCs w:val="24"/>
        </w:rPr>
        <w:t xml:space="preserve"> (Fuente: realadvisor.es - 1/9/23)</w:t>
      </w:r>
    </w:p>
    <w:p w:rsidR="005B7CC5" w:rsidRPr="005B7CC5" w:rsidRDefault="005B7CC5" w:rsidP="005B7CC5">
      <w:pPr>
        <w:pStyle w:val="NormalWeb"/>
        <w:jc w:val="both"/>
      </w:pPr>
      <w:r w:rsidRPr="005B7CC5">
        <w:t>Aunque clasificación y calificación son palabras parecidas, es importante no confundir estos términos al relacionarlos con el suelo y el sector inmobiliario. A continuación, hemos creado una tabla resumen para explicar las </w:t>
      </w:r>
      <w:r w:rsidRPr="005B7CC5">
        <w:rPr>
          <w:rStyle w:val="Textoennegrita"/>
          <w:b w:val="0"/>
        </w:rPr>
        <w:t>principales diferencias entre clasificación y calificación urbanística</w:t>
      </w:r>
      <w:r w:rsidRPr="005B7CC5">
        <w:t>: </w:t>
      </w:r>
    </w:p>
    <w:tbl>
      <w:tblPr>
        <w:tblW w:w="9886" w:type="dxa"/>
        <w:tblCellMar>
          <w:top w:w="15" w:type="dxa"/>
          <w:left w:w="15" w:type="dxa"/>
          <w:bottom w:w="15" w:type="dxa"/>
          <w:right w:w="15" w:type="dxa"/>
        </w:tblCellMar>
        <w:tblLook w:val="04A0" w:firstRow="1" w:lastRow="0" w:firstColumn="1" w:lastColumn="0" w:noHBand="0" w:noVBand="1"/>
      </w:tblPr>
      <w:tblGrid>
        <w:gridCol w:w="1490"/>
        <w:gridCol w:w="3749"/>
        <w:gridCol w:w="4647"/>
      </w:tblGrid>
      <w:tr w:rsidR="005B7CC5" w:rsidTr="001C71BB">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rPr>
                <w:rStyle w:val="Textoennegrita"/>
              </w:rPr>
              <w:t>Aspecto</w:t>
            </w:r>
          </w:p>
        </w:tc>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rPr>
                <w:rStyle w:val="Textoennegrita"/>
              </w:rPr>
              <w:t>Clasificación del suelo</w:t>
            </w:r>
          </w:p>
        </w:tc>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rPr>
                <w:rStyle w:val="Textoennegrita"/>
              </w:rPr>
              <w:t>Calificación urbanística</w:t>
            </w:r>
          </w:p>
        </w:tc>
      </w:tr>
      <w:tr w:rsidR="005B7CC5" w:rsidTr="001C71BB">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rPr>
                <w:rStyle w:val="Textoennegrita"/>
              </w:rPr>
              <w:t>Objetivo principal</w:t>
            </w:r>
          </w:p>
        </w:tc>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t>Determinar la aptitud básica del terreno en términos generales.</w:t>
            </w:r>
          </w:p>
        </w:tc>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t>Especificar el uso detallado y las condiciones bajo las cuales se puede desarrollar un terreno ya clasificado.</w:t>
            </w:r>
          </w:p>
        </w:tc>
      </w:tr>
      <w:tr w:rsidR="005B7CC5" w:rsidTr="001C71BB">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rPr>
                <w:rStyle w:val="Textoennegrita"/>
              </w:rPr>
              <w:t>Categorías comunes</w:t>
            </w:r>
          </w:p>
        </w:tc>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t>Suelo urbano, suelo urbanizable y suelo no urbanizable.</w:t>
            </w:r>
          </w:p>
        </w:tc>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t>Residencial, industrial, comercial, agrícola, áreas protegidas, zonas verdes, etc.</w:t>
            </w:r>
          </w:p>
        </w:tc>
      </w:tr>
      <w:tr w:rsidR="005B7CC5" w:rsidTr="001C71BB">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rPr>
                <w:rStyle w:val="Textoennegrita"/>
              </w:rPr>
              <w:t xml:space="preserve">Nivel de </w:t>
            </w:r>
            <w:r>
              <w:rPr>
                <w:rStyle w:val="Textoennegrita"/>
              </w:rPr>
              <w:lastRenderedPageBreak/>
              <w:t>detalle</w:t>
            </w:r>
          </w:p>
        </w:tc>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lastRenderedPageBreak/>
              <w:t xml:space="preserve">Más general. Se basa en las </w:t>
            </w:r>
            <w:r>
              <w:lastRenderedPageBreak/>
              <w:t>características generales del terreno y su contexto urbanístico.</w:t>
            </w:r>
          </w:p>
        </w:tc>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lastRenderedPageBreak/>
              <w:t xml:space="preserve">Más específico. Se basa en las regulaciones </w:t>
            </w:r>
            <w:r>
              <w:lastRenderedPageBreak/>
              <w:t>detalladas de construcción y uso para cada parcela o sector.</w:t>
            </w:r>
          </w:p>
        </w:tc>
      </w:tr>
      <w:tr w:rsidR="005B7CC5" w:rsidTr="001C71BB">
        <w:trPr>
          <w:trHeight w:val="908"/>
        </w:trPr>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rPr>
                <w:rStyle w:val="Textoennegrita"/>
              </w:rPr>
              <w:lastRenderedPageBreak/>
              <w:t>Función</w:t>
            </w:r>
          </w:p>
        </w:tc>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t>Establece el marco básico para el desarrollo urbanístico de un terreno.</w:t>
            </w:r>
          </w:p>
        </w:tc>
        <w:tc>
          <w:tcPr>
            <w:tcW w:w="0" w:type="auto"/>
            <w:tcBorders>
              <w:top w:val="single" w:sz="6" w:space="0" w:color="auto"/>
              <w:left w:val="single" w:sz="6" w:space="0" w:color="auto"/>
              <w:bottom w:val="single" w:sz="6" w:space="0" w:color="auto"/>
              <w:right w:val="single" w:sz="6" w:space="0" w:color="auto"/>
            </w:tcBorders>
            <w:tcMar>
              <w:top w:w="120" w:type="dxa"/>
              <w:left w:w="120" w:type="dxa"/>
              <w:bottom w:w="120" w:type="dxa"/>
              <w:right w:w="120" w:type="dxa"/>
            </w:tcMar>
            <w:vAlign w:val="center"/>
            <w:hideMark/>
          </w:tcPr>
          <w:p w:rsidR="005B7CC5" w:rsidRDefault="005B7CC5" w:rsidP="001C71BB">
            <w:pPr>
              <w:rPr>
                <w:sz w:val="24"/>
                <w:szCs w:val="24"/>
              </w:rPr>
            </w:pPr>
            <w:r>
              <w:t>Define con precisión cómo se puede usar y desarrollar un terreno, determinando aspectos como alturas, densidades, etc.</w:t>
            </w:r>
          </w:p>
        </w:tc>
      </w:tr>
    </w:tbl>
    <w:p w:rsidR="005B7CC5" w:rsidRDefault="005B7CC5" w:rsidP="005B7CC5">
      <w:pPr>
        <w:spacing w:line="240" w:lineRule="auto"/>
        <w:jc w:val="both"/>
        <w:rPr>
          <w:rFonts w:ascii="Times New Roman" w:hAnsi="Times New Roman" w:cs="Times New Roman"/>
          <w:sz w:val="24"/>
          <w:szCs w:val="24"/>
          <w:shd w:val="clear" w:color="auto" w:fill="FFFFFF"/>
        </w:rPr>
      </w:pPr>
    </w:p>
    <w:p w:rsidR="005B7CC5" w:rsidRPr="00357AEC"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Aspectos clave</w:t>
      </w:r>
    </w:p>
    <w:p w:rsidR="005B7CC5" w:rsidRPr="00357AEC"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La calificación urbanística establece con precisión cómo se puede usar un terreno o inmueble.</w:t>
      </w:r>
    </w:p>
    <w:p w:rsidR="005B7CC5" w:rsidRPr="00357AEC"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 Tiene un impacto directo en el valor de una propiedad. Un terreno calificado para desarrollos comerciales en un área estratégica, por ejemplo, suele tener un valor superior a otro de uso limitado o protegido.</w:t>
      </w:r>
    </w:p>
    <w:p w:rsidR="005B7CC5" w:rsidRPr="00357AEC"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 xml:space="preserve">- Sin la correcta calificación urbanística que respalde una edificación, esta podría enfrentar problemas legales. </w:t>
      </w:r>
    </w:p>
    <w:p w:rsidR="005B7CC5" w:rsidRDefault="005B7CC5" w:rsidP="005B7CC5">
      <w:pPr>
        <w:spacing w:line="240" w:lineRule="auto"/>
        <w:jc w:val="both"/>
        <w:rPr>
          <w:rFonts w:ascii="Times New Roman" w:hAnsi="Times New Roman" w:cs="Times New Roman"/>
          <w:sz w:val="24"/>
          <w:szCs w:val="24"/>
          <w:shd w:val="clear" w:color="auto" w:fill="FFFFFF"/>
        </w:rPr>
      </w:pPr>
      <w:r w:rsidRPr="00357AEC">
        <w:rPr>
          <w:rFonts w:ascii="Times New Roman" w:hAnsi="Times New Roman" w:cs="Times New Roman"/>
          <w:sz w:val="24"/>
          <w:szCs w:val="24"/>
          <w:shd w:val="clear" w:color="auto" w:fill="FFFFFF"/>
        </w:rPr>
        <w:t>- En el caso de viviendas residenciales, la calificación urbanística es esencial para asegurar que son aptas para ser habitadas y que cumplen con todas las normativas y requisitos.</w:t>
      </w:r>
    </w:p>
    <w:p w:rsidR="005B7CC5" w:rsidRPr="00F57926" w:rsidRDefault="005B7CC5" w:rsidP="005B7CC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5B7CC5">
        <w:rPr>
          <w:rFonts w:ascii="Times New Roman" w:hAnsi="Times New Roman" w:cs="Times New Roman"/>
          <w:sz w:val="24"/>
          <w:szCs w:val="24"/>
          <w:u w:val="single"/>
          <w:shd w:val="clear" w:color="auto" w:fill="FFFFFF"/>
        </w:rPr>
        <w:t>Así se forma el precio de la vivienda</w:t>
      </w:r>
      <w:r>
        <w:rPr>
          <w:rFonts w:ascii="Times New Roman" w:hAnsi="Times New Roman" w:cs="Times New Roman"/>
          <w:sz w:val="24"/>
          <w:szCs w:val="24"/>
          <w:shd w:val="clear" w:color="auto" w:fill="FFFFFF"/>
        </w:rPr>
        <w:t xml:space="preserve"> (Fuente: Cinco Días - </w:t>
      </w:r>
      <w:r w:rsidRPr="00F57926">
        <w:rPr>
          <w:rFonts w:ascii="Times New Roman" w:hAnsi="Times New Roman" w:cs="Times New Roman"/>
          <w:b/>
          <w:sz w:val="24"/>
          <w:szCs w:val="24"/>
          <w:shd w:val="clear" w:color="auto" w:fill="FFFFFF"/>
        </w:rPr>
        <w:t>13/2/18</w:t>
      </w:r>
      <w:r>
        <w:rPr>
          <w:rFonts w:ascii="Times New Roman" w:hAnsi="Times New Roman" w:cs="Times New Roman"/>
          <w:sz w:val="24"/>
          <w:szCs w:val="24"/>
          <w:shd w:val="clear" w:color="auto" w:fill="FFFFFF"/>
        </w:rPr>
        <w:t>)</w:t>
      </w:r>
    </w:p>
    <w:p w:rsidR="005B7CC5" w:rsidRPr="00F57926" w:rsidRDefault="005B7CC5" w:rsidP="005B7CC5">
      <w:pPr>
        <w:spacing w:line="240" w:lineRule="auto"/>
        <w:jc w:val="both"/>
        <w:rPr>
          <w:rFonts w:ascii="Times New Roman" w:hAnsi="Times New Roman" w:cs="Times New Roman"/>
          <w:sz w:val="24"/>
          <w:szCs w:val="24"/>
          <w:shd w:val="clear" w:color="auto" w:fill="FFFFFF"/>
        </w:rPr>
      </w:pPr>
      <w:r w:rsidRPr="00F57926">
        <w:rPr>
          <w:rFonts w:ascii="Times New Roman" w:hAnsi="Times New Roman" w:cs="Times New Roman"/>
          <w:sz w:val="24"/>
          <w:szCs w:val="24"/>
          <w:shd w:val="clear" w:color="auto" w:fill="FFFFFF"/>
        </w:rPr>
        <w:t>Impuestos, suelo, y construcción son los costes que más pesan Los promotores aseguran que si el proceso urbanístico fuera más ágil, se lograría abaratar las casas</w:t>
      </w:r>
    </w:p>
    <w:p w:rsidR="005B7CC5" w:rsidRDefault="005B7CC5" w:rsidP="005B7CC5">
      <w:pPr>
        <w:spacing w:line="240" w:lineRule="auto"/>
        <w:jc w:val="both"/>
        <w:rPr>
          <w:rFonts w:ascii="Times New Roman" w:hAnsi="Times New Roman" w:cs="Times New Roman"/>
          <w:sz w:val="24"/>
          <w:szCs w:val="24"/>
          <w:shd w:val="clear" w:color="auto" w:fill="FFFFFF"/>
        </w:rPr>
      </w:pPr>
      <w:r w:rsidRPr="00F57926">
        <w:rPr>
          <w:rFonts w:ascii="Times New Roman" w:hAnsi="Times New Roman" w:cs="Times New Roman"/>
          <w:sz w:val="24"/>
          <w:szCs w:val="24"/>
          <w:shd w:val="clear" w:color="auto" w:fill="FFFFFF"/>
        </w:rPr>
        <w:t>Componentes del precio de la vivienda</w:t>
      </w:r>
    </w:p>
    <w:p w:rsidR="005B7CC5" w:rsidRPr="00F57926" w:rsidRDefault="005B7CC5" w:rsidP="005B7CC5">
      <w:pPr>
        <w:spacing w:line="240" w:lineRule="auto"/>
        <w:jc w:val="both"/>
        <w:rPr>
          <w:rFonts w:ascii="Times New Roman" w:hAnsi="Times New Roman" w:cs="Times New Roman"/>
          <w:sz w:val="24"/>
          <w:szCs w:val="24"/>
          <w:shd w:val="clear" w:color="auto" w:fill="FFFFFF"/>
        </w:rPr>
      </w:pPr>
      <w:r w:rsidRPr="00F57926">
        <w:rPr>
          <w:rFonts w:ascii="Times New Roman" w:hAnsi="Times New Roman" w:cs="Times New Roman"/>
          <w:noProof/>
          <w:sz w:val="24"/>
          <w:szCs w:val="24"/>
          <w:shd w:val="clear" w:color="auto" w:fill="FFFFFF"/>
          <w:lang w:eastAsia="es-ES"/>
        </w:rPr>
        <w:drawing>
          <wp:inline distT="0" distB="0" distL="0" distR="0" wp14:anchorId="2572269A" wp14:editId="273FA5AF">
            <wp:extent cx="5731510" cy="3073951"/>
            <wp:effectExtent l="0" t="0" r="2540" b="0"/>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3073951"/>
                    </a:xfrm>
                    <a:prstGeom prst="rect">
                      <a:avLst/>
                    </a:prstGeom>
                  </pic:spPr>
                </pic:pic>
              </a:graphicData>
            </a:graphic>
          </wp:inline>
        </w:drawing>
      </w:r>
    </w:p>
    <w:p w:rsidR="005B7CC5" w:rsidRPr="00F57926" w:rsidRDefault="005B7CC5" w:rsidP="005B7CC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F57926">
        <w:rPr>
          <w:rFonts w:ascii="Times New Roman" w:hAnsi="Times New Roman" w:cs="Times New Roman"/>
          <w:sz w:val="24"/>
          <w:szCs w:val="24"/>
          <w:shd w:val="clear" w:color="auto" w:fill="FFFFFF"/>
        </w:rPr>
        <w:t>Raquel Díaz Guijarro</w:t>
      </w:r>
      <w:r>
        <w:rPr>
          <w:rFonts w:ascii="Times New Roman" w:hAnsi="Times New Roman" w:cs="Times New Roman"/>
          <w:sz w:val="24"/>
          <w:szCs w:val="24"/>
          <w:shd w:val="clear" w:color="auto" w:fill="FFFFFF"/>
        </w:rPr>
        <w:t>)</w:t>
      </w:r>
    </w:p>
    <w:p w:rsidR="005B7CC5" w:rsidRPr="00F57926" w:rsidRDefault="005B7CC5" w:rsidP="005B7CC5">
      <w:pPr>
        <w:spacing w:line="240" w:lineRule="auto"/>
        <w:jc w:val="both"/>
        <w:rPr>
          <w:rFonts w:ascii="Times New Roman" w:hAnsi="Times New Roman" w:cs="Times New Roman"/>
          <w:sz w:val="24"/>
          <w:szCs w:val="24"/>
          <w:shd w:val="clear" w:color="auto" w:fill="FFFFFF"/>
        </w:rPr>
      </w:pPr>
      <w:r w:rsidRPr="00F57926">
        <w:rPr>
          <w:rFonts w:ascii="Times New Roman" w:hAnsi="Times New Roman" w:cs="Times New Roman"/>
          <w:sz w:val="24"/>
          <w:szCs w:val="24"/>
          <w:shd w:val="clear" w:color="auto" w:fill="FFFFFF"/>
        </w:rPr>
        <w:lastRenderedPageBreak/>
        <w:t>¿Determina el precio del suelo el precio de la vivienda o es al revés, es decir, es el precio final al que se pretende vender la casa el que fija el coste del suelo? Aunque pueda parecer sencillo, no es fácil decantarse por una de las dos fórmulas. Hoy el consenso de l</w:t>
      </w:r>
      <w:r>
        <w:rPr>
          <w:rFonts w:ascii="Times New Roman" w:hAnsi="Times New Roman" w:cs="Times New Roman"/>
          <w:sz w:val="24"/>
          <w:szCs w:val="24"/>
          <w:shd w:val="clear" w:color="auto" w:fill="FFFFFF"/>
        </w:rPr>
        <w:t>os promotores es que “depende”.</w:t>
      </w:r>
    </w:p>
    <w:p w:rsidR="005B7CC5" w:rsidRPr="00F57926" w:rsidRDefault="005B7CC5" w:rsidP="005B7CC5">
      <w:pPr>
        <w:spacing w:line="240" w:lineRule="auto"/>
        <w:jc w:val="both"/>
        <w:rPr>
          <w:rFonts w:ascii="Times New Roman" w:hAnsi="Times New Roman" w:cs="Times New Roman"/>
          <w:sz w:val="24"/>
          <w:szCs w:val="24"/>
          <w:shd w:val="clear" w:color="auto" w:fill="FFFFFF"/>
        </w:rPr>
      </w:pPr>
      <w:r w:rsidRPr="00F57926">
        <w:rPr>
          <w:rFonts w:ascii="Times New Roman" w:hAnsi="Times New Roman" w:cs="Times New Roman"/>
          <w:sz w:val="24"/>
          <w:szCs w:val="24"/>
          <w:shd w:val="clear" w:color="auto" w:fill="FFFFFF"/>
        </w:rPr>
        <w:t xml:space="preserve">En el pasado boom, cuando los precios iniciaron su rally alcista además de a la demanda embalsada que existía a finales de los años 90, los promotores culparon al elevado coste del suelo de los repuntes de precios de las casas. “Como principal materia prima de nuestro sector, era cierto que entonces todo giraba en torno al valor del suelo y a partir del mismo se configuraban el resto de los costes hasta fijar el precio final de las viviendas”, explica Daniel Cuervo, director gerente de la Asociación de </w:t>
      </w:r>
      <w:r>
        <w:rPr>
          <w:rFonts w:ascii="Times New Roman" w:hAnsi="Times New Roman" w:cs="Times New Roman"/>
          <w:sz w:val="24"/>
          <w:szCs w:val="24"/>
          <w:shd w:val="clear" w:color="auto" w:fill="FFFFFF"/>
        </w:rPr>
        <w:t>Promotores de Madrid (Asprima).</w:t>
      </w:r>
    </w:p>
    <w:p w:rsidR="005B7CC5" w:rsidRPr="00F57926" w:rsidRDefault="005B7CC5" w:rsidP="005B7CC5">
      <w:pPr>
        <w:spacing w:line="240" w:lineRule="auto"/>
        <w:jc w:val="both"/>
        <w:rPr>
          <w:rFonts w:ascii="Times New Roman" w:hAnsi="Times New Roman" w:cs="Times New Roman"/>
          <w:sz w:val="24"/>
          <w:szCs w:val="24"/>
          <w:shd w:val="clear" w:color="auto" w:fill="FFFFFF"/>
        </w:rPr>
      </w:pPr>
      <w:r w:rsidRPr="00F57926">
        <w:rPr>
          <w:rFonts w:ascii="Times New Roman" w:hAnsi="Times New Roman" w:cs="Times New Roman"/>
          <w:sz w:val="24"/>
          <w:szCs w:val="24"/>
          <w:shd w:val="clear" w:color="auto" w:fill="FFFFFF"/>
        </w:rPr>
        <w:t>En aquellos años el coste de suelo era crucial porque, además, lo habitual es que el promotor hubiese adquirido el solar mediante crédito, por lo que el coste financiero también era muy reseñable. En algunos casos, cuando el boom fue ya imparable hubo promociones en las que el coste del suelo llegó a pesar m</w:t>
      </w:r>
      <w:r>
        <w:rPr>
          <w:rFonts w:ascii="Times New Roman" w:hAnsi="Times New Roman" w:cs="Times New Roman"/>
          <w:sz w:val="24"/>
          <w:szCs w:val="24"/>
          <w:shd w:val="clear" w:color="auto" w:fill="FFFFFF"/>
        </w:rPr>
        <w:t>ás del 50% del precio del piso.</w:t>
      </w:r>
    </w:p>
    <w:p w:rsidR="005B7CC5" w:rsidRPr="00F57926" w:rsidRDefault="005B7CC5" w:rsidP="005B7CC5">
      <w:pPr>
        <w:spacing w:line="240" w:lineRule="auto"/>
        <w:jc w:val="both"/>
        <w:rPr>
          <w:rFonts w:ascii="Times New Roman" w:hAnsi="Times New Roman" w:cs="Times New Roman"/>
          <w:sz w:val="24"/>
          <w:szCs w:val="24"/>
          <w:shd w:val="clear" w:color="auto" w:fill="FFFFFF"/>
        </w:rPr>
      </w:pPr>
      <w:r w:rsidRPr="00F57926">
        <w:rPr>
          <w:rFonts w:ascii="Times New Roman" w:hAnsi="Times New Roman" w:cs="Times New Roman"/>
          <w:sz w:val="24"/>
          <w:szCs w:val="24"/>
          <w:shd w:val="clear" w:color="auto" w:fill="FFFFFF"/>
        </w:rPr>
        <w:t>Ahora, sin embargo, uno de los cambios cruciales respecto a la anterior etapa alcista es que ningún banco está financiando la compra de suelo, por lo que el promotor inicia la construcción con el terreno ya adquirido, o dicho de otra manera, arriesgando fondos propios. Asimismo, hoy existe mucha más información al alcance de las promotoras, lo que les permite realizar estudios de demanda previos que les brindan muchas pistas sobre qué precio máximo está dispuesto a pagar el comprador de cada barrio.</w:t>
      </w:r>
    </w:p>
    <w:p w:rsidR="005B7CC5" w:rsidRPr="00F57926" w:rsidRDefault="005B7CC5" w:rsidP="005B7CC5">
      <w:pPr>
        <w:spacing w:line="240" w:lineRule="auto"/>
        <w:jc w:val="both"/>
        <w:rPr>
          <w:rFonts w:ascii="Times New Roman" w:hAnsi="Times New Roman" w:cs="Times New Roman"/>
          <w:sz w:val="24"/>
          <w:szCs w:val="24"/>
          <w:shd w:val="clear" w:color="auto" w:fill="FFFFFF"/>
        </w:rPr>
      </w:pPr>
      <w:r w:rsidRPr="00F57926">
        <w:rPr>
          <w:rFonts w:ascii="Times New Roman" w:hAnsi="Times New Roman" w:cs="Times New Roman"/>
          <w:sz w:val="24"/>
          <w:szCs w:val="24"/>
          <w:shd w:val="clear" w:color="auto" w:fill="FFFFFF"/>
        </w:rPr>
        <w:t>Así, cuando la demanda es elevada y la renta disponible media o alta, como ha sido el caso del desarrollo urbanístico de Valdebebas, al norte de Madrid, el suelo ha seguido marcando el precio final de las</w:t>
      </w:r>
      <w:r>
        <w:rPr>
          <w:rFonts w:ascii="Times New Roman" w:hAnsi="Times New Roman" w:cs="Times New Roman"/>
          <w:sz w:val="24"/>
          <w:szCs w:val="24"/>
          <w:shd w:val="clear" w:color="auto" w:fill="FFFFFF"/>
        </w:rPr>
        <w:t xml:space="preserve"> casas, aseguran desde Asprima.</w:t>
      </w:r>
    </w:p>
    <w:p w:rsidR="005B7CC5" w:rsidRPr="00F57926" w:rsidRDefault="005B7CC5" w:rsidP="005B7CC5">
      <w:pPr>
        <w:spacing w:line="240" w:lineRule="auto"/>
        <w:jc w:val="both"/>
        <w:rPr>
          <w:rFonts w:ascii="Times New Roman" w:hAnsi="Times New Roman" w:cs="Times New Roman"/>
          <w:sz w:val="24"/>
          <w:szCs w:val="24"/>
          <w:shd w:val="clear" w:color="auto" w:fill="FFFFFF"/>
        </w:rPr>
      </w:pPr>
      <w:r w:rsidRPr="00F57926">
        <w:rPr>
          <w:rFonts w:ascii="Times New Roman" w:hAnsi="Times New Roman" w:cs="Times New Roman"/>
          <w:sz w:val="24"/>
          <w:szCs w:val="24"/>
          <w:shd w:val="clear" w:color="auto" w:fill="FFFFFF"/>
        </w:rPr>
        <w:t>Por el contrario, en otras zonas con menor renta disponible, como El Cañaveral por seguir en Madrid, lo más frecuente es que los promotores establezcan el precio máximo que saben que podrán pagar los compradores de la zona y a partir del mism</w:t>
      </w:r>
      <w:r>
        <w:rPr>
          <w:rFonts w:ascii="Times New Roman" w:hAnsi="Times New Roman" w:cs="Times New Roman"/>
          <w:sz w:val="24"/>
          <w:szCs w:val="24"/>
          <w:shd w:val="clear" w:color="auto" w:fill="FFFFFF"/>
        </w:rPr>
        <w:t>o desglosen el resto de costes.</w:t>
      </w:r>
    </w:p>
    <w:p w:rsidR="005B7CC5" w:rsidRPr="00F57926" w:rsidRDefault="005B7CC5" w:rsidP="005B7CC5">
      <w:pPr>
        <w:spacing w:line="240" w:lineRule="auto"/>
        <w:jc w:val="both"/>
        <w:rPr>
          <w:rFonts w:ascii="Times New Roman" w:hAnsi="Times New Roman" w:cs="Times New Roman"/>
          <w:sz w:val="24"/>
          <w:szCs w:val="24"/>
          <w:shd w:val="clear" w:color="auto" w:fill="FFFFFF"/>
        </w:rPr>
      </w:pPr>
      <w:r w:rsidRPr="00F57926">
        <w:rPr>
          <w:rFonts w:ascii="Times New Roman" w:hAnsi="Times New Roman" w:cs="Times New Roman"/>
          <w:sz w:val="24"/>
          <w:szCs w:val="24"/>
          <w:shd w:val="clear" w:color="auto" w:fill="FFFFFF"/>
        </w:rPr>
        <w:t>Gracias a la información facilitada por Asprima, hoy en promedio el suelo representa el 32% del precio final de la vivienda antes de impuestos (al tratarse de una casa nueva es el 10% de IVA el tributo que se aplica), los impuestos a los que ha de hacer frente el promotor durante todo el proceso de edificación suponen otro 25% del precio, los costes de construcción absorben desde un 16% hasta el 26% y el margen o beneficio del promotor, un 17% de media. Dentro de los costes de construcción, los materiales se llevan un 57%, mientras la mano de obra pesa el 40% y el 3% restante equivale al margen de la constructora. Para una casa que cueste 140.000 euros, el suelo absorbería 44.800, los tributos más de 35.000 y el margen del promotor sería de 23.800 euros. Si esa misma vivienda fuese de protección oficial, el coste de repercusión del suelo n</w:t>
      </w:r>
      <w:r>
        <w:rPr>
          <w:rFonts w:ascii="Times New Roman" w:hAnsi="Times New Roman" w:cs="Times New Roman"/>
          <w:sz w:val="24"/>
          <w:szCs w:val="24"/>
          <w:shd w:val="clear" w:color="auto" w:fill="FFFFFF"/>
        </w:rPr>
        <w:t>o se situaría más allá del 22%.</w:t>
      </w:r>
    </w:p>
    <w:p w:rsidR="005B7CC5" w:rsidRPr="00F57926" w:rsidRDefault="005B7CC5" w:rsidP="005B7CC5">
      <w:pPr>
        <w:spacing w:line="240" w:lineRule="auto"/>
        <w:jc w:val="both"/>
        <w:rPr>
          <w:rFonts w:ascii="Times New Roman" w:hAnsi="Times New Roman" w:cs="Times New Roman"/>
          <w:sz w:val="24"/>
          <w:szCs w:val="24"/>
          <w:shd w:val="clear" w:color="auto" w:fill="FFFFFF"/>
        </w:rPr>
      </w:pPr>
      <w:r w:rsidRPr="00F57926">
        <w:rPr>
          <w:rFonts w:ascii="Times New Roman" w:hAnsi="Times New Roman" w:cs="Times New Roman"/>
          <w:sz w:val="24"/>
          <w:szCs w:val="24"/>
          <w:shd w:val="clear" w:color="auto" w:fill="FFFFFF"/>
        </w:rPr>
        <w:t>Estas son las cifras promedio porque los promotores explican que no hay dos promociones que den el mismo margen o tengan idéntica repercusión del suelo. Admiten que con la escasez de solares finalistas que ya hay hoy en lugares como Madrid o Barcelona, vuelve a haber proyectos donde el coste del suelo representa de nuevo el 50% del precio de la vivienda, “cuando lo sano sería que no pesara más del 25%”, apunta Cuervo. Esa falta de terrenos listos para edificar y el repunte experimentado por la mano de obra y los materiales de construcción es lo q</w:t>
      </w:r>
      <w:r>
        <w:rPr>
          <w:rFonts w:ascii="Times New Roman" w:hAnsi="Times New Roman" w:cs="Times New Roman"/>
          <w:sz w:val="24"/>
          <w:szCs w:val="24"/>
          <w:shd w:val="clear" w:color="auto" w:fill="FFFFFF"/>
        </w:rPr>
        <w:t>ue más preocupa a las empresas.</w:t>
      </w:r>
    </w:p>
    <w:p w:rsidR="005B7CC5" w:rsidRPr="00F57926" w:rsidRDefault="005B7CC5" w:rsidP="005B7CC5">
      <w:pPr>
        <w:spacing w:line="240" w:lineRule="auto"/>
        <w:jc w:val="both"/>
        <w:rPr>
          <w:rFonts w:ascii="Times New Roman" w:hAnsi="Times New Roman" w:cs="Times New Roman"/>
          <w:sz w:val="24"/>
          <w:szCs w:val="24"/>
          <w:shd w:val="clear" w:color="auto" w:fill="FFFFFF"/>
        </w:rPr>
      </w:pPr>
      <w:r w:rsidRPr="00F57926">
        <w:rPr>
          <w:rFonts w:ascii="Times New Roman" w:hAnsi="Times New Roman" w:cs="Times New Roman"/>
          <w:sz w:val="24"/>
          <w:szCs w:val="24"/>
          <w:shd w:val="clear" w:color="auto" w:fill="FFFFFF"/>
        </w:rPr>
        <w:lastRenderedPageBreak/>
        <w:t>“Las promotoras son conscientes de que hoy no es como en el pasado cuando parecía que se vendía todo, hoy una subida de incluso 1.000 o 2.000 euros por casa puede dar al traste con la venta de la promoción”, advierte el director gerente de Asprima. Por este motivo, sostienen que una reforma legislativa que lograra agilizar los procesos urbanísticos cons</w:t>
      </w:r>
      <w:r>
        <w:rPr>
          <w:rFonts w:ascii="Times New Roman" w:hAnsi="Times New Roman" w:cs="Times New Roman"/>
          <w:sz w:val="24"/>
          <w:szCs w:val="24"/>
          <w:shd w:val="clear" w:color="auto" w:fill="FFFFFF"/>
        </w:rPr>
        <w:t>eguiría abaratar las viviendas.</w:t>
      </w:r>
    </w:p>
    <w:p w:rsidR="005B7CC5" w:rsidRDefault="005B7CC5" w:rsidP="005B7CC5">
      <w:pPr>
        <w:spacing w:line="240" w:lineRule="auto"/>
        <w:jc w:val="both"/>
        <w:rPr>
          <w:rFonts w:ascii="Times New Roman" w:hAnsi="Times New Roman" w:cs="Times New Roman"/>
          <w:sz w:val="24"/>
          <w:szCs w:val="24"/>
          <w:shd w:val="clear" w:color="auto" w:fill="FFFFFF"/>
        </w:rPr>
      </w:pPr>
      <w:r w:rsidRPr="00F57926">
        <w:rPr>
          <w:rFonts w:ascii="Times New Roman" w:hAnsi="Times New Roman" w:cs="Times New Roman"/>
          <w:sz w:val="24"/>
          <w:szCs w:val="24"/>
          <w:shd w:val="clear" w:color="auto" w:fill="FFFFFF"/>
        </w:rPr>
        <w:t>Y para aquellos promotores que piensen que con revalorizaciones futuras de las casas podrán compensar los repuntes de costes presentes, un consejo de la patronal: “no cometamos los mismos err</w:t>
      </w:r>
      <w:r>
        <w:rPr>
          <w:rFonts w:ascii="Times New Roman" w:hAnsi="Times New Roman" w:cs="Times New Roman"/>
          <w:sz w:val="24"/>
          <w:szCs w:val="24"/>
          <w:shd w:val="clear" w:color="auto" w:fill="FFFFFF"/>
        </w:rPr>
        <w:t>ores que en el pasado”.</w:t>
      </w:r>
    </w:p>
    <w:p w:rsidR="005B7CC5" w:rsidRDefault="005B7CC5" w:rsidP="005B7CC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C6DFB">
        <w:rPr>
          <w:rFonts w:ascii="Times New Roman" w:hAnsi="Times New Roman" w:cs="Times New Roman"/>
          <w:sz w:val="24"/>
          <w:szCs w:val="24"/>
          <w:u w:val="single"/>
          <w:shd w:val="clear" w:color="auto" w:fill="FFFFFF"/>
        </w:rPr>
        <w:t>El urbanismo y vivienda como botín: la madre de todas las corrupciones</w:t>
      </w:r>
      <w:r>
        <w:rPr>
          <w:rFonts w:ascii="Times New Roman" w:hAnsi="Times New Roman" w:cs="Times New Roman"/>
          <w:sz w:val="24"/>
          <w:szCs w:val="24"/>
          <w:shd w:val="clear" w:color="auto" w:fill="FFFFFF"/>
        </w:rPr>
        <w:t xml:space="preserve"> (Fuente: abelmarin.com - </w:t>
      </w:r>
      <w:r w:rsidRPr="00DC6DFB">
        <w:rPr>
          <w:rFonts w:ascii="Times New Roman" w:hAnsi="Times New Roman" w:cs="Times New Roman"/>
          <w:b/>
          <w:sz w:val="24"/>
          <w:szCs w:val="24"/>
          <w:shd w:val="clear" w:color="auto" w:fill="FFFFFF"/>
        </w:rPr>
        <w:t>4/7/25</w:t>
      </w:r>
      <w:r>
        <w:rPr>
          <w:rFonts w:ascii="Times New Roman" w:hAnsi="Times New Roman" w:cs="Times New Roman"/>
          <w:sz w:val="24"/>
          <w:szCs w:val="24"/>
          <w:shd w:val="clear" w:color="auto" w:fill="FFFFFF"/>
        </w:rPr>
        <w:t>)</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Fragmentación autonómica, discrecionalidad local y restricciones planificadas han hecho del urbanismo y la vivienda en España un caldo de cultivo para la corrupción.</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En un momento histórico donde la corrupción vuelve a ocupar los titulares, es urgente dirigir la mirada hacia uno de los focos menos tratados pero más estructurales del problema: el urbanismo. Más allá de los casos puntuales de comisiones y tramas, existe un entramado legal e institucional que, lejos de garantizar el acceso equitativo a la vivienda, ha convertido la gestión del suelo en un botín político-económico.</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La paradoja territorial: abundancia de suelo, escasez de vivienda</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España tiene una densidad media de población de 94 habitantes por kilómetro cuadrado. A pesar de ello, solo entre el 4 % y el 5% del territorio está urbanizado. Esta limitación no responde a una condición geográfica insalvable ni a razones medioambientales insoslayables. Es una decisión política. La legislación urbanística española impone un control estricto sobre la clasificación y transformación del suelo, delegando esta potestad en planes urbanísticos locales que pueden tardar años o incluso décadas en renovarse.</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Un marco legal construido para intervenir, no para facilitar</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El Texto Refundido de la Ley de Suelo y Rehabilitación Urbana (TRLSRU) establece en su artículo 3 el principio de desarrollo sostenible como eje rector de la política de suelo. Esta visión prioriza la eficiencia territorial, la preservación del suelo rústico y la contención del crecimiento. No se trata solo de una filosofía urbanística, sino de un marco normativo que confiere al planeamiento una función de filtro: no todo suelo puede urbanizarse, aunque técnica o económicamente sea viable.</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La clasificación del suelo (urbano, urbanizable, no urbanizable) no es una cuestión técnica, sino una potestad discrecional que las comunidades autónomas delegan en los municipios. El artículo 21 del TRLSRU deja claro que el suelo se mantiene en situación rural hasta que culmine todo el proceso urbanizador. Esta condición, lejos de ser neutra, se convierte en un mecanismo de control y, en demasiadas ocasiones, en una fuente de poder opaco.</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Urbanismo autonómico: la fragmentación como barrera</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Desde la aprobación de la Constitución de 1978, la ordenación del territorio y el urbanismo han sido competencias exclusivas de las comunidades autónomas. En la práctica, esto ha generado 17 regímenes legales distintos, con diferencias notables en tramitación, clasificaciones, tiempos y exigencias.</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lastRenderedPageBreak/>
        <w:t>Esta fragmentación convierte el mapa español en una especie de “mapa de cortijos”, donde los marcos jurídicos autonómicos actúan como barreras de entrada para promotores e inversores ajenos al contexto local. La inseguridad jurídica derivada de esta diversidad favorece a los actores bien conectados con las administraciones locales, consolidando estructuras de poder informal y dependencia institucional.</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El planeamiento como herramienta de exclusión</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El planeamiento urbanístico es el instrumento mediante el cual se determina qué suelo puede ser transformado. En teoría, es una herramienta técnica sujeta a evaluación ambiental, participación ciudadana y criterios de interés general. En la práctica, es también una puerta de acceso a rentas extraordinarias.</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La patrimonialización de la edificabilidad, según el artículo 11 del TRLSRU, no se produce por la mera titularidad del suelo, sino por la ejecución efectiva del planeamiento. Esto significa que quienes controlan el calendario, la aprobación y la ejecución de los planes controlan también el valor de los terrenos. Y donde hay discrecionalidad sin transparencia, florece la captura del poder.</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Las reservas obligatorias: intervención sin estrategia</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El artículo 20 del TRLSRU obliga a reservar un mínimo del 40% del suelo en nuevas urbanizaciones para vivienda sujeta a régimen de protección. Esta medida, orientada a garantizar el acceso a la vivienda, se convierte con frecuencia en un arma de doble filo: encarece los proyectos, dificulta su viabilidad financiera y aumenta los plazos.</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Al no acompañarse de incentivos claros, agilidad administrativa o mecanismos reales de colaboración público-privada, estas obligaciones se convierten en barreras adicionales que favorecen a los grandes operadores y excluyen a los pequeños promotores. El resultado: menos oferta, precios al alza y un acceso a la vivienda cada vez más restringido.</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Corrupción estructural: más allá de los casos urbanismo vivienda</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Cuando se habla de corrupción urbanística, se suele pensar en sobres, recalificaciones sospechosas o licencias opacas. Pero hay una corrupción estructural, mucho más profunda, que reside en el propio diseño del sistema: una arquitectura legal que permite que el acceso a un bien básico como la vivienda dependa de decisiones políticas con alto grado de discrecionalidad y escaso control ciudadano.</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Conclusión: hacia una reforma del sistema urbanístico</w:t>
      </w:r>
    </w:p>
    <w:p w:rsidR="005B7CC5" w:rsidRPr="00DC6DFB"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El debate sobre la vivienda no puede reducirse a topes al alquiler, restricciones al turismo o nuevas ayudas. Requiere una revisión profunda del modelo urbanístico. Es necesario unificar principios básicos a nivel estatal, garantizar la transparencia en los procesos de planeamiento y eliminar los incentivos perversos que hoy convierten al urbanismo en uno de los mayores focos de poder clientelar en España.</w:t>
      </w:r>
    </w:p>
    <w:p w:rsidR="005B7CC5" w:rsidRDefault="005B7CC5" w:rsidP="005B7CC5">
      <w:pPr>
        <w:spacing w:line="240" w:lineRule="auto"/>
        <w:jc w:val="both"/>
        <w:rPr>
          <w:rFonts w:ascii="Times New Roman" w:hAnsi="Times New Roman" w:cs="Times New Roman"/>
          <w:sz w:val="24"/>
          <w:szCs w:val="24"/>
          <w:shd w:val="clear" w:color="auto" w:fill="FFFFFF"/>
        </w:rPr>
      </w:pPr>
      <w:r w:rsidRPr="00DC6DFB">
        <w:rPr>
          <w:rFonts w:ascii="Times New Roman" w:hAnsi="Times New Roman" w:cs="Times New Roman"/>
          <w:sz w:val="24"/>
          <w:szCs w:val="24"/>
          <w:shd w:val="clear" w:color="auto" w:fill="FFFFFF"/>
        </w:rPr>
        <w:t>No se trata solo de construir más. Se trata de reconstruir el marco que decide quién puede construir, cuándo y dónde. Mientras ese mapa de cortijos siga vigente, la vivienda seguirá siendo un privilegio reservado a quienes tienen llave del planeamiento. Y el urbanismo, lejos de ser una herramienta de desarrollo, seguirá siendo un botín.</w:t>
      </w:r>
    </w:p>
    <w:p w:rsidR="005B7CC5" w:rsidRPr="00012A59" w:rsidRDefault="005B7CC5" w:rsidP="005B7CC5">
      <w:pPr>
        <w:spacing w:line="240" w:lineRule="auto"/>
        <w:jc w:val="both"/>
        <w:rPr>
          <w:rFonts w:ascii="Times New Roman" w:hAnsi="Times New Roman" w:cs="Times New Roman"/>
          <w:spacing w:val="-1"/>
          <w:sz w:val="24"/>
          <w:szCs w:val="24"/>
          <w:shd w:val="clear" w:color="auto" w:fill="FFFFFF"/>
        </w:rPr>
      </w:pPr>
      <w:r>
        <w:rPr>
          <w:rFonts w:ascii="Times New Roman" w:hAnsi="Times New Roman" w:cs="Times New Roman"/>
          <w:spacing w:val="-1"/>
          <w:sz w:val="24"/>
          <w:szCs w:val="24"/>
          <w:shd w:val="clear" w:color="auto" w:fill="FFFFFF"/>
        </w:rPr>
        <w:lastRenderedPageBreak/>
        <w:t xml:space="preserve">- </w:t>
      </w:r>
      <w:r w:rsidRPr="00C90202">
        <w:rPr>
          <w:rFonts w:ascii="Times New Roman" w:hAnsi="Times New Roman" w:cs="Times New Roman"/>
          <w:spacing w:val="-1"/>
          <w:sz w:val="24"/>
          <w:szCs w:val="24"/>
          <w:u w:val="single"/>
          <w:shd w:val="clear" w:color="auto" w:fill="FFFFFF"/>
        </w:rPr>
        <w:t>La vivienda que no llega: España tardará 12 años en cubrir toda la demanda</w:t>
      </w:r>
      <w:r>
        <w:rPr>
          <w:rFonts w:ascii="Times New Roman" w:hAnsi="Times New Roman" w:cs="Times New Roman"/>
          <w:spacing w:val="-1"/>
          <w:sz w:val="24"/>
          <w:szCs w:val="24"/>
          <w:shd w:val="clear" w:color="auto" w:fill="FFFFFF"/>
        </w:rPr>
        <w:t xml:space="preserve"> (Vozpópuli - </w:t>
      </w:r>
      <w:r>
        <w:rPr>
          <w:rFonts w:ascii="Times New Roman" w:hAnsi="Times New Roman" w:cs="Times New Roman"/>
          <w:b/>
          <w:spacing w:val="-1"/>
          <w:sz w:val="24"/>
          <w:szCs w:val="24"/>
          <w:shd w:val="clear" w:color="auto" w:fill="FFFFFF"/>
        </w:rPr>
        <w:t>11</w:t>
      </w:r>
      <w:r w:rsidRPr="00C90202">
        <w:rPr>
          <w:rFonts w:ascii="Times New Roman" w:hAnsi="Times New Roman" w:cs="Times New Roman"/>
          <w:b/>
          <w:spacing w:val="-1"/>
          <w:sz w:val="24"/>
          <w:szCs w:val="24"/>
          <w:shd w:val="clear" w:color="auto" w:fill="FFFFFF"/>
        </w:rPr>
        <w:t>/7/25</w:t>
      </w:r>
      <w:r>
        <w:rPr>
          <w:rFonts w:ascii="Times New Roman" w:hAnsi="Times New Roman" w:cs="Times New Roman"/>
          <w:spacing w:val="-1"/>
          <w:sz w:val="24"/>
          <w:szCs w:val="24"/>
          <w:shd w:val="clear" w:color="auto" w:fill="FFFFFF"/>
        </w:rPr>
        <w:t>)</w:t>
      </w:r>
    </w:p>
    <w:p w:rsidR="005B7CC5" w:rsidRPr="0052745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spacing w:val="-1"/>
          <w:sz w:val="24"/>
          <w:szCs w:val="24"/>
          <w:shd w:val="clear" w:color="auto" w:fill="FFFFFF"/>
        </w:rPr>
        <w:t>Las proyecciones de Funcas indican que el déficit de vivienda en España se mantendrá hasta 2037</w:t>
      </w:r>
    </w:p>
    <w:p w:rsidR="005B7CC5" w:rsidRPr="0052745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spacing w:val="-1"/>
          <w:sz w:val="24"/>
          <w:szCs w:val="24"/>
          <w:shd w:val="clear" w:color="auto" w:fill="FFFFFF"/>
        </w:rPr>
        <w:t>(Por Beatriz Triguero)</w:t>
      </w:r>
    </w:p>
    <w:p w:rsidR="005B7CC5" w:rsidRPr="0052745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spacing w:val="-1"/>
          <w:sz w:val="24"/>
          <w:szCs w:val="24"/>
          <w:shd w:val="clear" w:color="auto" w:fill="FFFFFF"/>
        </w:rPr>
        <w:t xml:space="preserve">El desajuste en el mercado inmobiliario está aún lejos de resolverse. La construcción está ganando ritmo, pero no lo suficiente como para cubrir toda la demanda existente en el corto plazo. El déficit acumulado ronda las 600.000 viviendas y, aunque irá reduciéndose a lo largo de los próximos años, se mantendrá hasta 2037, según las últimas proyecciones de la Fundación de las Cajas de Ahorros (Funcas). </w:t>
      </w:r>
    </w:p>
    <w:p w:rsidR="005B7CC5" w:rsidRPr="0052745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spacing w:val="-1"/>
          <w:sz w:val="24"/>
          <w:szCs w:val="24"/>
          <w:shd w:val="clear" w:color="auto" w:fill="FFFFFF"/>
        </w:rPr>
        <w:t>El déficit de vivienda hace referencia a la diferencia entre el crecimiento neto de hogares y el número de viviendas construidas. Desde hace al menos una década, la construcción de viviendas en España es inferior a la creación de nuevos hogares, lo que resulta en un déficit anual que se va acumulando sistemáticamente. En definitiva, lo que significa es que en España hay escasez de vivienda porque se construye menos de lo que se necesita.</w:t>
      </w:r>
    </w:p>
    <w:p w:rsidR="005B7CC5" w:rsidRPr="0052745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spacing w:val="-1"/>
          <w:sz w:val="24"/>
          <w:szCs w:val="24"/>
          <w:shd w:val="clear" w:color="auto" w:fill="FFFFFF"/>
        </w:rPr>
        <w:t>Raymond Torres, director de Coyuntura de Funcas, explica a Vozpópuli que, suponiendo que la inversión en vivienda crecerá un 3% cada año (esto es un punto más de lo que venía aumentando en los últimos cinco años), y habida cuenta de la elasticidad entre inversión en vivienda y número de viviendas iniciadas en la última década, se puede proyectar la evolución de las nuevas construcciones en los próximos años.</w:t>
      </w:r>
    </w:p>
    <w:p w:rsidR="005B7CC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spacing w:val="-1"/>
          <w:sz w:val="24"/>
          <w:szCs w:val="24"/>
          <w:shd w:val="clear" w:color="auto" w:fill="FFFFFF"/>
        </w:rPr>
        <w:t>El servicio de estudios señala que la actividad constructora ha cogido impulso, con 101.000 viviendas terminadas en 2024, la cifra más alta en 13 años. Sin embargo, siguió siendo inferior al incremento ne</w:t>
      </w:r>
      <w:r>
        <w:rPr>
          <w:rFonts w:ascii="Times New Roman" w:hAnsi="Times New Roman" w:cs="Times New Roman"/>
          <w:spacing w:val="-1"/>
          <w:sz w:val="24"/>
          <w:szCs w:val="24"/>
          <w:shd w:val="clear" w:color="auto" w:fill="FFFFFF"/>
        </w:rPr>
        <w:t>to en el número de hogares por “</w:t>
      </w:r>
      <w:r w:rsidRPr="00527455">
        <w:rPr>
          <w:rFonts w:ascii="Times New Roman" w:hAnsi="Times New Roman" w:cs="Times New Roman"/>
          <w:spacing w:val="-1"/>
          <w:sz w:val="24"/>
          <w:szCs w:val="24"/>
          <w:shd w:val="clear" w:color="auto" w:fill="FFFFFF"/>
        </w:rPr>
        <w:t>el retardo con el que la construcción respond</w:t>
      </w:r>
      <w:r>
        <w:rPr>
          <w:rFonts w:ascii="Times New Roman" w:hAnsi="Times New Roman" w:cs="Times New Roman"/>
          <w:spacing w:val="-1"/>
          <w:sz w:val="24"/>
          <w:szCs w:val="24"/>
          <w:shd w:val="clear" w:color="auto" w:fill="FFFFFF"/>
        </w:rPr>
        <w:t>e a los estímulos de la demanda”</w:t>
      </w:r>
      <w:r w:rsidRPr="00527455">
        <w:rPr>
          <w:rFonts w:ascii="Times New Roman" w:hAnsi="Times New Roman" w:cs="Times New Roman"/>
          <w:spacing w:val="-1"/>
          <w:sz w:val="24"/>
          <w:szCs w:val="24"/>
          <w:shd w:val="clear" w:color="auto" w:fill="FFFFFF"/>
        </w:rPr>
        <w:t xml:space="preserve">. Es decir, que el déficit acumulado continuó aumentando. Este año, previsiblemente, volverá a ocurrir lo mismo. </w:t>
      </w:r>
    </w:p>
    <w:p w:rsidR="005B7CC5" w:rsidRPr="0052745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noProof/>
          <w:spacing w:val="-1"/>
          <w:sz w:val="24"/>
          <w:szCs w:val="24"/>
          <w:shd w:val="clear" w:color="auto" w:fill="FFFFFF"/>
          <w:lang w:eastAsia="es-ES"/>
        </w:rPr>
        <w:drawing>
          <wp:inline distT="0" distB="0" distL="0" distR="0" wp14:anchorId="4FC3E5D8" wp14:editId="29555CF2">
            <wp:extent cx="5731510" cy="3469005"/>
            <wp:effectExtent l="0" t="0" r="254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3469005"/>
                    </a:xfrm>
                    <a:prstGeom prst="rect">
                      <a:avLst/>
                    </a:prstGeom>
                  </pic:spPr>
                </pic:pic>
              </a:graphicData>
            </a:graphic>
          </wp:inline>
        </w:drawing>
      </w:r>
    </w:p>
    <w:p w:rsidR="005B7CC5" w:rsidRPr="0052745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spacing w:val="-1"/>
          <w:sz w:val="24"/>
          <w:szCs w:val="24"/>
          <w:shd w:val="clear" w:color="auto" w:fill="FFFFFF"/>
        </w:rPr>
        <w:lastRenderedPageBreak/>
        <w:t>Sus cálculos apuntan a que España alcanzará las 150.000 viviendas iniciadas este año y las 200.000 en 2030. Ese esfuerzo empieza a superar a partir de 2027 el número de hogares de nueva creación, que Funcas estima en 160.000 cada año. Esto ayudará a reducir el déficit acumulado a partir de entonces, pero los números indican que el desajuste habitacional no se resolverá por co</w:t>
      </w:r>
      <w:r>
        <w:rPr>
          <w:rFonts w:ascii="Times New Roman" w:hAnsi="Times New Roman" w:cs="Times New Roman"/>
          <w:spacing w:val="-1"/>
          <w:sz w:val="24"/>
          <w:szCs w:val="24"/>
          <w:shd w:val="clear" w:color="auto" w:fill="FFFFFF"/>
        </w:rPr>
        <w:t>mpleto hasta dentro de 12 años.</w:t>
      </w:r>
    </w:p>
    <w:p w:rsidR="005B7CC5" w:rsidRPr="0052745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noProof/>
          <w:spacing w:val="-1"/>
          <w:sz w:val="24"/>
          <w:szCs w:val="24"/>
          <w:shd w:val="clear" w:color="auto" w:fill="FFFFFF"/>
          <w:lang w:eastAsia="es-ES"/>
        </w:rPr>
        <w:drawing>
          <wp:inline distT="0" distB="0" distL="0" distR="0" wp14:anchorId="4ADB82B6" wp14:editId="62324EF1">
            <wp:extent cx="5731510" cy="3433395"/>
            <wp:effectExtent l="0" t="0" r="254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3433395"/>
                    </a:xfrm>
                    <a:prstGeom prst="rect">
                      <a:avLst/>
                    </a:prstGeom>
                  </pic:spPr>
                </pic:pic>
              </a:graphicData>
            </a:graphic>
          </wp:inline>
        </w:drawing>
      </w:r>
    </w:p>
    <w:p w:rsidR="005B7CC5" w:rsidRPr="0052745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spacing w:val="-1"/>
          <w:sz w:val="24"/>
          <w:szCs w:val="24"/>
          <w:shd w:val="clear" w:color="auto" w:fill="FFFFFF"/>
        </w:rPr>
        <w:t>El precio de la vivienda, en máximos</w:t>
      </w:r>
    </w:p>
    <w:p w:rsidR="005B7CC5" w:rsidRPr="0052745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spacing w:val="-1"/>
          <w:sz w:val="24"/>
          <w:szCs w:val="24"/>
          <w:shd w:val="clear" w:color="auto" w:fill="FFFFFF"/>
        </w:rPr>
        <w:t xml:space="preserve">Funcas indica que las operaciones de compraventa de viviendas están en los niveles más elevados de los últimos 18 años, tras el fuerte impulso registrado en la segunda mitad de 2024, por la bajada de tipos de interés y la recuperación de renta de los hogares. Sin embargo, en lo que va de año ha frenado su crecimiento por la subida de precios, y augura que las transacciones podrían estar tocando techo como consecuencia de este encarecimiento. </w:t>
      </w:r>
    </w:p>
    <w:p w:rsidR="005B7CC5" w:rsidRPr="0052745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spacing w:val="-1"/>
          <w:sz w:val="24"/>
          <w:szCs w:val="24"/>
          <w:shd w:val="clear" w:color="auto" w:fill="FFFFFF"/>
        </w:rPr>
        <w:t xml:space="preserve">El precio de la vivienda en España amenaza con cerrar 2025 con el mayor repunte anual desde 2006. Las últimas estimaciones de BBVA Research apuntan a un aumento del 7,3%, un punto y medio superior al experimentado en 2024. Este avance, impulsado por la escasez de oferta y la resistencia de la demanda, también supera las variaciones de años anteriores: hay que remontarse casi veinte años para encontrar un encarecimiento mayor. </w:t>
      </w:r>
    </w:p>
    <w:p w:rsidR="005B7CC5" w:rsidRPr="0052745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spacing w:val="-1"/>
          <w:sz w:val="24"/>
          <w:szCs w:val="24"/>
          <w:shd w:val="clear" w:color="auto" w:fill="FFFFFF"/>
        </w:rPr>
        <w:t>El servicio de estudios del banco, que actualizó el pasado junio sus previsiones económicas para la economía española, advierte de que la cifra puede ser incluso mayor teniendo en cuenta el cierre del primer trimestre que ha publicado el Ministerio de Vivienda, con una subida del 9%. En los tres primeros meses del año marcó su nivel más alto desde 2008 y superó las expectativas de los economistas de BBVA Research.</w:t>
      </w:r>
    </w:p>
    <w:p w:rsidR="005B7CC5" w:rsidRPr="0052745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spacing w:val="-1"/>
          <w:sz w:val="24"/>
          <w:szCs w:val="24"/>
          <w:shd w:val="clear" w:color="auto" w:fill="FFFFFF"/>
        </w:rPr>
        <w:t>Este panorama en el ámbito de la vivienda supone un riesgo para las previsiones de crecimiento de la economía, que tiende a la desaceleración desde este año. Se espera que el consumo privado y la inversión sean ahora los motores del Producto Interior Bruto (PIB) ante la contribución negativa de la demanda externa, pues los aranceles lastrarán las exportaciones de bienes mientras el turismo también se desacelera.</w:t>
      </w:r>
    </w:p>
    <w:p w:rsidR="005B7CC5" w:rsidRDefault="005B7CC5" w:rsidP="005B7CC5">
      <w:pPr>
        <w:spacing w:line="240" w:lineRule="auto"/>
        <w:jc w:val="both"/>
        <w:rPr>
          <w:rFonts w:ascii="Times New Roman" w:hAnsi="Times New Roman" w:cs="Times New Roman"/>
          <w:spacing w:val="-1"/>
          <w:sz w:val="24"/>
          <w:szCs w:val="24"/>
          <w:shd w:val="clear" w:color="auto" w:fill="FFFFFF"/>
        </w:rPr>
      </w:pPr>
      <w:r w:rsidRPr="00527455">
        <w:rPr>
          <w:rFonts w:ascii="Times New Roman" w:hAnsi="Times New Roman" w:cs="Times New Roman"/>
          <w:spacing w:val="-1"/>
          <w:sz w:val="24"/>
          <w:szCs w:val="24"/>
          <w:shd w:val="clear" w:color="auto" w:fill="FFFFFF"/>
        </w:rPr>
        <w:lastRenderedPageBreak/>
        <w:t>En todo caso, el crecimiento económico proyectado en la economía española es superior al de la media europea, en parte, por el efecto estadístico positivo que genera el avance del segundo semestre de 2024. En 2026, la mayoría de los servicios de estudios y organismos económicos plantean ya incrementos del PIB inferiores al 2%, con una progresiva convergencia hacia su potencial a medio y largo plazo.</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 xml:space="preserve">- </w:t>
      </w:r>
      <w:r w:rsidRPr="0049204A">
        <w:rPr>
          <w:rFonts w:ascii="Times New Roman" w:hAnsi="Times New Roman" w:cs="Times New Roman"/>
          <w:sz w:val="24"/>
          <w:szCs w:val="24"/>
          <w:u w:val="single"/>
        </w:rPr>
        <w:t>El negocio público de la vivienda: el Estado recauda siete veces más de lo que invierte</w:t>
      </w:r>
      <w:r w:rsidRPr="0049204A">
        <w:rPr>
          <w:rFonts w:ascii="Times New Roman" w:hAnsi="Times New Roman" w:cs="Times New Roman"/>
          <w:sz w:val="24"/>
          <w:szCs w:val="24"/>
        </w:rPr>
        <w:t xml:space="preserve"> (Vozpópuli - </w:t>
      </w:r>
      <w:r w:rsidRPr="0049204A">
        <w:rPr>
          <w:rFonts w:ascii="Times New Roman" w:hAnsi="Times New Roman" w:cs="Times New Roman"/>
          <w:b/>
          <w:sz w:val="24"/>
          <w:szCs w:val="24"/>
        </w:rPr>
        <w:t>20/8/25</w:t>
      </w:r>
      <w:r w:rsidRPr="0049204A">
        <w:rPr>
          <w:rFonts w:ascii="Times New Roman" w:hAnsi="Times New Roman" w:cs="Times New Roman"/>
          <w:sz w:val="24"/>
          <w:szCs w:val="24"/>
        </w:rPr>
        <w:t>)</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El desfase entre los ingresos por cargas tributarias y el gasto en políticas públicas supera los 48.000 millones</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(Por Juan T. Delgado)</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Ni el paro, ni la corrupción: la vivienda es el principal problema para los ciudadanos españoles. Lleva ocho me</w:t>
      </w:r>
      <w:r>
        <w:rPr>
          <w:rFonts w:ascii="Times New Roman" w:hAnsi="Times New Roman" w:cs="Times New Roman"/>
          <w:sz w:val="24"/>
          <w:szCs w:val="24"/>
        </w:rPr>
        <w:t>ses consecutivos liderando el ranking de “preocupaciones”</w:t>
      </w:r>
      <w:r w:rsidRPr="0049204A">
        <w:rPr>
          <w:rFonts w:ascii="Times New Roman" w:hAnsi="Times New Roman" w:cs="Times New Roman"/>
          <w:sz w:val="24"/>
          <w:szCs w:val="24"/>
        </w:rPr>
        <w:t xml:space="preserve"> que elabora el Centro de Investigaciones Sociológicas (CIS). En este contexto llaman la atención datos como el que sigue: las administraciones recaudan siete veces más de lo que invierten en políticas de vivienda.</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 xml:space="preserve">Hablamos de todos los impuestos y cargas que el Estado, las autonomías y los ayuntamientos aplican a toda la cadena de valor. Es decir, desde que un promotor inicia la compra del suelo, hasta que el comprador final se instala en una vivienda nueva. Un informe recién publicado por OBS Business School aporta un dato ilustrativo: a lo largo de ese proceso se pagan hasta 16 figuras tributarias. </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El estudio, dirigido por Carlos Balado, recuerda que los impuestos pueden llegar a encarecer un 45% el precio fi</w:t>
      </w:r>
      <w:r>
        <w:rPr>
          <w:rFonts w:ascii="Times New Roman" w:hAnsi="Times New Roman" w:cs="Times New Roman"/>
          <w:sz w:val="24"/>
          <w:szCs w:val="24"/>
        </w:rPr>
        <w:t>nal de una vivienda en España. “</w:t>
      </w:r>
      <w:r w:rsidRPr="0049204A">
        <w:rPr>
          <w:rFonts w:ascii="Times New Roman" w:hAnsi="Times New Roman" w:cs="Times New Roman"/>
          <w:sz w:val="24"/>
          <w:szCs w:val="24"/>
        </w:rPr>
        <w:t xml:space="preserve">La elevada fiscalidad, junto con la excesiva regulación y la escasa asignación de recursos a esta partida por parte del sector público están agravando la situación </w:t>
      </w:r>
      <w:r>
        <w:rPr>
          <w:rFonts w:ascii="Times New Roman" w:hAnsi="Times New Roman" w:cs="Times New Roman"/>
          <w:sz w:val="24"/>
          <w:szCs w:val="24"/>
        </w:rPr>
        <w:t>actual del mercado inmobiliario”</w:t>
      </w:r>
      <w:r w:rsidRPr="0049204A">
        <w:rPr>
          <w:rFonts w:ascii="Times New Roman" w:hAnsi="Times New Roman" w:cs="Times New Roman"/>
          <w:sz w:val="24"/>
          <w:szCs w:val="24"/>
        </w:rPr>
        <w:t xml:space="preserve">, advierte el informe. </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 xml:space="preserve">El desfase actual entre lo que las administraciones recaudan e invierten es, cuanto menos, llamativo. La recaudación total por la tributación sobre la vivienda equivale en torno al 3,5% del Producto Interior Bruto (PIB). Por el contrario, el gasto que dedican las distintas administraciones ronda el 0,5%. Ello implica que la recaudación impositiva multiplica por siete la inversión en políticas de vivienda. </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 xml:space="preserve">Las últimas cifras de Contabilidad Nacional del INE permiten efectuar el cálculo en términos brutos. Al cierre de 2024, el 3,5% del PIB equivalía a casi 55.759 millones de euros. Y el 0,5%, a 7.965 millones. El desfase, por tanto, alcanza casi los 48.000 millones de euros.  </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El informe de OBS Busines</w:t>
      </w:r>
      <w:r>
        <w:rPr>
          <w:rFonts w:ascii="Times New Roman" w:hAnsi="Times New Roman" w:cs="Times New Roman"/>
          <w:sz w:val="24"/>
          <w:szCs w:val="24"/>
        </w:rPr>
        <w:t>s School incide en este punto. “</w:t>
      </w:r>
      <w:r w:rsidRPr="0049204A">
        <w:rPr>
          <w:rFonts w:ascii="Times New Roman" w:hAnsi="Times New Roman" w:cs="Times New Roman"/>
          <w:sz w:val="24"/>
          <w:szCs w:val="24"/>
        </w:rPr>
        <w:t>Esta disparidad pone de manifiesto el escaso protagonismo que las políticas públicas de vivienda ocupan dentro de las priorida</w:t>
      </w:r>
      <w:r>
        <w:rPr>
          <w:rFonts w:ascii="Times New Roman" w:hAnsi="Times New Roman" w:cs="Times New Roman"/>
          <w:sz w:val="24"/>
          <w:szCs w:val="24"/>
        </w:rPr>
        <w:t>des de gasto del sector público”</w:t>
      </w:r>
      <w:r w:rsidRPr="0049204A">
        <w:rPr>
          <w:rFonts w:ascii="Times New Roman" w:hAnsi="Times New Roman" w:cs="Times New Roman"/>
          <w:sz w:val="24"/>
          <w:szCs w:val="24"/>
        </w:rPr>
        <w:t xml:space="preserve">, señala. Y recuerda que España aplica el tercer tipo máximo más elevado del impuesto sobre transacciones en Europa. En concreto, un 11%. Solo la superan Bélgica (12,5 %) y Reino Unido (12 %). </w:t>
      </w:r>
    </w:p>
    <w:p w:rsidR="005B7CC5" w:rsidRDefault="005B7CC5" w:rsidP="005B7CC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204A">
        <w:rPr>
          <w:rFonts w:ascii="Times New Roman" w:hAnsi="Times New Roman" w:cs="Times New Roman"/>
          <w:sz w:val="24"/>
          <w:szCs w:val="24"/>
        </w:rPr>
        <w:t>Esta carga impositiva presenta tal complejidad y relevancia para todos los agentes involucrados, constructores, promotores, compradores, vendedores, arrendadores y arrendatarios que convierte en insuficientes y dispersos los últimos anuncios de los parti</w:t>
      </w:r>
      <w:r>
        <w:rPr>
          <w:rFonts w:ascii="Times New Roman" w:hAnsi="Times New Roman" w:cs="Times New Roman"/>
          <w:sz w:val="24"/>
          <w:szCs w:val="24"/>
        </w:rPr>
        <w:t>dos”</w:t>
      </w:r>
      <w:r w:rsidRPr="0049204A">
        <w:rPr>
          <w:rFonts w:ascii="Times New Roman" w:hAnsi="Times New Roman" w:cs="Times New Roman"/>
          <w:sz w:val="24"/>
          <w:szCs w:val="24"/>
        </w:rPr>
        <w:t>, asegura el estudio.</w:t>
      </w:r>
    </w:p>
    <w:p w:rsidR="005B7CC5" w:rsidRPr="0049204A" w:rsidRDefault="005B7CC5" w:rsidP="005B7CC5">
      <w:pPr>
        <w:spacing w:line="240" w:lineRule="auto"/>
        <w:jc w:val="both"/>
        <w:rPr>
          <w:rFonts w:ascii="Times New Roman" w:hAnsi="Times New Roman" w:cs="Times New Roman"/>
          <w:sz w:val="24"/>
          <w:szCs w:val="24"/>
        </w:rPr>
      </w:pP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lastRenderedPageBreak/>
        <w:t>Promesas del Gobierno</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 xml:space="preserve">Lo cierto es que las múltiples promesas difundidas desde Moncloa no han hecho mella en el ánimo de quienes intervienen en el mercado inmobiliario. Ahí están, de hecho, los mencionados datos del CIS. Y las estadísticas constantes que apuntan a nuevos máximos en los precios de compra. </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 xml:space="preserve">En enero, el presidente del Gobierno, Pedro Sánchez, </w:t>
      </w:r>
      <w:r>
        <w:rPr>
          <w:rFonts w:ascii="Times New Roman" w:hAnsi="Times New Roman" w:cs="Times New Roman"/>
          <w:sz w:val="24"/>
          <w:szCs w:val="24"/>
        </w:rPr>
        <w:t>anunció una batería de medidas “</w:t>
      </w:r>
      <w:r w:rsidRPr="0049204A">
        <w:rPr>
          <w:rFonts w:ascii="Times New Roman" w:hAnsi="Times New Roman" w:cs="Times New Roman"/>
          <w:sz w:val="24"/>
          <w:szCs w:val="24"/>
        </w:rPr>
        <w:t xml:space="preserve">contundentes y </w:t>
      </w:r>
      <w:r>
        <w:rPr>
          <w:rFonts w:ascii="Times New Roman" w:hAnsi="Times New Roman" w:cs="Times New Roman"/>
          <w:sz w:val="24"/>
          <w:szCs w:val="24"/>
        </w:rPr>
        <w:t>muchas de ellas sin precedentes”</w:t>
      </w:r>
      <w:r w:rsidRPr="0049204A">
        <w:rPr>
          <w:rFonts w:ascii="Times New Roman" w:hAnsi="Times New Roman" w:cs="Times New Roman"/>
          <w:sz w:val="24"/>
          <w:szCs w:val="24"/>
        </w:rPr>
        <w:t>, con el objetivo de lograr más vivienda, mejor regulación y mayores ayudas. Cinco meses después, el Grupo Parlamentario Socialista registró en el Congreso una ley para descongestionar el mercado, elevando las trabas para los pisos turísticos o castigando a los dueños de viviendas vacías.</w:t>
      </w:r>
    </w:p>
    <w:p w:rsidR="005B7CC5"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Sin embargo, las viviendas siguen saliendo al mercado con cuentagotas, en comparación con la elevada demanda. Como informó Vozpópuli, el déficit acumulado de casas en España se acerca a las 600.000 viviendas y -esto es lo más grave- se mantendrá durante los próximos doce años. Según las estimaciones de Funcas, hasta 2037 no se resolverá el desajuste entre la oferta y la demanda.</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 xml:space="preserve">- </w:t>
      </w:r>
      <w:r w:rsidRPr="00F57926">
        <w:rPr>
          <w:rFonts w:ascii="Times New Roman" w:hAnsi="Times New Roman" w:cs="Times New Roman"/>
          <w:sz w:val="24"/>
          <w:szCs w:val="24"/>
          <w:u w:val="single"/>
        </w:rPr>
        <w:t>La solución (casi) imposible para la vivienda: construir 38.000 nuevas casas al mes hasta 2030</w:t>
      </w:r>
      <w:r w:rsidRPr="0049204A">
        <w:rPr>
          <w:rFonts w:ascii="Times New Roman" w:hAnsi="Times New Roman" w:cs="Times New Roman"/>
          <w:sz w:val="24"/>
          <w:szCs w:val="24"/>
        </w:rPr>
        <w:t xml:space="preserve"> (Vozpópuli - </w:t>
      </w:r>
      <w:r w:rsidRPr="005B7CC5">
        <w:rPr>
          <w:rFonts w:ascii="Times New Roman" w:hAnsi="Times New Roman" w:cs="Times New Roman"/>
          <w:b/>
          <w:sz w:val="24"/>
          <w:szCs w:val="24"/>
        </w:rPr>
        <w:t>22/8/25</w:t>
      </w:r>
      <w:r w:rsidRPr="0049204A">
        <w:rPr>
          <w:rFonts w:ascii="Times New Roman" w:hAnsi="Times New Roman" w:cs="Times New Roman"/>
          <w:sz w:val="24"/>
          <w:szCs w:val="24"/>
        </w:rPr>
        <w:t>)</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Un informe de OBS Business School cifra entre 1,6 y 2,3 millones las viviendas que requiere el mercado español para equilibrar la oferta y la demanda</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(Por Juan T. Delgado)</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 xml:space="preserve">Sólo un cambio radical de las políticas públicas puede propiciar una verdadera solución para el problema de la vivienda. Es el más grave que sufre España, en vista de lo que opinan los ciudadanos, desde hace ocho meses, en el barómetro que elabora el CIS. </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A visibilizar la magnitud de ese problema contribuyen informes como el publicado por OBS Business S</w:t>
      </w:r>
      <w:r>
        <w:rPr>
          <w:rFonts w:ascii="Times New Roman" w:hAnsi="Times New Roman" w:cs="Times New Roman"/>
          <w:sz w:val="24"/>
          <w:szCs w:val="24"/>
        </w:rPr>
        <w:t>chool. Se titula “</w:t>
      </w:r>
      <w:r w:rsidRPr="0049204A">
        <w:rPr>
          <w:rFonts w:ascii="Times New Roman" w:hAnsi="Times New Roman" w:cs="Times New Roman"/>
          <w:sz w:val="24"/>
          <w:szCs w:val="24"/>
        </w:rPr>
        <w:t>Merc</w:t>
      </w:r>
      <w:r>
        <w:rPr>
          <w:rFonts w:ascii="Times New Roman" w:hAnsi="Times New Roman" w:cs="Times New Roman"/>
          <w:sz w:val="24"/>
          <w:szCs w:val="24"/>
        </w:rPr>
        <w:t>ado inmobiliario en España 2025”</w:t>
      </w:r>
      <w:r w:rsidRPr="0049204A">
        <w:rPr>
          <w:rFonts w:ascii="Times New Roman" w:hAnsi="Times New Roman" w:cs="Times New Roman"/>
          <w:sz w:val="24"/>
          <w:szCs w:val="24"/>
        </w:rPr>
        <w:t xml:space="preserve"> y está dirigido por Carlos Balado, profesor y director de Eurocofín.</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 xml:space="preserve">El estudio arroja una cifra esclarecedora. España necesita entre 1,6 y 2,3 millones de viviendas nuevas en los próximos cinco años. Es la única manera de equilibrar la problemática falta de oferta con la abundante demanda. </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 xml:space="preserve">Para hacerse una idea del desafío basta con calcular la cantidad de casas que deben salir al mercado cada mes de aquí al final de la década. Tomando como referencia la parte alta de la horquilla, España necesitaría, nada menos, que 38.000 nuevas viviendas cada mes durante el próximo lustro. </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El informe de OBS Business School justifica el cálculo. Teniendo en cuenta la previsión del INE, que estima un crecimiento promedio anual del 1,0% de la población durante los próximos seis años, se calcula que para 2030 España alcanzará una población aproximada de más de 52 millones de habitantes. Esto supondrá un aumento de 3,5 millones de personas respecto a la actualidad.</w:t>
      </w:r>
    </w:p>
    <w:p w:rsidR="005B7CC5" w:rsidRPr="0049204A" w:rsidRDefault="005B7CC5" w:rsidP="005B7CC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204A">
        <w:rPr>
          <w:rFonts w:ascii="Times New Roman" w:hAnsi="Times New Roman" w:cs="Times New Roman"/>
          <w:sz w:val="24"/>
          <w:szCs w:val="24"/>
        </w:rPr>
        <w:t xml:space="preserve">Este crecimiento demográfico -proveniente en buena parte del exterior- pone de manifiesto una insuficiencia estructural en el </w:t>
      </w:r>
      <w:r>
        <w:rPr>
          <w:rFonts w:ascii="Times New Roman" w:hAnsi="Times New Roman" w:cs="Times New Roman"/>
          <w:sz w:val="24"/>
          <w:szCs w:val="24"/>
        </w:rPr>
        <w:t>parque de viviendas disponibles”</w:t>
      </w:r>
      <w:r w:rsidRPr="0049204A">
        <w:rPr>
          <w:rFonts w:ascii="Times New Roman" w:hAnsi="Times New Roman" w:cs="Times New Roman"/>
          <w:sz w:val="24"/>
          <w:szCs w:val="24"/>
        </w:rPr>
        <w:t xml:space="preserve">, recuerda el estudio. A </w:t>
      </w:r>
      <w:r w:rsidRPr="0049204A">
        <w:rPr>
          <w:rFonts w:ascii="Times New Roman" w:hAnsi="Times New Roman" w:cs="Times New Roman"/>
          <w:sz w:val="24"/>
          <w:szCs w:val="24"/>
        </w:rPr>
        <w:lastRenderedPageBreak/>
        <w:t>continuación, recuerda los principales factores que explican el incremento significativo en el número de hogares.</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El aumento de la población, derivado de los flujos migratorios.</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La reducción del tamaño medio de los hogares, consecuencia de incremento de las viviendas unipersonales por la disminución de la natalidad o la consolidación de nuevos modelos de familia.</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 xml:space="preserve">Los problemas están más que identificados por quienes intervienen en el mercado inmobiliario. La Ley de Vivienda no ha tenido el resultado esperado y el suelo disponible continúa estando excesivamente protegido. </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Buena parte de los expertos, directivos y empresarios encuestados para la elaboración del informe coincide en la necesidad de fomentar -de verdad- la colaboración público-privada para la promoción del alquiler. Un 64% aboga por impulsar la oferta de alquiler social. Y un 62%, por redactar una nueva Ley del Suelo que mejore la gestión de los procesos administrativos.</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Exceso de trabas en el mercado inmobiliario</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 xml:space="preserve">Para la mayoría de los implicados, el principal problema del alto coste de la vivienda en España es la falta de oferta, seguida de la legislación inadecuada y la especulación inmobiliaria. También hay bastante acuerdo a la hora de proponer soluciones: agilizar la concesión de licencias urbanísticas, incrementar el volumen de suelo edificable e impulsar la rehabilitación de vivienda. </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 xml:space="preserve">El informe denuncia también la elevada cantidad de trabas impositivas y regulatorias que sufren los 'actores' de este sector. Desde que un promotor inicia la compra del suelo, hasta que el comprador final se instala en una vivienda nueva se abonan hasta 16 figuras tributarias. </w:t>
      </w:r>
    </w:p>
    <w:p w:rsidR="005B7CC5" w:rsidRPr="0049204A" w:rsidRDefault="005B7CC5" w:rsidP="005B7CC5">
      <w:pPr>
        <w:spacing w:line="240" w:lineRule="auto"/>
        <w:jc w:val="both"/>
        <w:rPr>
          <w:rFonts w:ascii="Times New Roman" w:hAnsi="Times New Roman" w:cs="Times New Roman"/>
          <w:sz w:val="24"/>
          <w:szCs w:val="24"/>
        </w:rPr>
      </w:pPr>
      <w:r w:rsidRPr="0049204A">
        <w:rPr>
          <w:rFonts w:ascii="Times New Roman" w:hAnsi="Times New Roman" w:cs="Times New Roman"/>
          <w:sz w:val="24"/>
          <w:szCs w:val="24"/>
        </w:rPr>
        <w:t>El estudio recuerda que los impuestos pueden llegar a encarecer un 45% el precio fi</w:t>
      </w:r>
      <w:r>
        <w:rPr>
          <w:rFonts w:ascii="Times New Roman" w:hAnsi="Times New Roman" w:cs="Times New Roman"/>
          <w:sz w:val="24"/>
          <w:szCs w:val="24"/>
        </w:rPr>
        <w:t>nal de una vivienda en España. “</w:t>
      </w:r>
      <w:r w:rsidRPr="0049204A">
        <w:rPr>
          <w:rFonts w:ascii="Times New Roman" w:hAnsi="Times New Roman" w:cs="Times New Roman"/>
          <w:sz w:val="24"/>
          <w:szCs w:val="24"/>
        </w:rPr>
        <w:t xml:space="preserve">La elevada fiscalidad, junto con la excesiva regulación y la escasa asignación de recursos a esta partida por parte del sector público están agravando la situación </w:t>
      </w:r>
      <w:r>
        <w:rPr>
          <w:rFonts w:ascii="Times New Roman" w:hAnsi="Times New Roman" w:cs="Times New Roman"/>
          <w:sz w:val="24"/>
          <w:szCs w:val="24"/>
        </w:rPr>
        <w:t>actual del mercado inmobiliario”</w:t>
      </w:r>
      <w:r w:rsidRPr="0049204A">
        <w:rPr>
          <w:rFonts w:ascii="Times New Roman" w:hAnsi="Times New Roman" w:cs="Times New Roman"/>
          <w:sz w:val="24"/>
          <w:szCs w:val="24"/>
        </w:rPr>
        <w:t>, advierte.</w:t>
      </w:r>
    </w:p>
    <w:p w:rsidR="005B7CC5" w:rsidRPr="00527455" w:rsidRDefault="005B7CC5" w:rsidP="005B7CC5">
      <w:pPr>
        <w:spacing w:line="240" w:lineRule="auto"/>
        <w:jc w:val="both"/>
        <w:rPr>
          <w:rFonts w:ascii="Times New Roman" w:hAnsi="Times New Roman" w:cs="Times New Roman"/>
          <w:sz w:val="24"/>
          <w:szCs w:val="24"/>
        </w:rPr>
      </w:pPr>
      <w:r w:rsidRPr="00527455">
        <w:rPr>
          <w:rFonts w:ascii="Times New Roman" w:hAnsi="Times New Roman" w:cs="Times New Roman"/>
          <w:sz w:val="24"/>
          <w:szCs w:val="24"/>
        </w:rPr>
        <w:t xml:space="preserve">- </w:t>
      </w:r>
      <w:r w:rsidRPr="00527455">
        <w:rPr>
          <w:rFonts w:ascii="Times New Roman" w:hAnsi="Times New Roman" w:cs="Times New Roman"/>
          <w:sz w:val="24"/>
          <w:szCs w:val="24"/>
          <w:u w:val="single"/>
        </w:rPr>
        <w:t>Un enfoque liberal para la vivienda</w:t>
      </w:r>
      <w:r w:rsidRPr="00527455">
        <w:rPr>
          <w:rFonts w:ascii="Times New Roman" w:hAnsi="Times New Roman" w:cs="Times New Roman"/>
          <w:sz w:val="24"/>
          <w:szCs w:val="24"/>
        </w:rPr>
        <w:t xml:space="preserve"> (The Objective - </w:t>
      </w:r>
      <w:r w:rsidRPr="00527455">
        <w:rPr>
          <w:rFonts w:ascii="Times New Roman" w:hAnsi="Times New Roman" w:cs="Times New Roman"/>
          <w:b/>
          <w:sz w:val="24"/>
          <w:szCs w:val="24"/>
        </w:rPr>
        <w:t>28/8/25</w:t>
      </w:r>
      <w:r w:rsidRPr="00527455">
        <w:rPr>
          <w:rFonts w:ascii="Times New Roman" w:hAnsi="Times New Roman" w:cs="Times New Roman"/>
          <w:sz w:val="24"/>
          <w:szCs w:val="24"/>
        </w:rPr>
        <w:t>)</w:t>
      </w:r>
    </w:p>
    <w:p w:rsidR="005B7CC5" w:rsidRPr="00527455" w:rsidRDefault="005B7CC5" w:rsidP="005B7CC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7455">
        <w:rPr>
          <w:rFonts w:ascii="Times New Roman" w:hAnsi="Times New Roman" w:cs="Times New Roman"/>
          <w:sz w:val="24"/>
          <w:szCs w:val="24"/>
        </w:rPr>
        <w:t>En lugar de tanto intervencionismo que empeora el problema del acceso a la vivienda, el sector público debería liberalizar el s</w:t>
      </w:r>
      <w:r>
        <w:rPr>
          <w:rFonts w:ascii="Times New Roman" w:hAnsi="Times New Roman" w:cs="Times New Roman"/>
          <w:sz w:val="24"/>
          <w:szCs w:val="24"/>
        </w:rPr>
        <w:t>uelo y acabar con la burocracia”</w:t>
      </w:r>
    </w:p>
    <w:p w:rsidR="005B7CC5" w:rsidRPr="00527455" w:rsidRDefault="005B7CC5" w:rsidP="005B7CC5">
      <w:pPr>
        <w:spacing w:line="240" w:lineRule="auto"/>
        <w:jc w:val="both"/>
        <w:rPr>
          <w:rFonts w:ascii="Times New Roman" w:hAnsi="Times New Roman" w:cs="Times New Roman"/>
          <w:sz w:val="24"/>
          <w:szCs w:val="24"/>
        </w:rPr>
      </w:pPr>
      <w:r w:rsidRPr="00527455">
        <w:rPr>
          <w:rFonts w:ascii="Times New Roman" w:hAnsi="Times New Roman" w:cs="Times New Roman"/>
          <w:sz w:val="24"/>
          <w:szCs w:val="24"/>
        </w:rPr>
        <w:t>(Por José María Rotellar)</w:t>
      </w:r>
    </w:p>
    <w:p w:rsidR="005B7CC5" w:rsidRPr="00527455" w:rsidRDefault="005B7CC5" w:rsidP="005B7CC5">
      <w:pPr>
        <w:spacing w:line="240" w:lineRule="auto"/>
        <w:jc w:val="both"/>
        <w:rPr>
          <w:rFonts w:ascii="Times New Roman" w:hAnsi="Times New Roman" w:cs="Times New Roman"/>
          <w:sz w:val="24"/>
          <w:szCs w:val="24"/>
        </w:rPr>
      </w:pPr>
      <w:r w:rsidRPr="00527455">
        <w:rPr>
          <w:rFonts w:ascii="Times New Roman" w:hAnsi="Times New Roman" w:cs="Times New Roman"/>
          <w:sz w:val="24"/>
          <w:szCs w:val="24"/>
        </w:rPr>
        <w:t>El acceso a la vivienda se está convirtiendo en un gran problema. El intervencionismo está estrangulando el mercado con su política intrusiva, donde quiere establecer control de precios, imponer cuotas de vivienda social en cada promoción de viviendas y donde no lucha contra la ocupación ilegal de viviendas. Esto desincentiva la oferta.</w:t>
      </w:r>
    </w:p>
    <w:p w:rsidR="005B7CC5" w:rsidRPr="00527455" w:rsidRDefault="005B7CC5" w:rsidP="005B7CC5">
      <w:pPr>
        <w:spacing w:line="240" w:lineRule="auto"/>
        <w:jc w:val="both"/>
        <w:rPr>
          <w:rFonts w:ascii="Times New Roman" w:hAnsi="Times New Roman" w:cs="Times New Roman"/>
          <w:sz w:val="24"/>
          <w:szCs w:val="24"/>
        </w:rPr>
      </w:pPr>
      <w:r w:rsidRPr="00527455">
        <w:rPr>
          <w:rFonts w:ascii="Times New Roman" w:hAnsi="Times New Roman" w:cs="Times New Roman"/>
          <w:sz w:val="24"/>
          <w:szCs w:val="24"/>
        </w:rPr>
        <w:t xml:space="preserve">Además, su negativa a liberalizar suelo constriñe la oferta todavía más, con lo que el precio sube. Por otra parte, como hay una demanda creciente, el precio se incrementa también por esa vía. </w:t>
      </w:r>
    </w:p>
    <w:p w:rsidR="005B7CC5" w:rsidRPr="00527455" w:rsidRDefault="005B7CC5" w:rsidP="005B7CC5">
      <w:pPr>
        <w:spacing w:line="240" w:lineRule="auto"/>
        <w:jc w:val="both"/>
        <w:rPr>
          <w:rFonts w:ascii="Times New Roman" w:hAnsi="Times New Roman" w:cs="Times New Roman"/>
          <w:sz w:val="24"/>
          <w:szCs w:val="24"/>
        </w:rPr>
      </w:pPr>
      <w:r w:rsidRPr="00527455">
        <w:rPr>
          <w:rFonts w:ascii="Times New Roman" w:hAnsi="Times New Roman" w:cs="Times New Roman"/>
          <w:sz w:val="24"/>
          <w:szCs w:val="24"/>
        </w:rPr>
        <w:t xml:space="preserve">Por último, la vivienda está gravada con una carga tributaria que se levanta como una barrera de entrada muy elevada a la compra, pues si un joven, por ejemplo, ahorra y puede llegar a </w:t>
      </w:r>
      <w:r w:rsidRPr="00527455">
        <w:rPr>
          <w:rFonts w:ascii="Times New Roman" w:hAnsi="Times New Roman" w:cs="Times New Roman"/>
          <w:sz w:val="24"/>
          <w:szCs w:val="24"/>
        </w:rPr>
        <w:lastRenderedPageBreak/>
        <w:t>comprar una vivienda de 300.000 euros, si es que la encuentra por ese precio, tiene que reunir entre 25.000 y 30.000 euros más para Hacienda, vía pago de impuestos. Cuando los ciudadanos van tan al límite para poder comprar, ese importe adicional tributario puede impedir que puedan comprar en ese momento, de manera que si continúan ahorrando para pagar la parte tributaria, probablemente cuando consigan ese ahorro el precio habrá subido todavía más, incrementando el esfuerzo para poder pagar tanto el precio de la vivienda como el impuesto, ya que también habrá crecido en valores absolutos al ser un porcentaje sobre la base.</w:t>
      </w:r>
    </w:p>
    <w:p w:rsidR="005B7CC5" w:rsidRPr="00527455" w:rsidRDefault="005B7CC5" w:rsidP="005B7CC5">
      <w:pPr>
        <w:spacing w:line="240" w:lineRule="auto"/>
        <w:jc w:val="both"/>
        <w:rPr>
          <w:rFonts w:ascii="Times New Roman" w:hAnsi="Times New Roman" w:cs="Times New Roman"/>
          <w:sz w:val="24"/>
          <w:szCs w:val="24"/>
        </w:rPr>
      </w:pPr>
      <w:r w:rsidRPr="00527455">
        <w:rPr>
          <w:rFonts w:ascii="Times New Roman" w:hAnsi="Times New Roman" w:cs="Times New Roman"/>
          <w:sz w:val="24"/>
          <w:szCs w:val="24"/>
        </w:rPr>
        <w:t>Todo ello, contribuye a hacer imposible el acceso a la vivienda de muchas personas, que tienen que saber que es el intervencionismo y la voracidad recaudatoria quienes están jugando en su contra.</w:t>
      </w:r>
    </w:p>
    <w:p w:rsidR="005B7CC5" w:rsidRPr="00527455" w:rsidRDefault="005B7CC5" w:rsidP="005B7CC5">
      <w:pPr>
        <w:spacing w:line="240" w:lineRule="auto"/>
        <w:jc w:val="both"/>
        <w:rPr>
          <w:rFonts w:ascii="Times New Roman" w:hAnsi="Times New Roman" w:cs="Times New Roman"/>
          <w:sz w:val="24"/>
          <w:szCs w:val="24"/>
        </w:rPr>
      </w:pPr>
      <w:r w:rsidRPr="00527455">
        <w:rPr>
          <w:rFonts w:ascii="Times New Roman" w:hAnsi="Times New Roman" w:cs="Times New Roman"/>
          <w:sz w:val="24"/>
          <w:szCs w:val="24"/>
        </w:rPr>
        <w:t>Sin embargo, el Gobierno va en sentido contrario: quiere aumentar los impuestos a las viviendas vacías e impedir que extranjeros no residentes compren, gravándolo con un nuevo impuesto, además de subir al 21%, dentro de su voracidad recaudatoria, el IVA a los apartamentos turísticos y que las Socimis tributen al 25% si no destinan sus viviendas a alquiler asequible. Esto último es, en sí mismo, un disparate dentro de otro disparate, pues las Socimis suelen estar centradas más en el negocio de oficinas que en el residencial. En cuanto al resto de medidas, no deja de constituir un esperpento empobrecedor, que expulsará la recepción de inversores y, con ello, la generación de actividad económica y empleo. Esto sólo empeorará la situación.</w:t>
      </w:r>
    </w:p>
    <w:p w:rsidR="005B7CC5" w:rsidRPr="00527455" w:rsidRDefault="005B7CC5" w:rsidP="005B7CC5">
      <w:pPr>
        <w:spacing w:line="240" w:lineRule="auto"/>
        <w:jc w:val="both"/>
        <w:rPr>
          <w:rFonts w:ascii="Times New Roman" w:hAnsi="Times New Roman" w:cs="Times New Roman"/>
          <w:sz w:val="24"/>
          <w:szCs w:val="24"/>
        </w:rPr>
      </w:pPr>
      <w:r w:rsidRPr="00527455">
        <w:rPr>
          <w:rFonts w:ascii="Times New Roman" w:hAnsi="Times New Roman" w:cs="Times New Roman"/>
          <w:sz w:val="24"/>
          <w:szCs w:val="24"/>
        </w:rPr>
        <w:t>Debe haber un cambio normativo que permita liberalizar el suelo, reducir la burocracia al mínimo posible, así como la absurda normativa que ampara al fundamentalismo medioambiental que tanto retrasa la construcción de viviendas, y bajar los impuestos a las viviendas, incluso eliminarlos. En vivienda de segunda mano, las CCAA pueden reducir al 0% el tipo del impuesto de transmisiones patrimoniales para vivienda habitual. En el caso del IVA, el Gobierno debería solicitar a la UE que incluyese la vivienda habitual en aquellos bienes y servicios que pueden ser objeto de aplicación de tipo cero.</w:t>
      </w:r>
    </w:p>
    <w:p w:rsidR="005B7CC5" w:rsidRPr="00527455" w:rsidRDefault="005B7CC5" w:rsidP="005B7CC5">
      <w:pPr>
        <w:spacing w:line="240" w:lineRule="auto"/>
        <w:jc w:val="both"/>
        <w:rPr>
          <w:rFonts w:ascii="Times New Roman" w:hAnsi="Times New Roman" w:cs="Times New Roman"/>
          <w:sz w:val="24"/>
          <w:szCs w:val="24"/>
        </w:rPr>
      </w:pPr>
      <w:r w:rsidRPr="00527455">
        <w:rPr>
          <w:rFonts w:ascii="Times New Roman" w:hAnsi="Times New Roman" w:cs="Times New Roman"/>
          <w:sz w:val="24"/>
          <w:szCs w:val="24"/>
        </w:rPr>
        <w:t>Todo ello, permitiría lograr que el acceso a la vivienda fuese más fácil para tantos ciudadanos, especialmente jóvenes, pero, al menos, la parte tributaria se puede solucionar con relativa rapidez y eliminar esa barrera, al gravarse con tipo cero, que sufren los ciudadanos para comprar una vivienda.</w:t>
      </w:r>
    </w:p>
    <w:p w:rsidR="005B7CC5" w:rsidRPr="00527455" w:rsidRDefault="005B7CC5" w:rsidP="005B7CC5">
      <w:pPr>
        <w:spacing w:line="240" w:lineRule="auto"/>
        <w:jc w:val="both"/>
        <w:rPr>
          <w:rFonts w:ascii="Times New Roman" w:hAnsi="Times New Roman" w:cs="Times New Roman"/>
          <w:sz w:val="24"/>
          <w:szCs w:val="24"/>
        </w:rPr>
      </w:pPr>
      <w:r w:rsidRPr="00527455">
        <w:rPr>
          <w:rFonts w:ascii="Times New Roman" w:hAnsi="Times New Roman" w:cs="Times New Roman"/>
          <w:sz w:val="24"/>
          <w:szCs w:val="24"/>
        </w:rPr>
        <w:t>Sería mucho más positivo para mejorar el acceso a la vivienda que los pisos de protección oficial, precio tasado o cualquier otra modalidad que implica subvención, que retira vivienda del mercado libre y dificulta el acceso a la misma a muchas personas, que sin tener grandes salarios no pueden optar a dichas viviendas subvencionadas porque sobrepasan los ingresos límite marcados, pero que el mayor salario que ganan sobre el marcado como límite es muy inferior a la diferencia entre el precio de una vivienda en el mercado y otra igual de precio tasado, perjudicando a la clase media, especialmente a los jóvenes.</w:t>
      </w:r>
    </w:p>
    <w:p w:rsidR="005B7CC5" w:rsidRPr="00527455" w:rsidRDefault="005B7CC5" w:rsidP="005B7CC5">
      <w:pPr>
        <w:spacing w:line="240" w:lineRule="auto"/>
        <w:jc w:val="both"/>
        <w:rPr>
          <w:rFonts w:ascii="Times New Roman" w:hAnsi="Times New Roman" w:cs="Times New Roman"/>
          <w:sz w:val="24"/>
          <w:szCs w:val="24"/>
        </w:rPr>
      </w:pPr>
      <w:r w:rsidRPr="00527455">
        <w:rPr>
          <w:rFonts w:ascii="Times New Roman" w:hAnsi="Times New Roman" w:cs="Times New Roman"/>
          <w:sz w:val="24"/>
          <w:szCs w:val="24"/>
        </w:rPr>
        <w:t>Por tanto, en lugar de tanto intervencionismo que empeora el problema del acceso a la vivienda, el sector público debería liberalizar el suelo; acabar con la burocracia que ralentiza la movilización de suelo -alguna linda con el fundamentalismo medioambiental que empobrece a la sociedad-, eliminar los impuestos para primera vivienda en transacciones de segunda mano y solicitar a la UE un IVA del 0% para las nuevas de las mismas condiciones; y no levantar una barrera a la clase media con la brutal diferencia en precio con una vivienda de precio tasado, que los expulsa de la posibilidad de acceder a una vivienda en el mercado.</w:t>
      </w:r>
    </w:p>
    <w:p w:rsidR="005B7CC5" w:rsidRPr="006B2423" w:rsidRDefault="005B7CC5" w:rsidP="005B7CC5">
      <w:pPr>
        <w:spacing w:line="240" w:lineRule="auto"/>
        <w:jc w:val="both"/>
        <w:rPr>
          <w:rFonts w:ascii="Times New Roman" w:hAnsi="Times New Roman" w:cs="Times New Roman"/>
          <w:color w:val="FF0000"/>
          <w:sz w:val="24"/>
          <w:szCs w:val="24"/>
          <w:shd w:val="clear" w:color="auto" w:fill="FFFFFF"/>
        </w:rPr>
      </w:pPr>
      <w:r w:rsidRPr="006B2423">
        <w:rPr>
          <w:rFonts w:ascii="Times New Roman" w:hAnsi="Times New Roman" w:cs="Times New Roman"/>
          <w:b/>
          <w:color w:val="FF0000"/>
          <w:sz w:val="24"/>
          <w:szCs w:val="24"/>
          <w:shd w:val="clear" w:color="auto" w:fill="FFFFFF"/>
        </w:rPr>
        <w:lastRenderedPageBreak/>
        <w:t>Nota I</w:t>
      </w:r>
      <w:r w:rsidRPr="006B2423">
        <w:rPr>
          <w:rFonts w:ascii="Times New Roman" w:hAnsi="Times New Roman" w:cs="Times New Roman"/>
          <w:color w:val="FF0000"/>
          <w:sz w:val="24"/>
          <w:szCs w:val="24"/>
          <w:shd w:val="clear" w:color="auto" w:fill="FFFFFF"/>
        </w:rPr>
        <w:t xml:space="preserve">: La clasificación del suelo afecta significativamente el desarrollo inmobiliario, especialmente en zonas con alta demanda de vivienda. Una clasificación inadecuada puede generar problemas como el aumento de precios, la dificultad de acceso a la vivienda, especialmente para grupos vulnerables, y la desincentivación de la inversión privada. Además, puede llevar a la necesidad de modificar proyectos urbanísticos y a retrasos en los plazos de entrega, exacerbando el déficit habitacional. </w:t>
      </w:r>
    </w:p>
    <w:p w:rsidR="005B7CC5" w:rsidRPr="006B2423" w:rsidRDefault="005B7CC5" w:rsidP="005B7CC5">
      <w:pPr>
        <w:spacing w:line="240" w:lineRule="auto"/>
        <w:jc w:val="both"/>
        <w:rPr>
          <w:rFonts w:ascii="Times New Roman" w:hAnsi="Times New Roman" w:cs="Times New Roman"/>
          <w:color w:val="FF0000"/>
          <w:sz w:val="24"/>
          <w:szCs w:val="24"/>
          <w:shd w:val="clear" w:color="auto" w:fill="FFFFFF"/>
        </w:rPr>
      </w:pPr>
      <w:r w:rsidRPr="006B2423">
        <w:rPr>
          <w:rFonts w:ascii="Times New Roman" w:hAnsi="Times New Roman" w:cs="Times New Roman"/>
          <w:color w:val="FF0000"/>
          <w:sz w:val="24"/>
          <w:szCs w:val="24"/>
          <w:shd w:val="clear" w:color="auto" w:fill="FFFFFF"/>
        </w:rPr>
        <w:t xml:space="preserve">La escasez de suelo urbanizable, a menudo resultado de una clasificación inadecuada, impulsa los precios de la vivienda, tanto en compra como en alquiler, dificultando el acceso, especialmente para jóvenes y familias con menores ingresos. </w:t>
      </w:r>
    </w:p>
    <w:p w:rsidR="005B7CC5" w:rsidRPr="006B2423" w:rsidRDefault="005B7CC5" w:rsidP="005B7CC5">
      <w:pPr>
        <w:spacing w:line="240" w:lineRule="auto"/>
        <w:jc w:val="both"/>
        <w:rPr>
          <w:rFonts w:ascii="Times New Roman" w:hAnsi="Times New Roman" w:cs="Times New Roman"/>
          <w:color w:val="FF0000"/>
          <w:sz w:val="24"/>
          <w:szCs w:val="24"/>
          <w:shd w:val="clear" w:color="auto" w:fill="FFFFFF"/>
        </w:rPr>
      </w:pPr>
      <w:r w:rsidRPr="006B2423">
        <w:rPr>
          <w:rFonts w:ascii="Times New Roman" w:hAnsi="Times New Roman" w:cs="Times New Roman"/>
          <w:color w:val="FF0000"/>
          <w:sz w:val="24"/>
          <w:szCs w:val="24"/>
          <w:shd w:val="clear" w:color="auto" w:fill="FFFFFF"/>
        </w:rPr>
        <w:t xml:space="preserve">El aumento de los precios y la falta de oferta adecuada obligan a las personas a destinar una mayor proporción de sus ingresos al pago de la vivienda, limitando su capacidad de ahorro y movilidad geográfica, según Urbanitae Blog. </w:t>
      </w:r>
    </w:p>
    <w:p w:rsidR="005B7CC5" w:rsidRPr="006B2423" w:rsidRDefault="005B7CC5" w:rsidP="005B7CC5">
      <w:pPr>
        <w:spacing w:line="240" w:lineRule="auto"/>
        <w:jc w:val="both"/>
        <w:rPr>
          <w:rFonts w:ascii="Times New Roman" w:hAnsi="Times New Roman" w:cs="Times New Roman"/>
          <w:color w:val="FF0000"/>
          <w:sz w:val="24"/>
          <w:szCs w:val="24"/>
          <w:shd w:val="clear" w:color="auto" w:fill="FFFFFF"/>
        </w:rPr>
      </w:pPr>
      <w:r w:rsidRPr="006B2423">
        <w:rPr>
          <w:rFonts w:ascii="Times New Roman" w:hAnsi="Times New Roman" w:cs="Times New Roman"/>
          <w:color w:val="FF0000"/>
          <w:sz w:val="24"/>
          <w:szCs w:val="24"/>
          <w:shd w:val="clear" w:color="auto" w:fill="FFFFFF"/>
        </w:rPr>
        <w:t xml:space="preserve">La falta de certidumbre en los plazos y costos de desarrollo, influenciada por la clasificación del suelo y los cambios normativos, puede desalentar la inversión privada en proyectos inmobiliarios, limitando aún más la oferta de vivienda, según Observatorio Inmobiliario. </w:t>
      </w:r>
    </w:p>
    <w:p w:rsidR="005B7CC5" w:rsidRPr="006B2423" w:rsidRDefault="005B7CC5" w:rsidP="005B7CC5">
      <w:pPr>
        <w:spacing w:line="240" w:lineRule="auto"/>
        <w:jc w:val="both"/>
        <w:rPr>
          <w:rFonts w:ascii="Times New Roman" w:hAnsi="Times New Roman" w:cs="Times New Roman"/>
          <w:color w:val="FF0000"/>
          <w:sz w:val="24"/>
          <w:szCs w:val="24"/>
          <w:shd w:val="clear" w:color="auto" w:fill="FFFFFF"/>
        </w:rPr>
      </w:pPr>
      <w:r w:rsidRPr="006B2423">
        <w:rPr>
          <w:rFonts w:ascii="Times New Roman" w:hAnsi="Times New Roman" w:cs="Times New Roman"/>
          <w:color w:val="FF0000"/>
          <w:sz w:val="24"/>
          <w:szCs w:val="24"/>
          <w:shd w:val="clear" w:color="auto" w:fill="FFFFFF"/>
        </w:rPr>
        <w:t xml:space="preserve">La clasificación errónea del suelo puede obligar a modificar proyectos urbanísticos ya aprobados para adaptarse a nuevas normativas o exigencias legales, lo que genera retrasos y aumenta los costos, según Observatorio Inmobiliario. </w:t>
      </w:r>
    </w:p>
    <w:p w:rsidR="005B7CC5" w:rsidRPr="006B2423" w:rsidRDefault="005B7CC5" w:rsidP="005B7CC5">
      <w:pPr>
        <w:spacing w:line="240" w:lineRule="auto"/>
        <w:jc w:val="both"/>
        <w:rPr>
          <w:rFonts w:ascii="Times New Roman" w:hAnsi="Times New Roman" w:cs="Times New Roman"/>
          <w:color w:val="FF0000"/>
          <w:sz w:val="24"/>
          <w:szCs w:val="24"/>
          <w:shd w:val="clear" w:color="auto" w:fill="FFFFFF"/>
        </w:rPr>
      </w:pPr>
      <w:r w:rsidRPr="006B2423">
        <w:rPr>
          <w:rFonts w:ascii="Times New Roman" w:hAnsi="Times New Roman" w:cs="Times New Roman"/>
          <w:color w:val="FF0000"/>
          <w:sz w:val="24"/>
          <w:szCs w:val="24"/>
          <w:shd w:val="clear" w:color="auto" w:fill="FFFFFF"/>
        </w:rPr>
        <w:t xml:space="preserve">La falta de suelo urbanizable en zonas de alta demanda puede desplazar la oferta de vivienda hacia periferias o ciudades secundarias, creando desequilibrios territoriales y sociales, según habitaro.com. </w:t>
      </w:r>
    </w:p>
    <w:p w:rsidR="005B7CC5" w:rsidRPr="006B2423" w:rsidRDefault="005B7CC5" w:rsidP="005B7CC5">
      <w:pPr>
        <w:spacing w:line="240" w:lineRule="auto"/>
        <w:jc w:val="both"/>
        <w:rPr>
          <w:rFonts w:ascii="Times New Roman" w:hAnsi="Times New Roman" w:cs="Times New Roman"/>
          <w:color w:val="FF0000"/>
          <w:sz w:val="24"/>
          <w:szCs w:val="24"/>
          <w:shd w:val="clear" w:color="auto" w:fill="FFFFFF"/>
        </w:rPr>
      </w:pPr>
      <w:r w:rsidRPr="006B2423">
        <w:rPr>
          <w:rFonts w:ascii="Times New Roman" w:hAnsi="Times New Roman" w:cs="Times New Roman"/>
          <w:color w:val="FF0000"/>
          <w:sz w:val="24"/>
          <w:szCs w:val="24"/>
          <w:shd w:val="clear" w:color="auto" w:fill="FFFFFF"/>
        </w:rPr>
        <w:t>La clasificación incorrecta de terrenos como urbanos, cuando en realidad son rústicos, puede llevar a un aumento del Impuesto sobre Bienes Inmuebles (IBI) debido a un valor catastral más alto.</w:t>
      </w:r>
    </w:p>
    <w:p w:rsidR="005B7CC5" w:rsidRPr="006B2423" w:rsidRDefault="005B7CC5" w:rsidP="005B7CC5">
      <w:pPr>
        <w:spacing w:line="240" w:lineRule="auto"/>
        <w:jc w:val="both"/>
        <w:rPr>
          <w:rFonts w:ascii="Times New Roman" w:hAnsi="Times New Roman" w:cs="Times New Roman"/>
          <w:color w:val="FF0000"/>
          <w:sz w:val="24"/>
          <w:szCs w:val="24"/>
          <w:shd w:val="clear" w:color="auto" w:fill="FFFFFF"/>
        </w:rPr>
      </w:pPr>
      <w:r w:rsidRPr="006B2423">
        <w:rPr>
          <w:rFonts w:ascii="Times New Roman" w:hAnsi="Times New Roman" w:cs="Times New Roman"/>
          <w:b/>
          <w:color w:val="FF0000"/>
          <w:sz w:val="24"/>
          <w:szCs w:val="24"/>
          <w:shd w:val="clear" w:color="auto" w:fill="FFFFFF"/>
        </w:rPr>
        <w:t>Nota II</w:t>
      </w:r>
      <w:r w:rsidRPr="006B2423">
        <w:rPr>
          <w:rFonts w:ascii="Times New Roman" w:hAnsi="Times New Roman" w:cs="Times New Roman"/>
          <w:color w:val="FF0000"/>
          <w:sz w:val="24"/>
          <w:szCs w:val="24"/>
          <w:shd w:val="clear" w:color="auto" w:fill="FFFFFF"/>
        </w:rPr>
        <w:t>: Medidas para mitigar el impacto: Revisión de los planeamientos urbanísticos; Agilización de trámites administrativos; Fomento de la colaboración público-privada.</w:t>
      </w:r>
    </w:p>
    <w:p w:rsidR="005B7CC5" w:rsidRDefault="005B7CC5" w:rsidP="005B7CC5">
      <w:pPr>
        <w:spacing w:line="240" w:lineRule="auto"/>
        <w:jc w:val="both"/>
        <w:rPr>
          <w:rFonts w:ascii="Times New Roman" w:hAnsi="Times New Roman" w:cs="Times New Roman"/>
          <w:color w:val="FF0000"/>
          <w:sz w:val="24"/>
          <w:szCs w:val="24"/>
          <w:shd w:val="clear" w:color="auto" w:fill="FFFFFF"/>
        </w:rPr>
      </w:pPr>
      <w:r w:rsidRPr="003442E2">
        <w:rPr>
          <w:rFonts w:ascii="Times New Roman" w:hAnsi="Times New Roman" w:cs="Times New Roman"/>
          <w:b/>
          <w:color w:val="FF0000"/>
          <w:sz w:val="24"/>
          <w:szCs w:val="24"/>
          <w:shd w:val="clear" w:color="auto" w:fill="FFFFFF"/>
        </w:rPr>
        <w:t>Nota III</w:t>
      </w:r>
      <w:r w:rsidRPr="003442E2">
        <w:rPr>
          <w:rFonts w:ascii="Times New Roman" w:hAnsi="Times New Roman" w:cs="Times New Roman"/>
          <w:color w:val="FF0000"/>
          <w:sz w:val="24"/>
          <w:szCs w:val="24"/>
          <w:shd w:val="clear" w:color="auto" w:fill="FFFFFF"/>
        </w:rPr>
        <w:t xml:space="preserve">: Aunque pueda parecer radical, drástico, y hasta políticamente incorrecto (revolucionario), mi propuesta es quitar a los Ayuntamientos la capacidad de calificar suelo. Todos aquellos espacios geográficos que a nivel nacional no se consideren protegidos, quedarán liberados para que el sector privado pueda implementar sus desarrollos urbanísticos, a su cuenta y riesgo. Fin del “chollo” de los ayuntamientos: la posibilidad de que, a través de cambios en la clasificación o calificación del suelo, se pueda obtener un beneficio económico significativo, especialmente en el ámbito inmobiliario. </w:t>
      </w:r>
      <w:r>
        <w:rPr>
          <w:rFonts w:ascii="Times New Roman" w:hAnsi="Times New Roman" w:cs="Times New Roman"/>
          <w:color w:val="FF0000"/>
          <w:sz w:val="24"/>
          <w:szCs w:val="24"/>
          <w:shd w:val="clear" w:color="auto" w:fill="FFFFFF"/>
        </w:rPr>
        <w:t>Fin del “gran tapón” inmobiliario.</w:t>
      </w:r>
    </w:p>
    <w:p w:rsidR="009131D1" w:rsidRDefault="009131D1" w:rsidP="005B7CC5">
      <w:pPr>
        <w:spacing w:line="240" w:lineRule="auto"/>
        <w:jc w:val="both"/>
        <w:rPr>
          <w:rFonts w:ascii="Times New Roman" w:hAnsi="Times New Roman" w:cs="Times New Roman"/>
          <w:color w:val="FF0000"/>
          <w:sz w:val="24"/>
          <w:szCs w:val="24"/>
          <w:shd w:val="clear" w:color="auto" w:fill="FFFFFF"/>
        </w:rPr>
      </w:pPr>
      <w:r w:rsidRPr="009131D1">
        <w:rPr>
          <w:rFonts w:ascii="Times New Roman" w:hAnsi="Times New Roman" w:cs="Times New Roman"/>
          <w:b/>
          <w:color w:val="FF0000"/>
          <w:sz w:val="24"/>
          <w:szCs w:val="24"/>
          <w:shd w:val="clear" w:color="auto" w:fill="FFFFFF"/>
        </w:rPr>
        <w:t>Nota IV</w:t>
      </w:r>
      <w:r>
        <w:rPr>
          <w:rFonts w:ascii="Times New Roman" w:hAnsi="Times New Roman" w:cs="Times New Roman"/>
          <w:color w:val="FF0000"/>
          <w:sz w:val="24"/>
          <w:szCs w:val="24"/>
          <w:shd w:val="clear" w:color="auto" w:fill="FFFFFF"/>
        </w:rPr>
        <w:t xml:space="preserve">: “A confesión de partes, relevo de prueba”. </w:t>
      </w:r>
      <w:r w:rsidRPr="009131D1">
        <w:rPr>
          <w:rFonts w:ascii="Times New Roman" w:hAnsi="Times New Roman" w:cs="Times New Roman"/>
          <w:color w:val="FF0000"/>
          <w:sz w:val="24"/>
          <w:szCs w:val="24"/>
          <w:shd w:val="clear" w:color="auto" w:fill="FFFFFF"/>
        </w:rPr>
        <w:t>Madrid tendrá un nuevo Plan de Choque para la Vivienda 2026/2027. La presidenta regional, Isabel Díaz Ayuso, ha presentado este jueves durante su intervención en la primera jornada del Debate sobre el Estado de la Región un total de quince medidas destinadas a facilitar la compra de la primera vivienda, incrementar el número de pisos de alquiler asequible y reducir los plazos para la construcción de nuevo</w:t>
      </w:r>
      <w:r>
        <w:rPr>
          <w:rFonts w:ascii="Times New Roman" w:hAnsi="Times New Roman" w:cs="Times New Roman"/>
          <w:color w:val="FF0000"/>
          <w:sz w:val="24"/>
          <w:szCs w:val="24"/>
          <w:shd w:val="clear" w:color="auto" w:fill="FFFFFF"/>
        </w:rPr>
        <w:t xml:space="preserve">s inmuebles en suelo disponible (El Economista - </w:t>
      </w:r>
      <w:r w:rsidRPr="00C84C09">
        <w:rPr>
          <w:rFonts w:ascii="Times New Roman" w:hAnsi="Times New Roman" w:cs="Times New Roman"/>
          <w:b/>
          <w:color w:val="FF0000"/>
          <w:sz w:val="24"/>
          <w:szCs w:val="24"/>
          <w:shd w:val="clear" w:color="auto" w:fill="FFFFFF"/>
        </w:rPr>
        <w:t>11/9/25</w:t>
      </w:r>
      <w:r>
        <w:rPr>
          <w:rFonts w:ascii="Times New Roman" w:hAnsi="Times New Roman" w:cs="Times New Roman"/>
          <w:color w:val="FF0000"/>
          <w:sz w:val="24"/>
          <w:szCs w:val="24"/>
          <w:shd w:val="clear" w:color="auto" w:fill="FFFFFF"/>
        </w:rPr>
        <w:t>).</w:t>
      </w:r>
    </w:p>
    <w:p w:rsidR="009131D1" w:rsidRPr="009131D1" w:rsidRDefault="009131D1" w:rsidP="009131D1">
      <w:pPr>
        <w:spacing w:line="240" w:lineRule="auto"/>
        <w:jc w:val="both"/>
        <w:rPr>
          <w:rFonts w:ascii="Times New Roman" w:hAnsi="Times New Roman" w:cs="Times New Roman"/>
          <w:color w:val="FF0000"/>
          <w:sz w:val="24"/>
          <w:szCs w:val="24"/>
          <w:shd w:val="clear" w:color="auto" w:fill="FFFFFF"/>
        </w:rPr>
      </w:pPr>
      <w:r w:rsidRPr="009131D1">
        <w:rPr>
          <w:rFonts w:ascii="Times New Roman" w:hAnsi="Times New Roman" w:cs="Times New Roman"/>
          <w:color w:val="FF0000"/>
          <w:sz w:val="24"/>
          <w:szCs w:val="24"/>
          <w:shd w:val="clear" w:color="auto" w:fill="FFFFFF"/>
        </w:rPr>
        <w:t xml:space="preserve">Madrid ha informado de que desarrollará un Plan Territorial de vivienda para identificar el suelo adecuado donde ubicar nuevos desarrollos urbanísticos, teniendo en cuenta el dato de que en la capital se crean </w:t>
      </w:r>
      <w:r>
        <w:rPr>
          <w:rFonts w:ascii="Times New Roman" w:hAnsi="Times New Roman" w:cs="Times New Roman"/>
          <w:color w:val="FF0000"/>
          <w:sz w:val="24"/>
          <w:szCs w:val="24"/>
          <w:shd w:val="clear" w:color="auto" w:fill="FFFFFF"/>
        </w:rPr>
        <w:t>30.000 nuevos hogares al año y “</w:t>
      </w:r>
      <w:r w:rsidRPr="009131D1">
        <w:rPr>
          <w:rFonts w:ascii="Times New Roman" w:hAnsi="Times New Roman" w:cs="Times New Roman"/>
          <w:color w:val="FF0000"/>
          <w:sz w:val="24"/>
          <w:szCs w:val="24"/>
          <w:shd w:val="clear" w:color="auto" w:fill="FFFFFF"/>
        </w:rPr>
        <w:t>el suelo disp</w:t>
      </w:r>
      <w:r>
        <w:rPr>
          <w:rFonts w:ascii="Times New Roman" w:hAnsi="Times New Roman" w:cs="Times New Roman"/>
          <w:color w:val="FF0000"/>
          <w:sz w:val="24"/>
          <w:szCs w:val="24"/>
          <w:shd w:val="clear" w:color="auto" w:fill="FFFFFF"/>
        </w:rPr>
        <w:t>onible se agotará en una década”</w:t>
      </w:r>
      <w:r w:rsidRPr="009131D1">
        <w:rPr>
          <w:rFonts w:ascii="Times New Roman" w:hAnsi="Times New Roman" w:cs="Times New Roman"/>
          <w:color w:val="FF0000"/>
          <w:sz w:val="24"/>
          <w:szCs w:val="24"/>
          <w:shd w:val="clear" w:color="auto" w:fill="FFFFFF"/>
        </w:rPr>
        <w:t>.</w:t>
      </w:r>
      <w:r>
        <w:rPr>
          <w:rFonts w:ascii="Times New Roman" w:hAnsi="Times New Roman" w:cs="Times New Roman"/>
          <w:color w:val="FF0000"/>
          <w:sz w:val="24"/>
          <w:szCs w:val="24"/>
          <w:shd w:val="clear" w:color="auto" w:fill="FFFFFF"/>
        </w:rPr>
        <w:t xml:space="preserve"> </w:t>
      </w:r>
      <w:r w:rsidRPr="009131D1">
        <w:rPr>
          <w:rFonts w:ascii="Times New Roman" w:hAnsi="Times New Roman" w:cs="Times New Roman"/>
          <w:color w:val="FF0000"/>
          <w:sz w:val="24"/>
          <w:szCs w:val="24"/>
          <w:shd w:val="clear" w:color="auto" w:fill="FFFFFF"/>
        </w:rPr>
        <w:t xml:space="preserve">La Comunidad de Madrid recuerda que solo 21 de los 179 ayuntamientos tienen </w:t>
      </w:r>
      <w:r w:rsidRPr="009131D1">
        <w:rPr>
          <w:rFonts w:ascii="Times New Roman" w:hAnsi="Times New Roman" w:cs="Times New Roman"/>
          <w:color w:val="FF0000"/>
          <w:sz w:val="24"/>
          <w:szCs w:val="24"/>
          <w:shd w:val="clear" w:color="auto" w:fill="FFFFFF"/>
        </w:rPr>
        <w:lastRenderedPageBreak/>
        <w:t>actualizadas sus actuac</w:t>
      </w:r>
      <w:r>
        <w:rPr>
          <w:rFonts w:ascii="Times New Roman" w:hAnsi="Times New Roman" w:cs="Times New Roman"/>
          <w:color w:val="FF0000"/>
          <w:sz w:val="24"/>
          <w:szCs w:val="24"/>
          <w:shd w:val="clear" w:color="auto" w:fill="FFFFFF"/>
        </w:rPr>
        <w:t>iones urbanísticas debido a la “complejidad”</w:t>
      </w:r>
      <w:r w:rsidRPr="009131D1">
        <w:rPr>
          <w:rFonts w:ascii="Times New Roman" w:hAnsi="Times New Roman" w:cs="Times New Roman"/>
          <w:color w:val="FF0000"/>
          <w:sz w:val="24"/>
          <w:szCs w:val="24"/>
          <w:shd w:val="clear" w:color="auto" w:fill="FFFFFF"/>
        </w:rPr>
        <w:t xml:space="preserve"> de elaborar y aprobar un Plan General de Ordenación Urbana bajo la normativa vigente, que s</w:t>
      </w:r>
      <w:r>
        <w:rPr>
          <w:rFonts w:ascii="Times New Roman" w:hAnsi="Times New Roman" w:cs="Times New Roman"/>
          <w:color w:val="FF0000"/>
          <w:sz w:val="24"/>
          <w:szCs w:val="24"/>
          <w:shd w:val="clear" w:color="auto" w:fill="FFFFFF"/>
        </w:rPr>
        <w:t xml:space="preserve">uele tardar entre 10 y 12 años. </w:t>
      </w:r>
      <w:r w:rsidRPr="009131D1">
        <w:rPr>
          <w:rFonts w:ascii="Times New Roman" w:hAnsi="Times New Roman" w:cs="Times New Roman"/>
          <w:color w:val="FF0000"/>
          <w:sz w:val="24"/>
          <w:szCs w:val="24"/>
          <w:shd w:val="clear" w:color="auto" w:fill="FFFFFF"/>
        </w:rPr>
        <w:t>La nueva Ley del Suelo propone implementar un modelo basado en Planes Estratégicos Municipales que reemplazarán a los actuales y podrán aprobarse en un plazo de 4 a 6 años, reduciéndolo así a más de la mitad de tiempo. Asimismo, el de desarrollo pasará de 7 a 4 años, o incluso a solo un año cuando la regulación se pueda hacer mediante Ordenanza Municipal.</w:t>
      </w:r>
    </w:p>
    <w:p w:rsidR="00950F8F" w:rsidRPr="004A6216" w:rsidRDefault="009131D1" w:rsidP="00950F8F">
      <w:pPr>
        <w:spacing w:line="240" w:lineRule="auto"/>
        <w:jc w:val="both"/>
        <w:rPr>
          <w:rFonts w:ascii="Times New Roman" w:hAnsi="Times New Roman" w:cs="Times New Roman"/>
          <w:color w:val="FF0000"/>
          <w:sz w:val="24"/>
          <w:szCs w:val="24"/>
          <w:shd w:val="clear" w:color="auto" w:fill="FFFFFF"/>
        </w:rPr>
      </w:pPr>
      <w:r w:rsidRPr="003442E2">
        <w:rPr>
          <w:rFonts w:ascii="Times New Roman" w:hAnsi="Times New Roman" w:cs="Times New Roman"/>
          <w:color w:val="FF0000"/>
          <w:sz w:val="24"/>
          <w:szCs w:val="24"/>
          <w:shd w:val="clear" w:color="auto" w:fill="FFFFFF"/>
        </w:rPr>
        <w:t xml:space="preserve"> </w:t>
      </w:r>
      <w:r w:rsidR="00950F8F" w:rsidRPr="004A6216">
        <w:rPr>
          <w:rFonts w:ascii="Times New Roman" w:hAnsi="Times New Roman" w:cs="Times New Roman"/>
          <w:color w:val="FF0000"/>
          <w:sz w:val="24"/>
          <w:szCs w:val="24"/>
          <w:shd w:val="clear" w:color="auto" w:fill="FFFFFF"/>
        </w:rPr>
        <w:t>- Implantar el Presupuesto Base Cero en toda la Administración Pública</w:t>
      </w:r>
    </w:p>
    <w:p w:rsidR="00950F8F" w:rsidRDefault="00950F8F" w:rsidP="00950F8F">
      <w:pPr>
        <w:pStyle w:val="Ttulo1"/>
        <w:shd w:val="clear" w:color="auto" w:fill="FFFFFF"/>
        <w:spacing w:before="0"/>
        <w:jc w:val="both"/>
        <w:rPr>
          <w:rFonts w:ascii="Times New Roman" w:hAnsi="Times New Roman" w:cs="Times New Roman"/>
          <w:color w:val="000000"/>
          <w:sz w:val="24"/>
          <w:szCs w:val="24"/>
        </w:rPr>
      </w:pPr>
      <w:r w:rsidRPr="00950F8F">
        <w:rPr>
          <w:rFonts w:ascii="Times New Roman" w:hAnsi="Times New Roman" w:cs="Times New Roman"/>
          <w:color w:val="000000"/>
          <w:sz w:val="24"/>
          <w:szCs w:val="24"/>
        </w:rPr>
        <w:t>Distribución funcional del gasto público</w:t>
      </w:r>
    </w:p>
    <w:p w:rsidR="00950F8F" w:rsidRPr="004A6216" w:rsidRDefault="00950F8F" w:rsidP="00950F8F">
      <w:pPr>
        <w:pStyle w:val="NormalWeb"/>
        <w:shd w:val="clear" w:color="auto" w:fill="FFFFFF"/>
        <w:spacing w:before="0" w:beforeAutospacing="0"/>
        <w:jc w:val="both"/>
        <w:rPr>
          <w:color w:val="000000"/>
        </w:rPr>
      </w:pPr>
      <w:r w:rsidRPr="00F35BBC">
        <w:rPr>
          <w:color w:val="000000"/>
        </w:rPr>
        <w:t>En la siguiente tabla puede verse la distribución funcional del gasto público en términos de Contabilidad Nacional, es decir, ¿en qué se gastan las Administraciones Públicas un euro? Para confeccionar la tabla, se han tomado los datos consolidados de todas las Administraciones Públicas (Estado Central, Organismos de la Administración Central, Comunidades Autónomas, Corporaciones Locales y Administraciones de la Seguridad Social). Estos datos consolidados se publican por la Intervención General de la Administración del Estado (Ministerio de Hacienda). Los datos se refieren a 2022, último año publicado a fecha de cierre de la guía didáctica.</w:t>
      </w:r>
    </w:p>
    <w:tbl>
      <w:tblPr>
        <w:tblW w:w="9495" w:type="dxa"/>
        <w:shd w:val="clear" w:color="auto" w:fill="FFFFFF"/>
        <w:tblCellMar>
          <w:top w:w="15" w:type="dxa"/>
          <w:left w:w="15" w:type="dxa"/>
          <w:bottom w:w="15" w:type="dxa"/>
          <w:right w:w="15" w:type="dxa"/>
        </w:tblCellMar>
        <w:tblLook w:val="04A0" w:firstRow="1" w:lastRow="0" w:firstColumn="1" w:lastColumn="0" w:noHBand="0" w:noVBand="1"/>
      </w:tblPr>
      <w:tblGrid>
        <w:gridCol w:w="8196"/>
        <w:gridCol w:w="1299"/>
      </w:tblGrid>
      <w:tr w:rsidR="00950F8F" w:rsidTr="001C71BB">
        <w:tc>
          <w:tcPr>
            <w:tcW w:w="0" w:type="auto"/>
            <w:tcBorders>
              <w:top w:val="single" w:sz="6" w:space="0" w:color="DEE2E6"/>
              <w:left w:val="single" w:sz="6" w:space="0" w:color="DEE2E6"/>
              <w:bottom w:val="single" w:sz="6" w:space="0" w:color="DEE2E6"/>
              <w:right w:val="single" w:sz="6" w:space="0" w:color="DEE2E6"/>
            </w:tcBorders>
            <w:shd w:val="clear" w:color="auto" w:fill="005EB5"/>
            <w:hideMark/>
          </w:tcPr>
          <w:p w:rsidR="00950F8F" w:rsidRDefault="00950F8F" w:rsidP="001C71BB">
            <w:pPr>
              <w:jc w:val="center"/>
              <w:rPr>
                <w:rFonts w:ascii="Arial" w:hAnsi="Arial" w:cs="Arial"/>
                <w:b/>
                <w:bCs/>
                <w:color w:val="FFFFFF"/>
                <w:sz w:val="24"/>
                <w:szCs w:val="24"/>
              </w:rPr>
            </w:pPr>
            <w:r>
              <w:rPr>
                <w:rStyle w:val="Textoennegrita"/>
                <w:rFonts w:ascii="Arial" w:hAnsi="Arial" w:cs="Arial"/>
                <w:color w:val="FFFFFF"/>
              </w:rPr>
              <w:t>DESTINO</w:t>
            </w:r>
          </w:p>
        </w:tc>
        <w:tc>
          <w:tcPr>
            <w:tcW w:w="0" w:type="auto"/>
            <w:tcBorders>
              <w:top w:val="single" w:sz="6" w:space="0" w:color="DEE2E6"/>
              <w:left w:val="single" w:sz="6" w:space="0" w:color="DEE2E6"/>
              <w:bottom w:val="single" w:sz="6" w:space="0" w:color="DEE2E6"/>
              <w:right w:val="single" w:sz="6" w:space="0" w:color="DEE2E6"/>
            </w:tcBorders>
            <w:shd w:val="clear" w:color="auto" w:fill="005EB5"/>
            <w:hideMark/>
          </w:tcPr>
          <w:p w:rsidR="00950F8F" w:rsidRDefault="00950F8F" w:rsidP="001C71BB">
            <w:pPr>
              <w:jc w:val="center"/>
              <w:rPr>
                <w:rFonts w:ascii="Arial" w:hAnsi="Arial" w:cs="Arial"/>
                <w:b/>
                <w:bCs/>
                <w:color w:val="FFFFFF"/>
                <w:sz w:val="24"/>
                <w:szCs w:val="24"/>
              </w:rPr>
            </w:pPr>
            <w:r>
              <w:rPr>
                <w:rStyle w:val="Textoennegrita"/>
                <w:rFonts w:ascii="Arial" w:hAnsi="Arial" w:cs="Arial"/>
                <w:color w:val="FFFFFF"/>
              </w:rPr>
              <w:t>GASTO</w:t>
            </w:r>
          </w:p>
        </w:tc>
      </w:tr>
      <w:tr w:rsidR="00950F8F" w:rsidTr="001C71BB">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SERVICIOS PÚBLICOS GENERALES</w:t>
            </w:r>
          </w:p>
        </w:tc>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12,28 céntimos</w:t>
            </w:r>
          </w:p>
        </w:tc>
      </w:tr>
      <w:tr w:rsidR="00950F8F" w:rsidTr="001C71BB">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DEFENSA</w:t>
            </w:r>
          </w:p>
        </w:tc>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2,40 céntimos</w:t>
            </w:r>
          </w:p>
        </w:tc>
      </w:tr>
      <w:tr w:rsidR="00950F8F" w:rsidTr="001C71BB">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ORDEN PÚBLICO Y SEGURIDAD (Servicios de Policía, Servicios de Protección contra Incendios, Tribunales de Justicia, Prisiones, etc.)</w:t>
            </w:r>
          </w:p>
        </w:tc>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4,8 céntimos</w:t>
            </w:r>
          </w:p>
        </w:tc>
      </w:tr>
      <w:tr w:rsidR="00950F8F" w:rsidTr="001C71BB">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ASUNTOS ECONÓMICOS (Agricultura, Pesca, Combustible y Energía, Minería, Manufacturas y Construcción, Transporte, Comunicaciones, etc.)</w:t>
            </w:r>
          </w:p>
        </w:tc>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12,02 céntimos</w:t>
            </w:r>
          </w:p>
        </w:tc>
      </w:tr>
      <w:tr w:rsidR="00950F8F" w:rsidTr="001C71BB">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PROTECCIÓN DEL MEDIO AMBIENTE</w:t>
            </w:r>
          </w:p>
        </w:tc>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2,16 céntimos</w:t>
            </w:r>
          </w:p>
        </w:tc>
      </w:tr>
      <w:tr w:rsidR="00950F8F" w:rsidTr="001C71BB">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VIVIENDA Y SERVICIOS COMUNITARIOS (Vivienda, Abastecimiento de Agua, Alumbrado Público, etc.)</w:t>
            </w:r>
          </w:p>
        </w:tc>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1,02 céntimos</w:t>
            </w:r>
          </w:p>
        </w:tc>
      </w:tr>
      <w:tr w:rsidR="00950F8F" w:rsidTr="001C71BB">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SALUD</w:t>
            </w:r>
          </w:p>
        </w:tc>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14,60 céntimos</w:t>
            </w:r>
          </w:p>
        </w:tc>
      </w:tr>
      <w:tr w:rsidR="00950F8F" w:rsidTr="001C71BB">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OCIO, CULTURA Y RELIGIÓN</w:t>
            </w:r>
          </w:p>
        </w:tc>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2,60 céntimos</w:t>
            </w:r>
          </w:p>
        </w:tc>
      </w:tr>
      <w:tr w:rsidR="00950F8F" w:rsidTr="001C71BB">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EDUCACIÓN</w:t>
            </w:r>
          </w:p>
        </w:tc>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9,19 céntimos</w:t>
            </w:r>
          </w:p>
        </w:tc>
      </w:tr>
      <w:tr w:rsidR="00950F8F" w:rsidTr="001C71BB">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PROTECCIÓN SOCIAL (Enfermedad e Incapacidad, Edad avanzada, Familia e hijos, Desempleo, etc.)</w:t>
            </w:r>
          </w:p>
        </w:tc>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Fonts w:ascii="Arial" w:hAnsi="Arial" w:cs="Arial"/>
                <w:color w:val="000000"/>
              </w:rPr>
              <w:t>39,65 céntimos</w:t>
            </w:r>
          </w:p>
        </w:tc>
      </w:tr>
      <w:tr w:rsidR="00950F8F" w:rsidTr="001C71BB">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Style w:val="nfasis"/>
                <w:rFonts w:ascii="Arial" w:hAnsi="Arial" w:cs="Arial"/>
                <w:b/>
                <w:bCs/>
                <w:color w:val="000000"/>
              </w:rPr>
              <w:t>TOTAL</w:t>
            </w:r>
          </w:p>
        </w:tc>
        <w:tc>
          <w:tcPr>
            <w:tcW w:w="0" w:type="auto"/>
            <w:tcBorders>
              <w:top w:val="single" w:sz="6" w:space="0" w:color="DEE2E6"/>
              <w:left w:val="single" w:sz="6" w:space="0" w:color="DEE2E6"/>
              <w:bottom w:val="single" w:sz="6" w:space="0" w:color="DEE2E6"/>
              <w:right w:val="single" w:sz="6" w:space="0" w:color="DEE2E6"/>
            </w:tcBorders>
            <w:shd w:val="clear" w:color="auto" w:fill="FFFFFF"/>
            <w:hideMark/>
          </w:tcPr>
          <w:p w:rsidR="00950F8F" w:rsidRDefault="00950F8F" w:rsidP="001C71BB">
            <w:pPr>
              <w:pStyle w:val="NormalWeb"/>
              <w:spacing w:before="0" w:beforeAutospacing="0"/>
              <w:rPr>
                <w:rFonts w:ascii="Arial" w:hAnsi="Arial" w:cs="Arial"/>
                <w:color w:val="000000"/>
              </w:rPr>
            </w:pPr>
            <w:r>
              <w:rPr>
                <w:rStyle w:val="nfasis"/>
                <w:rFonts w:ascii="Arial" w:hAnsi="Arial" w:cs="Arial"/>
                <w:b/>
                <w:bCs/>
                <w:color w:val="000000"/>
              </w:rPr>
              <w:t>1 EURO</w:t>
            </w:r>
          </w:p>
        </w:tc>
      </w:tr>
    </w:tbl>
    <w:p w:rsidR="00950F8F" w:rsidRDefault="00950F8F" w:rsidP="00950F8F">
      <w:pPr>
        <w:pStyle w:val="NormalWeb"/>
        <w:shd w:val="clear" w:color="auto" w:fill="FFFFFF"/>
        <w:spacing w:before="0" w:beforeAutospacing="0"/>
        <w:rPr>
          <w:rStyle w:val="nfasis"/>
          <w:rFonts w:ascii="Arial" w:hAnsi="Arial" w:cs="Arial"/>
          <w:color w:val="000000"/>
        </w:rPr>
      </w:pPr>
    </w:p>
    <w:p w:rsidR="00950F8F" w:rsidRDefault="00950F8F" w:rsidP="00950F8F">
      <w:pPr>
        <w:pStyle w:val="NormalWeb"/>
        <w:shd w:val="clear" w:color="auto" w:fill="FFFFFF"/>
        <w:spacing w:before="0" w:beforeAutospacing="0"/>
        <w:rPr>
          <w:rStyle w:val="nfasis"/>
          <w:rFonts w:ascii="Arial" w:hAnsi="Arial" w:cs="Arial"/>
          <w:color w:val="000000"/>
        </w:rPr>
      </w:pPr>
      <w:r>
        <w:rPr>
          <w:rStyle w:val="nfasis"/>
          <w:rFonts w:ascii="Arial" w:hAnsi="Arial" w:cs="Arial"/>
          <w:color w:val="000000"/>
        </w:rPr>
        <w:t>Fuente: Informe sobre la Clasificación Funcional del gasto público (COFOG). Período 2018-2022. Intervención General de la Administración del Estado.</w:t>
      </w:r>
    </w:p>
    <w:p w:rsidR="00950F8F" w:rsidRDefault="00950F8F" w:rsidP="00950F8F">
      <w:pPr>
        <w:pStyle w:val="NormalWeb"/>
        <w:shd w:val="clear" w:color="auto" w:fill="FFFFFF"/>
        <w:spacing w:before="0" w:beforeAutospacing="0"/>
        <w:rPr>
          <w:rFonts w:ascii="Arial" w:hAnsi="Arial" w:cs="Arial"/>
          <w:color w:val="000000"/>
        </w:rPr>
      </w:pPr>
    </w:p>
    <w:p w:rsidR="00950F8F" w:rsidRPr="00AC1D99" w:rsidRDefault="00950F8F" w:rsidP="00950F8F">
      <w:pPr>
        <w:spacing w:line="240" w:lineRule="auto"/>
        <w:jc w:val="both"/>
        <w:rPr>
          <w:rFonts w:ascii="Times New Roman" w:hAnsi="Times New Roman" w:cs="Times New Roman"/>
          <w:sz w:val="24"/>
          <w:szCs w:val="24"/>
        </w:rPr>
      </w:pPr>
      <w:r w:rsidRPr="00AC1D99">
        <w:rPr>
          <w:rFonts w:ascii="Times New Roman" w:hAnsi="Times New Roman" w:cs="Times New Roman"/>
          <w:sz w:val="24"/>
          <w:szCs w:val="24"/>
        </w:rPr>
        <w:lastRenderedPageBreak/>
        <w:t>¿Qué es el presupuesto en base cero?</w:t>
      </w:r>
    </w:p>
    <w:p w:rsidR="00950F8F" w:rsidRDefault="00950F8F" w:rsidP="00950F8F">
      <w:pPr>
        <w:spacing w:line="240" w:lineRule="auto"/>
        <w:jc w:val="both"/>
        <w:rPr>
          <w:rFonts w:ascii="Times New Roman" w:hAnsi="Times New Roman" w:cs="Times New Roman"/>
          <w:sz w:val="24"/>
          <w:szCs w:val="24"/>
        </w:rPr>
      </w:pPr>
      <w:r w:rsidRPr="00AC1D99">
        <w:rPr>
          <w:rFonts w:ascii="Times New Roman" w:hAnsi="Times New Roman" w:cs="Times New Roman"/>
          <w:sz w:val="24"/>
          <w:szCs w:val="24"/>
        </w:rPr>
        <w:t>La elaboración de presupuestos de base cero (ZBB</w:t>
      </w:r>
      <w:r>
        <w:rPr>
          <w:rFonts w:ascii="Times New Roman" w:hAnsi="Times New Roman" w:cs="Times New Roman"/>
          <w:sz w:val="24"/>
          <w:szCs w:val="24"/>
        </w:rPr>
        <w:t xml:space="preserve">: </w:t>
      </w:r>
      <w:r w:rsidRPr="00C35590">
        <w:rPr>
          <w:rFonts w:ascii="Times New Roman" w:hAnsi="Times New Roman" w:cs="Times New Roman"/>
          <w:sz w:val="24"/>
          <w:szCs w:val="24"/>
        </w:rPr>
        <w:t>Zero-Based Budgeting</w:t>
      </w:r>
      <w:r w:rsidRPr="00AC1D99">
        <w:rPr>
          <w:rFonts w:ascii="Times New Roman" w:hAnsi="Times New Roman" w:cs="Times New Roman"/>
          <w:sz w:val="24"/>
          <w:szCs w:val="24"/>
        </w:rPr>
        <w:t>) es una técnica de presupuestación en la que todos los gastos deben estar justificados para un nuevo periodo o año a partir de cero, frente al inicio del presupuesto anterior y su ajuste según sea necesario.</w:t>
      </w:r>
      <w:r>
        <w:rPr>
          <w:rFonts w:ascii="Times New Roman" w:hAnsi="Times New Roman" w:cs="Times New Roman"/>
          <w:sz w:val="24"/>
          <w:szCs w:val="24"/>
        </w:rPr>
        <w:t xml:space="preserve"> (Fuente: oracle.com)</w:t>
      </w:r>
    </w:p>
    <w:p w:rsidR="00950F8F" w:rsidRPr="00AC1D99" w:rsidRDefault="00950F8F" w:rsidP="00950F8F">
      <w:pPr>
        <w:spacing w:line="240" w:lineRule="auto"/>
        <w:jc w:val="both"/>
        <w:rPr>
          <w:rFonts w:ascii="Times New Roman" w:hAnsi="Times New Roman" w:cs="Times New Roman"/>
          <w:sz w:val="24"/>
          <w:szCs w:val="24"/>
        </w:rPr>
      </w:pPr>
      <w:r w:rsidRPr="00AC1D99">
        <w:rPr>
          <w:rFonts w:ascii="Times New Roman" w:hAnsi="Times New Roman" w:cs="Times New Roman"/>
          <w:sz w:val="24"/>
          <w:szCs w:val="24"/>
        </w:rPr>
        <w:t>ZBB es una herramienta de planeación empresarial muy eficaz para ayudar a una compañía a identificar y eliminar costos innecesarios, mantener el control de sus gastos y centrarse en in</w:t>
      </w:r>
      <w:r>
        <w:rPr>
          <w:rFonts w:ascii="Times New Roman" w:hAnsi="Times New Roman" w:cs="Times New Roman"/>
          <w:sz w:val="24"/>
          <w:szCs w:val="24"/>
        </w:rPr>
        <w:t>iciativas de alta rentabilidad.</w:t>
      </w:r>
    </w:p>
    <w:p w:rsidR="00950F8F" w:rsidRPr="00AC1D99" w:rsidRDefault="00950F8F" w:rsidP="00950F8F">
      <w:pPr>
        <w:spacing w:line="240" w:lineRule="auto"/>
        <w:jc w:val="both"/>
        <w:rPr>
          <w:rFonts w:ascii="Times New Roman" w:hAnsi="Times New Roman" w:cs="Times New Roman"/>
          <w:sz w:val="24"/>
          <w:szCs w:val="24"/>
        </w:rPr>
      </w:pPr>
      <w:r w:rsidRPr="00AC1D99">
        <w:rPr>
          <w:rFonts w:ascii="Times New Roman" w:hAnsi="Times New Roman" w:cs="Times New Roman"/>
          <w:sz w:val="24"/>
          <w:szCs w:val="24"/>
        </w:rPr>
        <w:t>La presupuestación, incluida la ZBB, es la implementación táctica del plan estratégico de una compañía. Para cumplir los objetivos financieros y operativos del plan estratégico, una organización debe traducir su plan a largo plazo en un conjunto detallado de ingresos y gastos previstos que se pueden medir para realizar un seguimiento del rendimiento. Estos se pueden refinar y ajustar en el camino para que la compañía siga el camino con sus objetivos para lograr los res</w:t>
      </w:r>
      <w:r>
        <w:rPr>
          <w:rFonts w:ascii="Times New Roman" w:hAnsi="Times New Roman" w:cs="Times New Roman"/>
          <w:sz w:val="24"/>
          <w:szCs w:val="24"/>
        </w:rPr>
        <w:t>ultados empresariales deseados.</w:t>
      </w:r>
    </w:p>
    <w:p w:rsidR="00950F8F" w:rsidRDefault="00950F8F" w:rsidP="00950F8F">
      <w:pPr>
        <w:spacing w:line="240" w:lineRule="auto"/>
        <w:jc w:val="both"/>
        <w:rPr>
          <w:rFonts w:ascii="Times New Roman" w:hAnsi="Times New Roman" w:cs="Times New Roman"/>
          <w:sz w:val="24"/>
          <w:szCs w:val="24"/>
        </w:rPr>
      </w:pPr>
      <w:r w:rsidRPr="00AC1D99">
        <w:rPr>
          <w:rFonts w:ascii="Times New Roman" w:hAnsi="Times New Roman" w:cs="Times New Roman"/>
          <w:sz w:val="24"/>
          <w:szCs w:val="24"/>
        </w:rPr>
        <w:t>Sobre todo, los presupuestos exigen la implicación y la rendición de cuentas para que las decisiones financieras se tomen de manera sensata. Ayudan a las empresas a proyectar beneficios, detectar posibles problemas e identificar nuevas oportunidades para que los líderes financieros puedan realizar los ajustes necesarios.</w:t>
      </w:r>
    </w:p>
    <w:p w:rsidR="00950F8F" w:rsidRDefault="00950F8F" w:rsidP="00950F8F">
      <w:pPr>
        <w:spacing w:line="240" w:lineRule="auto"/>
        <w:jc w:val="both"/>
        <w:rPr>
          <w:rFonts w:ascii="Times New Roman" w:hAnsi="Times New Roman" w:cs="Times New Roman"/>
          <w:sz w:val="24"/>
          <w:szCs w:val="24"/>
        </w:rPr>
      </w:pPr>
      <w:r w:rsidRPr="00C35590">
        <w:rPr>
          <w:rFonts w:ascii="Times New Roman" w:hAnsi="Times New Roman" w:cs="Times New Roman"/>
          <w:noProof/>
          <w:sz w:val="24"/>
          <w:szCs w:val="24"/>
          <w:lang w:eastAsia="es-ES"/>
        </w:rPr>
        <w:drawing>
          <wp:inline distT="0" distB="0" distL="0" distR="0" wp14:anchorId="027611F5" wp14:editId="069B9469">
            <wp:extent cx="5727700" cy="2825750"/>
            <wp:effectExtent l="0" t="0" r="635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2827630"/>
                    </a:xfrm>
                    <a:prstGeom prst="rect">
                      <a:avLst/>
                    </a:prstGeom>
                  </pic:spPr>
                </pic:pic>
              </a:graphicData>
            </a:graphic>
          </wp:inline>
        </w:drawing>
      </w:r>
    </w:p>
    <w:p w:rsidR="00950F8F" w:rsidRPr="00C35590" w:rsidRDefault="00950F8F" w:rsidP="00950F8F">
      <w:pPr>
        <w:spacing w:line="240" w:lineRule="auto"/>
        <w:jc w:val="both"/>
        <w:rPr>
          <w:rFonts w:ascii="Times New Roman" w:hAnsi="Times New Roman" w:cs="Times New Roman"/>
          <w:sz w:val="24"/>
          <w:szCs w:val="24"/>
        </w:rPr>
      </w:pPr>
      <w:r w:rsidRPr="00C35590">
        <w:rPr>
          <w:rFonts w:ascii="Times New Roman" w:hAnsi="Times New Roman" w:cs="Times New Roman"/>
          <w:sz w:val="24"/>
          <w:szCs w:val="24"/>
        </w:rPr>
        <w:t>La presupuestación de base cero fue desarrollada en la década de 1970 por Pete Pyhrr, un exdirector contable de Texas Instruments. El objetivo original de la ZBB era ayudar a las organizaciones a reducir costos y prom</w:t>
      </w:r>
      <w:r>
        <w:rPr>
          <w:rFonts w:ascii="Times New Roman" w:hAnsi="Times New Roman" w:cs="Times New Roman"/>
          <w:sz w:val="24"/>
          <w:szCs w:val="24"/>
        </w:rPr>
        <w:t>over la responsabilidad fiscal.</w:t>
      </w:r>
    </w:p>
    <w:p w:rsidR="00950F8F" w:rsidRPr="00C35590" w:rsidRDefault="00950F8F" w:rsidP="00950F8F">
      <w:pPr>
        <w:spacing w:line="240" w:lineRule="auto"/>
        <w:jc w:val="both"/>
        <w:rPr>
          <w:rFonts w:ascii="Times New Roman" w:hAnsi="Times New Roman" w:cs="Times New Roman"/>
          <w:sz w:val="24"/>
          <w:szCs w:val="24"/>
        </w:rPr>
      </w:pPr>
      <w:r w:rsidRPr="00C35590">
        <w:rPr>
          <w:rFonts w:ascii="Times New Roman" w:hAnsi="Times New Roman" w:cs="Times New Roman"/>
          <w:sz w:val="24"/>
          <w:szCs w:val="24"/>
        </w:rPr>
        <w:t>Con la generación de presupuestos de base cero, el presupuesto se inicia desde cero cada año. Mediante este enfoque, todas las líneas de negocio de una organización se analizan en función de sus necesidades y costos, ignorando al mismo tiempo el gasto histórico. La diferencia clave está justificada: los presupuestos de base cero deben revisar todos los gastos al comienzo del ciclo presupuestario, y las líneas de negocio deben justificar la necesidad y el impacto de cada línea de ítem antes de que se pueda aprobar la financiación.</w:t>
      </w:r>
    </w:p>
    <w:p w:rsidR="00950F8F" w:rsidRPr="00C35590" w:rsidRDefault="00950F8F" w:rsidP="00950F8F">
      <w:pPr>
        <w:spacing w:line="240" w:lineRule="auto"/>
        <w:jc w:val="both"/>
        <w:rPr>
          <w:rFonts w:ascii="Times New Roman" w:hAnsi="Times New Roman" w:cs="Times New Roman"/>
          <w:sz w:val="24"/>
          <w:szCs w:val="24"/>
        </w:rPr>
      </w:pPr>
      <w:r w:rsidRPr="00C35590">
        <w:rPr>
          <w:rFonts w:ascii="Times New Roman" w:hAnsi="Times New Roman" w:cs="Times New Roman"/>
          <w:sz w:val="24"/>
          <w:szCs w:val="24"/>
        </w:rPr>
        <w:lastRenderedPageBreak/>
        <w:t>Cada línea de ítem de presupuesto se revisa sin la influencia de los valores reales del último periodo como base. Cada elemento se evalúa cuidadosamente para determinar si algún programa, servicio o actividad se aumentará, mantendrá, reducirá o eliminará. Los mánager deben contabilizar todos los elementos del presupuesto e identificar áreas rentables, relevantes y de ahorro de costos.</w:t>
      </w:r>
    </w:p>
    <w:p w:rsidR="00950F8F" w:rsidRPr="00A41FE7" w:rsidRDefault="00950F8F" w:rsidP="00950F8F">
      <w:pPr>
        <w:spacing w:line="240" w:lineRule="auto"/>
        <w:jc w:val="both"/>
        <w:rPr>
          <w:rFonts w:ascii="Times New Roman" w:hAnsi="Times New Roman" w:cs="Times New Roman"/>
          <w:sz w:val="24"/>
          <w:szCs w:val="24"/>
        </w:rPr>
      </w:pPr>
      <w:r w:rsidRPr="00C35590">
        <w:rPr>
          <w:rFonts w:ascii="Times New Roman" w:hAnsi="Times New Roman" w:cs="Times New Roman"/>
          <w:sz w:val="24"/>
          <w:szCs w:val="24"/>
        </w:rPr>
        <w:t>La ZBB se puede aplicar a cualquier tipo de costo: gastos de capital, gastos de funcionamiento, gastos de investigación y desarrollo (I+D) o incluso gastos de bienes vendidos (COGS).</w:t>
      </w:r>
    </w:p>
    <w:p w:rsidR="00950F8F" w:rsidRPr="006B2423" w:rsidRDefault="00950F8F" w:rsidP="00950F8F">
      <w:pPr>
        <w:pStyle w:val="NormalWeb"/>
        <w:shd w:val="clear" w:color="auto" w:fill="FFFFFF"/>
        <w:jc w:val="both"/>
        <w:rPr>
          <w:color w:val="FF0000"/>
        </w:rPr>
      </w:pPr>
      <w:r w:rsidRPr="006B2423">
        <w:rPr>
          <w:b/>
          <w:color w:val="FF0000"/>
        </w:rPr>
        <w:t>Nota I</w:t>
      </w:r>
      <w:r w:rsidRPr="006B2423">
        <w:rPr>
          <w:color w:val="FF0000"/>
        </w:rPr>
        <w:t xml:space="preserve">: Lo que sigue es un extracto del Informe: Presupuesto base cero: una herramienta para la mejora de las finanzas públicas, realizado por José Antonio Martínez Álvarez y Mª Dolores García Martos, del Instituto de Estudios Fiscales, publicado en Crónica Tributaria Num.  149/2013 (7-31), del Consejo General de Economistas, donde se analizan las posibilidades de su aplicación por parte del Gobierno de España. </w:t>
      </w:r>
    </w:p>
    <w:p w:rsidR="00950F8F" w:rsidRDefault="00950F8F" w:rsidP="00950F8F">
      <w:pPr>
        <w:pStyle w:val="NormalWeb"/>
        <w:shd w:val="clear" w:color="auto" w:fill="FFFFFF"/>
        <w:jc w:val="both"/>
        <w:rPr>
          <w:color w:val="000000"/>
        </w:rPr>
      </w:pPr>
      <w:r w:rsidRPr="00C35590">
        <w:rPr>
          <w:color w:val="000000"/>
        </w:rPr>
        <w:t>Es una técnica presupuestar</w:t>
      </w:r>
      <w:r>
        <w:rPr>
          <w:color w:val="000000"/>
        </w:rPr>
        <w:t xml:space="preserve">ia similar a la del Presupuesto </w:t>
      </w:r>
      <w:r w:rsidRPr="00C35590">
        <w:rPr>
          <w:color w:val="000000"/>
        </w:rPr>
        <w:t>por Programas, se trata de un concepto en el que básicamente se realiza una reevaluación periódica de todos los programas, partiendo de cero. Trata de revisar todos los aspectos presupuestarios, sin tener en cuenta sólo las variaciones del ejercicio anterior. Así, las actividades que se vengan realizando han de ser revisadas detalladamente, al tiempo que se pueden considerar vías alternativas para proporcionar los mismos servicios públicos. Además, permite</w:t>
      </w:r>
      <w:r>
        <w:rPr>
          <w:color w:val="000000"/>
        </w:rPr>
        <w:t xml:space="preserve"> identificar nuevas actividades </w:t>
      </w:r>
      <w:r w:rsidRPr="00C35590">
        <w:rPr>
          <w:color w:val="000000"/>
        </w:rPr>
        <w:t>y eliminar aquellas que sean obsoletas o ineficientes. Introduce la obligatoria revisión anual del proceso presupuestario. Es la fórmula</w:t>
      </w:r>
      <w:r>
        <w:rPr>
          <w:color w:val="000000"/>
        </w:rPr>
        <w:t xml:space="preserve"> ideal para salir de una crisis </w:t>
      </w:r>
      <w:r w:rsidRPr="00C35590">
        <w:rPr>
          <w:color w:val="000000"/>
        </w:rPr>
        <w:t>fiscal de forma eficiente y eficaz: logrando los objeti</w:t>
      </w:r>
      <w:r>
        <w:rPr>
          <w:color w:val="000000"/>
        </w:rPr>
        <w:t xml:space="preserve">vos, pero lográndolos al mínimo </w:t>
      </w:r>
      <w:r w:rsidRPr="00C35590">
        <w:rPr>
          <w:color w:val="000000"/>
        </w:rPr>
        <w:t xml:space="preserve">coste. La implantación </w:t>
      </w:r>
      <w:r w:rsidR="00C84C09">
        <w:rPr>
          <w:color w:val="000000"/>
        </w:rPr>
        <w:t xml:space="preserve">de un Presupuesto Base Cero </w:t>
      </w:r>
      <w:r w:rsidRPr="00C35590">
        <w:rPr>
          <w:color w:val="000000"/>
        </w:rPr>
        <w:t>garantizaría la con</w:t>
      </w:r>
      <w:r w:rsidR="00C84C09">
        <w:rPr>
          <w:color w:val="000000"/>
        </w:rPr>
        <w:t>secución de la regla de oro</w:t>
      </w:r>
      <w:r w:rsidRPr="00C35590">
        <w:rPr>
          <w:color w:val="000000"/>
        </w:rPr>
        <w:t>: el equilibrio presupuestario</w:t>
      </w:r>
      <w:r>
        <w:rPr>
          <w:color w:val="000000"/>
        </w:rPr>
        <w:t>…</w:t>
      </w:r>
    </w:p>
    <w:p w:rsidR="00950F8F" w:rsidRDefault="00950F8F" w:rsidP="00950F8F">
      <w:pPr>
        <w:pStyle w:val="NormalWeb"/>
        <w:shd w:val="clear" w:color="auto" w:fill="FFFFFF"/>
        <w:jc w:val="both"/>
      </w:pPr>
      <w:r>
        <w:t xml:space="preserve">La base del Presupuesto Base Cero es que el punto de partida de elaboración de los presupuestos no es el dato del periodo anterior, sino cero, tal como se ha señalado en párrafos anteriores. El proceso presupuestario se empieza desde las unidades de menor nivel, las llamadas unidades de decisión, que elaboran paquetes de decisión en función de las actividades que realicen cada una de ellas. Esto hace que haya una mayor implicación en el proceso presupuestario de directivos de menor nivel, lo que no ocurre con otras técnicas presupuestarias. Posteriormente se jerarquizan los paquetes de decisión dentro de cada unidad, y esta jerarquización será utilizada por los directivos de mayor nivel para tomar decisiones presupuestarias y de recolocación de los recursos. </w:t>
      </w:r>
    </w:p>
    <w:p w:rsidR="00950F8F" w:rsidRDefault="00950F8F" w:rsidP="00950F8F">
      <w:pPr>
        <w:pStyle w:val="NormalWeb"/>
        <w:shd w:val="clear" w:color="auto" w:fill="FFFFFF"/>
        <w:jc w:val="both"/>
      </w:pPr>
      <w:r>
        <w:t xml:space="preserve">Entre las ventajas del Presupuesto Base Cero destaca el que es una técnica presupuestaria que permite la identificación y evaluación de las actividades consideradas en los presupuestos; es más, posibilita localizar programas obsoletos que podrían ser eliminados. Por otra parte, constituye una herramienta de utilidad en la racionalización de los recursos y en la mejora de la eficiencia presupuestaria, ya que permite comparar el valor de un servicio contra otro, pone de manifiesto duplicidades, al realizarse un análisis exhaustivo de todas las actividades realizadas, lo que se traducirá en una reducción del gasto del presupuesto de forma racional. Además, al estar implicados estamentos de toda la organización en su elaboración, propicia una mejora en la coordinación y comunicación, así como una mayor participación por parte del personal de la organización. Es más, el Presupuesto Base Cero permite interrelacionar el proceso de planificación con los presupuestos anuales. Y, por último, posibilita a los </w:t>
      </w:r>
      <w:r>
        <w:lastRenderedPageBreak/>
        <w:t xml:space="preserve">directivos de niveles superiores tener un mayor conocimiento de las actividades de todos los departamentos o unidades. </w:t>
      </w:r>
    </w:p>
    <w:p w:rsidR="00950F8F" w:rsidRDefault="00950F8F" w:rsidP="00950F8F">
      <w:pPr>
        <w:pStyle w:val="NormalWeb"/>
        <w:shd w:val="clear" w:color="auto" w:fill="FFFFFF"/>
        <w:jc w:val="both"/>
      </w:pPr>
      <w:r>
        <w:t xml:space="preserve">No obstante, a pesar de las ventajas señaladas, el Presupuesto Base Cero presenta ciertos inconvenientes que han de ser tenidos en cuenta. Sus dificultades de implementación son manifiestas (diversas experiencias así lo han reflejado), ya que requiere por una parte un ingente trabajo de gestión y de tiempo. Además, hay que tener en cuenta que un porcentaje muy elevado de los gastos presupuestarios vienen determinados externamente (pensiones, subsidios de desempleo, entre otras partidas), por lo que la contribución de la aplicación del Presupuesto Base Cero a la restricción del gasto es relativa. </w:t>
      </w:r>
    </w:p>
    <w:p w:rsidR="00950F8F" w:rsidRDefault="00950F8F" w:rsidP="00950F8F">
      <w:pPr>
        <w:pStyle w:val="NormalWeb"/>
        <w:shd w:val="clear" w:color="auto" w:fill="FFFFFF"/>
        <w:jc w:val="both"/>
      </w:pPr>
      <w:r>
        <w:t>En todo caso, implica una gestión más eficaz y eficiente de los recursos escasos. Frente a qué programas o servicios debe financiar el gobierno, el Presupuesto Base Cero permite identificar aquellos que sean más eficientes, con independencia de que en años anteriores hayan sido útiles, cuestión que un presupuesto incrementalista no se plantea. Por otra parte, esta técnica permite la evaluación de la eficiencia no solo en relación con los inputs sino también con el producto final. Para nosotros, el PBC es la fórmula presupuestaria ideal para construir un modelo de crecimiento económico asentado sobre un sólido pilar fiscal y presupuestario que produciría unas notables externalidades positivas: un efecto multiplicador del sector privado de la economía y un consistente sector público saneado que cumpla con sus objetivos con unas estructuras adecuadas y perfectamente rentables. Finalmente, se produciría un incremento en la confianza tanto del consumidor como del productor. El PBC podría, además, facilitar la creación de un fondo presupuestario anticíclico que permita en épocas de bonanza financiar las épocas de caída del ciclo…</w:t>
      </w:r>
    </w:p>
    <w:p w:rsidR="00950F8F" w:rsidRDefault="00950F8F" w:rsidP="00950F8F">
      <w:pPr>
        <w:pStyle w:val="NormalWeb"/>
        <w:shd w:val="clear" w:color="auto" w:fill="FFFFFF"/>
        <w:jc w:val="both"/>
      </w:pPr>
      <w:r>
        <w:t>Conclusiones: El Presupuesto Base Cero constituye un procedimiento de presupuestación que trata de suplir las deficiencias de otros sistemas presupuestarios, principalmente el tradicional o incremental, que parte de las cuantías presupuestadas en el año previo, sin un análisis de la necesidad de mantenimiento de ciertas partidas sin que, además, esté vinculado con la planificación estratégica del organismo en cuestión.</w:t>
      </w:r>
    </w:p>
    <w:p w:rsidR="00950F8F" w:rsidRDefault="00950F8F" w:rsidP="00950F8F">
      <w:pPr>
        <w:pStyle w:val="NormalWeb"/>
        <w:shd w:val="clear" w:color="auto" w:fill="FFFFFF"/>
        <w:jc w:val="both"/>
      </w:pPr>
      <w:r>
        <w:t xml:space="preserve">Este procedimiento constituye una mejora teórica con respecto al Presupuesto por Programas, cuyo objetivo es identificar los objetivos y fines del organismo, a partir de cuyo análisis se elaboran los correspondientes programas que formarán parte del plan estratégico de la organización. Con esta metodología no se parte de las estimaciones de años previos, sino que se computan las necesidades requeridas para desarrollar el plan estratégico. Aunque en teoría este método implica una revisión periódica de los proyectos, en la práctica no es muy operativo y es habitual que en el proceso presupuestario se proceda a una estimación incrementalista de las partidas presupuestarias, dentro de cada programa. En la práctica, por tanto, se produce una interacción de métodos que supone la elaboración de los presupuestos según distintas clasificaciones. </w:t>
      </w:r>
    </w:p>
    <w:p w:rsidR="00950F8F" w:rsidRDefault="00950F8F" w:rsidP="00950F8F">
      <w:pPr>
        <w:pStyle w:val="NormalWeb"/>
        <w:shd w:val="clear" w:color="auto" w:fill="FFFFFF"/>
        <w:jc w:val="both"/>
      </w:pPr>
      <w:r>
        <w:t xml:space="preserve">El Presupuesto Base Cero por el contrario implica una revisión anual de las partidas presupuestarias incluidas en los programas. Y de forma añadida, exige el análisis de alternativas que con un menor coste permitan el desarrollo de los mismos, atendiendo a los objetivos de la organización. </w:t>
      </w:r>
    </w:p>
    <w:p w:rsidR="00950F8F" w:rsidRDefault="00950F8F" w:rsidP="00950F8F">
      <w:pPr>
        <w:pStyle w:val="NormalWeb"/>
        <w:shd w:val="clear" w:color="auto" w:fill="FFFFFF"/>
        <w:jc w:val="both"/>
      </w:pPr>
      <w:r>
        <w:t xml:space="preserve">En la práctica, el Presupuesto Base Cero implica un alto nivel de burocracia, es intensivo en tiempo y papeleo, por lo que es poco operativo. No obstante, existen métodos de </w:t>
      </w:r>
      <w:r>
        <w:lastRenderedPageBreak/>
        <w:t xml:space="preserve">presupuestación que sin ser cien por cien Presupuesto Base Cero, sí que incorporan las principales características del mismo. </w:t>
      </w:r>
    </w:p>
    <w:p w:rsidR="00950F8F" w:rsidRDefault="00950F8F" w:rsidP="00950F8F">
      <w:pPr>
        <w:pStyle w:val="NormalWeb"/>
        <w:shd w:val="clear" w:color="auto" w:fill="FFFFFF"/>
        <w:jc w:val="both"/>
      </w:pPr>
      <w:r>
        <w:t xml:space="preserve">A tenor del elevado nivel de déficit público alcanzado en España y la necesidad imperiosa de su reducción, se hace necesaria una revisión de la técnica presupuestaria actual. Al presente, los Presupuestos Generales del Estado se realizan desde una triple perspectivas: por programas, según clasificación económica y según clasificación orgánica. Ahora bien, las partidas presupuestarias de los distintos programas son presupuestadas siguiendo técnicas tradicionales. </w:t>
      </w:r>
    </w:p>
    <w:p w:rsidR="00950F8F" w:rsidRDefault="00950F8F" w:rsidP="00950F8F">
      <w:pPr>
        <w:pStyle w:val="NormalWeb"/>
        <w:shd w:val="clear" w:color="auto" w:fill="FFFFFF"/>
        <w:jc w:val="both"/>
      </w:pPr>
      <w:r>
        <w:t>El Gobierno está poniendo en marcha una Reforma significativa de las Administraciones Públicas y entre otras acciones se propone mejorar el procedimiento actual de elaboración de los presupuestos en la línea del Presupuesto Base Cero. En concreto, establece que esta técnica se aplique a los Capítulos II y VI, lo que afectará en torno al 11 por 100 del presupuesto consolidado, excluidas las partidas de transferencias (capítulos IV y VII) y los pasivos financieros (capítulo IX). Con ello se palía en parte la complejidad de la aplicación del Presupuesto Base Cero al no aplicarse al conjunto del mismo. No obstante, no se resuelven todos los problemas del mismo, pues aunque su aplicación sea solamente a dos capítulos implica una compleja tarea de implantación que requerirá tiempo y esfuerzos, por lo que se deberían priorizar las actuaciones a seguir. Entre otras, la revisión de los contratos de la Administración Pública constituye tarea prioritaria a fin de lograr la eficiencia en la gestión pública ya que dispone de recursos escasos y un objetivo básico como es la reducción de los costes operativos, sin que ello suponga de ningún modo una minoración de la calidad de los servicios contratados. El Presupuesto Base Cero es una técnica que merece la pena que la evaluáramos, estudiáramos e implementáramos.</w:t>
      </w:r>
    </w:p>
    <w:p w:rsidR="00950F8F" w:rsidRPr="003442E2" w:rsidRDefault="00950F8F" w:rsidP="00950F8F">
      <w:pPr>
        <w:pStyle w:val="NormalWeb"/>
        <w:shd w:val="clear" w:color="auto" w:fill="FFFFFF"/>
        <w:jc w:val="both"/>
        <w:rPr>
          <w:color w:val="FF0000"/>
        </w:rPr>
      </w:pPr>
      <w:r w:rsidRPr="003442E2">
        <w:rPr>
          <w:b/>
          <w:color w:val="FF0000"/>
        </w:rPr>
        <w:t>Nota II</w:t>
      </w:r>
      <w:r w:rsidRPr="003442E2">
        <w:rPr>
          <w:color w:val="FF0000"/>
        </w:rPr>
        <w:t>: Por el nivel de “esclerosamiento” (proceso de endurecimiento patológico de un órgano o tejido) de la estructura burocrática española, creo que sería de gran utilidad, a la hora de reducir el Déficit Público (y su extensión a la Deuda Soberana), aplicar una metodología presupuestaria (Base Cero), que permitiría revisar todos y cada uno de los conceptos de gasto, sin restricciones, reiteraciones, correlaciones, traslaciones, intereses políticos, instrumentalizaciones, favoritismos, clientelismo, corruptelas… y un largo etc.</w:t>
      </w:r>
    </w:p>
    <w:p w:rsidR="00950F8F" w:rsidRPr="003442E2" w:rsidRDefault="00950F8F" w:rsidP="00950F8F">
      <w:pPr>
        <w:pStyle w:val="NormalWeb"/>
        <w:shd w:val="clear" w:color="auto" w:fill="FFFFFF"/>
        <w:jc w:val="both"/>
        <w:rPr>
          <w:color w:val="FF0000"/>
        </w:rPr>
      </w:pPr>
      <w:r w:rsidRPr="003442E2">
        <w:rPr>
          <w:color w:val="FF0000"/>
        </w:rPr>
        <w:t>Una forma de “barajar y dar de nuevo”, con el objetivo de cumplimentar los criterios de Maastricht, de los que nunca (repito, nunca) se debería haber apartado</w:t>
      </w:r>
      <w:r>
        <w:rPr>
          <w:color w:val="FF0000"/>
        </w:rPr>
        <w:t xml:space="preserve"> España</w:t>
      </w:r>
      <w:r w:rsidRPr="003442E2">
        <w:rPr>
          <w:color w:val="FF0000"/>
        </w:rPr>
        <w:t xml:space="preserve"> (tampoco, los demás países miembro de la Unión Europea). En la siguiente propuesta, se amplía el tema. </w:t>
      </w:r>
    </w:p>
    <w:p w:rsidR="00950F8F" w:rsidRDefault="00950F8F" w:rsidP="00950F8F">
      <w:pPr>
        <w:pStyle w:val="NormalWeb"/>
        <w:shd w:val="clear" w:color="auto" w:fill="FFFFFF"/>
        <w:jc w:val="both"/>
        <w:rPr>
          <w:color w:val="FF0000"/>
          <w:shd w:val="clear" w:color="auto" w:fill="FFFFFF"/>
        </w:rPr>
      </w:pPr>
      <w:r w:rsidRPr="00315345">
        <w:rPr>
          <w:color w:val="FF0000"/>
        </w:rPr>
        <w:t xml:space="preserve">- </w:t>
      </w:r>
      <w:r w:rsidRPr="00315345">
        <w:rPr>
          <w:color w:val="FF0000"/>
          <w:shd w:val="clear" w:color="auto" w:fill="FFFFFF"/>
        </w:rPr>
        <w:t>Regresar a las exigencias del Compromiso de Maastricht</w:t>
      </w:r>
    </w:p>
    <w:p w:rsidR="00950F8F" w:rsidRPr="00A66E64" w:rsidRDefault="00950F8F" w:rsidP="00950F8F">
      <w:pPr>
        <w:pStyle w:val="NormalWeb"/>
        <w:shd w:val="clear" w:color="auto" w:fill="FFFFFF"/>
        <w:jc w:val="both"/>
      </w:pPr>
      <w:r w:rsidRPr="00A66E64">
        <w:t>El Tratado de Maastricht, denominado oficialmente Tratado de la Unión Europea, sentó las bases de la Unión Europea tal como la conocemos hoy. Fue el resultado de años de conversaciones entre los Gobiernos y se firmó en la ciudad neerlandesa de Maastricht, cerca de las fronteras con Alemania y Bélgica. Cinco cosas que deberías saber sobre el Tratado. (Fuente: ecb.europa.eu)</w:t>
      </w:r>
    </w:p>
    <w:p w:rsidR="00950F8F" w:rsidRPr="00A66E64" w:rsidRDefault="00950F8F" w:rsidP="00950F8F">
      <w:pPr>
        <w:pStyle w:val="NormalWeb"/>
        <w:shd w:val="clear" w:color="auto" w:fill="FFFFFF"/>
        <w:jc w:val="both"/>
      </w:pPr>
      <w:r w:rsidRPr="00A66E64">
        <w:t>El Tratado de Maastricht amplió considerablemente la cooperación entre los países europeos a nuevas áreas: Ciudadanía europea; Política exterior y de seguridad común; Justicia y asuntos de interior.</w:t>
      </w:r>
    </w:p>
    <w:p w:rsidR="00950F8F" w:rsidRPr="00A66E64" w:rsidRDefault="00950F8F" w:rsidP="00950F8F">
      <w:pPr>
        <w:pStyle w:val="NormalWeb"/>
        <w:shd w:val="clear" w:color="auto" w:fill="FFFFFF"/>
        <w:jc w:val="both"/>
      </w:pPr>
      <w:r w:rsidRPr="00A66E64">
        <w:lastRenderedPageBreak/>
        <w:t>El Tratado de Maastricht preparó el terreno para la creación de una moneda única europea: el euro. También estableció el Banco Central Europeo (BCE) y el Sistema Europeo de Bancos Centrales y describe sus objetivos. El objetivo primordial del BCE es mantener la estabilidad de precios, es decir, salvaguardar el valor del euro.</w:t>
      </w:r>
    </w:p>
    <w:p w:rsidR="00950F8F" w:rsidRPr="00A66E64" w:rsidRDefault="00950F8F" w:rsidP="00950F8F">
      <w:pPr>
        <w:pStyle w:val="NormalWeb"/>
        <w:shd w:val="clear" w:color="auto" w:fill="FFFFFF"/>
        <w:jc w:val="both"/>
      </w:pPr>
      <w:r w:rsidRPr="00A66E64">
        <w:t>El Tratado de Maastricht estableció oficialmente las siguientes fases:</w:t>
      </w:r>
    </w:p>
    <w:p w:rsidR="00950F8F" w:rsidRPr="00A66E64" w:rsidRDefault="00950F8F" w:rsidP="00950F8F">
      <w:pPr>
        <w:pStyle w:val="NormalWeb"/>
        <w:shd w:val="clear" w:color="auto" w:fill="FFFFFF"/>
        <w:jc w:val="both"/>
      </w:pPr>
      <w:r w:rsidRPr="00A66E64">
        <w:t>Fase 1 (01/07/90 - 31/12/93): Introducción de la libre circulación de capitales entre los Estados miembros.</w:t>
      </w:r>
    </w:p>
    <w:p w:rsidR="00950F8F" w:rsidRPr="00A66E64" w:rsidRDefault="00950F8F" w:rsidP="00950F8F">
      <w:pPr>
        <w:pStyle w:val="NormalWeb"/>
        <w:shd w:val="clear" w:color="auto" w:fill="FFFFFF"/>
        <w:jc w:val="both"/>
      </w:pPr>
      <w:r w:rsidRPr="00A66E64">
        <w:t>Fase 2 (01/01/1994 - 31/12/1998): Refuerzo de la cooperación entre los bancos centrales nacionales y mayor convergencia de las políticas económicas de los Estados miembros.</w:t>
      </w:r>
    </w:p>
    <w:p w:rsidR="00950F8F" w:rsidRPr="00A66E64" w:rsidRDefault="00950F8F" w:rsidP="00950F8F">
      <w:pPr>
        <w:pStyle w:val="NormalWeb"/>
        <w:shd w:val="clear" w:color="auto" w:fill="FFFFFF"/>
        <w:jc w:val="both"/>
      </w:pPr>
      <w:r w:rsidRPr="00A66E64">
        <w:t>Fase 3 (01/01/99 - hoy): Introducción gradual del euro y ejecución de una política monetaria única, dirigida por el BCE.</w:t>
      </w:r>
    </w:p>
    <w:p w:rsidR="00950F8F" w:rsidRPr="00A66E64" w:rsidRDefault="00950F8F" w:rsidP="00950F8F">
      <w:pPr>
        <w:pStyle w:val="NormalWeb"/>
        <w:shd w:val="clear" w:color="auto" w:fill="FFFFFF"/>
        <w:jc w:val="both"/>
      </w:pPr>
      <w:r w:rsidRPr="00A66E64">
        <w:t>El Tratado también estableció reglas sobre el funcionamiento del euro, incluidas las condiciones que deben cumplir los países para incorporarse a la zona del euro.</w:t>
      </w:r>
    </w:p>
    <w:p w:rsidR="00950F8F" w:rsidRPr="00A66E64" w:rsidRDefault="00950F8F" w:rsidP="00950F8F">
      <w:pPr>
        <w:pStyle w:val="NormalWeb"/>
        <w:shd w:val="clear" w:color="auto" w:fill="FFFFFF"/>
        <w:jc w:val="both"/>
      </w:pPr>
      <w:r w:rsidRPr="00A66E64">
        <w:t>El objetivo de estas reglas, conocidas como criterios de Maastricht o de convergencia, es asegurar la estabilidad de precios en la zona del euro cuando los países adoptan la moneda.</w:t>
      </w:r>
    </w:p>
    <w:p w:rsidR="00950F8F" w:rsidRPr="00A66E64" w:rsidRDefault="00950F8F" w:rsidP="00950F8F">
      <w:pPr>
        <w:pStyle w:val="NormalWeb"/>
        <w:shd w:val="clear" w:color="auto" w:fill="FFFFFF"/>
        <w:jc w:val="both"/>
      </w:pPr>
      <w:r w:rsidRPr="00A66E64">
        <w:t>Estas reglas sirven para garantizar la estabilidad de los países que se incorporan en las siguientes áreas:</w:t>
      </w:r>
    </w:p>
    <w:p w:rsidR="00950F8F" w:rsidRPr="00A66E64" w:rsidRDefault="00950F8F" w:rsidP="00950F8F">
      <w:pPr>
        <w:pStyle w:val="NormalWeb"/>
        <w:shd w:val="clear" w:color="auto" w:fill="FFFFFF"/>
        <w:jc w:val="both"/>
      </w:pPr>
      <w:r w:rsidRPr="00A66E64">
        <w:t>Inflación: La tasa media de inflación de un país, observada durante un período de un año, no debe exceder en más de 1,5 puntos porcentuales la de los tres Estados miembros de la UE con mejor comportamiento.</w:t>
      </w:r>
    </w:p>
    <w:p w:rsidR="00950F8F" w:rsidRPr="00A66E64" w:rsidRDefault="00950F8F" w:rsidP="00950F8F">
      <w:pPr>
        <w:pStyle w:val="NormalWeb"/>
        <w:shd w:val="clear" w:color="auto" w:fill="FFFFFF"/>
        <w:jc w:val="both"/>
      </w:pPr>
      <w:r w:rsidRPr="00A66E64">
        <w:t>Niveles de deuda pública: El déficit presupuestario anual de un país no debe exceder del 3 % del producto interior bruto (PIB) y la deuda pública no debe superar el 60 % del PIB.</w:t>
      </w:r>
    </w:p>
    <w:p w:rsidR="00950F8F" w:rsidRDefault="00950F8F" w:rsidP="00950F8F">
      <w:pPr>
        <w:pStyle w:val="NormalWeb"/>
        <w:shd w:val="clear" w:color="auto" w:fill="FFFFFF"/>
        <w:jc w:val="both"/>
      </w:pPr>
      <w:r w:rsidRPr="00A66E64">
        <w:t>Tipos de interés: El tipo de interés a largo plazo de un país, observado durante un período de un año, no debe exceder en más de 2 puntos porcentuales el de los tres Estados miembros con mejor comportamiento.</w:t>
      </w:r>
    </w:p>
    <w:p w:rsidR="00950F8F" w:rsidRDefault="00950F8F" w:rsidP="00950F8F">
      <w:pPr>
        <w:pStyle w:val="NormalWeb"/>
        <w:shd w:val="clear" w:color="auto" w:fill="FFFFFF"/>
        <w:jc w:val="both"/>
      </w:pPr>
      <w:r w:rsidRPr="00A66E64">
        <w:t>Tipo de cambio: El tipo de cambio de un país, durante al menos los dos últimos años, debe mantenerse estable, es decir, dentro de los márgenes de fluctuación que establece el mecanis</w:t>
      </w:r>
      <w:r>
        <w:t>mo de tipos de cambio (MTC II).</w:t>
      </w:r>
    </w:p>
    <w:p w:rsidR="00950F8F" w:rsidRPr="00A66E64" w:rsidRDefault="00950F8F" w:rsidP="00950F8F">
      <w:pPr>
        <w:pStyle w:val="NormalWeb"/>
        <w:shd w:val="clear" w:color="auto" w:fill="FFFFFF"/>
        <w:jc w:val="both"/>
        <w:rPr>
          <w:u w:val="single"/>
        </w:rPr>
      </w:pPr>
      <w:r w:rsidRPr="00A66E64">
        <w:rPr>
          <w:u w:val="single"/>
        </w:rPr>
        <w:t>¿Por qué se incumplen estos criterios?</w:t>
      </w:r>
    </w:p>
    <w:p w:rsidR="00950F8F" w:rsidRDefault="00950F8F" w:rsidP="00950F8F">
      <w:pPr>
        <w:pStyle w:val="NormalWeb"/>
        <w:shd w:val="clear" w:color="auto" w:fill="FFFFFF"/>
        <w:jc w:val="both"/>
      </w:pPr>
      <w:r>
        <w:t xml:space="preserve">A pesar de las reglas claras, los países miembros han incumplido los criterios de Maastricht en varias ocasiones por diversas razones: </w:t>
      </w:r>
    </w:p>
    <w:p w:rsidR="00950F8F" w:rsidRDefault="00950F8F" w:rsidP="00950F8F">
      <w:pPr>
        <w:pStyle w:val="NormalWeb"/>
        <w:shd w:val="clear" w:color="auto" w:fill="FFFFFF"/>
        <w:jc w:val="both"/>
      </w:pPr>
      <w:r>
        <w:t>Crisis económicas: Las recesiones económicas, como la de 2008, pueden llevar a un aumento del déficit público y la deuda debido a la disminución de los ingresos fiscales y el aumento del gasto público para estimular la economía, según informa DW.</w:t>
      </w:r>
    </w:p>
    <w:p w:rsidR="00950F8F" w:rsidRDefault="00950F8F" w:rsidP="00950F8F">
      <w:pPr>
        <w:pStyle w:val="NormalWeb"/>
        <w:shd w:val="clear" w:color="auto" w:fill="FFFFFF"/>
        <w:jc w:val="both"/>
      </w:pPr>
      <w:r>
        <w:lastRenderedPageBreak/>
        <w:t>Desacuerdos políticos: La falta de consenso político dentro de los países o entre ellos puede dificultar la adopción de políticas de ajuste fiscal necesarias para cumplir con los criterios, según el Instituto de Estudios Bursátiles - IEB.</w:t>
      </w:r>
    </w:p>
    <w:p w:rsidR="00950F8F" w:rsidRDefault="00950F8F" w:rsidP="00950F8F">
      <w:pPr>
        <w:pStyle w:val="NormalWeb"/>
        <w:shd w:val="clear" w:color="auto" w:fill="FFFFFF"/>
        <w:jc w:val="both"/>
      </w:pPr>
      <w:r>
        <w:t>Problemas estructurales: Algunos países pueden enfrentar problemas estructurales que dificultan el cumplimiento de los criterios, como la baja productividad, la alta informalidad o la falta de competitividad, según El Periódico.</w:t>
      </w:r>
    </w:p>
    <w:p w:rsidR="00950F8F" w:rsidRDefault="00950F8F" w:rsidP="00950F8F">
      <w:pPr>
        <w:pStyle w:val="NormalWeb"/>
        <w:shd w:val="clear" w:color="auto" w:fill="FFFFFF"/>
        <w:jc w:val="both"/>
      </w:pPr>
      <w:r>
        <w:t>Inflexibilidad de las normas: La rigidez de las normas de Maastricht puede dificultar la adaptación a las circunstancias económicas cambiantes de cada país, según DW.</w:t>
      </w:r>
    </w:p>
    <w:p w:rsidR="00950F8F" w:rsidRDefault="00950F8F" w:rsidP="00950F8F">
      <w:pPr>
        <w:pStyle w:val="NormalWeb"/>
        <w:shd w:val="clear" w:color="auto" w:fill="FFFFFF"/>
        <w:jc w:val="both"/>
      </w:pPr>
      <w:r>
        <w:t>Falta de sanciones efectivas: La falta de sanciones efectivas para los países que incumplen los criterios de Maastricht puede debilitar la disciplina fiscal, según DW.</w:t>
      </w:r>
    </w:p>
    <w:p w:rsidR="00950F8F" w:rsidRDefault="00950F8F" w:rsidP="00950F8F">
      <w:pPr>
        <w:pStyle w:val="NormalWeb"/>
        <w:shd w:val="clear" w:color="auto" w:fill="FFFFFF"/>
        <w:jc w:val="both"/>
      </w:pPr>
      <w:r>
        <w:t xml:space="preserve">Consecuencias del incumplimiento </w:t>
      </w:r>
    </w:p>
    <w:p w:rsidR="00950F8F" w:rsidRDefault="00950F8F" w:rsidP="00950F8F">
      <w:pPr>
        <w:pStyle w:val="NormalWeb"/>
        <w:shd w:val="clear" w:color="auto" w:fill="FFFFFF"/>
        <w:jc w:val="both"/>
      </w:pPr>
      <w:r>
        <w:t xml:space="preserve">El incumplimiento de los criterios de Maastricht puede tener consecuencias negativas para la estabilidad de la zona euro y para la confianza en la unión monetaria. Algunos ejemplos son: </w:t>
      </w:r>
    </w:p>
    <w:p w:rsidR="00950F8F" w:rsidRDefault="00950F8F" w:rsidP="00950F8F">
      <w:pPr>
        <w:pStyle w:val="NormalWeb"/>
        <w:shd w:val="clear" w:color="auto" w:fill="FFFFFF"/>
        <w:jc w:val="both"/>
      </w:pPr>
      <w:r>
        <w:t>Aumento de la deuda pública: Un déficit excesivo puede llevar a un aumento de la deuda pública, lo que a su vez puede generar problemas de sostenibilidad fiscal y aumentar el riesgo de impago, según DW.</w:t>
      </w:r>
    </w:p>
    <w:p w:rsidR="00950F8F" w:rsidRDefault="00950F8F" w:rsidP="00950F8F">
      <w:pPr>
        <w:pStyle w:val="NormalWeb"/>
        <w:shd w:val="clear" w:color="auto" w:fill="FFFFFF"/>
        <w:jc w:val="both"/>
      </w:pPr>
      <w:r>
        <w:t>Aumento de la prima de riesgo: El incumplimiento de los criterios de Maastricht puede aumentar la prima de riesgo de los países, lo que significa que tienen que pagar tasas de interés más altas para financiar su deuda.</w:t>
      </w:r>
    </w:p>
    <w:p w:rsidR="00950F8F" w:rsidRDefault="00950F8F" w:rsidP="00950F8F">
      <w:pPr>
        <w:pStyle w:val="NormalWeb"/>
        <w:shd w:val="clear" w:color="auto" w:fill="FFFFFF"/>
        <w:jc w:val="both"/>
      </w:pPr>
      <w:r>
        <w:t>Pérdida de credibilidad: El incumplimiento de los criterios de Maastricht puede erosionar la credibilidad de la unión monetaria y generar dudas sobre su capacidad para hacer frente a futuras crisis económicas.</w:t>
      </w:r>
    </w:p>
    <w:p w:rsidR="00950F8F" w:rsidRPr="00A66E64" w:rsidRDefault="00950F8F" w:rsidP="00950F8F">
      <w:pPr>
        <w:pStyle w:val="NormalWeb"/>
        <w:shd w:val="clear" w:color="auto" w:fill="FFFFFF"/>
        <w:jc w:val="both"/>
      </w:pPr>
      <w:r>
        <w:t>Convergencia actual de España en déficit y deuda de las Administraciones Públicas</w:t>
      </w:r>
    </w:p>
    <w:p w:rsidR="00950F8F" w:rsidRDefault="00950F8F" w:rsidP="00950F8F">
      <w:pPr>
        <w:pStyle w:val="NormalWeb"/>
        <w:shd w:val="clear" w:color="auto" w:fill="FFFFFF"/>
        <w:jc w:val="both"/>
        <w:rPr>
          <w:color w:val="FF0000"/>
        </w:rPr>
      </w:pPr>
      <w:r w:rsidRPr="000353A5">
        <w:rPr>
          <w:noProof/>
          <w:color w:val="FF0000"/>
        </w:rPr>
        <w:drawing>
          <wp:inline distT="0" distB="0" distL="0" distR="0" wp14:anchorId="3531CA7C" wp14:editId="5231D335">
            <wp:extent cx="5721350" cy="29527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731510" cy="2957994"/>
                    </a:xfrm>
                    <a:prstGeom prst="rect">
                      <a:avLst/>
                    </a:prstGeom>
                  </pic:spPr>
                </pic:pic>
              </a:graphicData>
            </a:graphic>
          </wp:inline>
        </w:drawing>
      </w:r>
    </w:p>
    <w:p w:rsidR="00950F8F" w:rsidRDefault="00950F8F" w:rsidP="00950F8F">
      <w:pPr>
        <w:pStyle w:val="NormalWeb"/>
        <w:shd w:val="clear" w:color="auto" w:fill="FFFFFF"/>
        <w:jc w:val="both"/>
        <w:rPr>
          <w:color w:val="FF0000"/>
        </w:rPr>
      </w:pPr>
      <w:r w:rsidRPr="000353A5">
        <w:rPr>
          <w:noProof/>
          <w:color w:val="FF0000"/>
        </w:rPr>
        <w:lastRenderedPageBreak/>
        <w:drawing>
          <wp:inline distT="0" distB="0" distL="0" distR="0" wp14:anchorId="5C808220" wp14:editId="490CF8B7">
            <wp:extent cx="5727700" cy="3594100"/>
            <wp:effectExtent l="0" t="0" r="6350"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3596491"/>
                    </a:xfrm>
                    <a:prstGeom prst="rect">
                      <a:avLst/>
                    </a:prstGeom>
                  </pic:spPr>
                </pic:pic>
              </a:graphicData>
            </a:graphic>
          </wp:inline>
        </w:drawing>
      </w:r>
      <w:r w:rsidRPr="003442E2">
        <w:t>(Fuente: Banco de España - Eurosistema -  Boletín Estadístico)</w:t>
      </w:r>
    </w:p>
    <w:p w:rsidR="00950F8F" w:rsidRPr="003442E2" w:rsidRDefault="00950F8F" w:rsidP="00950F8F">
      <w:pPr>
        <w:pStyle w:val="NormalWeb"/>
        <w:shd w:val="clear" w:color="auto" w:fill="FFFFFF"/>
        <w:jc w:val="both"/>
      </w:pPr>
      <w:r w:rsidRPr="003442E2">
        <w:t>Convergencia actual de España en precios y tipos de interés</w:t>
      </w:r>
    </w:p>
    <w:p w:rsidR="00950F8F" w:rsidRDefault="00950F8F" w:rsidP="00950F8F">
      <w:pPr>
        <w:pStyle w:val="NormalWeb"/>
        <w:shd w:val="clear" w:color="auto" w:fill="FFFFFF"/>
        <w:jc w:val="both"/>
        <w:rPr>
          <w:color w:val="FF0000"/>
        </w:rPr>
      </w:pPr>
      <w:r w:rsidRPr="000353A5">
        <w:rPr>
          <w:noProof/>
          <w:color w:val="FF0000"/>
        </w:rPr>
        <w:drawing>
          <wp:inline distT="0" distB="0" distL="0" distR="0" wp14:anchorId="11AE5E53" wp14:editId="69654175">
            <wp:extent cx="5731510" cy="3456052"/>
            <wp:effectExtent l="0" t="0" r="254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31510" cy="3456052"/>
                    </a:xfrm>
                    <a:prstGeom prst="rect">
                      <a:avLst/>
                    </a:prstGeom>
                  </pic:spPr>
                </pic:pic>
              </a:graphicData>
            </a:graphic>
          </wp:inline>
        </w:drawing>
      </w:r>
    </w:p>
    <w:p w:rsidR="00950F8F" w:rsidRDefault="00950F8F" w:rsidP="00950F8F">
      <w:pPr>
        <w:pStyle w:val="NormalWeb"/>
        <w:shd w:val="clear" w:color="auto" w:fill="FFFFFF"/>
        <w:jc w:val="both"/>
        <w:rPr>
          <w:color w:val="FF0000"/>
        </w:rPr>
      </w:pPr>
      <w:r w:rsidRPr="000353A5">
        <w:rPr>
          <w:noProof/>
          <w:color w:val="FF0000"/>
        </w:rPr>
        <w:lastRenderedPageBreak/>
        <w:drawing>
          <wp:inline distT="0" distB="0" distL="0" distR="0" wp14:anchorId="6C8D2541" wp14:editId="7DDB2333">
            <wp:extent cx="5727700" cy="3187700"/>
            <wp:effectExtent l="0" t="0" r="635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3189820"/>
                    </a:xfrm>
                    <a:prstGeom prst="rect">
                      <a:avLst/>
                    </a:prstGeom>
                  </pic:spPr>
                </pic:pic>
              </a:graphicData>
            </a:graphic>
          </wp:inline>
        </w:drawing>
      </w:r>
    </w:p>
    <w:p w:rsidR="00950F8F" w:rsidRDefault="00950F8F" w:rsidP="00950F8F">
      <w:pPr>
        <w:pStyle w:val="NormalWeb"/>
        <w:shd w:val="clear" w:color="auto" w:fill="FFFFFF"/>
        <w:jc w:val="both"/>
      </w:pPr>
      <w:r w:rsidRPr="003442E2">
        <w:t>(Fuente: Banco de España - Eurosistema -  Boletín Estadístico)</w:t>
      </w:r>
    </w:p>
    <w:p w:rsidR="00950F8F" w:rsidRDefault="00950F8F" w:rsidP="00950F8F">
      <w:pPr>
        <w:pStyle w:val="NormalWeb"/>
        <w:shd w:val="clear" w:color="auto" w:fill="FFFFFF"/>
        <w:jc w:val="both"/>
        <w:rPr>
          <w:color w:val="FF0000"/>
        </w:rPr>
      </w:pPr>
      <w:r w:rsidRPr="00F6100E">
        <w:rPr>
          <w:b/>
          <w:color w:val="FF0000"/>
        </w:rPr>
        <w:t>Nota</w:t>
      </w:r>
      <w:r w:rsidRPr="00F6100E">
        <w:rPr>
          <w:color w:val="FF0000"/>
        </w:rPr>
        <w:t>: para poder volver al Criterio de Maastricht, en cuanto a Deuda Pública (60% del PIB), mi propuesta es que España (103,5% del PIB, cuarto trimestre de 2024),</w:t>
      </w:r>
      <w:r>
        <w:rPr>
          <w:color w:val="FF0000"/>
        </w:rPr>
        <w:t xml:space="preserve"> </w:t>
      </w:r>
      <w:r w:rsidR="001C71BB">
        <w:rPr>
          <w:color w:val="FF0000"/>
        </w:rPr>
        <w:t>“</w:t>
      </w:r>
      <w:r>
        <w:rPr>
          <w:color w:val="FF0000"/>
        </w:rPr>
        <w:t>no emita nueva deuda</w:t>
      </w:r>
      <w:r w:rsidR="001C71BB">
        <w:rPr>
          <w:color w:val="FF0000"/>
        </w:rPr>
        <w:t>”</w:t>
      </w:r>
      <w:r>
        <w:rPr>
          <w:color w:val="FF0000"/>
        </w:rPr>
        <w:t xml:space="preserve"> y </w:t>
      </w:r>
      <w:r w:rsidR="001C71BB">
        <w:rPr>
          <w:color w:val="FF0000"/>
        </w:rPr>
        <w:t>“</w:t>
      </w:r>
      <w:r w:rsidRPr="00F6100E">
        <w:rPr>
          <w:color w:val="FF0000"/>
        </w:rPr>
        <w:t>deje de renovar deud</w:t>
      </w:r>
      <w:r>
        <w:rPr>
          <w:color w:val="FF0000"/>
        </w:rPr>
        <w:t>a” (amortizar deuda a su vencimiento)</w:t>
      </w:r>
      <w:r w:rsidRPr="00F6100E">
        <w:rPr>
          <w:color w:val="FF0000"/>
        </w:rPr>
        <w:t>, hasta poder regresar al 60% del PIB.</w:t>
      </w:r>
      <w:r>
        <w:rPr>
          <w:color w:val="FF0000"/>
        </w:rPr>
        <w:t xml:space="preserve"> </w:t>
      </w:r>
    </w:p>
    <w:p w:rsidR="001C71BB" w:rsidRDefault="001C71BB" w:rsidP="001C71BB">
      <w:pPr>
        <w:pStyle w:val="NormalWeb"/>
        <w:shd w:val="clear" w:color="auto" w:fill="FFFFFF"/>
        <w:jc w:val="both"/>
        <w:rPr>
          <w:color w:val="FF0000"/>
          <w:shd w:val="clear" w:color="auto" w:fill="FFFFFF"/>
        </w:rPr>
      </w:pPr>
      <w:r w:rsidRPr="00C717A1">
        <w:rPr>
          <w:color w:val="FF0000"/>
          <w:shd w:val="clear" w:color="auto" w:fill="FFFFFF"/>
        </w:rPr>
        <w:t xml:space="preserve">- Reducir el empleo público en un 50% </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En España, el número de empleados públicos supera los 3 millones. En enero de 2025, había 3.037.432 empleados públicos, incluyendo funcionarios de carrera, personal laboral e interino. Esto representa un crecimiento continuo en los últimos años, superando los 3 millones por segundo semestre consecutivo. El empleo público en España representa alrededor del 12% de los contratos creados en 2025, según El Independiente.</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w:t>
      </w:r>
      <w:r w:rsidRPr="00A202F8">
        <w:rPr>
          <w:u w:val="single"/>
          <w:shd w:val="clear" w:color="auto" w:fill="FFFFFF"/>
        </w:rPr>
        <w:t>Cuántos funcionarios públicos hay en España</w:t>
      </w:r>
      <w:r w:rsidRPr="00A202F8">
        <w:rPr>
          <w:shd w:val="clear" w:color="auto" w:fill="FFFFFF"/>
        </w:rPr>
        <w:t xml:space="preserve">? (Fuente: administraciondejusticia.com - </w:t>
      </w:r>
      <w:r w:rsidRPr="00A202F8">
        <w:rPr>
          <w:b/>
          <w:shd w:val="clear" w:color="auto" w:fill="FFFFFF"/>
        </w:rPr>
        <w:t>4/6/25</w:t>
      </w:r>
      <w:r w:rsidRPr="00A202F8">
        <w:rPr>
          <w:shd w:val="clear" w:color="auto" w:fill="FFFFFF"/>
        </w:rPr>
        <w:t>)</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Según el Boletín Estadístico del Personal al Servicio de las Administraciones Públicas (julio de 2024) del Ministerio para la Transformación Digital y de la Función Pública, en España hay:</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w:t>
      </w:r>
      <w:r w:rsidRPr="00A202F8">
        <w:rPr>
          <w:shd w:val="clear" w:color="auto" w:fill="FFFFFF"/>
        </w:rPr>
        <w:tab/>
        <w:t>1.542.404 funcionarios de carrera</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w:t>
      </w:r>
      <w:r w:rsidRPr="00A202F8">
        <w:rPr>
          <w:shd w:val="clear" w:color="auto" w:fill="FFFFFF"/>
        </w:rPr>
        <w:tab/>
        <w:t>598.174 empleados de personal laboral</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w:t>
      </w:r>
      <w:r w:rsidRPr="00A202F8">
        <w:rPr>
          <w:shd w:val="clear" w:color="auto" w:fill="FFFFFF"/>
        </w:rPr>
        <w:tab/>
        <w:t>Y un total de 2.965.946 empleados públicos, si sumamos otros colectivos como personal estatutario sanitario, militares o personal eventual.</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Esto representa cerca del 16,9 % de la población ocupada del país.</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lastRenderedPageBreak/>
        <w:t>¿Cuántos funcionarios de carrera hay en España?</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Los funcionarios de carrera son aquellos que han superado una oposición y ostentan la condición de empleado público con plaza fija. A julio de 2024, hay 1.542.404 funcionarios de carrera registrados en España. Este colectivo representa más de la mitad del total de empleados públicos.</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¿Cuántos funcionarios del Estado hay en España?</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Los empleados públicos se reparten entre distintos niveles administrativos. En el caso del Estado (Administración General del Estado, AGE), los datos son:</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w:t>
      </w:r>
      <w:r w:rsidRPr="00A202F8">
        <w:rPr>
          <w:shd w:val="clear" w:color="auto" w:fill="FFFFFF"/>
        </w:rPr>
        <w:tab/>
        <w:t>Total: 533.509 empleados públicos</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w:t>
      </w:r>
      <w:r w:rsidRPr="00A202F8">
        <w:rPr>
          <w:shd w:val="clear" w:color="auto" w:fill="FFFFFF"/>
        </w:rPr>
        <w:tab/>
        <w:t>De ellos, 414.557 son funcionarios de carrera</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Esto incluye trabajadores de ministerios, organismos autónomos, Fuerzas y Cuerpos de Seguridad del Estado, Justicia estatal, Fuerzas Armadas y agencias estatales.</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¿Cuántos funcionarios hay en las Comunidades Autónomas?</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w:t>
      </w:r>
      <w:r w:rsidRPr="00A202F8">
        <w:rPr>
          <w:shd w:val="clear" w:color="auto" w:fill="FFFFFF"/>
        </w:rPr>
        <w:tab/>
        <w:t>Total: 1.851.279 empleados públicos</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w:t>
      </w:r>
      <w:r w:rsidRPr="00A202F8">
        <w:rPr>
          <w:shd w:val="clear" w:color="auto" w:fill="FFFFFF"/>
        </w:rPr>
        <w:tab/>
        <w:t>De ellos, 927.201 son funcionarios de carrera</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Este grupo incluye docentes, personal sanitario, cuerpos autonómicos de policía y personal de gestión administrativa regional.</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¿Cuántos funcionarios hay en la Administración Local?</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w:t>
      </w:r>
      <w:r w:rsidRPr="00A202F8">
        <w:rPr>
          <w:shd w:val="clear" w:color="auto" w:fill="FFFFFF"/>
        </w:rPr>
        <w:tab/>
        <w:t>Total: 577.158 empleados públicos</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w:t>
      </w:r>
      <w:r w:rsidRPr="00A202F8">
        <w:rPr>
          <w:shd w:val="clear" w:color="auto" w:fill="FFFFFF"/>
        </w:rPr>
        <w:tab/>
        <w:t>De ellos, 200.646 son funcionarios de carrera</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La mayoría trabaja en ayuntamientos, diputaciones o cabildos. En este nivel predomina el personal laboral, aunque también hay un volumen importante de funcionarios.</w:t>
      </w:r>
    </w:p>
    <w:p w:rsidR="001C71BB" w:rsidRPr="00A202F8" w:rsidRDefault="001C71BB" w:rsidP="001C71BB">
      <w:pPr>
        <w:pStyle w:val="NormalWeb"/>
        <w:shd w:val="clear" w:color="auto" w:fill="FFFFFF"/>
        <w:jc w:val="both"/>
        <w:rPr>
          <w:shd w:val="clear" w:color="auto" w:fill="FFFFFF"/>
        </w:rPr>
      </w:pPr>
      <w:r w:rsidRPr="00A202F8">
        <w:rPr>
          <w:shd w:val="clear" w:color="auto" w:fill="FFFFFF"/>
        </w:rPr>
        <w:t>¿Dónde trabajan todos estos empleados públicos?</w:t>
      </w:r>
    </w:p>
    <w:p w:rsidR="001C71BB" w:rsidRDefault="001C71BB" w:rsidP="001C71BB">
      <w:pPr>
        <w:pStyle w:val="NormalWeb"/>
        <w:shd w:val="clear" w:color="auto" w:fill="FFFFFF"/>
        <w:jc w:val="both"/>
        <w:rPr>
          <w:shd w:val="clear" w:color="auto" w:fill="FFFFFF"/>
        </w:rPr>
      </w:pPr>
      <w:r w:rsidRPr="00A202F8">
        <w:rPr>
          <w:shd w:val="clear" w:color="auto" w:fill="FFFFFF"/>
        </w:rPr>
        <w:t>Los principales sectores donde trabajan son:</w:t>
      </w:r>
    </w:p>
    <w:p w:rsidR="001C71BB" w:rsidRPr="00A202F8" w:rsidRDefault="001C71BB" w:rsidP="001C71BB">
      <w:pPr>
        <w:pStyle w:val="Ttulo3"/>
        <w:shd w:val="clear" w:color="auto" w:fill="FFFFFF"/>
        <w:spacing w:before="0"/>
        <w:jc w:val="both"/>
        <w:rPr>
          <w:rFonts w:ascii="Times New Roman" w:hAnsi="Times New Roman" w:cs="Times New Roman"/>
          <w:b w:val="0"/>
          <w:color w:val="000000"/>
          <w:sz w:val="24"/>
          <w:szCs w:val="24"/>
        </w:rPr>
      </w:pPr>
      <w:r w:rsidRPr="00C717A1">
        <w:rPr>
          <w:rFonts w:ascii="Times New Roman" w:hAnsi="Times New Roman" w:cs="Times New Roman"/>
          <w:b w:val="0"/>
          <w:color w:val="000000"/>
          <w:sz w:val="24"/>
          <w:szCs w:val="24"/>
        </w:rPr>
        <w:t>Sanidad pública</w:t>
      </w:r>
    </w:p>
    <w:p w:rsidR="001C71BB" w:rsidRPr="00C717A1" w:rsidRDefault="001C71BB" w:rsidP="001C71BB">
      <w:pPr>
        <w:numPr>
          <w:ilvl w:val="0"/>
          <w:numId w:val="14"/>
        </w:numPr>
        <w:shd w:val="clear" w:color="auto" w:fill="FFFFFF"/>
        <w:spacing w:after="0" w:line="240" w:lineRule="auto"/>
        <w:jc w:val="both"/>
        <w:rPr>
          <w:rFonts w:ascii="Times New Roman" w:hAnsi="Times New Roman" w:cs="Times New Roman"/>
          <w:color w:val="000000"/>
          <w:sz w:val="24"/>
          <w:szCs w:val="24"/>
        </w:rPr>
      </w:pPr>
      <w:r w:rsidRPr="00C717A1">
        <w:rPr>
          <w:rFonts w:ascii="Times New Roman" w:hAnsi="Times New Roman" w:cs="Times New Roman"/>
          <w:color w:val="000000"/>
          <w:sz w:val="24"/>
          <w:szCs w:val="24"/>
        </w:rPr>
        <w:t>Cerca de </w:t>
      </w:r>
      <w:r w:rsidRPr="00FC4823">
        <w:rPr>
          <w:rStyle w:val="Textoennegrita"/>
          <w:rFonts w:ascii="Times New Roman" w:hAnsi="Times New Roman" w:cs="Times New Roman"/>
          <w:b w:val="0"/>
          <w:color w:val="000000"/>
          <w:sz w:val="24"/>
          <w:szCs w:val="24"/>
          <w:bdr w:val="none" w:sz="0" w:space="0" w:color="auto" w:frame="1"/>
        </w:rPr>
        <w:t>700.000 trabajadores</w:t>
      </w:r>
      <w:r w:rsidRPr="00FC4823">
        <w:rPr>
          <w:rFonts w:ascii="Times New Roman" w:hAnsi="Times New Roman" w:cs="Times New Roman"/>
          <w:b/>
          <w:color w:val="000000"/>
          <w:sz w:val="24"/>
          <w:szCs w:val="24"/>
        </w:rPr>
        <w:t> </w:t>
      </w:r>
      <w:r w:rsidRPr="00C717A1">
        <w:rPr>
          <w:rFonts w:ascii="Times New Roman" w:hAnsi="Times New Roman" w:cs="Times New Roman"/>
          <w:color w:val="000000"/>
          <w:sz w:val="24"/>
          <w:szCs w:val="24"/>
        </w:rPr>
        <w:t>(principalmente estatutarios)</w:t>
      </w:r>
    </w:p>
    <w:p w:rsidR="001C71BB" w:rsidRPr="00C717A1" w:rsidRDefault="001C71BB" w:rsidP="001C71BB">
      <w:pPr>
        <w:pStyle w:val="Ttulo3"/>
        <w:shd w:val="clear" w:color="auto" w:fill="FFFFFF"/>
        <w:spacing w:before="0"/>
        <w:jc w:val="both"/>
        <w:rPr>
          <w:rFonts w:ascii="Times New Roman" w:hAnsi="Times New Roman" w:cs="Times New Roman"/>
          <w:b w:val="0"/>
          <w:color w:val="000000"/>
          <w:sz w:val="24"/>
          <w:szCs w:val="24"/>
        </w:rPr>
      </w:pPr>
      <w:r w:rsidRPr="00C717A1">
        <w:rPr>
          <w:rFonts w:ascii="Times New Roman" w:hAnsi="Times New Roman" w:cs="Times New Roman"/>
          <w:b w:val="0"/>
          <w:color w:val="000000"/>
          <w:sz w:val="24"/>
          <w:szCs w:val="24"/>
        </w:rPr>
        <w:t>Educación</w:t>
      </w:r>
    </w:p>
    <w:p w:rsidR="001C71BB" w:rsidRDefault="001C71BB" w:rsidP="001C71BB">
      <w:pPr>
        <w:numPr>
          <w:ilvl w:val="0"/>
          <w:numId w:val="15"/>
        </w:numPr>
        <w:shd w:val="clear" w:color="auto" w:fill="FFFFFF"/>
        <w:spacing w:after="0" w:line="240" w:lineRule="auto"/>
        <w:jc w:val="both"/>
        <w:rPr>
          <w:rFonts w:ascii="Times New Roman" w:hAnsi="Times New Roman" w:cs="Times New Roman"/>
          <w:color w:val="000000"/>
          <w:sz w:val="24"/>
          <w:szCs w:val="24"/>
        </w:rPr>
      </w:pPr>
      <w:r w:rsidRPr="00C717A1">
        <w:rPr>
          <w:rFonts w:ascii="Times New Roman" w:hAnsi="Times New Roman" w:cs="Times New Roman"/>
          <w:color w:val="000000"/>
          <w:sz w:val="24"/>
          <w:szCs w:val="24"/>
        </w:rPr>
        <w:t>Más de </w:t>
      </w:r>
      <w:r w:rsidRPr="00FC4823">
        <w:rPr>
          <w:rStyle w:val="Textoennegrita"/>
          <w:rFonts w:ascii="Times New Roman" w:hAnsi="Times New Roman" w:cs="Times New Roman"/>
          <w:b w:val="0"/>
          <w:color w:val="000000"/>
          <w:sz w:val="24"/>
          <w:szCs w:val="24"/>
          <w:bdr w:val="none" w:sz="0" w:space="0" w:color="auto" w:frame="1"/>
        </w:rPr>
        <w:t>860.000 empleados</w:t>
      </w:r>
      <w:r w:rsidRPr="00C717A1">
        <w:rPr>
          <w:rFonts w:ascii="Times New Roman" w:hAnsi="Times New Roman" w:cs="Times New Roman"/>
          <w:color w:val="000000"/>
          <w:sz w:val="24"/>
          <w:szCs w:val="24"/>
        </w:rPr>
        <w:t> (docentes no universitarios y universitarios)</w:t>
      </w:r>
    </w:p>
    <w:p w:rsidR="001C71BB" w:rsidRDefault="001C71BB" w:rsidP="001C71BB">
      <w:pPr>
        <w:shd w:val="clear" w:color="auto" w:fill="FFFFFF"/>
        <w:spacing w:after="0" w:line="240" w:lineRule="auto"/>
        <w:ind w:left="720"/>
        <w:jc w:val="both"/>
        <w:rPr>
          <w:rFonts w:ascii="Times New Roman" w:hAnsi="Times New Roman" w:cs="Times New Roman"/>
          <w:color w:val="000000"/>
          <w:sz w:val="24"/>
          <w:szCs w:val="24"/>
        </w:rPr>
      </w:pPr>
    </w:p>
    <w:p w:rsidR="001C71BB" w:rsidRDefault="001C71BB" w:rsidP="001C71BB">
      <w:pPr>
        <w:pStyle w:val="Ttulo3"/>
        <w:shd w:val="clear" w:color="auto" w:fill="FFFFFF"/>
        <w:spacing w:before="0"/>
        <w:jc w:val="both"/>
        <w:rPr>
          <w:rFonts w:ascii="Times New Roman" w:hAnsi="Times New Roman" w:cs="Times New Roman"/>
          <w:b w:val="0"/>
          <w:color w:val="000000"/>
          <w:sz w:val="24"/>
          <w:szCs w:val="24"/>
        </w:rPr>
      </w:pPr>
      <w:r w:rsidRPr="00C717A1">
        <w:rPr>
          <w:rFonts w:ascii="Times New Roman" w:hAnsi="Times New Roman" w:cs="Times New Roman"/>
          <w:b w:val="0"/>
          <w:color w:val="000000"/>
          <w:sz w:val="24"/>
          <w:szCs w:val="24"/>
        </w:rPr>
        <w:t>¿Cuántos funcionarios de Justicia hay en España?</w:t>
      </w:r>
    </w:p>
    <w:p w:rsidR="001C71BB" w:rsidRPr="001C71BB" w:rsidRDefault="001C71BB" w:rsidP="001C71BB"/>
    <w:p w:rsidR="001C71BB" w:rsidRDefault="001C71BB" w:rsidP="001C71BB">
      <w:pPr>
        <w:pStyle w:val="NormalWeb"/>
        <w:shd w:val="clear" w:color="auto" w:fill="FFFFFF"/>
        <w:spacing w:before="0" w:beforeAutospacing="0" w:after="0" w:afterAutospacing="0"/>
        <w:jc w:val="both"/>
        <w:rPr>
          <w:color w:val="000000"/>
        </w:rPr>
      </w:pPr>
      <w:r w:rsidRPr="00C717A1">
        <w:rPr>
          <w:color w:val="000000"/>
        </w:rPr>
        <w:lastRenderedPageBreak/>
        <w:t>En la Administración de Justicia hay aproximadamente </w:t>
      </w:r>
      <w:r w:rsidRPr="00FC4823">
        <w:rPr>
          <w:rStyle w:val="Textoennegrita"/>
          <w:b w:val="0"/>
          <w:color w:val="000000"/>
          <w:bdr w:val="none" w:sz="0" w:space="0" w:color="auto" w:frame="1"/>
        </w:rPr>
        <w:t>65.000 efectivos públicos</w:t>
      </w:r>
      <w:r w:rsidRPr="00C717A1">
        <w:rPr>
          <w:color w:val="000000"/>
        </w:rPr>
        <w:t>, entre cuerpos de funcionarios, jueces, fiscales y personal transferido a las comunidades autónomas. La mayoría de ellos son funcionarios de carrera:</w:t>
      </w:r>
    </w:p>
    <w:p w:rsidR="001C71BB" w:rsidRPr="00C717A1" w:rsidRDefault="001C71BB" w:rsidP="001C71BB">
      <w:pPr>
        <w:pStyle w:val="NormalWeb"/>
        <w:shd w:val="clear" w:color="auto" w:fill="FFFFFF"/>
        <w:spacing w:before="0" w:beforeAutospacing="0" w:after="0" w:afterAutospacing="0"/>
        <w:jc w:val="both"/>
        <w:rPr>
          <w:color w:val="000000"/>
        </w:rPr>
      </w:pPr>
    </w:p>
    <w:p w:rsidR="001C71BB" w:rsidRPr="00C717A1" w:rsidRDefault="001C71BB" w:rsidP="001C71BB">
      <w:pPr>
        <w:numPr>
          <w:ilvl w:val="0"/>
          <w:numId w:val="16"/>
        </w:numPr>
        <w:shd w:val="clear" w:color="auto" w:fill="FFFFFF"/>
        <w:spacing w:after="0" w:line="240" w:lineRule="auto"/>
        <w:jc w:val="both"/>
        <w:rPr>
          <w:rFonts w:ascii="Times New Roman" w:hAnsi="Times New Roman" w:cs="Times New Roman"/>
          <w:color w:val="000000"/>
          <w:sz w:val="24"/>
          <w:szCs w:val="24"/>
        </w:rPr>
      </w:pPr>
      <w:r w:rsidRPr="00C717A1">
        <w:rPr>
          <w:rFonts w:ascii="Times New Roman" w:hAnsi="Times New Roman" w:cs="Times New Roman"/>
          <w:color w:val="000000"/>
          <w:sz w:val="24"/>
          <w:szCs w:val="24"/>
        </w:rPr>
        <w:t>Administración estatal: unos </w:t>
      </w:r>
      <w:r w:rsidRPr="00FC4823">
        <w:rPr>
          <w:rStyle w:val="Textoennegrita"/>
          <w:rFonts w:ascii="Times New Roman" w:hAnsi="Times New Roman" w:cs="Times New Roman"/>
          <w:b w:val="0"/>
          <w:color w:val="000000"/>
          <w:sz w:val="24"/>
          <w:szCs w:val="24"/>
          <w:bdr w:val="none" w:sz="0" w:space="0" w:color="auto" w:frame="1"/>
        </w:rPr>
        <w:t>24.000 empleados</w:t>
      </w:r>
    </w:p>
    <w:p w:rsidR="001C71BB" w:rsidRPr="006F2B96" w:rsidRDefault="001C71BB" w:rsidP="001C71BB">
      <w:pPr>
        <w:numPr>
          <w:ilvl w:val="0"/>
          <w:numId w:val="16"/>
        </w:numPr>
        <w:shd w:val="clear" w:color="auto" w:fill="FFFFFF"/>
        <w:spacing w:after="0" w:line="240" w:lineRule="auto"/>
        <w:jc w:val="both"/>
        <w:rPr>
          <w:rStyle w:val="Textoennegrita"/>
          <w:rFonts w:ascii="Times New Roman" w:hAnsi="Times New Roman" w:cs="Times New Roman"/>
          <w:b w:val="0"/>
          <w:bCs w:val="0"/>
          <w:color w:val="000000"/>
          <w:sz w:val="24"/>
          <w:szCs w:val="24"/>
        </w:rPr>
      </w:pPr>
      <w:r w:rsidRPr="00C717A1">
        <w:rPr>
          <w:rFonts w:ascii="Times New Roman" w:hAnsi="Times New Roman" w:cs="Times New Roman"/>
          <w:color w:val="000000"/>
          <w:sz w:val="24"/>
          <w:szCs w:val="24"/>
        </w:rPr>
        <w:t>Administraciones autonómicas con competencias: unos </w:t>
      </w:r>
      <w:r w:rsidRPr="00FC4823">
        <w:rPr>
          <w:rStyle w:val="Textoennegrita"/>
          <w:rFonts w:ascii="Times New Roman" w:hAnsi="Times New Roman" w:cs="Times New Roman"/>
          <w:b w:val="0"/>
          <w:color w:val="000000"/>
          <w:sz w:val="24"/>
          <w:szCs w:val="24"/>
          <w:bdr w:val="none" w:sz="0" w:space="0" w:color="auto" w:frame="1"/>
        </w:rPr>
        <w:t>39.000 empleados</w:t>
      </w:r>
    </w:p>
    <w:p w:rsidR="001C71BB" w:rsidRPr="00C717A1" w:rsidRDefault="001C71BB" w:rsidP="001C71BB">
      <w:pPr>
        <w:shd w:val="clear" w:color="auto" w:fill="FFFFFF"/>
        <w:spacing w:after="0" w:line="240" w:lineRule="auto"/>
        <w:ind w:left="720"/>
        <w:jc w:val="both"/>
        <w:rPr>
          <w:rFonts w:ascii="Times New Roman" w:hAnsi="Times New Roman" w:cs="Times New Roman"/>
          <w:color w:val="000000"/>
          <w:sz w:val="24"/>
          <w:szCs w:val="24"/>
        </w:rPr>
      </w:pPr>
    </w:p>
    <w:p w:rsidR="001C71BB" w:rsidRPr="00FC4823" w:rsidRDefault="001C71BB" w:rsidP="001C71BB">
      <w:pPr>
        <w:pStyle w:val="NormalWeb"/>
        <w:shd w:val="clear" w:color="auto" w:fill="FFFFFF"/>
        <w:spacing w:before="0" w:beforeAutospacing="0" w:after="0" w:afterAutospacing="0"/>
        <w:jc w:val="both"/>
        <w:rPr>
          <w:u w:val="single"/>
        </w:rPr>
      </w:pPr>
      <w:r w:rsidRPr="00C717A1">
        <w:rPr>
          <w:color w:val="000000"/>
        </w:rPr>
        <w:t>Entre los cuerpos más representativos están </w:t>
      </w:r>
      <w:hyperlink r:id="rId174" w:history="1">
        <w:r w:rsidRPr="00FC4823">
          <w:rPr>
            <w:rStyle w:val="Hipervnculo"/>
            <w:rFonts w:eastAsiaTheme="majorEastAsia"/>
            <w:color w:val="auto"/>
            <w:bdr w:val="none" w:sz="0" w:space="0" w:color="auto" w:frame="1"/>
          </w:rPr>
          <w:t>Auxilio Judicial</w:t>
        </w:r>
      </w:hyperlink>
      <w:r w:rsidRPr="00FC4823">
        <w:rPr>
          <w:u w:val="single"/>
        </w:rPr>
        <w:t>, </w:t>
      </w:r>
      <w:hyperlink r:id="rId175" w:history="1">
        <w:r w:rsidRPr="00FC4823">
          <w:rPr>
            <w:rStyle w:val="Hipervnculo"/>
            <w:rFonts w:eastAsiaTheme="majorEastAsia"/>
            <w:color w:val="auto"/>
            <w:bdr w:val="none" w:sz="0" w:space="0" w:color="auto" w:frame="1"/>
          </w:rPr>
          <w:t>Tramitación Procesal</w:t>
        </w:r>
      </w:hyperlink>
      <w:r w:rsidRPr="00FC4823">
        <w:rPr>
          <w:u w:val="single"/>
        </w:rPr>
        <w:t> y </w:t>
      </w:r>
      <w:hyperlink r:id="rId176" w:history="1">
        <w:r w:rsidRPr="00FC4823">
          <w:rPr>
            <w:rStyle w:val="Hipervnculo"/>
            <w:rFonts w:eastAsiaTheme="majorEastAsia"/>
            <w:color w:val="auto"/>
            <w:bdr w:val="none" w:sz="0" w:space="0" w:color="auto" w:frame="1"/>
          </w:rPr>
          <w:t>Gestión Procesal</w:t>
        </w:r>
      </w:hyperlink>
      <w:r w:rsidRPr="00FC4823">
        <w:rPr>
          <w:u w:val="single"/>
        </w:rPr>
        <w:t>.</w:t>
      </w:r>
    </w:p>
    <w:p w:rsidR="001C71BB" w:rsidRPr="00C717A1" w:rsidRDefault="001C71BB" w:rsidP="001C71BB">
      <w:pPr>
        <w:pStyle w:val="NormalWeb"/>
        <w:shd w:val="clear" w:color="auto" w:fill="FFFFFF"/>
        <w:spacing w:before="0" w:beforeAutospacing="0" w:after="0" w:afterAutospacing="0"/>
        <w:jc w:val="both"/>
        <w:rPr>
          <w:color w:val="000000"/>
        </w:rPr>
      </w:pPr>
    </w:p>
    <w:p w:rsidR="001C71BB" w:rsidRPr="00C717A1" w:rsidRDefault="001C71BB" w:rsidP="001C71BB">
      <w:pPr>
        <w:pStyle w:val="Ttulo3"/>
        <w:shd w:val="clear" w:color="auto" w:fill="FFFFFF"/>
        <w:spacing w:before="0"/>
        <w:jc w:val="both"/>
        <w:rPr>
          <w:rFonts w:ascii="Times New Roman" w:hAnsi="Times New Roman" w:cs="Times New Roman"/>
          <w:b w:val="0"/>
          <w:color w:val="000000"/>
          <w:sz w:val="24"/>
          <w:szCs w:val="24"/>
        </w:rPr>
      </w:pPr>
      <w:r w:rsidRPr="00C717A1">
        <w:rPr>
          <w:rFonts w:ascii="Times New Roman" w:hAnsi="Times New Roman" w:cs="Times New Roman"/>
          <w:b w:val="0"/>
          <w:color w:val="000000"/>
          <w:sz w:val="24"/>
          <w:szCs w:val="24"/>
        </w:rPr>
        <w:t>Cuerpos de seguridad</w:t>
      </w:r>
    </w:p>
    <w:p w:rsidR="001C71BB" w:rsidRPr="00C717A1" w:rsidRDefault="001C71BB" w:rsidP="001C71BB">
      <w:pPr>
        <w:pStyle w:val="NormalWeb"/>
        <w:numPr>
          <w:ilvl w:val="0"/>
          <w:numId w:val="17"/>
        </w:numPr>
        <w:shd w:val="clear" w:color="auto" w:fill="FFFFFF"/>
        <w:spacing w:before="0" w:beforeAutospacing="0" w:after="0" w:afterAutospacing="0"/>
        <w:jc w:val="both"/>
        <w:rPr>
          <w:color w:val="000000"/>
        </w:rPr>
      </w:pPr>
      <w:r w:rsidRPr="00C717A1">
        <w:rPr>
          <w:color w:val="000000"/>
        </w:rPr>
        <w:t>Guardia Civil:</w:t>
      </w:r>
      <w:r w:rsidRPr="00C717A1">
        <w:rPr>
          <w:rStyle w:val="Textoennegrita"/>
          <w:color w:val="000000"/>
          <w:bdr w:val="none" w:sz="0" w:space="0" w:color="auto" w:frame="1"/>
        </w:rPr>
        <w:t> </w:t>
      </w:r>
      <w:r w:rsidRPr="00FC4823">
        <w:rPr>
          <w:rStyle w:val="Textoennegrita"/>
          <w:b w:val="0"/>
          <w:color w:val="000000"/>
          <w:bdr w:val="none" w:sz="0" w:space="0" w:color="auto" w:frame="1"/>
        </w:rPr>
        <w:t>78.600 agentes</w:t>
      </w:r>
    </w:p>
    <w:p w:rsidR="001C71BB" w:rsidRPr="00C717A1" w:rsidRDefault="001C71BB" w:rsidP="001C71BB">
      <w:pPr>
        <w:pStyle w:val="NormalWeb"/>
        <w:numPr>
          <w:ilvl w:val="0"/>
          <w:numId w:val="17"/>
        </w:numPr>
        <w:shd w:val="clear" w:color="auto" w:fill="FFFFFF"/>
        <w:spacing w:before="0" w:beforeAutospacing="0" w:after="0" w:afterAutospacing="0"/>
        <w:jc w:val="both"/>
        <w:rPr>
          <w:color w:val="000000"/>
        </w:rPr>
      </w:pPr>
      <w:r w:rsidRPr="00C717A1">
        <w:rPr>
          <w:color w:val="000000"/>
        </w:rPr>
        <w:t>Policía Nacional: </w:t>
      </w:r>
      <w:r w:rsidRPr="00FC4823">
        <w:rPr>
          <w:rStyle w:val="Textoennegrita"/>
          <w:b w:val="0"/>
          <w:color w:val="000000"/>
          <w:bdr w:val="none" w:sz="0" w:space="0" w:color="auto" w:frame="1"/>
        </w:rPr>
        <w:t>75.800 agentes</w:t>
      </w:r>
    </w:p>
    <w:p w:rsidR="001C71BB" w:rsidRPr="00FC4823" w:rsidRDefault="001C71BB" w:rsidP="001C71BB">
      <w:pPr>
        <w:pStyle w:val="NormalWeb"/>
        <w:numPr>
          <w:ilvl w:val="0"/>
          <w:numId w:val="17"/>
        </w:numPr>
        <w:shd w:val="clear" w:color="auto" w:fill="FFFFFF"/>
        <w:spacing w:before="0" w:beforeAutospacing="0" w:after="0" w:afterAutospacing="0"/>
        <w:jc w:val="both"/>
        <w:rPr>
          <w:b/>
          <w:color w:val="000000"/>
        </w:rPr>
      </w:pPr>
      <w:r w:rsidRPr="00C717A1">
        <w:rPr>
          <w:color w:val="000000"/>
        </w:rPr>
        <w:t>Policías autonómicas y locales: </w:t>
      </w:r>
      <w:r w:rsidRPr="00FC4823">
        <w:rPr>
          <w:rStyle w:val="Textoennegrita"/>
          <w:b w:val="0"/>
          <w:color w:val="000000"/>
          <w:bdr w:val="none" w:sz="0" w:space="0" w:color="auto" w:frame="1"/>
        </w:rPr>
        <w:t>+50.000 efectivos</w:t>
      </w:r>
      <w:r w:rsidRPr="00FC4823">
        <w:rPr>
          <w:b/>
          <w:color w:val="000000"/>
        </w:rPr>
        <w:t> </w:t>
      </w:r>
    </w:p>
    <w:p w:rsidR="001C71BB" w:rsidRPr="00C717A1" w:rsidRDefault="001C71BB" w:rsidP="001C71BB">
      <w:pPr>
        <w:pStyle w:val="NormalWeb"/>
        <w:shd w:val="clear" w:color="auto" w:fill="FFFFFF"/>
        <w:spacing w:before="0" w:beforeAutospacing="0" w:after="0" w:afterAutospacing="0"/>
        <w:ind w:left="720"/>
        <w:jc w:val="both"/>
        <w:rPr>
          <w:color w:val="000000"/>
        </w:rPr>
      </w:pPr>
    </w:p>
    <w:p w:rsidR="001C71BB" w:rsidRPr="00C717A1" w:rsidRDefault="001C71BB" w:rsidP="001C71BB">
      <w:pPr>
        <w:pStyle w:val="Ttulo3"/>
        <w:shd w:val="clear" w:color="auto" w:fill="FFFFFF"/>
        <w:spacing w:before="0"/>
        <w:jc w:val="both"/>
        <w:rPr>
          <w:rFonts w:ascii="Times New Roman" w:hAnsi="Times New Roman" w:cs="Times New Roman"/>
          <w:b w:val="0"/>
          <w:color w:val="000000"/>
          <w:sz w:val="24"/>
          <w:szCs w:val="24"/>
        </w:rPr>
      </w:pPr>
      <w:r w:rsidRPr="00C717A1">
        <w:rPr>
          <w:rFonts w:ascii="Times New Roman" w:hAnsi="Times New Roman" w:cs="Times New Roman"/>
          <w:b w:val="0"/>
          <w:color w:val="000000"/>
          <w:sz w:val="24"/>
          <w:szCs w:val="24"/>
        </w:rPr>
        <w:t>Fuerzas Armadas</w:t>
      </w:r>
    </w:p>
    <w:p w:rsidR="001C71BB" w:rsidRPr="001C71BB" w:rsidRDefault="001C71BB" w:rsidP="001C71BB">
      <w:pPr>
        <w:numPr>
          <w:ilvl w:val="0"/>
          <w:numId w:val="18"/>
        </w:numPr>
        <w:shd w:val="clear" w:color="auto" w:fill="FFFFFF"/>
        <w:spacing w:after="0" w:line="240" w:lineRule="auto"/>
        <w:jc w:val="both"/>
        <w:rPr>
          <w:rFonts w:ascii="Times New Roman" w:hAnsi="Times New Roman" w:cs="Times New Roman"/>
          <w:color w:val="000000"/>
          <w:sz w:val="24"/>
          <w:szCs w:val="24"/>
        </w:rPr>
      </w:pPr>
      <w:r w:rsidRPr="00C717A1">
        <w:rPr>
          <w:rFonts w:ascii="Times New Roman" w:hAnsi="Times New Roman" w:cs="Times New Roman"/>
          <w:color w:val="000000"/>
          <w:sz w:val="24"/>
          <w:szCs w:val="24"/>
        </w:rPr>
        <w:t>Alrededor de </w:t>
      </w:r>
      <w:r w:rsidRPr="00FC4823">
        <w:rPr>
          <w:rStyle w:val="Textoennegrita"/>
          <w:rFonts w:ascii="Times New Roman" w:hAnsi="Times New Roman" w:cs="Times New Roman"/>
          <w:b w:val="0"/>
          <w:color w:val="000000"/>
          <w:sz w:val="24"/>
          <w:szCs w:val="24"/>
          <w:bdr w:val="none" w:sz="0" w:space="0" w:color="auto" w:frame="1"/>
        </w:rPr>
        <w:t>122.000 militares profesionales</w:t>
      </w:r>
    </w:p>
    <w:p w:rsidR="001C71BB" w:rsidRPr="00C717A1" w:rsidRDefault="001C71BB" w:rsidP="001C71BB">
      <w:pPr>
        <w:pStyle w:val="NormalWeb"/>
        <w:shd w:val="clear" w:color="auto" w:fill="FFFFFF"/>
        <w:spacing w:before="0" w:beforeAutospacing="0" w:after="312" w:afterAutospacing="0"/>
        <w:jc w:val="both"/>
        <w:rPr>
          <w:color w:val="000000"/>
        </w:rPr>
      </w:pPr>
      <w:r w:rsidRPr="00C717A1">
        <w:rPr>
          <w:noProof/>
          <w:color w:val="000000"/>
        </w:rPr>
        <w:drawing>
          <wp:inline distT="0" distB="0" distL="0" distR="0" wp14:anchorId="127A3F50" wp14:editId="76DB9C74">
            <wp:extent cx="5726752" cy="3454400"/>
            <wp:effectExtent l="0" t="0" r="762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3457270"/>
                    </a:xfrm>
                    <a:prstGeom prst="rect">
                      <a:avLst/>
                    </a:prstGeom>
                  </pic:spPr>
                </pic:pic>
              </a:graphicData>
            </a:graphic>
          </wp:inline>
        </w:drawing>
      </w:r>
    </w:p>
    <w:p w:rsidR="001C71BB" w:rsidRPr="006F2B96" w:rsidRDefault="001C71BB" w:rsidP="001C71BB">
      <w:r w:rsidRPr="006F2B96">
        <w:rPr>
          <w:noProof/>
          <w:lang w:eastAsia="es-ES"/>
        </w:rPr>
        <w:drawing>
          <wp:inline distT="0" distB="0" distL="0" distR="0" wp14:anchorId="59A21D70" wp14:editId="3B50406F">
            <wp:extent cx="5721738" cy="1898650"/>
            <wp:effectExtent l="0" t="0" r="0"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1901893"/>
                    </a:xfrm>
                    <a:prstGeom prst="rect">
                      <a:avLst/>
                    </a:prstGeom>
                  </pic:spPr>
                </pic:pic>
              </a:graphicData>
            </a:graphic>
          </wp:inline>
        </w:drawing>
      </w:r>
    </w:p>
    <w:p w:rsidR="001C71BB" w:rsidRPr="00C717A1" w:rsidRDefault="001C71BB" w:rsidP="001C71BB">
      <w:pPr>
        <w:pStyle w:val="NormalWeb"/>
        <w:shd w:val="clear" w:color="auto" w:fill="FFFFFF"/>
        <w:spacing w:before="0" w:beforeAutospacing="0" w:after="312" w:afterAutospacing="0"/>
        <w:jc w:val="both"/>
        <w:rPr>
          <w:color w:val="000000"/>
        </w:rPr>
      </w:pPr>
      <w:r>
        <w:rPr>
          <w:color w:val="000000"/>
        </w:rPr>
        <w:lastRenderedPageBreak/>
        <w:t>Como puede observarse</w:t>
      </w:r>
      <w:r w:rsidRPr="00C717A1">
        <w:rPr>
          <w:color w:val="000000"/>
        </w:rPr>
        <w:t>, tras una década de recortes, las cifras se han recuperado y actualmente se registran los niveles más altos de empleados públicos en España.</w:t>
      </w:r>
    </w:p>
    <w:p w:rsidR="001C71BB" w:rsidRPr="001C71BB" w:rsidRDefault="001C71BB" w:rsidP="001C71BB">
      <w:pPr>
        <w:pStyle w:val="NormalWeb"/>
        <w:shd w:val="clear" w:color="auto" w:fill="FFFFFF"/>
        <w:spacing w:before="0" w:beforeAutospacing="0" w:after="0" w:afterAutospacing="0"/>
        <w:jc w:val="both"/>
        <w:rPr>
          <w:color w:val="000000"/>
        </w:rPr>
      </w:pPr>
      <w:r w:rsidRPr="001C71BB">
        <w:rPr>
          <w:color w:val="000000"/>
        </w:rPr>
        <w:t>Este crecimiento está directamente relacionado con las </w:t>
      </w:r>
      <w:r w:rsidRPr="001C71BB">
        <w:rPr>
          <w:rStyle w:val="Textoennegrita"/>
          <w:b w:val="0"/>
          <w:color w:val="000000"/>
          <w:bdr w:val="none" w:sz="0" w:space="0" w:color="auto" w:frame="1"/>
        </w:rPr>
        <w:t>Ofertas de Empleo Público</w:t>
      </w:r>
      <w:r w:rsidRPr="001C71BB">
        <w:rPr>
          <w:color w:val="000000"/>
        </w:rPr>
        <w:t> (OEP) aprobadas en los últimos años. Las </w:t>
      </w:r>
      <w:r w:rsidRPr="001C71BB">
        <w:rPr>
          <w:rStyle w:val="Textoennegrita"/>
          <w:b w:val="0"/>
          <w:color w:val="000000"/>
          <w:bdr w:val="none" w:sz="0" w:space="0" w:color="auto" w:frame="1"/>
        </w:rPr>
        <w:t>OEP de 2023 y 2024</w:t>
      </w:r>
      <w:r w:rsidRPr="001C71BB">
        <w:rPr>
          <w:color w:val="000000"/>
        </w:rPr>
        <w:t> fueron especialmente ambiciosas, superando las 39.000 plazas cada una, en un intento de rejuvenecer la administración y cubrir el alto volumen de jubilaciones. Todo apunta a que la </w:t>
      </w:r>
      <w:r w:rsidRPr="001C71BB">
        <w:rPr>
          <w:rStyle w:val="Textoennegrita"/>
          <w:b w:val="0"/>
          <w:color w:val="000000"/>
          <w:bdr w:val="none" w:sz="0" w:space="0" w:color="auto" w:frame="1"/>
        </w:rPr>
        <w:t>OEP 2025</w:t>
      </w:r>
      <w:r w:rsidRPr="001C71BB">
        <w:rPr>
          <w:color w:val="000000"/>
        </w:rPr>
        <w:t xml:space="preserve"> seguirá esa misma línea expansiva, con cifras similares o incluso superiores.  </w:t>
      </w:r>
    </w:p>
    <w:p w:rsidR="001C71BB" w:rsidRDefault="001C71BB" w:rsidP="001C71BB">
      <w:pPr>
        <w:pStyle w:val="Ttulo2"/>
        <w:shd w:val="clear" w:color="auto" w:fill="FFFFFF"/>
        <w:spacing w:before="0"/>
        <w:jc w:val="both"/>
        <w:rPr>
          <w:rFonts w:ascii="Times New Roman" w:hAnsi="Times New Roman" w:cs="Times New Roman"/>
          <w:b w:val="0"/>
          <w:bCs w:val="0"/>
          <w:color w:val="000000"/>
          <w:sz w:val="24"/>
          <w:szCs w:val="24"/>
        </w:rPr>
      </w:pPr>
    </w:p>
    <w:p w:rsidR="001C71BB" w:rsidRPr="00C717A1" w:rsidRDefault="001C71BB" w:rsidP="001C71BB">
      <w:pPr>
        <w:pStyle w:val="Ttulo2"/>
        <w:shd w:val="clear" w:color="auto" w:fill="FFFFFF"/>
        <w:spacing w:before="0"/>
        <w:jc w:val="both"/>
        <w:rPr>
          <w:rFonts w:ascii="Times New Roman" w:hAnsi="Times New Roman" w:cs="Times New Roman"/>
          <w:b w:val="0"/>
          <w:bCs w:val="0"/>
          <w:color w:val="000000"/>
          <w:sz w:val="24"/>
          <w:szCs w:val="24"/>
        </w:rPr>
      </w:pPr>
      <w:r w:rsidRPr="00C717A1">
        <w:rPr>
          <w:rFonts w:ascii="Times New Roman" w:hAnsi="Times New Roman" w:cs="Times New Roman"/>
          <w:b w:val="0"/>
          <w:bCs w:val="0"/>
          <w:color w:val="000000"/>
          <w:sz w:val="24"/>
          <w:szCs w:val="24"/>
        </w:rPr>
        <w:t>Comparativa internacional: ¿Hay más funcionarios en España que en otros países?</w:t>
      </w:r>
    </w:p>
    <w:p w:rsidR="001C71BB" w:rsidRDefault="001C71BB" w:rsidP="001C71BB">
      <w:pPr>
        <w:pStyle w:val="NormalWeb"/>
        <w:shd w:val="clear" w:color="auto" w:fill="FFFFFF"/>
        <w:spacing w:before="0" w:beforeAutospacing="0" w:after="0" w:afterAutospacing="0"/>
        <w:jc w:val="both"/>
        <w:rPr>
          <w:color w:val="000000"/>
        </w:rPr>
      </w:pPr>
    </w:p>
    <w:p w:rsidR="001C71BB" w:rsidRDefault="001C71BB" w:rsidP="001C71BB">
      <w:pPr>
        <w:pStyle w:val="NormalWeb"/>
        <w:shd w:val="clear" w:color="auto" w:fill="FFFFFF"/>
        <w:spacing w:before="0" w:beforeAutospacing="0" w:after="0" w:afterAutospacing="0"/>
        <w:jc w:val="both"/>
        <w:rPr>
          <w:color w:val="000000"/>
        </w:rPr>
      </w:pPr>
      <w:r w:rsidRPr="00C717A1">
        <w:rPr>
          <w:color w:val="000000"/>
        </w:rPr>
        <w:t>España se sitúa en torno al </w:t>
      </w:r>
      <w:r w:rsidRPr="001C71BB">
        <w:rPr>
          <w:rStyle w:val="Textoennegrita"/>
          <w:b w:val="0"/>
          <w:color w:val="000000"/>
          <w:bdr w:val="none" w:sz="0" w:space="0" w:color="auto" w:frame="1"/>
        </w:rPr>
        <w:t>17 % del empleo total en el sector público</w:t>
      </w:r>
      <w:r w:rsidRPr="001C71BB">
        <w:rPr>
          <w:b/>
          <w:color w:val="000000"/>
        </w:rPr>
        <w:t>,</w:t>
      </w:r>
      <w:r w:rsidRPr="00C717A1">
        <w:rPr>
          <w:color w:val="000000"/>
        </w:rPr>
        <w:t xml:space="preserve"> lo que está en la media de la UE:</w:t>
      </w:r>
    </w:p>
    <w:p w:rsidR="001C71BB" w:rsidRPr="00C717A1" w:rsidRDefault="001C71BB" w:rsidP="001C71BB">
      <w:pPr>
        <w:pStyle w:val="NormalWeb"/>
        <w:shd w:val="clear" w:color="auto" w:fill="FFFFFF"/>
        <w:spacing w:before="0" w:beforeAutospacing="0" w:after="0" w:afterAutospacing="0"/>
        <w:jc w:val="both"/>
        <w:rPr>
          <w:color w:val="000000"/>
        </w:rPr>
      </w:pPr>
    </w:p>
    <w:p w:rsidR="001C71BB" w:rsidRPr="001C71BB" w:rsidRDefault="001C71BB" w:rsidP="001C71BB">
      <w:pPr>
        <w:numPr>
          <w:ilvl w:val="0"/>
          <w:numId w:val="19"/>
        </w:numPr>
        <w:shd w:val="clear" w:color="auto" w:fill="FFFFFF"/>
        <w:spacing w:after="0" w:line="240" w:lineRule="auto"/>
        <w:jc w:val="both"/>
        <w:rPr>
          <w:rFonts w:ascii="Times New Roman" w:hAnsi="Times New Roman" w:cs="Times New Roman"/>
          <w:b/>
          <w:color w:val="000000"/>
          <w:sz w:val="24"/>
          <w:szCs w:val="24"/>
        </w:rPr>
      </w:pPr>
      <w:r w:rsidRPr="00C717A1">
        <w:rPr>
          <w:rFonts w:ascii="Times New Roman" w:hAnsi="Times New Roman" w:cs="Times New Roman"/>
          <w:color w:val="000000"/>
          <w:sz w:val="24"/>
          <w:szCs w:val="24"/>
        </w:rPr>
        <w:t>Países con más empleo público: </w:t>
      </w:r>
      <w:r w:rsidRPr="001C71BB">
        <w:rPr>
          <w:rStyle w:val="Textoennegrita"/>
          <w:rFonts w:ascii="Times New Roman" w:hAnsi="Times New Roman" w:cs="Times New Roman"/>
          <w:b w:val="0"/>
          <w:color w:val="000000"/>
          <w:sz w:val="24"/>
          <w:szCs w:val="24"/>
          <w:bdr w:val="none" w:sz="0" w:space="0" w:color="auto" w:frame="1"/>
        </w:rPr>
        <w:t>Suecia (29 %), Dinamarca (28 %), Finlandia (25 %)</w:t>
      </w:r>
    </w:p>
    <w:p w:rsidR="001C71BB" w:rsidRPr="00A202F8" w:rsidRDefault="001C71BB" w:rsidP="001C71BB">
      <w:pPr>
        <w:numPr>
          <w:ilvl w:val="0"/>
          <w:numId w:val="19"/>
        </w:numPr>
        <w:shd w:val="clear" w:color="auto" w:fill="FFFFFF"/>
        <w:spacing w:after="0" w:line="240" w:lineRule="auto"/>
        <w:jc w:val="both"/>
        <w:rPr>
          <w:rStyle w:val="Textoennegrita"/>
          <w:rFonts w:ascii="Times New Roman" w:hAnsi="Times New Roman" w:cs="Times New Roman"/>
          <w:b w:val="0"/>
          <w:bCs w:val="0"/>
          <w:color w:val="000000"/>
          <w:sz w:val="24"/>
          <w:szCs w:val="24"/>
        </w:rPr>
      </w:pPr>
      <w:r w:rsidRPr="00C717A1">
        <w:rPr>
          <w:rFonts w:ascii="Times New Roman" w:hAnsi="Times New Roman" w:cs="Times New Roman"/>
          <w:color w:val="000000"/>
          <w:sz w:val="24"/>
          <w:szCs w:val="24"/>
        </w:rPr>
        <w:t>Países con menos: </w:t>
      </w:r>
      <w:r w:rsidRPr="001C71BB">
        <w:rPr>
          <w:rStyle w:val="Textoennegrita"/>
          <w:rFonts w:ascii="Times New Roman" w:hAnsi="Times New Roman" w:cs="Times New Roman"/>
          <w:b w:val="0"/>
          <w:color w:val="000000"/>
          <w:sz w:val="24"/>
          <w:szCs w:val="24"/>
          <w:bdr w:val="none" w:sz="0" w:space="0" w:color="auto" w:frame="1"/>
        </w:rPr>
        <w:t>Alemania (11 %), Países Bajos (12 %), Italia (14 %)</w:t>
      </w:r>
    </w:p>
    <w:p w:rsidR="001C71BB" w:rsidRPr="00A202F8" w:rsidRDefault="001C71BB" w:rsidP="001C71BB">
      <w:pPr>
        <w:shd w:val="clear" w:color="auto" w:fill="FFFFFF"/>
        <w:spacing w:after="0" w:line="240" w:lineRule="auto"/>
        <w:ind w:left="720"/>
        <w:jc w:val="both"/>
        <w:rPr>
          <w:rFonts w:ascii="Times New Roman" w:hAnsi="Times New Roman" w:cs="Times New Roman"/>
          <w:color w:val="000000"/>
          <w:sz w:val="24"/>
          <w:szCs w:val="24"/>
        </w:rPr>
      </w:pPr>
    </w:p>
    <w:p w:rsidR="001C71BB" w:rsidRDefault="001C71BB" w:rsidP="001C71BB">
      <w:pPr>
        <w:pStyle w:val="NormalWeb"/>
        <w:shd w:val="clear" w:color="auto" w:fill="FFFFFF"/>
        <w:spacing w:before="0" w:beforeAutospacing="0" w:after="312" w:afterAutospacing="0"/>
        <w:jc w:val="both"/>
        <w:rPr>
          <w:color w:val="000000"/>
        </w:rPr>
      </w:pPr>
      <w:r w:rsidRPr="00C717A1">
        <w:rPr>
          <w:color w:val="000000"/>
        </w:rPr>
        <w:t>La diferencia principal está en la consideración de ciertos colectivos (sanidad, educación) como parte o no del sector público según cada país.</w:t>
      </w:r>
    </w:p>
    <w:p w:rsidR="001C71BB" w:rsidRDefault="001C71BB" w:rsidP="001C71BB">
      <w:pPr>
        <w:pStyle w:val="NormalWeb"/>
        <w:shd w:val="clear" w:color="auto" w:fill="FFFFFF"/>
        <w:spacing w:before="0" w:beforeAutospacing="0" w:after="312" w:afterAutospacing="0"/>
        <w:jc w:val="both"/>
        <w:rPr>
          <w:color w:val="000000"/>
        </w:rPr>
      </w:pPr>
      <w:r w:rsidRPr="00205818">
        <w:rPr>
          <w:noProof/>
          <w:color w:val="000000"/>
        </w:rPr>
        <w:drawing>
          <wp:inline distT="0" distB="0" distL="0" distR="0" wp14:anchorId="45C969A2" wp14:editId="5AE646F7">
            <wp:extent cx="5734049" cy="2628900"/>
            <wp:effectExtent l="0" t="0" r="635"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2627736"/>
                    </a:xfrm>
                    <a:prstGeom prst="rect">
                      <a:avLst/>
                    </a:prstGeom>
                  </pic:spPr>
                </pic:pic>
              </a:graphicData>
            </a:graphic>
          </wp:inline>
        </w:drawing>
      </w:r>
      <w:r>
        <w:rPr>
          <w:color w:val="000000"/>
        </w:rPr>
        <w:t>(Fuente: bankinter.com)</w:t>
      </w:r>
    </w:p>
    <w:p w:rsidR="001C71BB" w:rsidRPr="00A202F8" w:rsidRDefault="001C71BB" w:rsidP="001C71BB">
      <w:pPr>
        <w:spacing w:line="240" w:lineRule="auto"/>
        <w:jc w:val="both"/>
        <w:rPr>
          <w:rFonts w:ascii="Times New Roman" w:eastAsia="Times New Roman" w:hAnsi="Times New Roman" w:cs="Times New Roman"/>
          <w:color w:val="FF0000"/>
          <w:sz w:val="24"/>
          <w:szCs w:val="24"/>
          <w:lang w:eastAsia="es-ES"/>
        </w:rPr>
      </w:pPr>
      <w:r w:rsidRPr="00A202F8">
        <w:rPr>
          <w:rFonts w:ascii="Times New Roman" w:eastAsia="Times New Roman" w:hAnsi="Times New Roman" w:cs="Times New Roman"/>
          <w:b/>
          <w:color w:val="FF0000"/>
          <w:sz w:val="24"/>
          <w:szCs w:val="24"/>
          <w:lang w:eastAsia="es-ES"/>
        </w:rPr>
        <w:t>Nota</w:t>
      </w:r>
      <w:r>
        <w:rPr>
          <w:rFonts w:ascii="Times New Roman" w:eastAsia="Times New Roman" w:hAnsi="Times New Roman" w:cs="Times New Roman"/>
          <w:b/>
          <w:color w:val="FF0000"/>
          <w:sz w:val="24"/>
          <w:szCs w:val="24"/>
          <w:lang w:eastAsia="es-ES"/>
        </w:rPr>
        <w:t xml:space="preserve"> I</w:t>
      </w:r>
      <w:r w:rsidRPr="00A202F8">
        <w:rPr>
          <w:rFonts w:ascii="Times New Roman" w:eastAsia="Times New Roman" w:hAnsi="Times New Roman" w:cs="Times New Roman"/>
          <w:color w:val="FF0000"/>
          <w:sz w:val="24"/>
          <w:szCs w:val="24"/>
          <w:lang w:eastAsia="es-ES"/>
        </w:rPr>
        <w:t>: Hay que tener en cuenta que en España el empleo incluye a los funcionarios públicos y otros empleados a nivel nacional, regional y local, así como a las fuerzas armadas. Los límites del sector gubernamental varían de un país a otro, ya que, por ejemplo, los trabajos en la educación o la salud forman parte del empleo público en algunos países, mientras que en otros no.</w:t>
      </w:r>
    </w:p>
    <w:p w:rsidR="001C71BB" w:rsidRPr="00A202F8" w:rsidRDefault="001C71BB" w:rsidP="001C71BB">
      <w:pPr>
        <w:pStyle w:val="NormalWeb"/>
        <w:shd w:val="clear" w:color="auto" w:fill="FFFFFF"/>
        <w:spacing w:before="0" w:beforeAutospacing="0" w:after="312" w:afterAutospacing="0"/>
        <w:jc w:val="both"/>
        <w:rPr>
          <w:color w:val="FF0000"/>
        </w:rPr>
      </w:pPr>
      <w:r w:rsidRPr="00A202F8">
        <w:rPr>
          <w:color w:val="FF0000"/>
        </w:rPr>
        <w:t>Según los datos recogidos por el Instituto Nacional de Estadística (INE) en la Encuesta de Población Activa (EPA) del cuarto trimestre de 2023, el 16,9% de los ocupados en España están trabajando en el sector público. Por lo tanto, el 83,1% de los trabajadores estarían en el sector privado. (Fuente: bankinter.com)</w:t>
      </w:r>
    </w:p>
    <w:p w:rsidR="001C71BB" w:rsidRPr="00A202F8" w:rsidRDefault="001C71BB" w:rsidP="001C71BB">
      <w:pPr>
        <w:pStyle w:val="NormalWeb"/>
        <w:shd w:val="clear" w:color="auto" w:fill="FFFFFF"/>
        <w:spacing w:after="312"/>
        <w:jc w:val="both"/>
        <w:rPr>
          <w:color w:val="FF0000"/>
        </w:rPr>
      </w:pPr>
      <w:r w:rsidRPr="00A202F8">
        <w:rPr>
          <w:color w:val="FF0000"/>
        </w:rPr>
        <w:lastRenderedPageBreak/>
        <w:t>Número de funcionarios por tipo de administración: Clasificados por tipo de administración, 530.104 trabajadores dependen del sector público del Estado, 1.862.329 dependen de las comunidades autónomas  y 576.089 de entidades locales.</w:t>
      </w:r>
    </w:p>
    <w:p w:rsidR="001C71BB" w:rsidRDefault="001C71BB" w:rsidP="001C71BB">
      <w:pPr>
        <w:pStyle w:val="NormalWeb"/>
        <w:shd w:val="clear" w:color="auto" w:fill="FFFFFF"/>
        <w:spacing w:before="0" w:beforeAutospacing="0" w:after="312" w:afterAutospacing="0"/>
        <w:jc w:val="both"/>
        <w:rPr>
          <w:color w:val="000000"/>
        </w:rPr>
      </w:pPr>
      <w:r w:rsidRPr="006F2B96">
        <w:rPr>
          <w:noProof/>
          <w:color w:val="000000"/>
        </w:rPr>
        <w:drawing>
          <wp:inline distT="0" distB="0" distL="0" distR="0" wp14:anchorId="3DD3C739" wp14:editId="008EB2EC">
            <wp:extent cx="5734047" cy="2787650"/>
            <wp:effectExtent l="0" t="0" r="635"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2786416"/>
                    </a:xfrm>
                    <a:prstGeom prst="rect">
                      <a:avLst/>
                    </a:prstGeom>
                  </pic:spPr>
                </pic:pic>
              </a:graphicData>
            </a:graphic>
          </wp:inline>
        </w:drawing>
      </w:r>
    </w:p>
    <w:p w:rsidR="001C71BB" w:rsidRPr="00C717A1" w:rsidRDefault="001C71BB" w:rsidP="001C71BB">
      <w:pPr>
        <w:pStyle w:val="NormalWeb"/>
        <w:shd w:val="clear" w:color="auto" w:fill="FFFFFF"/>
        <w:spacing w:before="0" w:beforeAutospacing="0" w:after="312" w:afterAutospacing="0"/>
        <w:jc w:val="both"/>
        <w:rPr>
          <w:color w:val="000000"/>
        </w:rPr>
      </w:pPr>
    </w:p>
    <w:p w:rsidR="001C71BB" w:rsidRDefault="001C71BB" w:rsidP="001C71BB">
      <w:pPr>
        <w:pStyle w:val="NormalWeb"/>
        <w:shd w:val="clear" w:color="auto" w:fill="FFFFFF"/>
        <w:jc w:val="both"/>
        <w:rPr>
          <w:color w:val="FF0000"/>
        </w:rPr>
      </w:pPr>
      <w:r w:rsidRPr="00205818">
        <w:rPr>
          <w:noProof/>
          <w:color w:val="FF0000"/>
        </w:rPr>
        <w:drawing>
          <wp:inline distT="0" distB="0" distL="0" distR="0" wp14:anchorId="354B5AE1" wp14:editId="26EA2E00">
            <wp:extent cx="5734050" cy="349250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3490953"/>
                    </a:xfrm>
                    <a:prstGeom prst="rect">
                      <a:avLst/>
                    </a:prstGeom>
                  </pic:spPr>
                </pic:pic>
              </a:graphicData>
            </a:graphic>
          </wp:inline>
        </w:drawing>
      </w:r>
    </w:p>
    <w:p w:rsidR="001C71BB" w:rsidRDefault="001C71BB" w:rsidP="001C71BB">
      <w:pPr>
        <w:pStyle w:val="NormalWeb"/>
        <w:shd w:val="clear" w:color="auto" w:fill="FFFFFF"/>
        <w:jc w:val="both"/>
        <w:rPr>
          <w:color w:val="FF0000"/>
        </w:rPr>
      </w:pPr>
      <w:r w:rsidRPr="00205818">
        <w:rPr>
          <w:noProof/>
          <w:color w:val="FF0000"/>
        </w:rPr>
        <w:lastRenderedPageBreak/>
        <w:drawing>
          <wp:inline distT="0" distB="0" distL="0" distR="0" wp14:anchorId="17DCBF92" wp14:editId="0AADF319">
            <wp:extent cx="5731541" cy="3873500"/>
            <wp:effectExtent l="0" t="0" r="254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3873479"/>
                    </a:xfrm>
                    <a:prstGeom prst="rect">
                      <a:avLst/>
                    </a:prstGeom>
                  </pic:spPr>
                </pic:pic>
              </a:graphicData>
            </a:graphic>
          </wp:inline>
        </w:drawing>
      </w:r>
    </w:p>
    <w:p w:rsidR="001C71BB" w:rsidRPr="008B7897" w:rsidRDefault="001C71BB" w:rsidP="001C71BB">
      <w:pPr>
        <w:pStyle w:val="NormalWeb"/>
        <w:shd w:val="clear" w:color="auto" w:fill="FFFFFF"/>
        <w:jc w:val="both"/>
      </w:pPr>
      <w:r w:rsidRPr="008B7897">
        <w:t>¿Cuántos funcionarios hay en España en 2025?</w:t>
      </w:r>
    </w:p>
    <w:p w:rsidR="001C71BB" w:rsidRDefault="001C71BB" w:rsidP="001C71BB">
      <w:pPr>
        <w:pStyle w:val="NormalWeb"/>
        <w:shd w:val="clear" w:color="auto" w:fill="FFFFFF"/>
        <w:jc w:val="both"/>
      </w:pPr>
      <w:r w:rsidRPr="008B7897">
        <w:t>El resto del colectivo de empleados públicos, hasta sumar en enero de 2025 un tota</w:t>
      </w:r>
      <w:r>
        <w:t>l de 3.037.432 -</w:t>
      </w:r>
      <w:r w:rsidRPr="008B7897">
        <w:t>superando los tres millones por segundo semestre consecu</w:t>
      </w:r>
      <w:r>
        <w:t>tivo, lo que nunca había pasado-</w:t>
      </w:r>
      <w:r w:rsidRPr="008B7897">
        <w:t xml:space="preserve"> está formado por 610.426 trabajadores con la categoría de personal laboral (10.161 menos que u</w:t>
      </w:r>
      <w:r>
        <w:t>n año antes) y otros 792.496. (</w:t>
      </w:r>
      <w:r w:rsidRPr="008B7897">
        <w:t>13 jun 2025</w:t>
      </w:r>
      <w:r>
        <w:t>)</w:t>
      </w:r>
    </w:p>
    <w:p w:rsidR="001C71BB" w:rsidRDefault="001C71BB" w:rsidP="001C71BB">
      <w:pPr>
        <w:pStyle w:val="NormalWeb"/>
        <w:shd w:val="clear" w:color="auto" w:fill="FFFFFF"/>
        <w:jc w:val="both"/>
      </w:pPr>
      <w:r w:rsidRPr="008B7897">
        <w:t>El número de trabajadores a sueldo del Estado (funcionarios, personal contratado, trabajadores de empresas públicas…) asciende a 3.526.200</w:t>
      </w:r>
      <w:r>
        <w:t xml:space="preserve"> asalariados, el 7,4% del total (Libre Mercado - </w:t>
      </w:r>
      <w:r w:rsidRPr="00A202F8">
        <w:rPr>
          <w:b/>
        </w:rPr>
        <w:t>4/3/23</w:t>
      </w:r>
      <w:r>
        <w:t>)</w:t>
      </w:r>
    </w:p>
    <w:p w:rsidR="001C71BB" w:rsidRDefault="001C71BB" w:rsidP="001C71BB">
      <w:pPr>
        <w:pStyle w:val="NormalWeb"/>
        <w:shd w:val="clear" w:color="auto" w:fill="FFFFFF"/>
        <w:jc w:val="both"/>
      </w:pPr>
      <w:r>
        <w:t xml:space="preserve">- </w:t>
      </w:r>
      <w:r w:rsidRPr="00471F95">
        <w:rPr>
          <w:u w:val="single"/>
        </w:rPr>
        <w:t>Empleo en empresas públicas</w:t>
      </w:r>
      <w:r>
        <w:t xml:space="preserve"> (Fuente: The Objective -  </w:t>
      </w:r>
      <w:r w:rsidRPr="00471F95">
        <w:rPr>
          <w:b/>
        </w:rPr>
        <w:t>19/6/24</w:t>
      </w:r>
      <w:r>
        <w:t>)</w:t>
      </w:r>
    </w:p>
    <w:p w:rsidR="001C71BB" w:rsidRDefault="001C71BB" w:rsidP="001C71BB">
      <w:pPr>
        <w:pStyle w:val="NormalWeb"/>
        <w:shd w:val="clear" w:color="auto" w:fill="FFFFFF"/>
        <w:jc w:val="both"/>
      </w:pPr>
      <w:r>
        <w:t>Las Administraciones públicas (AAPP) se encargan de canalizar la provisión de determinados bienes y servicios a través de empresas. Sin embargo, estas se clasifican fuera de los límites del sector de las AAPP y se definen como entidades de derecho que son propiedad o están controladas por estas administraciones. Correos, Navantia, Renfe, RTVE, diversos entes autonómicos, como las televisiones autonómicas, o gestores de servicios públicos conforman esta Administración paralela. El incremento de la plantilla, en muchos casos envejecida, y las prejubilaciones cubiertas por temporales son protagonistas.</w:t>
      </w:r>
    </w:p>
    <w:p w:rsidR="001C71BB" w:rsidRDefault="001C71BB" w:rsidP="001C71BB">
      <w:pPr>
        <w:pStyle w:val="NormalWeb"/>
        <w:shd w:val="clear" w:color="auto" w:fill="FFFFFF"/>
        <w:jc w:val="both"/>
      </w:pPr>
      <w:r>
        <w:t>Mientras que en 2013, según datos de la EPA, estos empleados, sobre todo relacionados con el transporte y correos y telecomunicaciones, se situaban en 165.500, en 2006 la cifra superaba los 172.500. El peso de los efectivos en entes empresariales, pese a todo, no alcanza ahora su mayor porcentaje, que se dio en 2013, con un 5,6%. En la actualidad, el 5% de los asalariados en las Administraciones trabajan para una empresa pública.</w:t>
      </w:r>
    </w:p>
    <w:p w:rsidR="001C71BB" w:rsidRDefault="001C71BB" w:rsidP="001C71BB">
      <w:pPr>
        <w:pStyle w:val="NormalWeb"/>
        <w:shd w:val="clear" w:color="auto" w:fill="FFFFFF"/>
        <w:jc w:val="both"/>
      </w:pPr>
    </w:p>
    <w:p w:rsidR="001C71BB" w:rsidRDefault="001C71BB" w:rsidP="001C71BB">
      <w:pPr>
        <w:pStyle w:val="NormalWeb"/>
        <w:shd w:val="clear" w:color="auto" w:fill="FFFFFF"/>
        <w:jc w:val="both"/>
      </w:pPr>
      <w:r w:rsidRPr="00471F95">
        <w:rPr>
          <w:noProof/>
        </w:rPr>
        <w:drawing>
          <wp:inline distT="0" distB="0" distL="0" distR="0" wp14:anchorId="7A675D6F" wp14:editId="6A786D19">
            <wp:extent cx="5729827" cy="1784350"/>
            <wp:effectExtent l="0" t="0" r="4445"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1784874"/>
                    </a:xfrm>
                    <a:prstGeom prst="rect">
                      <a:avLst/>
                    </a:prstGeom>
                  </pic:spPr>
                </pic:pic>
              </a:graphicData>
            </a:graphic>
          </wp:inline>
        </w:drawing>
      </w:r>
    </w:p>
    <w:p w:rsidR="001C71BB" w:rsidRPr="00676E4D" w:rsidRDefault="001C71BB" w:rsidP="001C71BB">
      <w:pPr>
        <w:pStyle w:val="NormalWeb"/>
        <w:shd w:val="clear" w:color="auto" w:fill="FFFFFF"/>
        <w:jc w:val="both"/>
        <w:rPr>
          <w:color w:val="FF0000"/>
        </w:rPr>
      </w:pPr>
      <w:r w:rsidRPr="00676E4D">
        <w:rPr>
          <w:b/>
          <w:color w:val="FF0000"/>
        </w:rPr>
        <w:t xml:space="preserve">Nota </w:t>
      </w:r>
      <w:r>
        <w:rPr>
          <w:b/>
          <w:color w:val="FF0000"/>
        </w:rPr>
        <w:t>I</w:t>
      </w:r>
      <w:r w:rsidRPr="00676E4D">
        <w:rPr>
          <w:b/>
          <w:color w:val="FF0000"/>
        </w:rPr>
        <w:t>I</w:t>
      </w:r>
      <w:r w:rsidRPr="00676E4D">
        <w:rPr>
          <w:color w:val="FF0000"/>
        </w:rPr>
        <w:t>: mi objetivo de partida es reducir en un 50% el empleo público. Con los datos disponibles, he realizado el siguiente cálculo para aminorar la “obesidad mórbida” (enfermedad crónica caracterizada por un exceso de grasa corporal que puede llevar a graves problemas de salud) que padece el estado español.</w:t>
      </w:r>
    </w:p>
    <w:p w:rsidR="001C71BB" w:rsidRPr="00676E4D" w:rsidRDefault="001C71BB" w:rsidP="001C71BB">
      <w:pPr>
        <w:pStyle w:val="NormalWeb"/>
        <w:shd w:val="clear" w:color="auto" w:fill="FFFFFF"/>
        <w:jc w:val="both"/>
        <w:rPr>
          <w:color w:val="FF0000"/>
        </w:rPr>
      </w:pPr>
      <w:r w:rsidRPr="00676E4D">
        <w:rPr>
          <w:color w:val="FF0000"/>
        </w:rPr>
        <w:t>Administraciones Públicas: 598.174 personal laboral</w:t>
      </w:r>
    </w:p>
    <w:p w:rsidR="001C71BB" w:rsidRPr="00676E4D" w:rsidRDefault="001C71BB" w:rsidP="001C71BB">
      <w:pPr>
        <w:pStyle w:val="NormalWeb"/>
        <w:shd w:val="clear" w:color="auto" w:fill="FFFFFF"/>
        <w:jc w:val="both"/>
        <w:rPr>
          <w:color w:val="FF0000"/>
        </w:rPr>
      </w:pPr>
      <w:r w:rsidRPr="00676E4D">
        <w:rPr>
          <w:color w:val="FF0000"/>
        </w:rPr>
        <w:t>Comunidades Autónomas: 1.851.279 - 927.201 = 924.078</w:t>
      </w:r>
    </w:p>
    <w:p w:rsidR="001C71BB" w:rsidRPr="00676E4D" w:rsidRDefault="001C71BB" w:rsidP="001C71BB">
      <w:pPr>
        <w:pStyle w:val="NormalWeb"/>
        <w:shd w:val="clear" w:color="auto" w:fill="FFFFFF"/>
        <w:jc w:val="both"/>
        <w:rPr>
          <w:color w:val="FF0000"/>
        </w:rPr>
      </w:pPr>
      <w:r w:rsidRPr="00676E4D">
        <w:rPr>
          <w:color w:val="FF0000"/>
        </w:rPr>
        <w:t>Administraciones Locales: 577.158 - 200.646 = 376.512</w:t>
      </w:r>
    </w:p>
    <w:p w:rsidR="001C71BB" w:rsidRPr="00676E4D" w:rsidRDefault="001C71BB" w:rsidP="001C71BB">
      <w:pPr>
        <w:pStyle w:val="NormalWeb"/>
        <w:shd w:val="clear" w:color="auto" w:fill="FFFFFF"/>
        <w:jc w:val="both"/>
        <w:rPr>
          <w:color w:val="FF0000"/>
        </w:rPr>
      </w:pPr>
      <w:r w:rsidRPr="00676E4D">
        <w:rPr>
          <w:color w:val="FF0000"/>
        </w:rPr>
        <w:t>Empresas del Estado: 182.200</w:t>
      </w:r>
    </w:p>
    <w:p w:rsidR="001C71BB" w:rsidRPr="00676E4D" w:rsidRDefault="001C71BB" w:rsidP="001C71BB">
      <w:pPr>
        <w:pStyle w:val="NormalWeb"/>
        <w:shd w:val="clear" w:color="auto" w:fill="FFFFFF"/>
        <w:jc w:val="both"/>
        <w:rPr>
          <w:color w:val="FF0000"/>
        </w:rPr>
      </w:pPr>
      <w:r w:rsidRPr="00676E4D">
        <w:rPr>
          <w:color w:val="FF0000"/>
        </w:rPr>
        <w:t>Sumatoria de reducción de personal (propuesto): 1.898.764</w:t>
      </w:r>
    </w:p>
    <w:p w:rsidR="001C71BB" w:rsidRPr="00676E4D" w:rsidRDefault="001C71BB" w:rsidP="001C71BB">
      <w:pPr>
        <w:pStyle w:val="NormalWeb"/>
        <w:shd w:val="clear" w:color="auto" w:fill="FFFFFF"/>
        <w:jc w:val="both"/>
        <w:rPr>
          <w:color w:val="FF0000"/>
        </w:rPr>
      </w:pPr>
      <w:r w:rsidRPr="00676E4D">
        <w:rPr>
          <w:color w:val="FF0000"/>
        </w:rPr>
        <w:t>1.898.764 / 3.037.432 = 62,51%</w:t>
      </w:r>
    </w:p>
    <w:p w:rsidR="001C71BB" w:rsidRPr="00676E4D" w:rsidRDefault="001C71BB" w:rsidP="001C71BB">
      <w:pPr>
        <w:pStyle w:val="NormalWeb"/>
        <w:shd w:val="clear" w:color="auto" w:fill="FFFFFF"/>
        <w:jc w:val="both"/>
        <w:rPr>
          <w:color w:val="FF0000"/>
        </w:rPr>
      </w:pPr>
      <w:r w:rsidRPr="00676E4D">
        <w:rPr>
          <w:color w:val="FF0000"/>
        </w:rPr>
        <w:t>Creo que hay suf</w:t>
      </w:r>
      <w:r w:rsidR="00FC4823">
        <w:rPr>
          <w:color w:val="FF0000"/>
        </w:rPr>
        <w:t>iciente margen (</w:t>
      </w:r>
      <w:r w:rsidRPr="00676E4D">
        <w:rPr>
          <w:color w:val="FF0000"/>
        </w:rPr>
        <w:t>dar o quitar razón) para alcanzar el 50% objetivo.</w:t>
      </w:r>
    </w:p>
    <w:p w:rsidR="001C71BB" w:rsidRPr="00676E4D" w:rsidRDefault="001C71BB" w:rsidP="001C71BB">
      <w:pPr>
        <w:pStyle w:val="NormalWeb"/>
        <w:shd w:val="clear" w:color="auto" w:fill="FFFFFF"/>
        <w:jc w:val="both"/>
        <w:rPr>
          <w:color w:val="FF0000"/>
        </w:rPr>
      </w:pPr>
      <w:r w:rsidRPr="00676E4D">
        <w:rPr>
          <w:color w:val="FF0000"/>
        </w:rPr>
        <w:t>(Estas reducciones de personal se hacen sin afectar a las plantilla de funcionarios de carrera, personal de los sectores de Educación, Sanidad, Fuerzas y Cuerpos de Seguridad, y Justicia. Sin duda, también en esos sectores se pueden hacer importantes disminuciones de plantilla, sin afectar sus funciones básicas (queda pendiente de realizar el análisis específico).  En el caso de las Empresas de Estado la reducción prevista es del 100% dado que se contempla la privatización total de las empresas, por lo que su personal pasaría al sector privado.</w:t>
      </w:r>
    </w:p>
    <w:p w:rsidR="001C71BB" w:rsidRDefault="001C71BB" w:rsidP="001C71BB">
      <w:pPr>
        <w:pStyle w:val="NormalWeb"/>
        <w:shd w:val="clear" w:color="auto" w:fill="FFFFFF"/>
        <w:jc w:val="both"/>
      </w:pPr>
      <w:r>
        <w:t>¿</w:t>
      </w:r>
      <w:r w:rsidRPr="0046534C">
        <w:rPr>
          <w:u w:val="single"/>
        </w:rPr>
        <w:t>Cuántas personas cobran del estado en España</w:t>
      </w:r>
      <w:r>
        <w:t xml:space="preserve">? (Fuente: gaceta.es - </w:t>
      </w:r>
      <w:r w:rsidRPr="0046534C">
        <w:rPr>
          <w:b/>
        </w:rPr>
        <w:t>16/2/25</w:t>
      </w:r>
      <w:r>
        <w:t>)</w:t>
      </w:r>
    </w:p>
    <w:p w:rsidR="001C71BB" w:rsidRDefault="001C71BB" w:rsidP="001C71BB">
      <w:pPr>
        <w:pStyle w:val="NormalWeb"/>
        <w:shd w:val="clear" w:color="auto" w:fill="FFFFFF"/>
        <w:jc w:val="both"/>
      </w:pPr>
      <w:r>
        <w:t>En España, aproximadamente 21 millones de personas reciben algún tipo de pago o prestación del Estado, lo que representa alrededor del 44% de la población. Esto incluye a funcionarios públicos, pensionistas, beneficiarios de subsidios por desempleo y otras ayudas sociales.</w:t>
      </w:r>
    </w:p>
    <w:p w:rsidR="001C71BB" w:rsidRDefault="001C71BB" w:rsidP="001C71BB">
      <w:pPr>
        <w:pStyle w:val="NormalWeb"/>
        <w:shd w:val="clear" w:color="auto" w:fill="FFFFFF"/>
        <w:jc w:val="both"/>
      </w:pPr>
      <w:r>
        <w:t>Más de la mitad de los españoles dependen de una pensión, subsidio o salario público</w:t>
      </w:r>
    </w:p>
    <w:p w:rsidR="001C71BB" w:rsidRDefault="001C71BB" w:rsidP="001C71BB">
      <w:pPr>
        <w:pStyle w:val="NormalWeb"/>
        <w:shd w:val="clear" w:color="auto" w:fill="FFFFFF"/>
        <w:jc w:val="both"/>
      </w:pPr>
      <w:r>
        <w:t xml:space="preserve">España avanza hacia un modelo donde el sostenimiento económico de más de la mitad de la población adulta depende directamente del sector público. Pensiones, ayudas al desempleo, </w:t>
      </w:r>
      <w:r>
        <w:lastRenderedPageBreak/>
        <w:t>sueldos de funcionarios y subsidios representan el sustento de 19,3 millones de ciudadanos, lo que equivale a casi uno de cada dos españoles mayores de 18 años.</w:t>
      </w:r>
    </w:p>
    <w:p w:rsidR="001C71BB" w:rsidRDefault="001C71BB" w:rsidP="001C71BB">
      <w:pPr>
        <w:pStyle w:val="NormalWeb"/>
        <w:shd w:val="clear" w:color="auto" w:fill="FFFFFF"/>
        <w:jc w:val="both"/>
      </w:pPr>
      <w:r>
        <w:t>El análisis de los datos del Instituto Nacional de Estadística (INE) y otras fuentes oficiales, confirma una tendencia en aumento debido al envejecimiento demográfico y las tensiones económicas. La población activa joven no crece al ritmo necesario para sostener el sistema, mientras que el número de perceptores de prestaciones sigue batiendo récords.</w:t>
      </w:r>
    </w:p>
    <w:p w:rsidR="001C71BB" w:rsidRDefault="001C71BB" w:rsidP="001C71BB">
      <w:pPr>
        <w:pStyle w:val="NormalWeb"/>
        <w:shd w:val="clear" w:color="auto" w:fill="FFFFFF"/>
        <w:jc w:val="both"/>
      </w:pPr>
      <w:r>
        <w:t>En España residen 39,8 millones de ciudadanos en edad de votar (mayores de 18 años), de un total de 47,85 millones. Con el paso de los años, la dependencia del sector público ha crecido exponencialmente, impulsada por dos factores principales: el incremento del número de pensionistas y el auge del empleo público como estrategia para reducir el desempleo.</w:t>
      </w:r>
    </w:p>
    <w:p w:rsidR="001C71BB" w:rsidRDefault="001C71BB" w:rsidP="001C71BB">
      <w:pPr>
        <w:pStyle w:val="NormalWeb"/>
        <w:shd w:val="clear" w:color="auto" w:fill="FFFFFF"/>
        <w:jc w:val="both"/>
      </w:pPr>
      <w:r>
        <w:t>El costo de vida en aumento, especialmente en vivienda y bienes de primera necesidad, ha forzado a muchas familias a buscar subsidios o ayudas estatales para poder afrontar sus necesidades básicas. A su vez, el mercado laboral no ha logrado ofrecer soluciones eficaces, ya que el empleo privado cada vez se caracteriza más por la precariedad y los bajos salarios.</w:t>
      </w:r>
    </w:p>
    <w:p w:rsidR="001C71BB" w:rsidRDefault="001C71BB" w:rsidP="001C71BB">
      <w:pPr>
        <w:pStyle w:val="NormalWeb"/>
        <w:shd w:val="clear" w:color="auto" w:fill="FFFFFF"/>
        <w:jc w:val="both"/>
      </w:pPr>
      <w:r>
        <w:t>A comienzos de 2025, la Seguridad Social registró 9,3 millones de pensionistas contributivos, aunque el número total de prestaciones es aún mayor, ya que algunos beneficiarios perciben más de una pensión (por ejemplo, jubilación y viudedad).</w:t>
      </w:r>
    </w:p>
    <w:p w:rsidR="001C71BB" w:rsidRDefault="001C71BB" w:rsidP="001C71BB">
      <w:pPr>
        <w:pStyle w:val="NormalWeb"/>
        <w:shd w:val="clear" w:color="auto" w:fill="FFFFFF"/>
        <w:jc w:val="both"/>
      </w:pPr>
      <w:r>
        <w:t>La pensión media contributiva superó los 1.300 euros, mientras que la de jubilación rozó los 1.500 euros, incluyendo la última revalorización del 2,8%. En conjunto, el gasto mensual en pensiones alcanzó los 13.432 millones de euros en enero.</w:t>
      </w:r>
    </w:p>
    <w:p w:rsidR="001C71BB" w:rsidRDefault="001C71BB" w:rsidP="001C71BB">
      <w:pPr>
        <w:pStyle w:val="NormalWeb"/>
        <w:shd w:val="clear" w:color="auto" w:fill="FFFFFF"/>
        <w:jc w:val="both"/>
      </w:pPr>
      <w:r>
        <w:t>A esto se suman los 457.380 beneficiarios de pensiones no contributivas y los 721.395 funcionarios retirados que reciben prestaciones del sistema de Clases Pasivas. En total, el gasto mensual en pensiones de este último grupo supera los 3.204 millones de euros, detalla The Objective.</w:t>
      </w:r>
    </w:p>
    <w:p w:rsidR="001C71BB" w:rsidRDefault="001C71BB" w:rsidP="001C71BB">
      <w:pPr>
        <w:pStyle w:val="NormalWeb"/>
        <w:shd w:val="clear" w:color="auto" w:fill="FFFFFF"/>
        <w:jc w:val="both"/>
      </w:pPr>
      <w:r>
        <w:t>Paralelamente, el número de empleados públicos sigue en aumento, con una gran proporción de altos cargos y asesores. Actualmente, el Gobierno central cuenta con 1.373 cargos de confianza y 778 altos cargos. En el ámbito autonómico, las cifras son aún más significativas: 3.294 asesores y directivos contratados.</w:t>
      </w:r>
    </w:p>
    <w:p w:rsidR="001C71BB" w:rsidRDefault="001C71BB" w:rsidP="001C71BB">
      <w:pPr>
        <w:pStyle w:val="NormalWeb"/>
        <w:shd w:val="clear" w:color="auto" w:fill="FFFFFF"/>
        <w:jc w:val="both"/>
      </w:pPr>
      <w:r>
        <w:t>A pesar de ello, no hay un registro claro sobre el número total de asesores en los más de 8.000 municipios y en los entes públicos, lo que dificulta conocer el peso exacto de esta partida en el gasto del Estado.</w:t>
      </w:r>
    </w:p>
    <w:p w:rsidR="001C71BB" w:rsidRDefault="001C71BB" w:rsidP="001C71BB">
      <w:pPr>
        <w:pStyle w:val="NormalWeb"/>
        <w:shd w:val="clear" w:color="auto" w:fill="FFFFFF"/>
        <w:jc w:val="both"/>
      </w:pPr>
      <w:r>
        <w:t>Además de las pensiones, un elevado número de ciudadanos recibe prestaciones por desempleo y otras ayudas públicas. Según datos oficiales:</w:t>
      </w:r>
    </w:p>
    <w:p w:rsidR="001C71BB" w:rsidRPr="0046534C" w:rsidRDefault="001C71BB" w:rsidP="001C71BB">
      <w:pPr>
        <w:numPr>
          <w:ilvl w:val="0"/>
          <w:numId w:val="20"/>
        </w:numPr>
        <w:spacing w:before="100" w:beforeAutospacing="1" w:after="100" w:afterAutospacing="1" w:line="240" w:lineRule="auto"/>
        <w:jc w:val="both"/>
        <w:textAlignment w:val="baseline"/>
        <w:rPr>
          <w:rFonts w:ascii="Times New Roman" w:eastAsia="Times New Roman" w:hAnsi="Times New Roman" w:cs="Times New Roman"/>
          <w:color w:val="191919"/>
          <w:sz w:val="24"/>
          <w:szCs w:val="24"/>
          <w:lang w:eastAsia="es-ES"/>
        </w:rPr>
      </w:pPr>
      <w:r w:rsidRPr="0046534C">
        <w:rPr>
          <w:rFonts w:ascii="Times New Roman" w:eastAsia="Times New Roman" w:hAnsi="Times New Roman" w:cs="Times New Roman"/>
          <w:bCs/>
          <w:color w:val="191919"/>
          <w:sz w:val="24"/>
          <w:szCs w:val="24"/>
          <w:lang w:eastAsia="es-ES"/>
        </w:rPr>
        <w:t>915.704 personas</w:t>
      </w:r>
      <w:r w:rsidRPr="0046534C">
        <w:rPr>
          <w:rFonts w:ascii="Times New Roman" w:eastAsia="Times New Roman" w:hAnsi="Times New Roman" w:cs="Times New Roman"/>
          <w:color w:val="191919"/>
          <w:sz w:val="24"/>
          <w:szCs w:val="24"/>
          <w:lang w:eastAsia="es-ES"/>
        </w:rPr>
        <w:t> perciben una prestación contributiva por desempleo.</w:t>
      </w:r>
    </w:p>
    <w:p w:rsidR="001C71BB" w:rsidRPr="0046534C" w:rsidRDefault="001C71BB" w:rsidP="001C71BB">
      <w:pPr>
        <w:numPr>
          <w:ilvl w:val="0"/>
          <w:numId w:val="20"/>
        </w:numPr>
        <w:spacing w:before="100" w:beforeAutospacing="1" w:after="100" w:afterAutospacing="1" w:line="240" w:lineRule="auto"/>
        <w:jc w:val="both"/>
        <w:textAlignment w:val="baseline"/>
        <w:rPr>
          <w:rFonts w:ascii="Times New Roman" w:eastAsia="Times New Roman" w:hAnsi="Times New Roman" w:cs="Times New Roman"/>
          <w:color w:val="191919"/>
          <w:sz w:val="24"/>
          <w:szCs w:val="24"/>
          <w:lang w:eastAsia="es-ES"/>
        </w:rPr>
      </w:pPr>
      <w:r w:rsidRPr="0046534C">
        <w:rPr>
          <w:rFonts w:ascii="Times New Roman" w:eastAsia="Times New Roman" w:hAnsi="Times New Roman" w:cs="Times New Roman"/>
          <w:bCs/>
          <w:color w:val="191919"/>
          <w:sz w:val="24"/>
          <w:szCs w:val="24"/>
          <w:lang w:eastAsia="es-ES"/>
        </w:rPr>
        <w:t>656.053 ciudadanos</w:t>
      </w:r>
      <w:r w:rsidRPr="0046534C">
        <w:rPr>
          <w:rFonts w:ascii="Times New Roman" w:eastAsia="Times New Roman" w:hAnsi="Times New Roman" w:cs="Times New Roman"/>
          <w:color w:val="191919"/>
          <w:sz w:val="24"/>
          <w:szCs w:val="24"/>
          <w:lang w:eastAsia="es-ES"/>
        </w:rPr>
        <w:t> cobran el </w:t>
      </w:r>
      <w:r w:rsidRPr="0046534C">
        <w:rPr>
          <w:rFonts w:ascii="Times New Roman" w:eastAsia="Times New Roman" w:hAnsi="Times New Roman" w:cs="Times New Roman"/>
          <w:bCs/>
          <w:color w:val="191919"/>
          <w:sz w:val="24"/>
          <w:szCs w:val="24"/>
          <w:lang w:eastAsia="es-ES"/>
        </w:rPr>
        <w:t>subsidio para mayores de 52 años</w:t>
      </w:r>
      <w:r w:rsidRPr="0046534C">
        <w:rPr>
          <w:rFonts w:ascii="Times New Roman" w:eastAsia="Times New Roman" w:hAnsi="Times New Roman" w:cs="Times New Roman"/>
          <w:color w:val="191919"/>
          <w:sz w:val="24"/>
          <w:szCs w:val="24"/>
          <w:lang w:eastAsia="es-ES"/>
        </w:rPr>
        <w:t>, que permite recibir la ayuda hasta la edad de jubilación.</w:t>
      </w:r>
    </w:p>
    <w:p w:rsidR="001C71BB" w:rsidRPr="0046534C" w:rsidRDefault="001C71BB" w:rsidP="001C71BB">
      <w:pPr>
        <w:numPr>
          <w:ilvl w:val="0"/>
          <w:numId w:val="20"/>
        </w:numPr>
        <w:spacing w:before="100" w:beforeAutospacing="1" w:after="100" w:afterAutospacing="1" w:line="240" w:lineRule="auto"/>
        <w:jc w:val="both"/>
        <w:textAlignment w:val="baseline"/>
        <w:rPr>
          <w:rFonts w:ascii="Times New Roman" w:eastAsia="Times New Roman" w:hAnsi="Times New Roman" w:cs="Times New Roman"/>
          <w:color w:val="191919"/>
          <w:sz w:val="24"/>
          <w:szCs w:val="24"/>
          <w:lang w:eastAsia="es-ES"/>
        </w:rPr>
      </w:pPr>
      <w:r w:rsidRPr="0046534C">
        <w:rPr>
          <w:rFonts w:ascii="Times New Roman" w:eastAsia="Times New Roman" w:hAnsi="Times New Roman" w:cs="Times New Roman"/>
          <w:bCs/>
          <w:color w:val="191919"/>
          <w:sz w:val="24"/>
          <w:szCs w:val="24"/>
          <w:lang w:eastAsia="es-ES"/>
        </w:rPr>
        <w:t>142.567 personas</w:t>
      </w:r>
      <w:r w:rsidRPr="0046534C">
        <w:rPr>
          <w:rFonts w:ascii="Times New Roman" w:eastAsia="Times New Roman" w:hAnsi="Times New Roman" w:cs="Times New Roman"/>
          <w:color w:val="191919"/>
          <w:sz w:val="24"/>
          <w:szCs w:val="24"/>
          <w:lang w:eastAsia="es-ES"/>
        </w:rPr>
        <w:t> obtienen ayudas agrarias.</w:t>
      </w:r>
    </w:p>
    <w:p w:rsidR="001C71BB" w:rsidRPr="0046534C" w:rsidRDefault="001C71BB" w:rsidP="001C71BB">
      <w:pPr>
        <w:numPr>
          <w:ilvl w:val="0"/>
          <w:numId w:val="20"/>
        </w:numPr>
        <w:spacing w:before="100" w:beforeAutospacing="1" w:after="100" w:afterAutospacing="1" w:line="240" w:lineRule="auto"/>
        <w:jc w:val="both"/>
        <w:textAlignment w:val="baseline"/>
        <w:rPr>
          <w:rFonts w:ascii="Times New Roman" w:eastAsia="Times New Roman" w:hAnsi="Times New Roman" w:cs="Times New Roman"/>
          <w:color w:val="191919"/>
          <w:sz w:val="24"/>
          <w:szCs w:val="24"/>
          <w:lang w:eastAsia="es-ES"/>
        </w:rPr>
      </w:pPr>
      <w:r w:rsidRPr="0046534C">
        <w:rPr>
          <w:rFonts w:ascii="Times New Roman" w:eastAsia="Times New Roman" w:hAnsi="Times New Roman" w:cs="Times New Roman"/>
          <w:bCs/>
          <w:color w:val="191919"/>
          <w:sz w:val="24"/>
          <w:szCs w:val="24"/>
          <w:lang w:eastAsia="es-ES"/>
        </w:rPr>
        <w:t>73.861 ciudadanos</w:t>
      </w:r>
      <w:r w:rsidRPr="0046534C">
        <w:rPr>
          <w:rFonts w:ascii="Times New Roman" w:eastAsia="Times New Roman" w:hAnsi="Times New Roman" w:cs="Times New Roman"/>
          <w:color w:val="191919"/>
          <w:sz w:val="24"/>
          <w:szCs w:val="24"/>
          <w:lang w:eastAsia="es-ES"/>
        </w:rPr>
        <w:t> reciben la </w:t>
      </w:r>
      <w:r w:rsidRPr="0046534C">
        <w:rPr>
          <w:rFonts w:ascii="Times New Roman" w:eastAsia="Times New Roman" w:hAnsi="Times New Roman" w:cs="Times New Roman"/>
          <w:bCs/>
          <w:color w:val="191919"/>
          <w:sz w:val="24"/>
          <w:szCs w:val="24"/>
          <w:lang w:eastAsia="es-ES"/>
        </w:rPr>
        <w:t>Renta Activa de Inserción (RAI)</w:t>
      </w:r>
      <w:r w:rsidRPr="0046534C">
        <w:rPr>
          <w:rFonts w:ascii="Times New Roman" w:eastAsia="Times New Roman" w:hAnsi="Times New Roman" w:cs="Times New Roman"/>
          <w:color w:val="191919"/>
          <w:sz w:val="24"/>
          <w:szCs w:val="24"/>
          <w:lang w:eastAsia="es-ES"/>
        </w:rPr>
        <w:t>, dirigida a colectivos vulnerables.</w:t>
      </w:r>
    </w:p>
    <w:p w:rsidR="001C71BB" w:rsidRDefault="001C71BB" w:rsidP="001C71BB">
      <w:pPr>
        <w:pStyle w:val="NormalWeb"/>
        <w:shd w:val="clear" w:color="auto" w:fill="FFFFFF"/>
        <w:jc w:val="both"/>
      </w:pPr>
      <w:r>
        <w:lastRenderedPageBreak/>
        <w:t>En total, casi 1,8 millones de españoles dependen del sistema de prestaciones por desempleo, en un contexto en el que más de 3,1 millones de personas están registradas como paradas.</w:t>
      </w:r>
    </w:p>
    <w:p w:rsidR="001C71BB" w:rsidRDefault="001C71BB" w:rsidP="001C71BB">
      <w:pPr>
        <w:pStyle w:val="NormalWeb"/>
        <w:shd w:val="clear" w:color="auto" w:fill="FFFFFF"/>
        <w:jc w:val="both"/>
      </w:pPr>
      <w:r>
        <w:t>Otro aspecto clave del gasto social en España es la ayuda a la dependencia, que incluye prestaciones económicas para cuidadores profesionales y familiares. Actualmente, el número de prestaciones concedidas supera los 2,13 millones, aunque muchas de ellas se reparten entre distintos beneficiarios. A pesar de su importancia, el sistema ha sido criticado por la lentitud en la concesión de ayudas y la falta de recursos para garantizar un acceso equitativo a estos servicios.</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 xml:space="preserve">- </w:t>
      </w:r>
      <w:r w:rsidRPr="00182E89">
        <w:rPr>
          <w:rFonts w:ascii="Times New Roman" w:hAnsi="Times New Roman" w:cs="Times New Roman"/>
          <w:sz w:val="24"/>
          <w:szCs w:val="24"/>
          <w:u w:val="single"/>
          <w:shd w:val="clear" w:color="auto" w:fill="FFFFFF"/>
        </w:rPr>
        <w:t>El Gobierno presume de haber convocado 260.000 plazas para funcionarios, pero 1 de cada 3 aún tiene contrato temporal</w:t>
      </w:r>
      <w:r w:rsidRPr="00182E89">
        <w:rPr>
          <w:rFonts w:ascii="Times New Roman" w:hAnsi="Times New Roman" w:cs="Times New Roman"/>
          <w:sz w:val="24"/>
          <w:szCs w:val="24"/>
          <w:shd w:val="clear" w:color="auto" w:fill="FFFFFF"/>
        </w:rPr>
        <w:t xml:space="preserve"> (El Español - </w:t>
      </w:r>
      <w:r w:rsidRPr="00182E89">
        <w:rPr>
          <w:rFonts w:ascii="Times New Roman" w:hAnsi="Times New Roman" w:cs="Times New Roman"/>
          <w:b/>
          <w:sz w:val="24"/>
          <w:szCs w:val="24"/>
          <w:shd w:val="clear" w:color="auto" w:fill="FFFFFF"/>
        </w:rPr>
        <w:t>16/7/25</w:t>
      </w:r>
      <w:r w:rsidRPr="00182E89">
        <w:rPr>
          <w:rFonts w:ascii="Times New Roman" w:hAnsi="Times New Roman" w:cs="Times New Roman"/>
          <w:sz w:val="24"/>
          <w:szCs w:val="24"/>
          <w:shd w:val="clear" w:color="auto" w:fill="FFFFFF"/>
        </w:rPr>
        <w:t>)</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España ha dejado de recibir 626 millones de la UE por una reforma insuficiente en la estabilización del personal interino.</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Más información: La reforma laboral no pasa por el sector público: el empleo temporal supone el 28%, el triple de lo prometido a la UE</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El Gobierno ha aprobado la Oferta de Empleo Público (OEP) de 2025. Con ella, el Ejecutivo de coalición ha convocado más de 260.000 plazas desde su formación. A pesar de ello, y según la última Encuesta de Población Activa (EPA), casi uno de cada tres funcionarios tiene contrato temporal…</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(Artículo incompleto)</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 xml:space="preserve">- </w:t>
      </w:r>
      <w:r w:rsidRPr="00182E89">
        <w:rPr>
          <w:rFonts w:ascii="Times New Roman" w:hAnsi="Times New Roman" w:cs="Times New Roman"/>
          <w:sz w:val="24"/>
          <w:szCs w:val="24"/>
          <w:u w:val="single"/>
          <w:shd w:val="clear" w:color="auto" w:fill="FFFFFF"/>
        </w:rPr>
        <w:t>El Gobierno aprueba 26.889 plazas para la Administración General del Estado en la Oferta de Empleo Público de 2025</w:t>
      </w:r>
      <w:r w:rsidRPr="00182E89">
        <w:rPr>
          <w:rFonts w:ascii="Times New Roman" w:hAnsi="Times New Roman" w:cs="Times New Roman"/>
          <w:sz w:val="24"/>
          <w:szCs w:val="24"/>
          <w:shd w:val="clear" w:color="auto" w:fill="FFFFFF"/>
        </w:rPr>
        <w:t xml:space="preserve"> (El Economista - </w:t>
      </w:r>
      <w:r w:rsidRPr="00182E89">
        <w:rPr>
          <w:rFonts w:ascii="Times New Roman" w:hAnsi="Times New Roman" w:cs="Times New Roman"/>
          <w:b/>
          <w:sz w:val="24"/>
          <w:szCs w:val="24"/>
          <w:shd w:val="clear" w:color="auto" w:fill="FFFFFF"/>
        </w:rPr>
        <w:t>16/7/25</w:t>
      </w:r>
      <w:r w:rsidRPr="00182E89">
        <w:rPr>
          <w:rFonts w:ascii="Times New Roman" w:hAnsi="Times New Roman" w:cs="Times New Roman"/>
          <w:sz w:val="24"/>
          <w:szCs w:val="24"/>
          <w:shd w:val="clear" w:color="auto" w:fill="FFFFFF"/>
        </w:rPr>
        <w:t>)</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Se trata de 4.576 vacantes menos que en 2024, un 14,54% menos</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 xml:space="preserve">La oferta sale adelante por segundo año consecutivo sin el apoyo de los sindicatos </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 xml:space="preserve"> (Por Esther Zamora Torralba)</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El Consejo de Ministros ha aprobado este martes la nueva Oferta de Empleo Público (OEP) correspondiente al año 2025 y lo hace, por segundo año consecutivo, sin el apoyo de los sindicatos con los que trató de llegar a un acuerdo hace unas semanas (CCOO, UGT, CSI</w:t>
      </w:r>
      <w:r w:rsidR="00FC4823">
        <w:rPr>
          <w:rFonts w:ascii="Times New Roman" w:hAnsi="Times New Roman" w:cs="Times New Roman"/>
          <w:sz w:val="24"/>
          <w:szCs w:val="24"/>
          <w:shd w:val="clear" w:color="auto" w:fill="FFFFFF"/>
        </w:rPr>
        <w:t>F), ya que éstos la consideran “insuficiente”</w:t>
      </w:r>
      <w:r w:rsidRPr="00182E89">
        <w:rPr>
          <w:rFonts w:ascii="Times New Roman" w:hAnsi="Times New Roman" w:cs="Times New Roman"/>
          <w:sz w:val="24"/>
          <w:szCs w:val="24"/>
          <w:shd w:val="clear" w:color="auto" w:fill="FFFFFF"/>
        </w:rPr>
        <w:t>.</w:t>
      </w:r>
    </w:p>
    <w:p w:rsidR="001C71BB"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El Gobierno ha cifrado la OEP en 36.588 plazas, de las que 26.889 son para la Administración General del Estado (AGE), correspondiendo 20.324 a nuevo ingreso y 6.565 a promoción interna. Con estas nuevas cifras, el Gobierno de Pedro Sánchez más que cuadruplica las convocatorias realizadas por el Ejecutivo que lideró Mariano Rajoy, en el que salieron adelante unas 60.000 vacantes, mientras que el actual Gobierno ya suma unas 260.000.</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Estas vacantes supone un 14,54% menos que la que se ofertó finalmente en la OEP de 2024, y una de las más bajas de los últimos 4 años, muy alejada de lo que preveían los propios sindicatos, y que es uno de los principales motivos por los que no han llegado a un acuerdo. Este porcentaje desciende hasta el 8,86% si se tienen suman las plazas que se destinaron a los cuerpos y f</w:t>
      </w:r>
      <w:r>
        <w:rPr>
          <w:rFonts w:ascii="Times New Roman" w:hAnsi="Times New Roman" w:cs="Times New Roman"/>
          <w:sz w:val="24"/>
          <w:szCs w:val="24"/>
          <w:shd w:val="clear" w:color="auto" w:fill="FFFFFF"/>
        </w:rPr>
        <w:t>uerzas de seguridad del Estado.</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noProof/>
          <w:sz w:val="24"/>
          <w:szCs w:val="24"/>
          <w:shd w:val="clear" w:color="auto" w:fill="FFFFFF"/>
          <w:lang w:eastAsia="es-ES"/>
        </w:rPr>
        <w:lastRenderedPageBreak/>
        <w:drawing>
          <wp:inline distT="0" distB="0" distL="0" distR="0" wp14:anchorId="4A95446B" wp14:editId="5B6E9C67">
            <wp:extent cx="5727700" cy="3397250"/>
            <wp:effectExtent l="0" t="0" r="6350" b="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31510" cy="3399510"/>
                    </a:xfrm>
                    <a:prstGeom prst="rect">
                      <a:avLst/>
                    </a:prstGeom>
                  </pic:spPr>
                </pic:pic>
              </a:graphicData>
            </a:graphic>
          </wp:inline>
        </w:drawing>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 xml:space="preserve">El no de la parte sindical viene dado porque en la última reunión de la Comisión Técnica de Temporalidad y Empleo, la propuesta del ministerio de Función Pública fue una de las que menos plazas cuantificaban de los últimos años al cifrarse en 16.500 los puestos de trabajo de acceso libre para la Administración General del Estado que, unidos a la promoción interna, ascenderían hasta los 27.000, mientras que hace un año se aprobaron 31.465 puestos para la AGE, lo que supone 4.465 vacantes menos que hace un año. Todo ello, en un contexto en el que los sindicatos vienen denunciando la pérdida de empleo en la Administración General del Estado, que ha sido de más de 20.000 empleados en los últimos diez años, un problema que se convertirá en estructural si no se comienzan a tener en cuenta en las ofertas las jubilaciones y jubilaciones parciales, ya que la plantilla </w:t>
      </w:r>
      <w:r w:rsidR="00FC4823">
        <w:rPr>
          <w:rFonts w:ascii="Times New Roman" w:hAnsi="Times New Roman" w:cs="Times New Roman"/>
          <w:sz w:val="24"/>
          <w:szCs w:val="24"/>
          <w:shd w:val="clear" w:color="auto" w:fill="FFFFFF"/>
        </w:rPr>
        <w:t>de la AGE tiene más de 60 años -</w:t>
      </w:r>
      <w:r w:rsidRPr="00182E89">
        <w:rPr>
          <w:rFonts w:ascii="Times New Roman" w:hAnsi="Times New Roman" w:cs="Times New Roman"/>
          <w:sz w:val="24"/>
          <w:szCs w:val="24"/>
          <w:shd w:val="clear" w:color="auto" w:fill="FFFFFF"/>
        </w:rPr>
        <w:t>equivale a un</w:t>
      </w:r>
      <w:r w:rsidR="00FC4823">
        <w:rPr>
          <w:rFonts w:ascii="Times New Roman" w:hAnsi="Times New Roman" w:cs="Times New Roman"/>
          <w:sz w:val="24"/>
          <w:szCs w:val="24"/>
          <w:shd w:val="clear" w:color="auto" w:fill="FFFFFF"/>
        </w:rPr>
        <w:t>os 50.900 trabajadores públicos-</w:t>
      </w:r>
      <w:r w:rsidRPr="00182E89">
        <w:rPr>
          <w:rFonts w:ascii="Times New Roman" w:hAnsi="Times New Roman" w:cs="Times New Roman"/>
          <w:sz w:val="24"/>
          <w:szCs w:val="24"/>
          <w:shd w:val="clear" w:color="auto" w:fill="FFFFFF"/>
        </w:rPr>
        <w:t>.</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Como ya adelantaba este medio hace una semana, el ministerio tenía en su agenda que la Oferta de Empleo Pública de 2025 se aprobara en el mes de julio, siguiendo así con el mismo calendario de los últimos años, a excepción de 2022, cuando se aprobó a finales del mes de mayo (el día 25 concretamente)</w:t>
      </w:r>
      <w:r w:rsidR="00FC4823">
        <w:rPr>
          <w:rFonts w:ascii="Times New Roman" w:hAnsi="Times New Roman" w:cs="Times New Roman"/>
          <w:sz w:val="24"/>
          <w:szCs w:val="24"/>
          <w:shd w:val="clear" w:color="auto" w:fill="FFFFFF"/>
        </w:rPr>
        <w:t>, 2019, que se aprobó en marzo -</w:t>
      </w:r>
      <w:r w:rsidRPr="00182E89">
        <w:rPr>
          <w:rFonts w:ascii="Times New Roman" w:hAnsi="Times New Roman" w:cs="Times New Roman"/>
          <w:sz w:val="24"/>
          <w:szCs w:val="24"/>
          <w:shd w:val="clear" w:color="auto" w:fill="FFFFFF"/>
        </w:rPr>
        <w:t>la convocatoria más prematura en desde que el Partido</w:t>
      </w:r>
      <w:r w:rsidR="00FC4823">
        <w:rPr>
          <w:rFonts w:ascii="Times New Roman" w:hAnsi="Times New Roman" w:cs="Times New Roman"/>
          <w:sz w:val="24"/>
          <w:szCs w:val="24"/>
          <w:shd w:val="clear" w:color="auto" w:fill="FFFFFF"/>
        </w:rPr>
        <w:t xml:space="preserve"> Socialista está en el Gobierno-</w:t>
      </w:r>
      <w:r w:rsidRPr="00182E89">
        <w:rPr>
          <w:rFonts w:ascii="Times New Roman" w:hAnsi="Times New Roman" w:cs="Times New Roman"/>
          <w:sz w:val="24"/>
          <w:szCs w:val="24"/>
          <w:shd w:val="clear" w:color="auto" w:fill="FFFFFF"/>
        </w:rPr>
        <w:t xml:space="preserve"> y 2020, que </w:t>
      </w:r>
      <w:r>
        <w:rPr>
          <w:rFonts w:ascii="Times New Roman" w:hAnsi="Times New Roman" w:cs="Times New Roman"/>
          <w:sz w:val="24"/>
          <w:szCs w:val="24"/>
          <w:shd w:val="clear" w:color="auto" w:fill="FFFFFF"/>
        </w:rPr>
        <w:t>se aprobó en el mes de octubre -la OEP más tardía-</w:t>
      </w:r>
      <w:r w:rsidRPr="00182E89">
        <w:rPr>
          <w:rFonts w:ascii="Times New Roman" w:hAnsi="Times New Roman" w:cs="Times New Roman"/>
          <w:sz w:val="24"/>
          <w:szCs w:val="24"/>
          <w:shd w:val="clear" w:color="auto" w:fill="FFFFFF"/>
        </w:rPr>
        <w:t>. Y es que, desde 2018, tanto en ese año como en 2021, 2023 y 2024, la Oferta de Empleo Público se aprobó e hizo efectiva en el BOE en el mes de julio.</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Las nuevas plazas, que se publicarán en los próximos días en el BOE para hacerse efectivas, y que corresponderán a los funcionarios del Estado se sumarán a las que ya se publicaron el pasado mes de abril y que corresponden a las Fuerzas y Cuerpos de Seguridad del Estado. En total salieron 6.272 vacantes, de las que 2.914 corresponden a la Policía Nacional -2.764 para Escala Básica, 553 para militares y 150 para Escala Ejecutiva- y 3.118 a la Guardia Civil -1.248 para militares profesionales de tropa y marinería y 240 para el Colegio de Guardias Jóvenes-.</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 xml:space="preserve">La nueva OEP llega en un momento complicado para la Administración Pública por el envejecimiento de las plantillas, ya que el 21% de los empleados del sector público, que </w:t>
      </w:r>
      <w:r w:rsidRPr="00182E89">
        <w:rPr>
          <w:rFonts w:ascii="Times New Roman" w:hAnsi="Times New Roman" w:cs="Times New Roman"/>
          <w:sz w:val="24"/>
          <w:szCs w:val="24"/>
          <w:shd w:val="clear" w:color="auto" w:fill="FFFFFF"/>
        </w:rPr>
        <w:lastRenderedPageBreak/>
        <w:t>supone unos 51.000 trabajadores, ya tiene más de 60 años y tienen una edad próxima a la edad de jubilación. Además, en los últimos 10 años se han perdido un total de 92.100 puestos de trabajo, en parte por el envejecimiento de los trabajadores públicos. En este sentido, los sindicatos ya habían reclamado a Función Pública anteriormente que, para la OEP de 2025, se tuvieran en cuenta las jubilaciones para que se pueda revertir la situación.</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Si bien es cierto, en 2021 se comenzó a revertir la tendencia de incorporación en la que las bajas superaban a las altas. Hace cuatro años el índice comenzó a ser positivo (8.977 bajas y 9.640 altas) y en 2024 las personas que se comenzaron a trabajar en la AGE llegaron a duplicar a las que dejaban su puesto. Esta situación ha hecho que la edad media de los trabajadores públicos se haya reducido y haya pasado de los 51 años de media a los 49. Ahora, el 42% de los empleados del sector público ya tiene menos de 50 años.</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Solicitudes de jubilaciones parciales</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Si bien es cierto, hace unas semanas el ministerio liderado por Óscar López puso un número a las solicitudes de jubilación parcial que habían recibido desde el pasado mes de abril, cuando entró en vigor la reforma que paralizó este tipo de</w:t>
      </w:r>
      <w:r>
        <w:rPr>
          <w:rFonts w:ascii="Times New Roman" w:hAnsi="Times New Roman" w:cs="Times New Roman"/>
          <w:sz w:val="24"/>
          <w:szCs w:val="24"/>
          <w:shd w:val="clear" w:color="auto" w:fill="FFFFFF"/>
        </w:rPr>
        <w:t xml:space="preserve"> retiro en el personal laboral -</w:t>
      </w:r>
      <w:r w:rsidRPr="00182E89">
        <w:rPr>
          <w:rFonts w:ascii="Times New Roman" w:hAnsi="Times New Roman" w:cs="Times New Roman"/>
          <w:sz w:val="24"/>
          <w:szCs w:val="24"/>
          <w:shd w:val="clear" w:color="auto" w:fill="FFFFFF"/>
        </w:rPr>
        <w:t>funcionarios y personal estatuario trabajan para recuperarla, pero los trámites se encuentran paralizados en el Congreso-. Son un total de 1.000 las personas habrían solicitado el retiro parcial este año, y las plazas que se han pactado sacar (con UGT y CSIF) en una OEP adicional para que los trabajadores públicos puedan hacer efectivo su retiro.</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Estas nuevas vacantes están destinadas a la figura del relevista, que viene a ser aquella que sustituye al trabajador público que compatibiliza parte del salario con el cobro de la pensión, para la que cambiaron sus condiciones y, por los principios de igualdad, mérito y capacidad por el que se rige el sistema de contratación de la</w:t>
      </w:r>
      <w:r>
        <w:rPr>
          <w:rFonts w:ascii="Times New Roman" w:hAnsi="Times New Roman" w:cs="Times New Roman"/>
          <w:sz w:val="24"/>
          <w:szCs w:val="24"/>
          <w:shd w:val="clear" w:color="auto" w:fill="FFFFFF"/>
        </w:rPr>
        <w:t xml:space="preserve"> administración pública, quedó “paralizada”</w:t>
      </w:r>
      <w:r w:rsidRPr="00182E89">
        <w:rPr>
          <w:rFonts w:ascii="Times New Roman" w:hAnsi="Times New Roman" w:cs="Times New Roman"/>
          <w:sz w:val="24"/>
          <w:szCs w:val="24"/>
          <w:shd w:val="clear" w:color="auto" w:fill="FFFFFF"/>
        </w:rPr>
        <w:t xml:space="preserve"> en este sector de empleados públicos.</w:t>
      </w:r>
    </w:p>
    <w:p w:rsidR="001C71BB" w:rsidRPr="00182E89" w:rsidRDefault="001C71BB" w:rsidP="001C71BB">
      <w:pPr>
        <w:spacing w:line="240" w:lineRule="auto"/>
        <w:jc w:val="both"/>
        <w:rPr>
          <w:rFonts w:ascii="Times New Roman" w:hAnsi="Times New Roman" w:cs="Times New Roman"/>
          <w:sz w:val="24"/>
          <w:szCs w:val="24"/>
          <w:shd w:val="clear" w:color="auto" w:fill="FFFFFF"/>
        </w:rPr>
      </w:pPr>
      <w:r w:rsidRPr="00182E89">
        <w:rPr>
          <w:rFonts w:ascii="Times New Roman" w:hAnsi="Times New Roman" w:cs="Times New Roman"/>
          <w:sz w:val="24"/>
          <w:szCs w:val="24"/>
          <w:shd w:val="clear" w:color="auto" w:fill="FFFFFF"/>
        </w:rPr>
        <w:t>Ahora, Moncloa debe aclarar cómo financiará estas plazas, ya que cabe recordar que los Presupuestos Generales del Estado están prorrogados desde 2023 y e</w:t>
      </w:r>
      <w:r>
        <w:rPr>
          <w:rFonts w:ascii="Times New Roman" w:hAnsi="Times New Roman" w:cs="Times New Roman"/>
          <w:sz w:val="24"/>
          <w:szCs w:val="24"/>
          <w:shd w:val="clear" w:color="auto" w:fill="FFFFFF"/>
        </w:rPr>
        <w:t>n ellos no se contemplaba este “gasto adicional”</w:t>
      </w:r>
      <w:r w:rsidRPr="00182E89">
        <w:rPr>
          <w:rFonts w:ascii="Times New Roman" w:hAnsi="Times New Roman" w:cs="Times New Roman"/>
          <w:sz w:val="24"/>
          <w:szCs w:val="24"/>
          <w:shd w:val="clear" w:color="auto" w:fill="FFFFFF"/>
        </w:rPr>
        <w:t>. Si bien es cierto, una de las opciones podría ser amortizar las plazas que lleven más</w:t>
      </w:r>
      <w:r>
        <w:rPr>
          <w:rFonts w:ascii="Times New Roman" w:hAnsi="Times New Roman" w:cs="Times New Roman"/>
          <w:sz w:val="24"/>
          <w:szCs w:val="24"/>
          <w:shd w:val="clear" w:color="auto" w:fill="FFFFFF"/>
        </w:rPr>
        <w:t xml:space="preserve"> de tres años vacantes, lo que “</w:t>
      </w:r>
      <w:r w:rsidRPr="00182E89">
        <w:rPr>
          <w:rFonts w:ascii="Times New Roman" w:hAnsi="Times New Roman" w:cs="Times New Roman"/>
          <w:sz w:val="24"/>
          <w:szCs w:val="24"/>
          <w:shd w:val="clear" w:color="auto" w:fill="FFFFFF"/>
        </w:rPr>
        <w:t>l</w:t>
      </w:r>
      <w:r>
        <w:rPr>
          <w:rFonts w:ascii="Times New Roman" w:hAnsi="Times New Roman" w:cs="Times New Roman"/>
          <w:sz w:val="24"/>
          <w:szCs w:val="24"/>
          <w:shd w:val="clear" w:color="auto" w:fill="FFFFFF"/>
        </w:rPr>
        <w:t>iberaría”</w:t>
      </w:r>
      <w:r w:rsidRPr="00182E89">
        <w:rPr>
          <w:rFonts w:ascii="Times New Roman" w:hAnsi="Times New Roman" w:cs="Times New Roman"/>
          <w:sz w:val="24"/>
          <w:szCs w:val="24"/>
          <w:shd w:val="clear" w:color="auto" w:fill="FFFFFF"/>
        </w:rPr>
        <w:t xml:space="preserve"> el presupuesto destinado a esa plaza y que se podría reorientar a cubrir el coste de la figura del relevista. También se podría optar por ampliaciones de crédito -como se viene haciendo otros ministerios en los últimos años-, o a través de reajustes presupuestarios.</w:t>
      </w:r>
    </w:p>
    <w:p w:rsidR="001C71BB" w:rsidRPr="00F6100E" w:rsidRDefault="001C71BB" w:rsidP="001C71BB">
      <w:pPr>
        <w:pStyle w:val="NormalWeb"/>
        <w:shd w:val="clear" w:color="auto" w:fill="FFFFFF"/>
        <w:jc w:val="both"/>
        <w:rPr>
          <w:color w:val="FF0000"/>
        </w:rPr>
      </w:pPr>
      <w:r w:rsidRPr="00F6100E">
        <w:rPr>
          <w:b/>
          <w:color w:val="FF0000"/>
        </w:rPr>
        <w:t xml:space="preserve">Nota </w:t>
      </w:r>
      <w:r>
        <w:rPr>
          <w:b/>
          <w:color w:val="FF0000"/>
        </w:rPr>
        <w:t>I</w:t>
      </w:r>
      <w:r w:rsidRPr="00F6100E">
        <w:rPr>
          <w:b/>
          <w:color w:val="FF0000"/>
        </w:rPr>
        <w:t>II</w:t>
      </w:r>
      <w:r w:rsidRPr="00F6100E">
        <w:rPr>
          <w:color w:val="FF0000"/>
        </w:rPr>
        <w:t>: En España, el ciudadano medio trabaja 228 días al año (32,5 semanas o si lo prefieren 1.302,8 horas laborables), desde el 1 de enero hasta el 18 de agosto de 2025, únicamente para pagar impuestos. Este dato supone que los españoles trabajan 16 días más que en 2024 y 35 días más que en 2021 sólo para pagar impuestos. Se trata de una cifra récord que no sólo confirma el crecimiento de la carga impositiva en nuestro país, sino que desnuda el verdadero coste del Estado. Dos tercios del año dedicados exclusivamente a alimentar un engranaje público que no deja de crecer, pero cuya eficiencia y legitimidad están cada vez más en entredicho. ¿Compensa?</w:t>
      </w:r>
    </w:p>
    <w:p w:rsidR="001C71BB" w:rsidRPr="00F6100E" w:rsidRDefault="001C71BB" w:rsidP="001C71BB">
      <w:pPr>
        <w:pStyle w:val="NormalWeb"/>
        <w:shd w:val="clear" w:color="auto" w:fill="FFFFFF"/>
        <w:jc w:val="both"/>
        <w:rPr>
          <w:color w:val="FF0000"/>
        </w:rPr>
      </w:pPr>
      <w:r w:rsidRPr="00F6100E">
        <w:rPr>
          <w:color w:val="FF0000"/>
        </w:rPr>
        <w:t xml:space="preserve">Más de siete meses de trabajo y salario íntegro de los españoles van para pagar impuestos: solo comienzan a generar ingresos para sí mismos a partir de agosto. A partir de esto… ustedes mismos. Si quieren seguir alimentando al monstruo, que se los está devorando (a fe que no encuentro explicación razonable, para el escaso eco que entre el gentío ha tenido este </w:t>
      </w:r>
      <w:r w:rsidRPr="00F6100E">
        <w:rPr>
          <w:color w:val="FF0000"/>
        </w:rPr>
        <w:lastRenderedPageBreak/>
        <w:t>asunto extraordinario)… qué más puedo decirles. El “silencio de los corderos”… me parece la metáfora perfecta de la realidad enajenada en la que vive España (“vasallos felices”).</w:t>
      </w:r>
    </w:p>
    <w:p w:rsidR="001C71BB" w:rsidRPr="00F6100E" w:rsidRDefault="001C71BB" w:rsidP="001C71BB">
      <w:pPr>
        <w:pStyle w:val="NormalWeb"/>
        <w:shd w:val="clear" w:color="auto" w:fill="FFFFFF"/>
        <w:jc w:val="both"/>
        <w:rPr>
          <w:color w:val="FF0000"/>
        </w:rPr>
      </w:pPr>
      <w:r w:rsidRPr="00F6100E">
        <w:rPr>
          <w:color w:val="FF0000"/>
        </w:rPr>
        <w:t>Los españoles, víctimas de un acusado desequilibrio entre precios y salarios que aceptan con cristiana resignación, no viven hoy mejor que en junio de 2018. Desde la llegada del “gobierno de coalición progresista” (sic) al poder los precios han subido un 22% (39% en el caso de los alimentos). Los españoles han sufrido 97 subidas de impuestos</w:t>
      </w:r>
      <w:r>
        <w:rPr>
          <w:color w:val="FF0000"/>
        </w:rPr>
        <w:t xml:space="preserve"> (además, el</w:t>
      </w:r>
      <w:r w:rsidRPr="00676E4D">
        <w:rPr>
          <w:color w:val="FF0000"/>
        </w:rPr>
        <w:t xml:space="preserve"> </w:t>
      </w:r>
      <w:r>
        <w:rPr>
          <w:color w:val="FF0000"/>
        </w:rPr>
        <w:t>“</w:t>
      </w:r>
      <w:r w:rsidRPr="00676E4D">
        <w:rPr>
          <w:color w:val="FF0000"/>
        </w:rPr>
        <w:t>gobierno</w:t>
      </w:r>
      <w:r>
        <w:rPr>
          <w:color w:val="FF0000"/>
        </w:rPr>
        <w:t xml:space="preserve"> de progreso”</w:t>
      </w:r>
      <w:r w:rsidRPr="00676E4D">
        <w:rPr>
          <w:color w:val="FF0000"/>
        </w:rPr>
        <w:t xml:space="preserve"> no ha deflactado el Impuesto sobre la Renta de las Personas Físicas (IR</w:t>
      </w:r>
      <w:r>
        <w:rPr>
          <w:color w:val="FF0000"/>
        </w:rPr>
        <w:t>PF) para compensar la inflación)</w:t>
      </w:r>
      <w:r w:rsidRPr="00F6100E">
        <w:rPr>
          <w:color w:val="FF0000"/>
        </w:rPr>
        <w:t>, de modo que el 90% declara haber perdido poder adquisitivo. La brecha de renta real per cápita con el resto de Eur</w:t>
      </w:r>
      <w:r>
        <w:rPr>
          <w:color w:val="FF0000"/>
        </w:rPr>
        <w:t>opa se ha incrementado un 15,3%</w:t>
      </w:r>
      <w:r w:rsidRPr="00F6100E">
        <w:rPr>
          <w:color w:val="FF0000"/>
        </w:rPr>
        <w:t xml:space="preserve">. Basta entrar en cualquier supermercado para comprobarlo. </w:t>
      </w:r>
    </w:p>
    <w:p w:rsidR="001C71BB" w:rsidRDefault="001C71BB" w:rsidP="001C71BB">
      <w:pPr>
        <w:pStyle w:val="NormalWeb"/>
        <w:shd w:val="clear" w:color="auto" w:fill="FFFFFF"/>
        <w:jc w:val="both"/>
        <w:rPr>
          <w:color w:val="FF0000"/>
        </w:rPr>
      </w:pPr>
      <w:r w:rsidRPr="00F6100E">
        <w:rPr>
          <w:color w:val="FF0000"/>
        </w:rPr>
        <w:t>De modo que la única vía de eventual salvación para poder seguir la senda de una engañosa “agenda social”, es decir, de seguir comprando el voto cautivo de aquellos sectores de población aferrados al vicio extractivo de la subvención con cargo al erario público (el “club de</w:t>
      </w:r>
      <w:r>
        <w:rPr>
          <w:color w:val="FF0000"/>
        </w:rPr>
        <w:t xml:space="preserve"> </w:t>
      </w:r>
      <w:r w:rsidRPr="00F6100E">
        <w:rPr>
          <w:color w:val="FF0000"/>
        </w:rPr>
        <w:t>los inocentes”), a la venezolana manera, es seguir dándole a la manivela del gasto público y continuar acumulando deuda.</w:t>
      </w:r>
    </w:p>
    <w:p w:rsidR="001C71BB" w:rsidRDefault="001C71BB" w:rsidP="001C71BB">
      <w:pPr>
        <w:pStyle w:val="NormalWeb"/>
        <w:shd w:val="clear" w:color="auto" w:fill="FFFFFF"/>
        <w:jc w:val="both"/>
        <w:rPr>
          <w:color w:val="FF0000"/>
        </w:rPr>
      </w:pPr>
      <w:r>
        <w:rPr>
          <w:b/>
          <w:color w:val="FF0000"/>
        </w:rPr>
        <w:t>Nota V</w:t>
      </w:r>
      <w:r w:rsidRPr="00F6100E">
        <w:rPr>
          <w:b/>
          <w:color w:val="FF0000"/>
        </w:rPr>
        <w:t>I</w:t>
      </w:r>
      <w:r>
        <w:rPr>
          <w:color w:val="FF0000"/>
        </w:rPr>
        <w:t xml:space="preserve">: </w:t>
      </w:r>
      <w:r w:rsidRPr="00F6100E">
        <w:rPr>
          <w:color w:val="FF0000"/>
        </w:rPr>
        <w:t>¿Cuánto tiempo puede resistir un país, donde la mitad de su población depende de una pensión, subsidio o salario público, sin quebrar, o sin que se produzca una rebelión fiscal? Los españoles tienen que trabajar 228 días al año para sufragar todos los impuestos que pagan al Estado, una cifra que estaba contenida hasta la llegada de Pedro Sánchez al Gobierno y que desde 2018 ha aumentado en 51 días, casi dos meses. ¿Llegarán a los 365?</w:t>
      </w:r>
    </w:p>
    <w:p w:rsidR="00115CC2" w:rsidRPr="00115CC2" w:rsidRDefault="00115CC2" w:rsidP="00115CC2">
      <w:pPr>
        <w:pStyle w:val="NormalWeb"/>
        <w:shd w:val="clear" w:color="auto" w:fill="FFFFFF"/>
        <w:jc w:val="both"/>
        <w:rPr>
          <w:b/>
          <w:color w:val="FF0000"/>
        </w:rPr>
      </w:pPr>
      <w:r w:rsidRPr="00115CC2">
        <w:rPr>
          <w:b/>
          <w:color w:val="FF0000"/>
        </w:rPr>
        <w:t xml:space="preserve">Nota VII: </w:t>
      </w:r>
      <w:r w:rsidRPr="00115CC2">
        <w:rPr>
          <w:color w:val="FF0000"/>
        </w:rPr>
        <w:t xml:space="preserve">Un “robo” inflacionario por parte del Estado. La recaudación deja 12.000 millones extra en el primer semestre, un 10% más (Expansión - </w:t>
      </w:r>
      <w:r w:rsidRPr="00115CC2">
        <w:rPr>
          <w:b/>
          <w:color w:val="FF0000"/>
        </w:rPr>
        <w:t>1/8/25</w:t>
      </w:r>
      <w:r w:rsidRPr="00115CC2">
        <w:rPr>
          <w:color w:val="FF0000"/>
        </w:rPr>
        <w:t>). El IRPF lidera el alza de la recaudación, gracias a las retenciones sobre el SMI o a la negativa de Hacienda a deflactar, seguido del aumento del IVA por el avance del consumo y la normalización de los tipos en energía y alimentos. En concreto, el Impuesto sobre la Renta aporta una recaudación de 60.227 millones (9% más), lo que inyecta a las arcas públicas 4.980 millones extra frente al primer semestre de 2024. Pesan en esta evolución la persistente negativa de Hacienda a deflactar la tarifa (actualizar el gravamen con la evolución de precios y salarios para evitar un alza fiscal encubierta), o las retenciones practicadas por primera vez este año a los perceptores del salario mínimo interprofesional (SMI), que podrán optar a recuperarlo presentando la declaración de la Renta en la Campaña del próximo año.</w:t>
      </w:r>
    </w:p>
    <w:p w:rsidR="00115CC2" w:rsidRDefault="00115CC2" w:rsidP="00115CC2">
      <w:pPr>
        <w:spacing w:line="240" w:lineRule="auto"/>
        <w:jc w:val="both"/>
        <w:rPr>
          <w:rFonts w:ascii="Times New Roman" w:hAnsi="Times New Roman" w:cs="Times New Roman"/>
          <w:color w:val="FF0000"/>
          <w:sz w:val="24"/>
          <w:szCs w:val="24"/>
          <w:shd w:val="clear" w:color="auto" w:fill="FFFFFF"/>
        </w:rPr>
      </w:pPr>
      <w:r w:rsidRPr="005258AB">
        <w:rPr>
          <w:rFonts w:ascii="Times New Roman" w:hAnsi="Times New Roman" w:cs="Times New Roman"/>
          <w:color w:val="FF0000"/>
          <w:sz w:val="24"/>
          <w:szCs w:val="24"/>
          <w:shd w:val="clear" w:color="auto" w:fill="FFFFFF"/>
        </w:rPr>
        <w:t>- Cerrar las Oficinas Públicas de Empleo</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 xml:space="preserve">La percepción generalizada es que las oficinas de empleo en España, a menudo referidas al SEPE (Servicio Público de Empleo Estatal), no son efectivas en su función de facilitar la inserción laboral. Aunque son un recurso para la búsqueda de empleo y la gestión de prestaciones, muchos usuarios reportan dificultades y descontento con su funcionamiento. </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Críticas comunes a las oficinas de empleo:</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 xml:space="preserve">Escasa efectividad en la colocación: Se critica que las oficinas de empleo no logran colocar a un porcentaje significativo de desempleados, con algunas fuentes señalando que solo un pequeño porcentaje de las colocaciones se gestionan a través de estas oficinas. </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 xml:space="preserve">Baja calidad de las ofertas: Algunas personas consideran que las ofertas de trabajo publicadas son de baja calidad, con salarios bajos y condiciones laborales poco atractivas. </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lastRenderedPageBreak/>
        <w:t xml:space="preserve">Problemas de gestión y burocracia: Se critica la excesiva burocracia, la falta de personal cualificado y los largos tiempos de espera para ser atendidos. </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 xml:space="preserve">Falta de adaptación a las nuevas tecnologías: Se señala que las oficinas de empleo no están actualizadas a las nuevas formas de búsqueda de empleo, como el uso de internet y las redes sociales. </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 xml:space="preserve">Desajustes entre oferta y demanda: Existe una desconexión entre las habilidades de los desempleados y las necesidades del mercado laboral, lo que dificulta la inserción laboral. </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 xml:space="preserve">- </w:t>
      </w:r>
      <w:r w:rsidRPr="00073C87">
        <w:rPr>
          <w:rFonts w:ascii="Times New Roman" w:hAnsi="Times New Roman" w:cs="Times New Roman"/>
          <w:sz w:val="24"/>
          <w:szCs w:val="24"/>
          <w:u w:val="single"/>
          <w:shd w:val="clear" w:color="auto" w:fill="FFFFFF"/>
        </w:rPr>
        <w:t>La inutilidad del SEPE para colocar parados perpetúa los 150.000 empleos vacantes en España</w:t>
      </w:r>
      <w:r>
        <w:rPr>
          <w:rFonts w:ascii="Times New Roman" w:hAnsi="Times New Roman" w:cs="Times New Roman"/>
          <w:sz w:val="24"/>
          <w:szCs w:val="24"/>
          <w:shd w:val="clear" w:color="auto" w:fill="FFFFFF"/>
        </w:rPr>
        <w:t xml:space="preserve"> (</w:t>
      </w:r>
      <w:r w:rsidRPr="00073C87">
        <w:rPr>
          <w:rFonts w:ascii="Times New Roman" w:hAnsi="Times New Roman" w:cs="Times New Roman"/>
          <w:sz w:val="24"/>
          <w:szCs w:val="24"/>
          <w:shd w:val="clear" w:color="auto" w:fill="FFFFFF"/>
        </w:rPr>
        <w:t xml:space="preserve">ABC - </w:t>
      </w:r>
      <w:r w:rsidRPr="00073C87">
        <w:rPr>
          <w:rFonts w:ascii="Times New Roman" w:hAnsi="Times New Roman" w:cs="Times New Roman"/>
          <w:b/>
          <w:sz w:val="24"/>
          <w:szCs w:val="24"/>
          <w:shd w:val="clear" w:color="auto" w:fill="FFFFFF"/>
        </w:rPr>
        <w:t>22/7/24</w:t>
      </w:r>
      <w:r w:rsidRPr="00073C87">
        <w:rPr>
          <w:rFonts w:ascii="Times New Roman" w:hAnsi="Times New Roman" w:cs="Times New Roman"/>
          <w:sz w:val="24"/>
          <w:szCs w:val="24"/>
          <w:shd w:val="clear" w:color="auto" w:fill="FFFFFF"/>
        </w:rPr>
        <w:t>)</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Los expertos avisan: la falta de perfilado y las formaciones obsoletas lastran la contratación</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(Por Gonzalo D. Velarde)</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El Servicio Público de Empleo Estatal (SEPE) se ha demostrado incapaz de manutener un flujo aceptable de inserción de parados en el mercado laboral. Muchas son las deficiencias que lastran el funcionamiento del organismo en su labor de acompañamiento de los desempleados de vuelta al trabajo. Falta de conocimiento de las necesidades actuales del tejido productivo, un sistema de formación obsoleto e incentivos amplios para la contratación que no centran el foco en la población objetivo hacen que la incapacidad esté resultado en un servicio inútil para la meta de la reducción del pa</w:t>
      </w:r>
      <w:r>
        <w:rPr>
          <w:rFonts w:ascii="Times New Roman" w:hAnsi="Times New Roman" w:cs="Times New Roman"/>
          <w:sz w:val="24"/>
          <w:szCs w:val="24"/>
          <w:shd w:val="clear" w:color="auto" w:fill="FFFFFF"/>
        </w:rPr>
        <w:t>ro estructural en nuestro país.</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A grandes rasgos, este es el escenario que dibuja el reciente informe publicado por Fedea sobre relación entre los ciudadanos y la Administración Pública, en el que se aborda entre otras cuestiones el papel de las políticas activas de empleo como herramienta para la creación de puestos de trabajo. Básicamente, se concluye que la falta de información sobre las aptitudes de los candidatos demandantes de empleo, el desajuste entre la formación que se les ofrece y las necesidades concretas de las vacantes a cubrir hace que los perfiles ofrecidos desde el SEPE no cumplan satisfactoriamente con la labor a desempeñar. Un efecto dominó que concluye en que las empresas tengan escasos incentivos para comunicar las vacantes al servicio público, mermando la capacidad de reducción de la bolsa de parados de nuestro país.</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Cabe recordar que actualmente el SEPE sólo logra el 3% de las inserciones laborales totales que se producen cada mes en el mercado laboral, siendo la mayoría con destino al sector público. Y mientras que según el Instituto Nacional de Estadística cifra en 150.000 los empleos vacantes en España -nivel similar al del pasado año y un 12% superior al de hace dos ejercicios-, la Encuesta de Población Activa daba cuenta de un total de 2,9 millones de parados a cierre del primer trimestre del año -último dato disponible- (mientras que los servicios públicos de empleo autonómicos arrojaban a cierre de junio un total de 2.561.067 desempleados).</w:t>
      </w:r>
    </w:p>
    <w:p w:rsidR="00115CC2"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Es precisamente esta circunstancia y las resistencias para rebajar el paro estructural del entorno del 12% lo que hace girar la mirada hacia la utilidad de los servicios públicos. Tal y como señala el autor del estudio, el investigador de Fedea y profesor de economía aplicada en la URJC, Miguel Ángel García, existen deficiencias en los tres plano sobre los que operan las políticas activas de empleo: intermediación, formación y bonificaciones para la contratación.</w:t>
      </w:r>
    </w:p>
    <w:p w:rsidR="00115CC2" w:rsidRDefault="00115CC2" w:rsidP="00115CC2">
      <w:pPr>
        <w:spacing w:line="240" w:lineRule="auto"/>
        <w:jc w:val="both"/>
        <w:rPr>
          <w:rFonts w:ascii="Times New Roman" w:hAnsi="Times New Roman" w:cs="Times New Roman"/>
          <w:sz w:val="24"/>
          <w:szCs w:val="24"/>
          <w:shd w:val="clear" w:color="auto" w:fill="FFFFFF"/>
        </w:rPr>
      </w:pPr>
    </w:p>
    <w:p w:rsidR="00115CC2" w:rsidRPr="00073C87" w:rsidRDefault="00115CC2" w:rsidP="00115CC2">
      <w:pPr>
        <w:spacing w:line="240" w:lineRule="auto"/>
        <w:jc w:val="both"/>
        <w:rPr>
          <w:rFonts w:ascii="Times New Roman" w:hAnsi="Times New Roman" w:cs="Times New Roman"/>
          <w:sz w:val="24"/>
          <w:szCs w:val="24"/>
          <w:shd w:val="clear" w:color="auto" w:fill="FFFFFF"/>
        </w:rPr>
      </w:pP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lastRenderedPageBreak/>
        <w:t>Necesidad de un perfilado</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En primer lugar, en cuanto a la labor arrogada de intermediación, el hecho de que el SEPE mantenga una discreta relación con las empresas del sector privado para conocer las demandas de perfiles profesionales hace no sólo se lastre la labor de intermediación sino que también limita la tarea de orientación laboral de las personas en desempleo. «Es muy complicado orientar a quien no tiene empleo sobre los pasos que debe realizar para encontrarlo cuando no se conoce de forma exhaustiva la composición y necesidades del tejido productivo de los territorios», explica el experto.</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Precisamente, este desajuste hace que prácticamente se eliminen los incentivos para que el empresario envíe sus vacantes de empleo a los servicios públicos de empleo, “porque no reciben una buena prestación, ya que estos no envían a las personas adecuadas después de haberlas elegido previo perfilado homogéneo de las características y experiencias de las personas (incluida su actitud) y las necesidades del puesto de trabajo”.</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Esta maquinaria prevista para la reinserción de parados también pierde fuelle por la arista de la formación. Recuerda Fedea que España destina una cifra no menor, de 2.000 millones de euros al año, a programas de formación para el empleo. Aquí, ante la ausencia de un análisis de impacto detallado, Miguel Ángel García realiza una observación general que aflora cierta obsolescencia de los programas ofertados por el SEPE, tanto en las materias como en los itinerarios.</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Así, recuerda una parte no menor de los cursos ofrecidos están desactualizados en relación con las necesidades del sector productivo y son demasiado largos en duración (certificados de profesionalidad anticuados y de duración superior a las 600 horas), lo que desincentiva la asistencia de las personas desempleadas (en especial quienes han sufrido previamente fracaso escolar) al no tener tampoco garantía de inserción laboral por realizarlos.</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Por último, en el plano de las bonificaciones para la contratación de ciertos perfiles con especiales problemas de acceso al mercado laboral, Fedea advierte de que los análisis de evaluación realizados por diferentes organismos de estudio concluyen que en su mayor parte son lo que se denomina en el argot como “peso muerto”, al aplicarse de forma demasiado general y no discriminar adecuadamente a l</w:t>
      </w:r>
      <w:r>
        <w:rPr>
          <w:rFonts w:ascii="Times New Roman" w:hAnsi="Times New Roman" w:cs="Times New Roman"/>
          <w:sz w:val="24"/>
          <w:szCs w:val="24"/>
          <w:shd w:val="clear" w:color="auto" w:fill="FFFFFF"/>
        </w:rPr>
        <w:t>as personas que los necesitan. “</w:t>
      </w:r>
      <w:r w:rsidRPr="00073C87">
        <w:rPr>
          <w:rFonts w:ascii="Times New Roman" w:hAnsi="Times New Roman" w:cs="Times New Roman"/>
          <w:sz w:val="24"/>
          <w:szCs w:val="24"/>
          <w:shd w:val="clear" w:color="auto" w:fill="FFFFFF"/>
        </w:rPr>
        <w:t>Es decir, el grueso de las inserciones en el mercado laboral se habría producido igual, aunque no se hubiera dispuesto de incenti</w:t>
      </w:r>
      <w:r>
        <w:rPr>
          <w:rFonts w:ascii="Times New Roman" w:hAnsi="Times New Roman" w:cs="Times New Roman"/>
          <w:sz w:val="24"/>
          <w:szCs w:val="24"/>
          <w:shd w:val="clear" w:color="auto" w:fill="FFFFFF"/>
        </w:rPr>
        <w:t>vos”</w:t>
      </w:r>
      <w:r w:rsidRPr="00073C87">
        <w:rPr>
          <w:rFonts w:ascii="Times New Roman" w:hAnsi="Times New Roman" w:cs="Times New Roman"/>
          <w:sz w:val="24"/>
          <w:szCs w:val="24"/>
          <w:shd w:val="clear" w:color="auto" w:fill="FFFFFF"/>
        </w:rPr>
        <w:t>, concluye el investigador.</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Formación adecuada</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Señala el experto que los servicios públicos de empleo deben conocer de forma amplia y profunda el tejido productivo de su territorio (y si es posible del resto) para orientar con conocimiento de causa a las personas en desempleo. Para lo que sería conveniente realizar una tarea de perfilado de sus competencias, experiencia y actitud ante el empleo para enviar a las personas más adecuadas a las ofertas de trabajo.</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“El conocimiento de las características y necesidades del tejido productivo permitirá también identificar la formación necesaria, muy posiblemente alejada de una parte de los actuales cursos ofertados y certificados de profesionalidad en vigor”, señala el estudio de Fedea, apuntalando la necesidad imperiosa de mejorar el intercambio de información entre administraciones públicas.</w:t>
      </w:r>
    </w:p>
    <w:p w:rsidR="00115CC2"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 xml:space="preserve">Según el INE, de las 150.000 vacantes de empleo existentes en España a cierre del primer trimestre del año, algo más de 130.000 se concentran en el sector servicios, por los casi </w:t>
      </w:r>
      <w:r w:rsidRPr="00073C87">
        <w:rPr>
          <w:rFonts w:ascii="Times New Roman" w:hAnsi="Times New Roman" w:cs="Times New Roman"/>
          <w:sz w:val="24"/>
          <w:szCs w:val="24"/>
          <w:shd w:val="clear" w:color="auto" w:fill="FFFFFF"/>
        </w:rPr>
        <w:lastRenderedPageBreak/>
        <w:t>10.500 de la industria y 8.000 de la construcción. Por ramas específicas de actividad, llama la atención quintuplic</w:t>
      </w:r>
      <w:r>
        <w:rPr>
          <w:rFonts w:ascii="Times New Roman" w:hAnsi="Times New Roman" w:cs="Times New Roman"/>
          <w:sz w:val="24"/>
          <w:szCs w:val="24"/>
          <w:shd w:val="clear" w:color="auto" w:fill="FFFFFF"/>
        </w:rPr>
        <w:t>ando a sus perseguidores la de “</w:t>
      </w:r>
      <w:r w:rsidRPr="00073C87">
        <w:rPr>
          <w:rFonts w:ascii="Times New Roman" w:hAnsi="Times New Roman" w:cs="Times New Roman"/>
          <w:sz w:val="24"/>
          <w:szCs w:val="24"/>
          <w:shd w:val="clear" w:color="auto" w:fill="FFFFFF"/>
        </w:rPr>
        <w:t>Administración Pública y defensa; Seguridad S</w:t>
      </w:r>
      <w:r>
        <w:rPr>
          <w:rFonts w:ascii="Times New Roman" w:hAnsi="Times New Roman" w:cs="Times New Roman"/>
          <w:sz w:val="24"/>
          <w:szCs w:val="24"/>
          <w:shd w:val="clear" w:color="auto" w:fill="FFFFFF"/>
        </w:rPr>
        <w:t>ocial obligatoria”</w:t>
      </w:r>
      <w:r w:rsidRPr="00073C87">
        <w:rPr>
          <w:rFonts w:ascii="Times New Roman" w:hAnsi="Times New Roman" w:cs="Times New Roman"/>
          <w:sz w:val="24"/>
          <w:szCs w:val="24"/>
          <w:shd w:val="clear" w:color="auto" w:fill="FFFFFF"/>
        </w:rPr>
        <w:t>, con casi 50.000 vacantes sin cubrir. Son un tercio de todas las registradas por el servicio oficial de estadística.</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73C87">
        <w:rPr>
          <w:rFonts w:ascii="Times New Roman" w:hAnsi="Times New Roman" w:cs="Times New Roman"/>
          <w:sz w:val="24"/>
          <w:szCs w:val="24"/>
          <w:shd w:val="clear" w:color="auto" w:fill="FFFFFF"/>
        </w:rPr>
        <w:t>¿</w:t>
      </w:r>
      <w:r w:rsidRPr="00073C87">
        <w:rPr>
          <w:rFonts w:ascii="Times New Roman" w:hAnsi="Times New Roman" w:cs="Times New Roman"/>
          <w:sz w:val="24"/>
          <w:szCs w:val="24"/>
          <w:u w:val="single"/>
          <w:shd w:val="clear" w:color="auto" w:fill="FFFFFF"/>
        </w:rPr>
        <w:t>De qué sirve una oficina pública de empleo? Sus ofertas solo llegan al 0,7% de los que buscan trabajo</w:t>
      </w:r>
      <w:r>
        <w:rPr>
          <w:rFonts w:ascii="Times New Roman" w:hAnsi="Times New Roman" w:cs="Times New Roman"/>
          <w:sz w:val="24"/>
          <w:szCs w:val="24"/>
          <w:shd w:val="clear" w:color="auto" w:fill="FFFFFF"/>
        </w:rPr>
        <w:t xml:space="preserve"> (El Economista - </w:t>
      </w:r>
      <w:r w:rsidRPr="00073C87">
        <w:rPr>
          <w:rFonts w:ascii="Times New Roman" w:hAnsi="Times New Roman" w:cs="Times New Roman"/>
          <w:b/>
          <w:sz w:val="24"/>
          <w:szCs w:val="24"/>
          <w:shd w:val="clear" w:color="auto" w:fill="FFFFFF"/>
        </w:rPr>
        <w:t>22/1/25</w:t>
      </w:r>
      <w:r>
        <w:rPr>
          <w:rFonts w:ascii="Times New Roman" w:hAnsi="Times New Roman" w:cs="Times New Roman"/>
          <w:sz w:val="24"/>
          <w:szCs w:val="24"/>
          <w:shd w:val="clear" w:color="auto" w:fill="FFFFFF"/>
        </w:rPr>
        <w:t>)</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La nueva Ley de Empleo cumple dos años sin avances en la mejora de la eficacia</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Cataluña tiene la menor intermediación y Extremadura la más alta</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El SEPE francés ofrece 2,7 millones de puestos de trabajo a sus parados, 21 veces más que el español</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073C87">
        <w:rPr>
          <w:rFonts w:ascii="Times New Roman" w:hAnsi="Times New Roman" w:cs="Times New Roman"/>
          <w:sz w:val="24"/>
          <w:szCs w:val="24"/>
          <w:shd w:val="clear" w:color="auto" w:fill="FFFFFF"/>
        </w:rPr>
        <w:t>Javier Esteban</w:t>
      </w:r>
      <w:r>
        <w:rPr>
          <w:rFonts w:ascii="Times New Roman" w:hAnsi="Times New Roman" w:cs="Times New Roman"/>
          <w:sz w:val="24"/>
          <w:szCs w:val="24"/>
          <w:shd w:val="clear" w:color="auto" w:fill="FFFFFF"/>
        </w:rPr>
        <w:t>)</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A punto de cumplirse dos años de la aprobación de la Ley de Empleo que prometía reforzar la coordinación de las oficinas públicas de empleo, uno de los indicadores más utilizados de su eficacia apunta a un claro fracaso. En el pasado mes de diciembre, se registraron 1,5 millones de colocaciones, de las que un 48%, 730.325 correspondían a demandantes de empleo. Pero solo 29.587 se produjeron gracias a una oferta gestionada por estos servicios, una cifra que equivale al 0,7% de los 4,4 millones de personas inscritas en ellos para, precisamente, encontrar trabajo. Si contamos solo a los 2,56 millones de parados, la cifra tampoco es pa</w:t>
      </w:r>
      <w:r>
        <w:rPr>
          <w:rFonts w:ascii="Times New Roman" w:hAnsi="Times New Roman" w:cs="Times New Roman"/>
          <w:sz w:val="24"/>
          <w:szCs w:val="24"/>
          <w:shd w:val="clear" w:color="auto" w:fill="FFFFFF"/>
        </w:rPr>
        <w:t>ra tirar cohetes: solo un 1,2%.</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Esta aparente inutilidad de la intermediación pública vuelve a traer a colación una polémica ya clásica en el mercado laboral español, la de la utilidad de las oficinas de empleo. Una cuestión definida por los choques entre administraciones, un reparto anual de miles de millones cuya finalidad parece perderse bajo un incomprensible laberinto burocrático y, sobre todo, la opacidad de unos datos que muchos de los propios usuarios de estos servicios no comprenden. Lo que hace que la confianza en estas instituci</w:t>
      </w:r>
      <w:r>
        <w:rPr>
          <w:rFonts w:ascii="Times New Roman" w:hAnsi="Times New Roman" w:cs="Times New Roman"/>
          <w:sz w:val="24"/>
          <w:szCs w:val="24"/>
          <w:shd w:val="clear" w:color="auto" w:fill="FFFFFF"/>
        </w:rPr>
        <w:t>ones se encuentre bajo mínimos.</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Los datos que publica el Servicio Público de Empleo Estatal (SEPE) no contribuyen precisamente a mejorar esta percepción. Empezando porque solo habla de colocaciones de demandantes, sin especificar cuántos son considerados parados. Un matiz relevante si tenemos en cuenta que más de un millón de los demandantes están ocupados o tiene una relación laboral (caso de los</w:t>
      </w:r>
      <w:r>
        <w:rPr>
          <w:rFonts w:ascii="Times New Roman" w:hAnsi="Times New Roman" w:cs="Times New Roman"/>
          <w:sz w:val="24"/>
          <w:szCs w:val="24"/>
          <w:shd w:val="clear" w:color="auto" w:fill="FFFFFF"/>
        </w:rPr>
        <w:t xml:space="preserve"> fijos discontinuos inactivos).</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Pero eso no significa que no busquen mejorar sus oportunidades profesionales y puedan beneficiarse de los servicios públicos, aunque los parados son el colectivo prioritario. Sin embargo, incluso cuando solo tomamos a este colectivo como referencia, las colocaciones con ofert</w:t>
      </w:r>
      <w:r>
        <w:rPr>
          <w:rFonts w:ascii="Times New Roman" w:hAnsi="Times New Roman" w:cs="Times New Roman"/>
          <w:sz w:val="24"/>
          <w:szCs w:val="24"/>
          <w:shd w:val="clear" w:color="auto" w:fill="FFFFFF"/>
        </w:rPr>
        <w:t>a previa apenas llegan al 1,2%.</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 xml:space="preserve">Existe otra variable a tener en cuenta: la edad. Y es que los servicios públicos de empleo priorizan en su atención a los colectivos con mayores dificultades de empleabilidad. Aunque esto incluye un amplio listado, las categorías más numerosas son los jóvenes y los mayores de 45 años. Respecto a los beneficiados por las ofertas, la balanza se decanta por los demandantes y parados de entre 20 y 25 años, que alcanzan porcentajes del 0,9% y 1,6% respectivamente, seguida por los que están entre 50 y 54 años, </w:t>
      </w:r>
      <w:r>
        <w:rPr>
          <w:rFonts w:ascii="Times New Roman" w:hAnsi="Times New Roman" w:cs="Times New Roman"/>
          <w:sz w:val="24"/>
          <w:szCs w:val="24"/>
          <w:shd w:val="clear" w:color="auto" w:fill="FFFFFF"/>
        </w:rPr>
        <w:t>que alcanzan el 0,8% y el 1,3%.</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lastRenderedPageBreak/>
        <w:t>Todos los demandantes, parados o no, suscriben un compromiso de actividad que pasa por renovar periódicamente la propia inscripción. Además, los desempleados adquieren un compromiso de activación, más estricto si reciben alguna ayuda por desempleo, que inc</w:t>
      </w:r>
      <w:r>
        <w:rPr>
          <w:rFonts w:ascii="Times New Roman" w:hAnsi="Times New Roman" w:cs="Times New Roman"/>
          <w:sz w:val="24"/>
          <w:szCs w:val="24"/>
          <w:shd w:val="clear" w:color="auto" w:fill="FFFFFF"/>
        </w:rPr>
        <w:t>luye “</w:t>
      </w:r>
      <w:r w:rsidRPr="00073C87">
        <w:rPr>
          <w:rFonts w:ascii="Times New Roman" w:hAnsi="Times New Roman" w:cs="Times New Roman"/>
          <w:sz w:val="24"/>
          <w:szCs w:val="24"/>
          <w:shd w:val="clear" w:color="auto" w:fill="FFFFFF"/>
        </w:rPr>
        <w:t>no recha</w:t>
      </w:r>
      <w:r>
        <w:rPr>
          <w:rFonts w:ascii="Times New Roman" w:hAnsi="Times New Roman" w:cs="Times New Roman"/>
          <w:sz w:val="24"/>
          <w:szCs w:val="24"/>
          <w:shd w:val="clear" w:color="auto" w:fill="FFFFFF"/>
        </w:rPr>
        <w:t>zar ofertas adecuadas de empleo”.</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Reparto de competencias (y culpas)</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La gestión de las políticas activas, que incluyen todas las actuaciones destinadas a encontrar empleo a los parados y al resto de demandantes, corresponde a las comunidades autónomas (salvo en Ceuta y Melilla, donde la competencia es estatal). Esto lleva a un tira y afloja entre los gobiernos autonómicos y el Ministerio de Trabajo, que no dudan en atribuirse los aciertos y derivar los errores, escudándose en el reparto compe</w:t>
      </w:r>
      <w:r>
        <w:rPr>
          <w:rFonts w:ascii="Times New Roman" w:hAnsi="Times New Roman" w:cs="Times New Roman"/>
          <w:sz w:val="24"/>
          <w:szCs w:val="24"/>
          <w:shd w:val="clear" w:color="auto" w:fill="FFFFFF"/>
        </w:rPr>
        <w:t>tencial.</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Una distribución que funciona desde los primeros años del siglo, cuando el antiguo Instituto Nacional de Empleo (INEM) desapareció para dejar paso al nuevo SEPE, que gestiona las prestacione</w:t>
      </w:r>
      <w:r>
        <w:rPr>
          <w:rFonts w:ascii="Times New Roman" w:hAnsi="Times New Roman" w:cs="Times New Roman"/>
          <w:sz w:val="24"/>
          <w:szCs w:val="24"/>
          <w:shd w:val="clear" w:color="auto" w:fill="FFFFFF"/>
        </w:rPr>
        <w:t>s y subsidios (las denominadas “políticas pasivas”</w:t>
      </w:r>
      <w:r w:rsidRPr="00073C87">
        <w:rPr>
          <w:rFonts w:ascii="Times New Roman" w:hAnsi="Times New Roman" w:cs="Times New Roman"/>
          <w:sz w:val="24"/>
          <w:szCs w:val="24"/>
          <w:shd w:val="clear" w:color="auto" w:fill="FFFFFF"/>
        </w:rPr>
        <w:t xml:space="preserve"> de empleo) a partir de la información sobre los demandantes que le transmiten las comunidades (empezand</w:t>
      </w:r>
      <w:r>
        <w:rPr>
          <w:rFonts w:ascii="Times New Roman" w:hAnsi="Times New Roman" w:cs="Times New Roman"/>
          <w:sz w:val="24"/>
          <w:szCs w:val="24"/>
          <w:shd w:val="clear" w:color="auto" w:fill="FFFFFF"/>
        </w:rPr>
        <w:t>o por quiénes son considerados “parados registrados”</w:t>
      </w:r>
      <w:r w:rsidRPr="00073C87">
        <w:rPr>
          <w:rFonts w:ascii="Times New Roman" w:hAnsi="Times New Roman" w:cs="Times New Roman"/>
          <w:sz w:val="24"/>
          <w:szCs w:val="24"/>
          <w:shd w:val="clear" w:color="auto" w:fill="FFFFFF"/>
        </w:rPr>
        <w:t xml:space="preserve"> y quiénes no). Y, por supuesto, recopila y publica la información estadística de las comunidades. Pero eso no significa que sean dos niveles completamente independientes.</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El organismo estatal y los autonómicos componen el denominado Sistema Nacional de Empleo (SNL), que tiene como objetivo coordinar todas las políticas y actuaciones para ayudar a encontrar empleo a los desempleados y los demandantes de empleo. Este fue el ámbito objeto de la reforma de la Ley de Empleo de 2023, que también fijó la transformación del SEPE en una nu</w:t>
      </w:r>
      <w:r>
        <w:rPr>
          <w:rFonts w:ascii="Times New Roman" w:hAnsi="Times New Roman" w:cs="Times New Roman"/>
          <w:sz w:val="24"/>
          <w:szCs w:val="24"/>
          <w:shd w:val="clear" w:color="auto" w:fill="FFFFFF"/>
        </w:rPr>
        <w:t>eva Agencia Nacional de Empleo.</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Una transición que, a día de hoy, sigue sin materializarse sin que nadie, ni Gobierno ni comunidades autónomas, le haya</w:t>
      </w:r>
      <w:r>
        <w:rPr>
          <w:rFonts w:ascii="Times New Roman" w:hAnsi="Times New Roman" w:cs="Times New Roman"/>
          <w:sz w:val="24"/>
          <w:szCs w:val="24"/>
          <w:shd w:val="clear" w:color="auto" w:fill="FFFFFF"/>
        </w:rPr>
        <w:t>n</w:t>
      </w:r>
      <w:r w:rsidRPr="00073C87">
        <w:rPr>
          <w:rFonts w:ascii="Times New Roman" w:hAnsi="Times New Roman" w:cs="Times New Roman"/>
          <w:sz w:val="24"/>
          <w:szCs w:val="24"/>
          <w:shd w:val="clear" w:color="auto" w:fill="FFFFFF"/>
        </w:rPr>
        <w:t xml:space="preserve"> dado la menor importancia, a pesar de que se consideraba un paso clave para reforzar la coordinación y el intercambio de información entre administraciones. Esto incluye lograr que más empresas trasladen sus ofertas a los organismos regionales para que estos se los hagan llegar a los demandantes de empleo. Lo que se traduce en unas ratios extremadamente bajas de éxito de la intermediación di</w:t>
      </w:r>
      <w:r>
        <w:rPr>
          <w:rFonts w:ascii="Times New Roman" w:hAnsi="Times New Roman" w:cs="Times New Roman"/>
          <w:sz w:val="24"/>
          <w:szCs w:val="24"/>
          <w:shd w:val="clear" w:color="auto" w:fill="FFFFFF"/>
        </w:rPr>
        <w:t>recta en todas las comunidades.</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En la comparativa, sorprenden los extremos: Extremadura alcanza un 2,9% de colocaciones sobre el total de demandantes y un 5,5% sobre los parados, mientras Cataluña apenas llega al 0,2% en ambas categorías. ¿Significa esto que los servicios públicos no sirven para nada? No, pero sí que las empresas no confían en ellos para gestionar sus vacantes de empleo, a pesar de la última reforma. Una cuestión que revela la desconexión entre el mercado laboral y l</w:t>
      </w:r>
      <w:r>
        <w:rPr>
          <w:rFonts w:ascii="Times New Roman" w:hAnsi="Times New Roman" w:cs="Times New Roman"/>
          <w:sz w:val="24"/>
          <w:szCs w:val="24"/>
          <w:shd w:val="clear" w:color="auto" w:fill="FFFFFF"/>
        </w:rPr>
        <w:t>as políticas activas de empleo.</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 xml:space="preserve">En lo único en lo que coinciden los responsables de los servicios autonómicos y en el Ministerio de Trabajo es en recalcar que el dato de las colocaciones gracias a ofertas gestionadas por las oficinas de empleo no es relevante e incluso es engañoso, porque las políticas van mucho más allá de comunicar vacantes a los demandantes. Incluyen formación, incentivos y bonificaciones a la contratación y orientación para la búsqueda de empleo. Así, consideran que es mucho más revelador el dato del 48% de colocaciones de demandantes sobre el total, ya que no solo incluye a los colocados directamente, sino a aquellos que encuentran un trabajo gracias a los servicios que recibe de las oficinas de empleo, </w:t>
      </w:r>
      <w:r>
        <w:rPr>
          <w:rFonts w:ascii="Times New Roman" w:hAnsi="Times New Roman" w:cs="Times New Roman"/>
          <w:sz w:val="24"/>
          <w:szCs w:val="24"/>
          <w:shd w:val="clear" w:color="auto" w:fill="FFFFFF"/>
        </w:rPr>
        <w:t>aunque sea de manera indirecta.</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lastRenderedPageBreak/>
        <w:t>De hecho, las conferencias sectoriales de empleo reparten cada año miles de millones de euros a las comunidades para la ejecución de estas políticas de empleo. Una cantidad que varía, en teoría, en función del grado de cumplimiento de unos objetivos escrupulosamente tasados que, sin embargo, no se detallan región a región. Aunque aquí los datos del SEPE tamb</w:t>
      </w:r>
      <w:r>
        <w:rPr>
          <w:rFonts w:ascii="Times New Roman" w:hAnsi="Times New Roman" w:cs="Times New Roman"/>
          <w:sz w:val="24"/>
          <w:szCs w:val="24"/>
          <w:shd w:val="clear" w:color="auto" w:fill="FFFFFF"/>
        </w:rPr>
        <w:t>ién nos pueden resultar útiles.</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Una eficacia irregular</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Las colocaciones de demandantes suponen el 48,6% del total las que se registran mes a mes, aunque en varias regiones como Extremadura (67%), Ceuta (65,9%) y Andalucía (60,5%) supera el umbral del 60%. Además, el porcentaje varía por grupo de edad: así, los mayores de 50 años superan el 60%, mientras los menores de 30 rondan el 28%. Algo lógico si tenemos en cuenta que estos son menos proclives a inscribirse en las oficinas públicas de empleo, con lo cual su oportunidad de beneficiarse de e</w:t>
      </w:r>
      <w:r>
        <w:rPr>
          <w:rFonts w:ascii="Times New Roman" w:hAnsi="Times New Roman" w:cs="Times New Roman"/>
          <w:sz w:val="24"/>
          <w:szCs w:val="24"/>
          <w:shd w:val="clear" w:color="auto" w:fill="FFFFFF"/>
        </w:rPr>
        <w:t>stas políticas es menor. ¿O no?</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 xml:space="preserve">Lo cierto es que, si nos fijamos por separado en las colocaciones de demandantes, se aprecia que, efectivamente, suponen el 15,2%, aunque suponen el 7,6% de las demandas. Por otro lado, los mayores de 45 años acaparan el 35% de las colocaciones de demandantes cuando </w:t>
      </w:r>
      <w:r>
        <w:rPr>
          <w:rFonts w:ascii="Times New Roman" w:hAnsi="Times New Roman" w:cs="Times New Roman"/>
          <w:sz w:val="24"/>
          <w:szCs w:val="24"/>
          <w:shd w:val="clear" w:color="auto" w:fill="FFFFFF"/>
        </w:rPr>
        <w:t>suponen el 57% de las demandas.</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Esta discrepancia entre el comportamiento de los colectivos prioritarios de demandantes siembra duda sobre la eficacia de las políticas. De hecho, los mayores de 50 años son los que menos se colocan, pese a que por sus mayores dificultades están en el foco de las políticas activas y pasivas de empleo. Esta dificultad explicaría que muchos acaban siendo prejubilados forzosos durante lustros, compatibilizando prestaciones y, sobre todo, subsidios hasta el momento de po</w:t>
      </w:r>
      <w:r>
        <w:rPr>
          <w:rFonts w:ascii="Times New Roman" w:hAnsi="Times New Roman" w:cs="Times New Roman"/>
          <w:sz w:val="24"/>
          <w:szCs w:val="24"/>
          <w:shd w:val="clear" w:color="auto" w:fill="FFFFFF"/>
        </w:rPr>
        <w:t>der pasar a cobrar una pensión.</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Aun así, la gran pregunta es cuántas de estas colocaciones se deben directamente a las políticas públicas. El porcentaje de colocaciones de demandantes sobre el total de demandantes es bastante mayor que el de las intermediadas (un 16%), pero es muy posible que sean contrataciones se producen sin ningún tipo de ayuda pública. Este dato nos hace también sospechar que, seguramente, la mayoría de las colocaciones de demandante son parados, también sean para empleos eventuales de corta duración</w:t>
      </w:r>
      <w:r>
        <w:rPr>
          <w:rFonts w:ascii="Times New Roman" w:hAnsi="Times New Roman" w:cs="Times New Roman"/>
          <w:sz w:val="24"/>
          <w:szCs w:val="24"/>
          <w:shd w:val="clear" w:color="auto" w:fill="FFFFFF"/>
        </w:rPr>
        <w:t xml:space="preserve"> </w:t>
      </w:r>
      <w:r w:rsidRPr="00073C87">
        <w:rPr>
          <w:rFonts w:ascii="Times New Roman" w:hAnsi="Times New Roman" w:cs="Times New Roman"/>
          <w:sz w:val="24"/>
          <w:szCs w:val="24"/>
          <w:shd w:val="clear" w:color="auto" w:fill="FFFFFF"/>
        </w:rPr>
        <w:t>(de no ser así, e</w:t>
      </w:r>
      <w:r>
        <w:rPr>
          <w:rFonts w:ascii="Times New Roman" w:hAnsi="Times New Roman" w:cs="Times New Roman"/>
          <w:sz w:val="24"/>
          <w:szCs w:val="24"/>
          <w:shd w:val="clear" w:color="auto" w:fill="FFFFFF"/>
        </w:rPr>
        <w:t>l paro bajaría más rápido).</w:t>
      </w:r>
    </w:p>
    <w:p w:rsidR="00115CC2" w:rsidRPr="00073C87"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La única métrica que podría arrojar algo de luz son los contra</w:t>
      </w:r>
      <w:r>
        <w:rPr>
          <w:rFonts w:ascii="Times New Roman" w:hAnsi="Times New Roman" w:cs="Times New Roman"/>
          <w:sz w:val="24"/>
          <w:szCs w:val="24"/>
          <w:shd w:val="clear" w:color="auto" w:fill="FFFFFF"/>
        </w:rPr>
        <w:t>tos de fomento del empleo, los “subvencionados”</w:t>
      </w:r>
      <w:r w:rsidRPr="00073C87">
        <w:rPr>
          <w:rFonts w:ascii="Times New Roman" w:hAnsi="Times New Roman" w:cs="Times New Roman"/>
          <w:sz w:val="24"/>
          <w:szCs w:val="24"/>
          <w:shd w:val="clear" w:color="auto" w:fill="FFFFFF"/>
        </w:rPr>
        <w:t xml:space="preserve"> directamente para impulsar la empleabilidad (aunque existen bonificaciones y deducciones para muchos supuestos en los</w:t>
      </w:r>
      <w:r>
        <w:rPr>
          <w:rFonts w:ascii="Times New Roman" w:hAnsi="Times New Roman" w:cs="Times New Roman"/>
          <w:sz w:val="24"/>
          <w:szCs w:val="24"/>
          <w:shd w:val="clear" w:color="auto" w:fill="FFFFFF"/>
        </w:rPr>
        <w:t xml:space="preserve"> contratos “normales”</w:t>
      </w:r>
      <w:r w:rsidRPr="00073C87">
        <w:rPr>
          <w:rFonts w:ascii="Times New Roman" w:hAnsi="Times New Roman" w:cs="Times New Roman"/>
          <w:sz w:val="24"/>
          <w:szCs w:val="24"/>
          <w:shd w:val="clear" w:color="auto" w:fill="FFFFFF"/>
        </w:rPr>
        <w:t>). En diciembre se firmaron 10.605 contratos, de los que 6.650 corresponde a personas con discapacidad y 2.099 a sustitución en casos de bajas por maternidad y similares. Solo 228 se firmaron a desempleados de muy larga duración (más de 18 meses), todo</w:t>
      </w:r>
      <w:r w:rsidR="00B277E2">
        <w:rPr>
          <w:rFonts w:ascii="Times New Roman" w:hAnsi="Times New Roman" w:cs="Times New Roman"/>
          <w:sz w:val="24"/>
          <w:szCs w:val="24"/>
          <w:shd w:val="clear" w:color="auto" w:fill="FFFFFF"/>
        </w:rPr>
        <w:t>s</w:t>
      </w:r>
      <w:r w:rsidRPr="00073C87">
        <w:rPr>
          <w:rFonts w:ascii="Times New Roman" w:hAnsi="Times New Roman" w:cs="Times New Roman"/>
          <w:sz w:val="24"/>
          <w:szCs w:val="24"/>
          <w:shd w:val="clear" w:color="auto" w:fill="FFFFFF"/>
        </w:rPr>
        <w:t xml:space="preserve"> indefinidos. Aunque el 70,7% de todos los contratos de foment</w:t>
      </w:r>
      <w:r>
        <w:rPr>
          <w:rFonts w:ascii="Times New Roman" w:hAnsi="Times New Roman" w:cs="Times New Roman"/>
          <w:sz w:val="24"/>
          <w:szCs w:val="24"/>
          <w:shd w:val="clear" w:color="auto" w:fill="FFFFFF"/>
        </w:rPr>
        <w:t>o del empleo sí son temporales.</w:t>
      </w:r>
    </w:p>
    <w:p w:rsidR="00115CC2" w:rsidRDefault="00115CC2" w:rsidP="00115CC2">
      <w:pPr>
        <w:spacing w:line="240" w:lineRule="auto"/>
        <w:jc w:val="both"/>
        <w:rPr>
          <w:rFonts w:ascii="Times New Roman" w:hAnsi="Times New Roman" w:cs="Times New Roman"/>
          <w:sz w:val="24"/>
          <w:szCs w:val="24"/>
          <w:shd w:val="clear" w:color="auto" w:fill="FFFFFF"/>
        </w:rPr>
      </w:pPr>
      <w:r w:rsidRPr="00073C87">
        <w:rPr>
          <w:rFonts w:ascii="Times New Roman" w:hAnsi="Times New Roman" w:cs="Times New Roman"/>
          <w:sz w:val="24"/>
          <w:szCs w:val="24"/>
          <w:shd w:val="clear" w:color="auto" w:fill="FFFFFF"/>
        </w:rPr>
        <w:t>En este escenario, el debate sobre la eficacia de las políticas de empleo adolece de una profunda desconexión no solo entre lo que perciben sus beneficiarios (y los ciudadanos) y lo que proclaman sus gestores, una brecha que la falta de información clara y coherente impide cerrar. Lo que no hace, sino elevar las dudas sobre en un país con una tasa de paro que parece reducirse solo por la evolución del ciclo económico y no por el esfuerzo de miles de millones de euros al año que ha financiado una ambiciosa reforma de las políticas activa que en dos años no parece haber arrojado hitos reseñables.</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lastRenderedPageBreak/>
        <w:t xml:space="preserve">- </w:t>
      </w:r>
      <w:r w:rsidRPr="00404CBF">
        <w:rPr>
          <w:rFonts w:ascii="Times New Roman" w:hAnsi="Times New Roman" w:cs="Times New Roman"/>
          <w:sz w:val="24"/>
          <w:szCs w:val="24"/>
          <w:u w:val="single"/>
        </w:rPr>
        <w:t>La reforma laboral eleva en 51 días la duración media de los empleos en España</w:t>
      </w:r>
      <w:r>
        <w:rPr>
          <w:rFonts w:ascii="Times New Roman" w:hAnsi="Times New Roman" w:cs="Times New Roman"/>
          <w:sz w:val="24"/>
          <w:szCs w:val="24"/>
        </w:rPr>
        <w:t xml:space="preserve"> (</w:t>
      </w:r>
      <w:r w:rsidRPr="00404CBF">
        <w:rPr>
          <w:rFonts w:ascii="Times New Roman" w:hAnsi="Times New Roman" w:cs="Times New Roman"/>
          <w:sz w:val="24"/>
          <w:szCs w:val="24"/>
        </w:rPr>
        <w:t xml:space="preserve">El Economista - </w:t>
      </w:r>
      <w:r w:rsidRPr="00404CBF">
        <w:rPr>
          <w:rFonts w:ascii="Times New Roman" w:hAnsi="Times New Roman" w:cs="Times New Roman"/>
          <w:b/>
          <w:sz w:val="24"/>
          <w:szCs w:val="24"/>
        </w:rPr>
        <w:t>6/8/25</w:t>
      </w:r>
      <w:r w:rsidRPr="00404CBF">
        <w:rPr>
          <w:rFonts w:ascii="Times New Roman" w:hAnsi="Times New Roman" w:cs="Times New Roman"/>
          <w:sz w:val="24"/>
          <w:szCs w:val="24"/>
        </w:rPr>
        <w:t>)</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(Por Javier Esteban)</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El mayor éxito económico de los Gobiernos de Pedro Sánchez fue, sin duda, la reforma laboral de 2021. Una norma que ha conseguido reducir del 32% al 13,6% la tasa de temporalidad de los asalariados y disparar un 36,6% el número de trabajadores con un contrato indefinido. Los datos parecen contundentes, pero no evitan una pregunta incómoda: ¿hasta qué punto ha mejorado la estabilidad real de los empleos? En otras palabras, ¿han heredado estos nuevos indefinidos la precariedad de los eventuales que han sustituido? Un análisis de la Seguridad Social permite encontrar una respuesta: entre 2019 y 2024, la duración media de un empleo ha pasado de 189 a 240 días. Una diferencia de 51 días, menos de dos meses.</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 xml:space="preserve">Esta estadística, incluida en el Anuario de Estadísticas Laborales que publican el Ministerio de Trabajo y Economía Social, recoge el número de bajas laborales del Régimen General (donde cotiza la mayoría de los asalariados) según la duración del último período en alta. No distingue el motivo de dicha baja, si </w:t>
      </w:r>
      <w:r>
        <w:rPr>
          <w:rFonts w:ascii="Times New Roman" w:hAnsi="Times New Roman" w:cs="Times New Roman"/>
          <w:sz w:val="24"/>
          <w:szCs w:val="24"/>
        </w:rPr>
        <w:t>bien -</w:t>
      </w:r>
      <w:r w:rsidRPr="00404CBF">
        <w:rPr>
          <w:rFonts w:ascii="Times New Roman" w:hAnsi="Times New Roman" w:cs="Times New Roman"/>
          <w:sz w:val="24"/>
          <w:szCs w:val="24"/>
        </w:rPr>
        <w:t>como h</w:t>
      </w:r>
      <w:r>
        <w:rPr>
          <w:rFonts w:ascii="Times New Roman" w:hAnsi="Times New Roman" w:cs="Times New Roman"/>
          <w:sz w:val="24"/>
          <w:szCs w:val="24"/>
        </w:rPr>
        <w:t>emos contado en elEconomista.es-</w:t>
      </w:r>
      <w:r w:rsidRPr="00404CBF">
        <w:rPr>
          <w:rFonts w:ascii="Times New Roman" w:hAnsi="Times New Roman" w:cs="Times New Roman"/>
          <w:sz w:val="24"/>
          <w:szCs w:val="24"/>
        </w:rPr>
        <w:t xml:space="preserve"> la mayoría se concentra en cuatro supuestos: la caducidad de un contrato temporal, el pase a la inactividad de un fijo discontinuo, los despidos y la no superación del periodo de prueba. La evolución de todos ellos se ha visto afectada por el cambio legal.</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En cualquier caso, permite un análisis más completo que los datos de duración de los contratos que publica el SEPE. Este registro solo se refiere a los contratos temporales, que en su mayoría se firman con una duración determinada, lo cual deja fuera a los indefinidos. Además, ni siquiera refleja cuánto duran realmente estos empleos.</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Respecto al pasado año, la duración de los periodos en alta solo se ha incrementado en tres días. Pero, en ese mismo periodo, el volumen de bajas ha subido de 22,1 a 22,9 millones. Aunque siguen por debajo de los 26,4 millones de 2019, esto rompe con el principio de que todo descenso de la volatilidad debe venir acompañado de un incremento en los periodos en alta de afiliación, y a la inversa.</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Esto es lo que ocurrió en la pandemia: el mercado laboral se paralizó por completo, las bajas se desplomaron a 17,4 millones y los días se dispararon a 259, 60 más que un año antes. En 2021, año previo a la entrada en vigor de la reforma, aún sumaban 20,6 millones, con 247 días.</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Puede pensarse que en esta contención de la volatilidad y las bajas influyeron, evidentemente, medidas como los ERTE, cuya flexibilidad extraordinaria facilitó que muchas empresas que no h</w:t>
      </w:r>
      <w:r w:rsidR="00C06321">
        <w:rPr>
          <w:rFonts w:ascii="Times New Roman" w:hAnsi="Times New Roman" w:cs="Times New Roman"/>
          <w:sz w:val="24"/>
          <w:szCs w:val="24"/>
        </w:rPr>
        <w:t>abían recuperado la normalidad “</w:t>
      </w:r>
      <w:r w:rsidRPr="00404CBF">
        <w:rPr>
          <w:rFonts w:ascii="Times New Roman" w:hAnsi="Times New Roman" w:cs="Times New Roman"/>
          <w:sz w:val="24"/>
          <w:szCs w:val="24"/>
        </w:rPr>
        <w:t>h</w:t>
      </w:r>
      <w:r w:rsidR="00C06321">
        <w:rPr>
          <w:rFonts w:ascii="Times New Roman" w:hAnsi="Times New Roman" w:cs="Times New Roman"/>
          <w:sz w:val="24"/>
          <w:szCs w:val="24"/>
        </w:rPr>
        <w:t>ibernaran”</w:t>
      </w:r>
      <w:r w:rsidRPr="00404CBF">
        <w:rPr>
          <w:rFonts w:ascii="Times New Roman" w:hAnsi="Times New Roman" w:cs="Times New Roman"/>
          <w:sz w:val="24"/>
          <w:szCs w:val="24"/>
        </w:rPr>
        <w:t xml:space="preserve"> a sus empleados en lugar de extinguir sus contratos. Pero no es así como funciona el mercado laboral español.</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El logro de la reforma laboral</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Hay que tener en cuenta que el volumen de bajas de afiliación es el reverso de las altas. El empleo español está muy marcado por la volatilidad, en la que los incrementos no se deben a la consolidación de puestos de trabajo más estables, sino a que el saldo de la rotación entre entradas y salidas del empleo es positivo. Esto hace que, en una crisis, sea más fácil destruir empleos, empezando por los temporales. Estos no se extinguen por un despido, simplemente se dejan caducar y no se renuevan.</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lastRenderedPageBreak/>
        <w:t>Por lo tanto, en un contexto como el de la pandemia, el aumento de la duración del empleo no fue algo positivo, sino consecuencia de una debacle en el mercado laboral, a pesar del colchón de las regulaciones de empleo. Lo mismo ocurrió en la Gran Recesión entre 2008 y 2009, aunque la serie de Seguridad Social no llega hasta ese año.</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En 2022, con una normalización del mercado laboral, las bajas de afiliación subieron a 21,9 millones y la duración a 233 días, algo que parecía cumplir el modelo. Pero en el siguiente ejercicio, con un leve incremento a 22,01 millones, las bajas volvieron a repuntar a 237 días. Y en 2024 han vuelto a subir. Pero la duración media también sigue aumentando.</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noProof/>
          <w:sz w:val="24"/>
          <w:szCs w:val="24"/>
          <w:lang w:eastAsia="es-ES"/>
        </w:rPr>
        <w:drawing>
          <wp:inline distT="0" distB="0" distL="0" distR="0" wp14:anchorId="49AA2E89" wp14:editId="20C8288B">
            <wp:extent cx="5727699" cy="3048000"/>
            <wp:effectExtent l="0" t="0" r="6985" b="0"/>
            <wp:docPr id="281"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31510" cy="3050028"/>
                    </a:xfrm>
                    <a:prstGeom prst="rect">
                      <a:avLst/>
                    </a:prstGeom>
                  </pic:spPr>
                </pic:pic>
              </a:graphicData>
            </a:graphic>
          </wp:inline>
        </w:drawing>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Aunque el repunte en tres años parezca modesto, si nos remontamos a la situación previa a la pandemia, se aprecia que el cambio es relevante. La clave está en el mayor peso de los contratos indefinidos en la creación de empleo, que han permitido cuadrar el círculo: lograr que, pese a que el mercado sea más activo, la duración de los empleos generados.</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La mayoría de las bajas son de indefinidos</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Sin embargo, esto tiene un coste. Y es que, en un mercado volátil como el español, a mayor número de altas de empleos indefinidos, le acompaña un creciente número de bajas. Como decíamos, los datos del Anuario no detallan el tipo de contrato de los asalariados que dejan de trabajar, pero sí lo hacen otros registros, como los mensuales de afiliación.</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Ahí se aprecia que las bajas de indefinidos han pasado del 13,5% en 2019 al 44,5% en la primera mitad de 2025. Este porcentaje fue algo superior en 2020 y 2021 por el efecto de parálisis del mercado laboral comentado, pero no llegó a rebasar el peso de los temporales. Ahora sí.</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Ahora bien: no podemos ignorar el inesperado incremento d</w:t>
      </w:r>
      <w:r>
        <w:rPr>
          <w:rFonts w:ascii="Times New Roman" w:hAnsi="Times New Roman" w:cs="Times New Roman"/>
          <w:sz w:val="24"/>
          <w:szCs w:val="24"/>
        </w:rPr>
        <w:t>e las bajas en la categoría de “otros”. Unos trabajadores “sin contrato”</w:t>
      </w:r>
      <w:r w:rsidRPr="00404CBF">
        <w:rPr>
          <w:rFonts w:ascii="Times New Roman" w:hAnsi="Times New Roman" w:cs="Times New Roman"/>
          <w:sz w:val="24"/>
          <w:szCs w:val="24"/>
        </w:rPr>
        <w:t xml:space="preserve"> que, en su mayoría, son funcionarios interinos u otro tipo de trabajadores públicos. La primera causa de baja en su caso es el fin de un contrato temporal, que alcanza a un tercio de los afectados, lo que apunta a los interinos.</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noProof/>
          <w:sz w:val="24"/>
          <w:szCs w:val="24"/>
          <w:lang w:eastAsia="es-ES"/>
        </w:rPr>
        <w:lastRenderedPageBreak/>
        <w:drawing>
          <wp:inline distT="0" distB="0" distL="0" distR="0" wp14:anchorId="39C8301E" wp14:editId="4FEABDA6">
            <wp:extent cx="5734050" cy="3117850"/>
            <wp:effectExtent l="0" t="0" r="0" b="6350"/>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731510" cy="3116469"/>
                    </a:xfrm>
                    <a:prstGeom prst="rect">
                      <a:avLst/>
                    </a:prstGeom>
                  </pic:spPr>
                </pic:pic>
              </a:graphicData>
            </a:graphic>
          </wp:inline>
        </w:drawing>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Tampoco podemos obviar que la mayoría de bajas de los indefinidos corresponde a trabajadores fijos discontinuos que pasan a la inactividad. Son trabajos estacionales que se interrumpen hasta que la empresa tiene a bien llamarles de nuevo, y explican el 56% de las bajas de los contratos, supuestamente, estables.</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Todo ello supone, en pocas palabras, que la temporalidad sigue siendo el motor de la volatilidad del mercado laboral, disimulada, eso sí, bajo otras categorías.</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Volviendo a las cifras del Anuario, las estadísticas confirman esta hipótesis con otra variable relevante: el desproporcionado peso de los empleos que se interrumpen antes de llegar al mes. Suponen 12,8 millones, el 56% del total, solo cuatro puntos menos que en 2019 y uno más que hace un año.</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noProof/>
          <w:sz w:val="24"/>
          <w:szCs w:val="24"/>
          <w:lang w:eastAsia="es-ES"/>
        </w:rPr>
        <w:drawing>
          <wp:inline distT="0" distB="0" distL="0" distR="0" wp14:anchorId="7B7A5F78" wp14:editId="20AD7A74">
            <wp:extent cx="5727700" cy="3181350"/>
            <wp:effectExtent l="0" t="0" r="6350" b="0"/>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731510" cy="3183466"/>
                    </a:xfrm>
                    <a:prstGeom prst="rect">
                      <a:avLst/>
                    </a:prstGeom>
                  </pic:spPr>
                </pic:pic>
              </a:graphicData>
            </a:graphic>
          </wp:inline>
        </w:drawing>
      </w:r>
    </w:p>
    <w:p w:rsidR="00115CC2"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lastRenderedPageBreak/>
        <w:t>Pero recordemos que este porcentaje se alcanza en un escenario en el que el 45% de las bajas corresponden a trabajadores con contrato indefinido. Esto supondría un indicio claro del trasvase de la precariedad de los empleos temporales a los fijos, en el marco de un modelo productivo pensado para la estacionalidad. Algo que ninguna reforma laboral, por muy bien diseñada que esté, puede cambiar por sí sola.</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 xml:space="preserve">- </w:t>
      </w:r>
      <w:r w:rsidR="00C06321">
        <w:rPr>
          <w:rFonts w:ascii="Times New Roman" w:hAnsi="Times New Roman" w:cs="Times New Roman"/>
          <w:sz w:val="24"/>
          <w:szCs w:val="24"/>
          <w:u w:val="single"/>
        </w:rPr>
        <w:t>Condenados al paro “extremo”</w:t>
      </w:r>
      <w:r w:rsidRPr="00404CBF">
        <w:rPr>
          <w:rFonts w:ascii="Times New Roman" w:hAnsi="Times New Roman" w:cs="Times New Roman"/>
          <w:sz w:val="24"/>
          <w:szCs w:val="24"/>
          <w:u w:val="single"/>
        </w:rPr>
        <w:t>: máximo histórico de mayores de 50 años que cobran un subsidio</w:t>
      </w:r>
      <w:r w:rsidR="00C06321">
        <w:rPr>
          <w:rFonts w:ascii="Times New Roman" w:hAnsi="Times New Roman" w:cs="Times New Roman"/>
          <w:sz w:val="24"/>
          <w:szCs w:val="24"/>
        </w:rPr>
        <w:t xml:space="preserve"> (</w:t>
      </w:r>
      <w:r w:rsidRPr="00404CBF">
        <w:rPr>
          <w:rFonts w:ascii="Times New Roman" w:hAnsi="Times New Roman" w:cs="Times New Roman"/>
          <w:sz w:val="24"/>
          <w:szCs w:val="24"/>
        </w:rPr>
        <w:t xml:space="preserve">El Economista - </w:t>
      </w:r>
      <w:r w:rsidRPr="00404CBF">
        <w:rPr>
          <w:rFonts w:ascii="Times New Roman" w:hAnsi="Times New Roman" w:cs="Times New Roman"/>
          <w:b/>
          <w:sz w:val="24"/>
          <w:szCs w:val="24"/>
        </w:rPr>
        <w:t>14/8/25</w:t>
      </w:r>
      <w:r w:rsidRPr="00404CBF">
        <w:rPr>
          <w:rFonts w:ascii="Times New Roman" w:hAnsi="Times New Roman" w:cs="Times New Roman"/>
          <w:sz w:val="24"/>
          <w:szCs w:val="24"/>
        </w:rPr>
        <w:t>)</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(Por Javier Esteban)</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Los parados mayores de 50 años que cobran un subsidio por desempleo alcanzaron los 545.686 en junio, un 4,9% más que hace un año y la cifra más alta de la serie histórica al cierre del primer semestre del año. La gran mayoría, 455.806 (un 83,5% del total), cobraban el subsidio para mayores de 52 años, el único que se puede seguir percibiendo hasta que el desempleado se jubila. Y esta es la expectativa la que se ven abocados cada vez más desempleados que se confirman como las principales víctim</w:t>
      </w:r>
      <w:r w:rsidR="00C06321">
        <w:rPr>
          <w:rFonts w:ascii="Times New Roman" w:hAnsi="Times New Roman" w:cs="Times New Roman"/>
          <w:sz w:val="24"/>
          <w:szCs w:val="24"/>
        </w:rPr>
        <w:t>as de un desempleo de duración “extrema”</w:t>
      </w:r>
      <w:r w:rsidRPr="00404CBF">
        <w:rPr>
          <w:rFonts w:ascii="Times New Roman" w:hAnsi="Times New Roman" w:cs="Times New Roman"/>
          <w:sz w:val="24"/>
          <w:szCs w:val="24"/>
        </w:rPr>
        <w:t xml:space="preserve"> que supera con creces el umbral del año a partir del que las oportunidades de volver a encontrar empleo se diluyen.</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Tras una accidentada tramitación política, la reforma el nivel asistencial de la protección por desempleo que entró en vigor en noviembre del pasado año pretendía convertir las ayudas por desempleo en un incentivo para la búsqueda de empleo. Pero, pese al descenso del paro en el último año, el número de beneficiarios de prestaciones contributivas ha crecido un 4,8%, hasta los 788.916, y los beneficiarios de subsidios un 9,6%, hasta 766.511, mientras el gasto en ambas se ha disparado un 7,85% y un 8,9%, respectivamente.</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A ello hay que sumar las diferentes ayudas a los trabajadores del campo (6.385 computan como beneficiarios de prestaciones contributivas y 136.450 de subsidios y rentas agrarias), así como los 27.122 beneficiarios de la renta activa de inserción, que elevan los beneficiarios del denominado nivel contributivo a 795.301 y los del asistencial a 902.961, lo que da un total de 1,7 millones de beneficiarios. Pero esto última cifra solo es un 1,5% superior a la de hace un año.</w:t>
      </w:r>
    </w:p>
    <w:p w:rsidR="00115CC2"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Esto supone que, en el nutrido colectivo de beneficiarios de ayudas del SEPE, los únicos que han aumentado son los que acceden a las ayudas directamente tras perder un empleo, especialmente los que perciben las ayudas de menor cuantía: los subsidios. Un grup</w:t>
      </w:r>
      <w:r w:rsidR="00C06321">
        <w:rPr>
          <w:rFonts w:ascii="Times New Roman" w:hAnsi="Times New Roman" w:cs="Times New Roman"/>
          <w:sz w:val="24"/>
          <w:szCs w:val="24"/>
        </w:rPr>
        <w:t>o claramente dominado por los se</w:t>
      </w:r>
      <w:r w:rsidRPr="00404CBF">
        <w:rPr>
          <w:rFonts w:ascii="Times New Roman" w:hAnsi="Times New Roman" w:cs="Times New Roman"/>
          <w:sz w:val="24"/>
          <w:szCs w:val="24"/>
        </w:rPr>
        <w:t>niors. Pero esta tendencia no es nueva; de hecho, se arrastra desde la Gran Recesión.</w:t>
      </w:r>
    </w:p>
    <w:p w:rsidR="00C06321" w:rsidRPr="00404CBF" w:rsidRDefault="00C06321" w:rsidP="00C06321">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Durante la crisis financiera, el paro de larga duración se disparó en todas las franjas de edad, lo que llevó a que, para 2009, hubiera muchos menores de 50 años que también cobraban el subsidio. Pero mientras los primeros descendieron según la economía empezó a recuperarse y cayó el paro, con los segundos ocurrió exactamente lo contrario: aumentaron. Y no hablamos solo de paro de larga duración, como se considera el que supera un año, sino d</w:t>
      </w:r>
      <w:r>
        <w:rPr>
          <w:rFonts w:ascii="Times New Roman" w:hAnsi="Times New Roman" w:cs="Times New Roman"/>
          <w:sz w:val="24"/>
          <w:szCs w:val="24"/>
        </w:rPr>
        <w:t>e muy larga duración o incluso “extrema”</w:t>
      </w:r>
      <w:r w:rsidRPr="00404CBF">
        <w:rPr>
          <w:rFonts w:ascii="Times New Roman" w:hAnsi="Times New Roman" w:cs="Times New Roman"/>
          <w:sz w:val="24"/>
          <w:szCs w:val="24"/>
        </w:rPr>
        <w:t>. No olvidemos que solo se accede al nivel asistencial tras haber agotado la prestación por desempleo, que puede percibirse durante dos años.</w:t>
      </w:r>
    </w:p>
    <w:p w:rsidR="00C06321" w:rsidRPr="00404CBF" w:rsidRDefault="00C06321" w:rsidP="00115CC2">
      <w:pPr>
        <w:spacing w:line="240" w:lineRule="auto"/>
        <w:jc w:val="both"/>
        <w:rPr>
          <w:rFonts w:ascii="Times New Roman" w:hAnsi="Times New Roman" w:cs="Times New Roman"/>
          <w:sz w:val="24"/>
          <w:szCs w:val="24"/>
        </w:rPr>
      </w:pPr>
    </w:p>
    <w:p w:rsidR="00115CC2" w:rsidRPr="00BC3BBB" w:rsidRDefault="00115CC2" w:rsidP="00115CC2">
      <w:pPr>
        <w:spacing w:line="240" w:lineRule="auto"/>
        <w:jc w:val="both"/>
        <w:rPr>
          <w:rFonts w:ascii="Times New Roman" w:hAnsi="Times New Roman" w:cs="Times New Roman"/>
          <w:color w:val="FF0000"/>
          <w:sz w:val="24"/>
          <w:szCs w:val="24"/>
        </w:rPr>
      </w:pPr>
      <w:r w:rsidRPr="00BC3BBB">
        <w:rPr>
          <w:rFonts w:ascii="Times New Roman" w:hAnsi="Times New Roman" w:cs="Times New Roman"/>
          <w:noProof/>
          <w:color w:val="FF0000"/>
          <w:sz w:val="24"/>
          <w:szCs w:val="24"/>
          <w:lang w:eastAsia="es-ES"/>
        </w:rPr>
        <w:lastRenderedPageBreak/>
        <w:drawing>
          <wp:inline distT="0" distB="0" distL="0" distR="0" wp14:anchorId="3A3F715C" wp14:editId="2EEC9942">
            <wp:extent cx="5727700" cy="3448050"/>
            <wp:effectExtent l="0" t="0" r="6350" b="0"/>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731510" cy="3450344"/>
                    </a:xfrm>
                    <a:prstGeom prst="rect">
                      <a:avLst/>
                    </a:prstGeom>
                  </pic:spPr>
                </pic:pic>
              </a:graphicData>
            </a:graphic>
          </wp:inline>
        </w:drawing>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Esta tendencia se puede achacar a factores como el envejecimiento demográfico, pero también a qué modelo económico con el que España empieza a salir de la crisis no es propicio para el empleo sénior. Se da una tormenta perfecta en la que los afectados por los despidos durante la crisis en sectores como la construcción y el financiero se encuentran con que el giro del mercado laboral hacia servicios de menor valor añadido, como el turismo, que tiran de trabajadores más jóvenes, les deja fuera de juego.</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Lo sorprendente es que el incremento de los beneficiarios de subsidios coincide con un retroceso de los de prestaciones contributivas. ¿Cómo se explica esta contradicción? Porque el aumento de los beneficiarios no se debe tanto a un incremento de los despidos (que justificarían nuevas prestaciones) como a un estancamiento del paro de larga duración que está elevando la factura del desempleo, tanto en términos humanos como presupuestarios.</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Peor calidad de la protección por desempleo</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Esta falta de oportunidades se traduce en que hay casi el doble de mayores de 50 años cobrando un subsidio que una prestación por desempleo. Entre los menores de esa edad, la proporción es la inversa: el número de beneficiarios del nivel asistencial apenas llegan a la mitad de los que reciben el contributivo.</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Ello supone la calidad de la protección por desempleo de los sénior es peor, aunque como contrapartida la mayoría la perciben durante mucho más tiempo. Aunque no es un beneficio, ya que se debe a que tienen menos expectativas de volver a encontrar trabajo: no olvidemos que ocho de cada diez cobran la modalidad para mayores de 52 años.</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Una de las principales novedades de la reforma era un incremento de la cuantía inicial de los subsidios por desempleo a 570 euros (o 95% del IPREM) los primeros 180 días, para bajar a 540 euros (90% del IPREM) los siguientes 180 días y a 480 euros (80% del IPREM) a partir de ahí y hasta que se agota, dentro de una duración máxima de 30 meses. Pero esto no se aplica a los subsidios para mayores de 52 años.</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noProof/>
          <w:sz w:val="24"/>
          <w:szCs w:val="24"/>
          <w:lang w:eastAsia="es-ES"/>
        </w:rPr>
        <w:lastRenderedPageBreak/>
        <w:drawing>
          <wp:inline distT="0" distB="0" distL="0" distR="0" wp14:anchorId="45C053B7" wp14:editId="7E586C0B">
            <wp:extent cx="5727699" cy="3416300"/>
            <wp:effectExtent l="0" t="0" r="6985" b="0"/>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731510" cy="3418573"/>
                    </a:xfrm>
                    <a:prstGeom prst="rect">
                      <a:avLst/>
                    </a:prstGeom>
                  </pic:spPr>
                </pic:pic>
              </a:graphicData>
            </a:graphic>
          </wp:inline>
        </w:drawing>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Hagamos algunos cálculos: de los 788.916 beneficiarios de subsidios, 455.806 (el 57,7%) cobran el de mayores de 52 años, el único que se vio excluido de la reforma y que presenta dos importantes diferencias respecto a los convencionales. La primera: puede cobrarse ininterrumpidamente hasta el momento en el que el parado alcanza la edad de jubilación.</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La segunda: el subsidio cotiza por el 125% del tope mínimo de cotización a la Seguridad Social vigente en cada momento. A diferencia de las prestaciones contributivas, es el SEPE el que ingresa la cotización a la Seguridad Social correspondiente a la jubilación del trabajador.</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Esta previsión busca mejorar las futuras pensiones de unos parados considerados especialmente vulnerables, pero supone un coste cada vez mayor para las arcas públicas y, según no pocos análisis, una vía para facilitar prejubilaciones. Por lo que el Gobierno, en un primer momento, se planteó volver a bajar ese porcentaje al 100%, como hizo el Ejecutivo del PP en 2012 (elevando también la edad de acceso a los 55 años), un cambio que el PSOE revirtió en 2018.</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Pero esta idea provocó que la primera versión de la reforma fuera tumbada en las Cortes con los votos del PP, Vox y Podemos, antiguos socios del Gobierno, que rechazaron lo que consideraban un recorte injustificado a los parados de larga duración. El Ejecutivo dio marcha atrás y dejó sin tocar el subsidio.</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En todo caso, la modificación de los subsidios deja sin resolver la cuestión que provoca el incremento de estos beneficiarios: el lastre del paro de larga duración, que golpea especialmente a los veteranos. Un factor que resta incluso eficacia a las políticas activas de empleo, como han constatado los análisis del Gobierno sobre su última revisión de la Ley de Empleo, tal y como ya hemos contado en elEconomista.</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 xml:space="preserve">Una norma, aprobada en 2023, que supone el nuevo marco para los planes de empleo del Gobierno y de las comunidades autónomas, a los que los cambios de los subsidios confían buena parte de su eficacia para convertirlos en un incentivo y no en un lastre para la </w:t>
      </w:r>
      <w:r w:rsidRPr="00404CBF">
        <w:rPr>
          <w:rFonts w:ascii="Times New Roman" w:hAnsi="Times New Roman" w:cs="Times New Roman"/>
          <w:sz w:val="24"/>
          <w:szCs w:val="24"/>
        </w:rPr>
        <w:lastRenderedPageBreak/>
        <w:t>empleabilidad. Pero que, como hemos contado en elEconomista.es, aún siguen sin dar con la tecla para neutralizar la bomba de relojería que supone el desempleo más prolongado.</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 xml:space="preserve">- </w:t>
      </w:r>
      <w:r w:rsidRPr="00404CBF">
        <w:rPr>
          <w:rFonts w:ascii="Times New Roman" w:hAnsi="Times New Roman" w:cs="Times New Roman"/>
          <w:sz w:val="24"/>
          <w:szCs w:val="24"/>
          <w:u w:val="single"/>
        </w:rPr>
        <w:t>Los parados ocultos representan ya a uno de cada cuatro desempleados en España</w:t>
      </w:r>
      <w:r w:rsidR="00C06321">
        <w:rPr>
          <w:rFonts w:ascii="Times New Roman" w:hAnsi="Times New Roman" w:cs="Times New Roman"/>
          <w:sz w:val="24"/>
          <w:szCs w:val="24"/>
        </w:rPr>
        <w:t xml:space="preserve"> (</w:t>
      </w:r>
      <w:r w:rsidRPr="00404CBF">
        <w:rPr>
          <w:rFonts w:ascii="Times New Roman" w:hAnsi="Times New Roman" w:cs="Times New Roman"/>
          <w:sz w:val="24"/>
          <w:szCs w:val="24"/>
        </w:rPr>
        <w:t xml:space="preserve">Vozpópuli - </w:t>
      </w:r>
      <w:r w:rsidRPr="00404CBF">
        <w:rPr>
          <w:rFonts w:ascii="Times New Roman" w:hAnsi="Times New Roman" w:cs="Times New Roman"/>
          <w:b/>
          <w:sz w:val="24"/>
          <w:szCs w:val="24"/>
        </w:rPr>
        <w:t>24/8/25</w:t>
      </w:r>
      <w:r w:rsidRPr="00404CBF">
        <w:rPr>
          <w:rFonts w:ascii="Times New Roman" w:hAnsi="Times New Roman" w:cs="Times New Roman"/>
          <w:sz w:val="24"/>
          <w:szCs w:val="24"/>
        </w:rPr>
        <w:t>)</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Los fijos discontinuos inactivos, sin empleo ni sueldo, han aumentado un 200% respecto a 2019. Pese a esto, siguen sin incluirse en el dato de paro registrado</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(Por Beatriz Triguero)</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 xml:space="preserve">Uno de cada cuatro parados registrados en las oficinas del Servicio Público de Empleo Estatal (SEPE) está oculto en la estadística del Gobierno. Son los que estadísticamente el Gobierno define como </w:t>
      </w:r>
      <w:r w:rsidR="00C06321">
        <w:rPr>
          <w:rFonts w:ascii="Times New Roman" w:hAnsi="Times New Roman" w:cs="Times New Roman"/>
          <w:sz w:val="24"/>
          <w:szCs w:val="24"/>
        </w:rPr>
        <w:t>“</w:t>
      </w:r>
      <w:r w:rsidRPr="00404CBF">
        <w:rPr>
          <w:rFonts w:ascii="Times New Roman" w:hAnsi="Times New Roman" w:cs="Times New Roman"/>
          <w:sz w:val="24"/>
          <w:szCs w:val="24"/>
        </w:rPr>
        <w:t>demandantes</w:t>
      </w:r>
      <w:r w:rsidR="00C06321">
        <w:rPr>
          <w:rFonts w:ascii="Times New Roman" w:hAnsi="Times New Roman" w:cs="Times New Roman"/>
          <w:sz w:val="24"/>
          <w:szCs w:val="24"/>
        </w:rPr>
        <w:t xml:space="preserve"> de empleo con relación laboral”</w:t>
      </w:r>
      <w:r w:rsidRPr="00404CBF">
        <w:rPr>
          <w:rFonts w:ascii="Times New Roman" w:hAnsi="Times New Roman" w:cs="Times New Roman"/>
          <w:sz w:val="24"/>
          <w:szCs w:val="24"/>
        </w:rPr>
        <w:t xml:space="preserve">, donde mete a los trabajadores con un contrato fijo discontinuo que se han quedado sin trabajo ni sueldo durante una temporada; así como a los trabajadores afectados por un ERTE y a los adscritos al sistema de colaboración social. </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 xml:space="preserve">Los parados que se inscriben en el SEPE y se incluyen en esta categoría al cumplir una de las tres condiciones anteriores son ya, de media, alrededor de 800.000. Es alrededor de un 200% más que en 2019. Y todos estos no se incluyen en el dato de paro registrado que cada mes el Gobierno comunica, y que está en mínimos de 2007. En julio, el último mes, había 2,4 millones de parados registrados y 845.392 demandantes de empleo con relación laboral que quedaban fuera del primer dato. </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De sum</w:t>
      </w:r>
      <w:r w:rsidR="00C06321">
        <w:rPr>
          <w:rFonts w:ascii="Times New Roman" w:hAnsi="Times New Roman" w:cs="Times New Roman"/>
          <w:sz w:val="24"/>
          <w:szCs w:val="24"/>
        </w:rPr>
        <w:t>ar todos resulta el “paro efectivo”</w:t>
      </w:r>
      <w:r w:rsidRPr="00404CBF">
        <w:rPr>
          <w:rFonts w:ascii="Times New Roman" w:hAnsi="Times New Roman" w:cs="Times New Roman"/>
          <w:sz w:val="24"/>
          <w:szCs w:val="24"/>
        </w:rPr>
        <w:t>, un término acuñado por la Fundación de Estudios de Economía Aplicada (Fedea) y que en julio se situó en los 3,2 millones de perso</w:t>
      </w:r>
      <w:r w:rsidR="00C06321">
        <w:rPr>
          <w:rFonts w:ascii="Times New Roman" w:hAnsi="Times New Roman" w:cs="Times New Roman"/>
          <w:sz w:val="24"/>
          <w:szCs w:val="24"/>
        </w:rPr>
        <w:t>nas. Es decir, que los parados “ocultos”</w:t>
      </w:r>
      <w:r w:rsidRPr="00404CBF">
        <w:rPr>
          <w:rFonts w:ascii="Times New Roman" w:hAnsi="Times New Roman" w:cs="Times New Roman"/>
          <w:sz w:val="24"/>
          <w:szCs w:val="24"/>
        </w:rPr>
        <w:t xml:space="preserve"> o que quedan fuera del dato comunicado cada mes suponen ya un 26% del total. Hace seis años, en 2019, eran 294.531 de un total de 3,3 millones, apenas un 9% del total. Sectores como la hostelería o la educación recurren cada vez con más intensidad a esta figura para contratar a los trabajadores.</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noProof/>
          <w:sz w:val="24"/>
          <w:szCs w:val="24"/>
          <w:lang w:eastAsia="es-ES"/>
        </w:rPr>
        <w:drawing>
          <wp:inline distT="0" distB="0" distL="0" distR="0" wp14:anchorId="2135D6A9" wp14:editId="2978E431">
            <wp:extent cx="5734050" cy="325755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731510" cy="3256107"/>
                    </a:xfrm>
                    <a:prstGeom prst="rect">
                      <a:avLst/>
                    </a:prstGeom>
                  </pic:spPr>
                </pic:pic>
              </a:graphicData>
            </a:graphic>
          </wp:inline>
        </w:drawing>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lastRenderedPageBreak/>
        <w:t>Tras la reforma laboral impulsada por la ministra de Trabajo, Yolanda Díaz, las empresas han transformado contratos temporales en indefinidos, donde se incluye esta modalidad. El contrato fijo discontinuo es el que más se asemeja a uno temporal, pues permite al empresario contar con los trabajadores en las temporadas de más trabajo y darles de baja cuando menos carga de trabajo hay o en los periodos vacacionales, aunque no haya un despido como tal y la relación contractual se mantenga.</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Los fijos discontinuos que no están trabajando pueden inscribirse en el SEPE como demandantes de empleo para recibir formación, buscar otro trabajo y, si han cotizado suficiente, cobrar una prestación</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Mientras esto ocurre, los fijos discontinuos que no están trabajando pueden inscribirse en el SEPE como demandantes de empleo para recibir formación, buscar otro trabajo y, si han cotizado suficiente, cobrar una prestación. Las mismas características que un parado registrado, aunque quedan fuera de esa estadística. En todo caso, hay que tener en cuenta que igual que no todos los parados reciben a una prestación, no todos los fijos discontinuos inactivos e inscritos en el SEPE tienen derecho a una.</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Según la estadística de prestaciones, un total de 109.783 fijos discontinuos recibieron una en junio, último mes para el que hay datos disponibles. Son un 13% de los demandantes de empleo con relación laboral. En todo caso, han llegado a superar los 200.000 en determinados meses. Lo llamativo es que ni siquiera en ese último caso, aquellos fijos discontinuos inactivos que cobran el paro, constan en las cifras de desempleo que difunde mensualmente el Gobierno.</w:t>
      </w:r>
    </w:p>
    <w:p w:rsidR="00115CC2" w:rsidRPr="00404CBF"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Además, el número de parados registrados está en mínimos, pero el gasto en prestaciones contributivas está en máximos. En junio el SEPE pagó alrededor de 800.000, un número no visto en este mes salvo en la pandemia. En junio de 2019, por ejemplo, pese a haber más parados, se pagaron 71.600 prestaciones menos. En enero, un mes de elevado desempleo, el número de prestaciones contributivas rozó el millón, un 5% más que en el mismo mes del año anterior con un 6% menos de parados que un año antes.</w:t>
      </w:r>
    </w:p>
    <w:p w:rsidR="00115CC2" w:rsidRDefault="00115CC2" w:rsidP="00115CC2">
      <w:pPr>
        <w:spacing w:line="240" w:lineRule="auto"/>
        <w:jc w:val="both"/>
        <w:rPr>
          <w:rFonts w:ascii="Times New Roman" w:hAnsi="Times New Roman" w:cs="Times New Roman"/>
          <w:sz w:val="24"/>
          <w:szCs w:val="24"/>
        </w:rPr>
      </w:pPr>
      <w:r w:rsidRPr="00404CBF">
        <w:rPr>
          <w:rFonts w:ascii="Times New Roman" w:hAnsi="Times New Roman" w:cs="Times New Roman"/>
          <w:sz w:val="24"/>
          <w:szCs w:val="24"/>
        </w:rPr>
        <w:t xml:space="preserve">El Ministerio de Trabajo y, concretamente, el SEPE aún no ha hecho público el número de fijos discontinuos que están inactivos y registrados en el SEPE pero quedan fuera de la estadística. En todo caso, los expertos calculan que la inmensa mayoría de los 800.000 demandantes de empleo con relación laboral son fijos discontinuos y si </w:t>
      </w:r>
      <w:r w:rsidR="00C06321">
        <w:rPr>
          <w:rFonts w:ascii="Times New Roman" w:hAnsi="Times New Roman" w:cs="Times New Roman"/>
          <w:sz w:val="24"/>
          <w:szCs w:val="24"/>
        </w:rPr>
        <w:t>se sumaran al resto de parados “ordinarios”</w:t>
      </w:r>
      <w:r w:rsidRPr="00404CBF">
        <w:rPr>
          <w:rFonts w:ascii="Times New Roman" w:hAnsi="Times New Roman" w:cs="Times New Roman"/>
          <w:sz w:val="24"/>
          <w:szCs w:val="24"/>
        </w:rPr>
        <w:t xml:space="preserve"> que sí se contabilizan, el descenso del paro en los últimos años, desde la reforma impulsada por el Ministerio de Trabajo, habría sido significativamente inferior.</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 xml:space="preserve">- </w:t>
      </w:r>
      <w:r w:rsidR="00C06321">
        <w:rPr>
          <w:rFonts w:ascii="Times New Roman" w:hAnsi="Times New Roman" w:cs="Times New Roman"/>
          <w:sz w:val="24"/>
          <w:szCs w:val="24"/>
          <w:u w:val="single"/>
        </w:rPr>
        <w:t>El otro “milagro”</w:t>
      </w:r>
      <w:r w:rsidRPr="00A8773B">
        <w:rPr>
          <w:rFonts w:ascii="Times New Roman" w:hAnsi="Times New Roman" w:cs="Times New Roman"/>
          <w:sz w:val="24"/>
          <w:szCs w:val="24"/>
          <w:u w:val="single"/>
        </w:rPr>
        <w:t xml:space="preserve"> del empleo: en nueve provincias hay más personas cobrando el paro que parados</w:t>
      </w:r>
      <w:r w:rsidRPr="00A8773B">
        <w:rPr>
          <w:rFonts w:ascii="Times New Roman" w:hAnsi="Times New Roman" w:cs="Times New Roman"/>
          <w:sz w:val="24"/>
          <w:szCs w:val="24"/>
        </w:rPr>
        <w:t xml:space="preserve"> (El Economista - </w:t>
      </w:r>
      <w:r w:rsidRPr="00A8773B">
        <w:rPr>
          <w:rFonts w:ascii="Times New Roman" w:hAnsi="Times New Roman" w:cs="Times New Roman"/>
          <w:b/>
          <w:sz w:val="24"/>
          <w:szCs w:val="24"/>
        </w:rPr>
        <w:t>3/9/25</w:t>
      </w:r>
      <w:r w:rsidRPr="00A8773B">
        <w:rPr>
          <w:rFonts w:ascii="Times New Roman" w:hAnsi="Times New Roman" w:cs="Times New Roman"/>
          <w:sz w:val="24"/>
          <w:szCs w:val="24"/>
        </w:rPr>
        <w:t>)</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La cifra supera el récord registrado en julio de 2020 con los ERTEs en su apogeo</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 xml:space="preserve">El SEPE lo achaca directamente a los fijos discontinuos </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El empleo cierra su peor verano en seis años con casi 200.000 afiliados menos y 21.900 nuevos parados en agosto</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(Por Javier Esteban)</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 xml:space="preserve">La tasa de cobertura de la protección por desempleo alcanzó el pasado mes de julio un récord histórico (si descontamos la pandemia) del 82,4%. Sin embargo, nueve provincias superaron </w:t>
      </w:r>
      <w:r w:rsidRPr="00A8773B">
        <w:rPr>
          <w:rFonts w:ascii="Times New Roman" w:hAnsi="Times New Roman" w:cs="Times New Roman"/>
          <w:sz w:val="24"/>
          <w:szCs w:val="24"/>
        </w:rPr>
        <w:lastRenderedPageBreak/>
        <w:t>el 100%: es decir, había más personas cobrando una prestación contributiva o un subsidio que parados registrados con derecho a hacerlo. Un hito sin precedentes que el Ministerio de Trabajo presenta como un éxito tras la última reforma de las ayudas, pero que el propio SEPE matiza, señalando que la causa está en los fijos discontinuos.</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En una nota a pie de página que acompaña a las estadísticas, el o</w:t>
      </w:r>
      <w:r w:rsidR="00C06321">
        <w:rPr>
          <w:rFonts w:ascii="Times New Roman" w:hAnsi="Times New Roman" w:cs="Times New Roman"/>
          <w:sz w:val="24"/>
          <w:szCs w:val="24"/>
        </w:rPr>
        <w:t>rganismo precisa lo siguiente: “</w:t>
      </w:r>
      <w:r w:rsidRPr="00A8773B">
        <w:rPr>
          <w:rFonts w:ascii="Times New Roman" w:hAnsi="Times New Roman" w:cs="Times New Roman"/>
          <w:sz w:val="24"/>
          <w:szCs w:val="24"/>
        </w:rPr>
        <w:t>En las provincias con elevado volumen de trabajadores fijos discontinuos, la tasa de cobertura puede superar el 100% en los meses de tem</w:t>
      </w:r>
      <w:r w:rsidR="00C06321">
        <w:rPr>
          <w:rFonts w:ascii="Times New Roman" w:hAnsi="Times New Roman" w:cs="Times New Roman"/>
          <w:sz w:val="24"/>
          <w:szCs w:val="24"/>
        </w:rPr>
        <w:t>porada baja”</w:t>
      </w:r>
      <w:r w:rsidRPr="00A8773B">
        <w:rPr>
          <w:rFonts w:ascii="Times New Roman" w:hAnsi="Times New Roman" w:cs="Times New Roman"/>
          <w:sz w:val="24"/>
          <w:szCs w:val="24"/>
        </w:rPr>
        <w:t>. Algo que ocurrió en Almería (125,3%), Huelva (135%) y Jaén (114,3%), en Baleares (114,3%), Huesca (105,6%) y Teruel (105,2%), Soria (107,5%), Castellón (100,5%) y Cáceres (102,5%). Hace un año, esta situación solo se daba en Almería, Huelva y Jaén. Ello a pesar de que j</w:t>
      </w:r>
      <w:r w:rsidR="00C06321">
        <w:rPr>
          <w:rFonts w:ascii="Times New Roman" w:hAnsi="Times New Roman" w:cs="Times New Roman"/>
          <w:sz w:val="24"/>
          <w:szCs w:val="24"/>
        </w:rPr>
        <w:t>ulio no se considera un mes de “temporada baja”</w:t>
      </w:r>
      <w:r w:rsidRPr="00A8773B">
        <w:rPr>
          <w:rFonts w:ascii="Times New Roman" w:hAnsi="Times New Roman" w:cs="Times New Roman"/>
          <w:sz w:val="24"/>
          <w:szCs w:val="24"/>
        </w:rPr>
        <w:t xml:space="preserve"> para las actividades estacionales con las que se asociaba esta figura contractual antes de la última reforma laboral.</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¿Cómo se calcula la tasa de cobertura? La fórmula es relativamente simple: se divide la cifra total de beneficiarios de las prestaciones por desempleo entre la suma de la cifra de parados registrados con experiencia laboral y la de beneficiarios de subsidio agrario.</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Para entender esta fórmula, hay que tener en cuenta que el principal requisito para cobrar una prestación es haber trabajado alguna vez, aunque existen diversos tipos de ayudas que se adaptan a cada situación, incluyendo la de personas que no se consideran parados registrados o que incluso tienen un trabajo.</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Los casos más habituales antes de la pandemia eran los beneficiarios de los subsidios agrarios en regiones como Andalucía o Extremadura, y los fijos discontinuos que han pasado a la inactividad. Sin embargo, los primeros eran los más comunes y los que afectaban a las cifras de las regiones donde se aplicaban. Por eso la fórmula incluye una prevención para corregir este impacto, algo que no se hizo con los fijos discontinuos.</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Ello a pesar de que la reforma laboral de 2012 impulsó su uso como alternativa para los contratos de temporada turística, algo que tuvo éxito en Baleares. Una comunidad autónoma</w:t>
      </w:r>
      <w:r w:rsidR="00C06321">
        <w:rPr>
          <w:rFonts w:ascii="Times New Roman" w:hAnsi="Times New Roman" w:cs="Times New Roman"/>
          <w:sz w:val="24"/>
          <w:szCs w:val="24"/>
        </w:rPr>
        <w:t xml:space="preserve"> que, antes de la pandemia, en “temporada baja”</w:t>
      </w:r>
      <w:r w:rsidRPr="00A8773B">
        <w:rPr>
          <w:rFonts w:ascii="Times New Roman" w:hAnsi="Times New Roman" w:cs="Times New Roman"/>
          <w:sz w:val="24"/>
          <w:szCs w:val="24"/>
        </w:rPr>
        <w:t xml:space="preserve"> (meses de invierno), llegaba a registrar una tasa de cobertura que en enero podía llegar al 147%, si nos fijamos en los datos de 2019. Pero era un caso aislado y, en un mes como julio, la tasa de cobertura no superaba el 100% en ninguna región española. La media nacional era del 66,1%.</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La pandemia introdujo un factor adicional: los ERTE, que dispararon a niveles nunca vistos el número de personas que cobraban una prestación pero que no eran parados regis</w:t>
      </w:r>
      <w:r w:rsidR="00C06321">
        <w:rPr>
          <w:rFonts w:ascii="Times New Roman" w:hAnsi="Times New Roman" w:cs="Times New Roman"/>
          <w:sz w:val="24"/>
          <w:szCs w:val="24"/>
        </w:rPr>
        <w:t>trados, sino que contaban como “demandantes ocupados”</w:t>
      </w:r>
      <w:r w:rsidRPr="00A8773B">
        <w:rPr>
          <w:rFonts w:ascii="Times New Roman" w:hAnsi="Times New Roman" w:cs="Times New Roman"/>
          <w:sz w:val="24"/>
          <w:szCs w:val="24"/>
        </w:rPr>
        <w:t>. Esto elevó la tasa de cobertura al 91,1% en julio de ese año, pero solo cuatro provincias superaban el 100%: Málaga (115,6%), Baleares (171,5%), Las Palmas (116,2%) y Santa Cruz de Tenerife (100,5%), y Girona (121,2%). Todas regiones con una alta actividad turística frenada por la crisis sanitaria.</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La situación se normalizó, al menos a efectos de la tasa de cobertura, en 2021: en el mes de julio, ninguna región superaba el 100% y la media nacional había caído al 61,8%. Entonces llegó la reforma laboral.</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Una revolución contable</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 xml:space="preserve">La norma buscaba impulsar la contratación indefinida y restringir la temporal, y para ello recurrió a la figura de los fijos discontinuos, aunque con mucha más ambición que en 2012. Se flexibilizó su uso para que se adaptara a más sectores de actividad (incluyendo la contratación a través de ETTs), y esto tuvo un efecto inmediato que, además, se ha ido </w:t>
      </w:r>
      <w:r w:rsidRPr="00A8773B">
        <w:rPr>
          <w:rFonts w:ascii="Times New Roman" w:hAnsi="Times New Roman" w:cs="Times New Roman"/>
          <w:sz w:val="24"/>
          <w:szCs w:val="24"/>
        </w:rPr>
        <w:lastRenderedPageBreak/>
        <w:t>acelerando: la tasa de cobertura de 2025 es un 9,1% superior a la de hace un año, cuando crecía a un ritmo de apenas el 5%.</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noProof/>
          <w:sz w:val="24"/>
          <w:szCs w:val="24"/>
          <w:lang w:eastAsia="es-ES"/>
        </w:rPr>
        <w:drawing>
          <wp:inline distT="0" distB="0" distL="0" distR="0" wp14:anchorId="1DD6FAA1" wp14:editId="5B59A942">
            <wp:extent cx="5729006" cy="4318000"/>
            <wp:effectExtent l="0" t="0" r="5080" b="6350"/>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731510" cy="4319888"/>
                    </a:xfrm>
                    <a:prstGeom prst="rect">
                      <a:avLst/>
                    </a:prstGeom>
                  </pic:spPr>
                </pic:pic>
              </a:graphicData>
            </a:graphic>
          </wp:inline>
        </w:drawing>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Una de las claves es que muchos trabajadores agrarios se han pasado a los contratos fijos discontinuos, lo que hace que no perciban el subsidio, sino una prestación contributiva. Esto explica que tres regiones andaluzas y una extremeña superen el 100%. No solo eso: en Baleares, donde ya se usaba esa figura para el turismo, la tasa de cobertura se ha disparado. En enero de 2025 ha llegado al 360% y, por primera vez desde que hay registros, no ha bajado del 100% en ningún mes del año.</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Los últimos datos de cobertura reactivan el debate sobre si la medición de la protección social de los desempleados está inflada por ayudas que se dirigen a otros colectivos. Sobre todo, en un momento en el que el SEPE contabiliza un incremento del 5% de los beneficiarios de prestaciones y del 10,2% de los de subsidios, pese a una caída del 5,7% interanual de los parados registrados.</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Lo que no deja de aumentar son los demandantes de empleo ocupados con relación laboral, categoría en la que se incluyen los fijos discontinuos. En julio sumaron 845.392, un 10,85% más que un año antes. Sin embargo, los beneficiarios de prestación apenas llegaban a 208.000, una cifra similar a la de un año antes, y su peso entre los subsidios es ínfimo. Algo que podría deberse a que son más volátiles (se perciben durante menos tiempo) que las de las personas que han visto extinguido su empleo.</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La cuestión es que la fórmula ha ganado en opacidad, sobre todo tras la última reforma de los subsidios. Hasta entonces, el SEPE publicaba la cifra de parados registrados con experiencia laboral, pero esa información ha desaparecido desde entonces de los textos publicados.</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lastRenderedPageBreak/>
        <w:t>Como hemos contado en elEconomista.es, los cambios en las prestaciones que entraron en vigor en noviembre han tenido un efecto en las estadísticas cuyo alcance no termina de estar claro. Una de l</w:t>
      </w:r>
      <w:r>
        <w:rPr>
          <w:rFonts w:ascii="Times New Roman" w:hAnsi="Times New Roman" w:cs="Times New Roman"/>
          <w:sz w:val="24"/>
          <w:szCs w:val="24"/>
        </w:rPr>
        <w:t xml:space="preserve">as claves podría estar en la </w:t>
      </w:r>
      <w:r w:rsidRPr="00A8773B">
        <w:rPr>
          <w:rFonts w:ascii="Times New Roman" w:hAnsi="Times New Roman" w:cs="Times New Roman"/>
          <w:sz w:val="24"/>
          <w:szCs w:val="24"/>
        </w:rPr>
        <w:t>introducción del complemento de activación para el empleo (CAE), una ayuda para que los desempleados la compatibilicen con un empleo y que suma ya 60.000 beneficiarios, pero que también podría estar distorsionando al alza las cifras de beneficiarios de subsidios que no están en paro, y con ellos la tasa de cobertura.</w:t>
      </w:r>
    </w:p>
    <w:p w:rsidR="00115CC2" w:rsidRPr="00A8773B" w:rsidRDefault="00115CC2" w:rsidP="00115CC2">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En cualquier caso, el Ministerio de Trabajo sigue presumiendo de la mejora de la tasa de cobertura como consecuencia de la mejora de las prestaciones, pero sin presentar un análisis riguroso de su composición, pese a que la evolución reciente apunta a una distorsión de las cifras que exigiría una revisión de la metodología. O, al menos, mayor transparencia.</w:t>
      </w:r>
    </w:p>
    <w:p w:rsidR="00115CC2" w:rsidRPr="00F6100E" w:rsidRDefault="00115CC2" w:rsidP="00115CC2">
      <w:pPr>
        <w:spacing w:line="240" w:lineRule="auto"/>
        <w:jc w:val="both"/>
        <w:rPr>
          <w:rFonts w:ascii="Times New Roman" w:hAnsi="Times New Roman" w:cs="Times New Roman"/>
          <w:color w:val="FF0000"/>
          <w:sz w:val="24"/>
          <w:szCs w:val="24"/>
          <w:shd w:val="clear" w:color="auto" w:fill="FFFFFF"/>
        </w:rPr>
      </w:pPr>
      <w:r w:rsidRPr="00F6100E">
        <w:rPr>
          <w:rFonts w:ascii="Times New Roman" w:hAnsi="Times New Roman" w:cs="Times New Roman"/>
          <w:b/>
          <w:color w:val="FF0000"/>
          <w:sz w:val="24"/>
          <w:szCs w:val="24"/>
          <w:shd w:val="clear" w:color="auto" w:fill="FFFFFF"/>
        </w:rPr>
        <w:t>Nota</w:t>
      </w:r>
      <w:r w:rsidRPr="00F6100E">
        <w:rPr>
          <w:rFonts w:ascii="Times New Roman" w:hAnsi="Times New Roman" w:cs="Times New Roman"/>
          <w:color w:val="FF0000"/>
          <w:sz w:val="24"/>
          <w:szCs w:val="24"/>
          <w:shd w:val="clear" w:color="auto" w:fill="FFFFFF"/>
        </w:rPr>
        <w:t xml:space="preserve">: por burocrático, incompetente, ineficaz, inútil, inservible, lento, moroso, disparatado… (y podría seguir agregando adjetivos descalificativos), se debe cerrar definitivamente este organismo letal para el empleo. Las empresas de empleo temporal, pueden cumplir (y están cumpliendo), la misma tarea, sin costo para las arcas del estado.  </w:t>
      </w:r>
    </w:p>
    <w:p w:rsidR="00C06321" w:rsidRDefault="00C06321" w:rsidP="00C06321">
      <w:pPr>
        <w:spacing w:line="240" w:lineRule="auto"/>
        <w:jc w:val="both"/>
        <w:rPr>
          <w:rFonts w:ascii="Times New Roman" w:hAnsi="Times New Roman" w:cs="Times New Roman"/>
          <w:color w:val="FF0000"/>
          <w:sz w:val="24"/>
          <w:szCs w:val="24"/>
          <w:shd w:val="clear" w:color="auto" w:fill="FFFFFF"/>
        </w:rPr>
      </w:pPr>
      <w:r w:rsidRPr="00F22FE7">
        <w:rPr>
          <w:rFonts w:ascii="Times New Roman" w:hAnsi="Times New Roman" w:cs="Times New Roman"/>
          <w:color w:val="FF0000"/>
          <w:sz w:val="24"/>
          <w:szCs w:val="24"/>
          <w:shd w:val="clear" w:color="auto" w:fill="FFFFFF"/>
        </w:rPr>
        <w:t>- Eliminar las políticas activas de empleo</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 xml:space="preserve">Las políticas activas de empleo (PAE) son medidas y programas gubernamentales diseñados para reducir el desempleo y mejorar la empleabilidad de los trabajadores. Estas políticas buscan facilitar la inserción laboral de personas desempleadas, fomentar la creación de empleo y mejorar las habilidades de los trabajadores para adaptarse a las demandas del mercado laboral. </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 xml:space="preserve">Las PAE son intervenciones del Estado en el mercado laboral que van más allá de las simples prestaciones por desempleo. Su objetivo principal es ayudar a las personas a encontrar trabajo, ya sea a través de la formación, la intermediación laboral, el fomento del emprendimiento o la promoción de la contratación. </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Tipos de políticas activas de empleo:</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 xml:space="preserve">Orientación, intermediación y colocación: Incluyen servicios de orientación laboral, asesoramiento individualizado y apoyo para la búsqueda de empleo, así como la intermediación entre demandantes y oferentes de empleo. </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 xml:space="preserve">Promoción y creación de empleo: Se enfocan en incentivar la contratación, tanto por parte de empresas como a través del fomento del autoempleo y el emprendimiento. </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 xml:space="preserve">Formación para el empleo: Comprenden programas de formación ocupacional para personas desempleadas y formación continua para trabajadores en activo, adaptada a las necesidades del mercado laboral. </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Ejemplos de políticas activas de empleo:</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 xml:space="preserve">Formación profesional para desempleados: Cursos y talleres que buscan actualizar o adquirir nuevas habilidades para facilitar la inserción laboral. </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 xml:space="preserve">Bonificaciones a la contratación: Subvenciones o reducciones en las cotizaciones a la seguridad social para empresas que contraten a personas desempleadas. </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 xml:space="preserve">Programas de apoyo al emprendimiento: Asesoramiento, formación y apoyo financiero para personas que desean crear su propia empresa. </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lastRenderedPageBreak/>
        <w:t>Programas de activación para el empleo: Intervenciones dirigidas a desempleados de larga duración, con el objetivo de reactivar su búsqueda de empleo.</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 xml:space="preserve">En 2023, el gobierno español destinó 2.803 millones de euros a políticas activas de empleo. Esta cifra representa la mayor inversión pública en esta materia hasta la fecha, según el gobierno, según el gobierno. Los fondos se distribuyen entre las comunidades autónomas para la gestión de servicios y programas de políticas activas de empleo, incluyendo formación profesional y fomento del empleo. </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Desglose de la inversión:</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Gestión por las CCAA de Servicios y Programas de Políticas Activas de Empleo: 1.424.300.250 euros, según el Ministerio de Trabajo y Economía Social.</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Gestión por las CCAA de iniciativas de formación profesional: 440.554.480 euros, según el Ministerio de Trabajo y Economía Social.</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Gestión por las CCAA de iniciativas de formación en alternancia en el empleo: 633.606.300 euros, según el Ministerio de Trabajo y Economía Social.</w:t>
      </w:r>
    </w:p>
    <w:p w:rsidR="00C06321" w:rsidRDefault="00C06321" w:rsidP="00C06321">
      <w:pPr>
        <w:spacing w:line="240" w:lineRule="auto"/>
        <w:jc w:val="both"/>
        <w:rPr>
          <w:rFonts w:ascii="Times New Roman" w:hAnsi="Times New Roman" w:cs="Times New Roman"/>
          <w:sz w:val="24"/>
          <w:szCs w:val="24"/>
          <w:shd w:val="clear" w:color="auto" w:fill="FFFFFF"/>
        </w:rPr>
      </w:pPr>
      <w:r w:rsidRPr="00B920F0">
        <w:rPr>
          <w:rFonts w:ascii="Times New Roman" w:hAnsi="Times New Roman" w:cs="Times New Roman"/>
          <w:sz w:val="24"/>
          <w:szCs w:val="24"/>
          <w:shd w:val="clear" w:color="auto" w:fill="FFFFFF"/>
        </w:rPr>
        <w:t>Para modernización Servicios Públicos de Empleo: 73.500.000 euros, según el Ministerio de Trabajo y Economía Social.</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9F1AA1">
        <w:rPr>
          <w:rFonts w:ascii="Times New Roman" w:hAnsi="Times New Roman" w:cs="Times New Roman"/>
          <w:sz w:val="24"/>
          <w:szCs w:val="24"/>
          <w:shd w:val="clear" w:color="auto" w:fill="FFFFFF"/>
        </w:rPr>
        <w:t>¿</w:t>
      </w:r>
      <w:r w:rsidRPr="009F1AA1">
        <w:rPr>
          <w:rFonts w:ascii="Times New Roman" w:hAnsi="Times New Roman" w:cs="Times New Roman"/>
          <w:sz w:val="24"/>
          <w:szCs w:val="24"/>
          <w:u w:val="single"/>
          <w:shd w:val="clear" w:color="auto" w:fill="FFFFFF"/>
        </w:rPr>
        <w:t>Casi 6.400 millones desperdiciados? Las claves del fracaso de las políticas activas de empleo</w:t>
      </w:r>
      <w:r>
        <w:rPr>
          <w:rFonts w:ascii="Times New Roman" w:hAnsi="Times New Roman" w:cs="Times New Roman"/>
          <w:sz w:val="24"/>
          <w:szCs w:val="24"/>
          <w:shd w:val="clear" w:color="auto" w:fill="FFFFFF"/>
        </w:rPr>
        <w:t xml:space="preserve"> (El Economista - </w:t>
      </w:r>
      <w:r w:rsidRPr="009F1AA1">
        <w:rPr>
          <w:rFonts w:ascii="Times New Roman" w:hAnsi="Times New Roman" w:cs="Times New Roman"/>
          <w:b/>
          <w:sz w:val="24"/>
          <w:szCs w:val="24"/>
          <w:shd w:val="clear" w:color="auto" w:fill="FFFFFF"/>
        </w:rPr>
        <w:t>15/7/24</w:t>
      </w:r>
      <w:r>
        <w:rPr>
          <w:rFonts w:ascii="Times New Roman" w:hAnsi="Times New Roman" w:cs="Times New Roman"/>
          <w:sz w:val="24"/>
          <w:szCs w:val="24"/>
          <w:shd w:val="clear" w:color="auto" w:fill="FFFFFF"/>
        </w:rPr>
        <w:t>)</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 xml:space="preserve">Fedea estima que los servicios públicos participan en menos del 3% de las colocaciones  </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Trabajo lleva sin publicar la evaluación de los planes anuales desde 2021</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¿Pueden los servicios públicos encontrar empleo a los parados? Menos del 20% confía en ellos</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9F1AA1">
        <w:rPr>
          <w:rFonts w:ascii="Times New Roman" w:hAnsi="Times New Roman" w:cs="Times New Roman"/>
          <w:sz w:val="24"/>
          <w:szCs w:val="24"/>
          <w:shd w:val="clear" w:color="auto" w:fill="FFFFFF"/>
        </w:rPr>
        <w:t>Javier Esteban</w:t>
      </w:r>
      <w:r>
        <w:rPr>
          <w:rFonts w:ascii="Times New Roman" w:hAnsi="Times New Roman" w:cs="Times New Roman"/>
          <w:sz w:val="24"/>
          <w:szCs w:val="24"/>
          <w:shd w:val="clear" w:color="auto" w:fill="FFFFFF"/>
        </w:rPr>
        <w:t>)</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El Gobierno acaba de formalizar la puesta en marcha del Plan Anual de Fomento del Empleo Digno para 2024, presupuestado con casi 6.400 millones de euros, de los que casi 2.600 se distribuyen directamente a las comunidades autónomas. Una cantidad muy similar a la de hace un año y cuya eficacia, empezando por sus propios usuarios, ponen en duda. Según las estimaciones d</w:t>
      </w:r>
      <w:r>
        <w:rPr>
          <w:rFonts w:ascii="Times New Roman" w:hAnsi="Times New Roman" w:cs="Times New Roman"/>
          <w:sz w:val="24"/>
          <w:szCs w:val="24"/>
          <w:shd w:val="clear" w:color="auto" w:fill="FFFFFF"/>
        </w:rPr>
        <w:t>e Fedea, menos de un 3% de las “inserciones laborales”</w:t>
      </w:r>
      <w:r w:rsidRPr="009F1AA1">
        <w:rPr>
          <w:rFonts w:ascii="Times New Roman" w:hAnsi="Times New Roman" w:cs="Times New Roman"/>
          <w:sz w:val="24"/>
          <w:szCs w:val="24"/>
          <w:shd w:val="clear" w:color="auto" w:fill="FFFFFF"/>
        </w:rPr>
        <w:t xml:space="preserve"> que se registran en España son gracias a la medi</w:t>
      </w:r>
      <w:r>
        <w:rPr>
          <w:rFonts w:ascii="Times New Roman" w:hAnsi="Times New Roman" w:cs="Times New Roman"/>
          <w:sz w:val="24"/>
          <w:szCs w:val="24"/>
          <w:shd w:val="clear" w:color="auto" w:fill="FFFFFF"/>
        </w:rPr>
        <w:t>ación de una oficina de empleo.</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 xml:space="preserve">En este contexto, destaca la opacidad y complejidad que rodean a estas medidas. El grueso de las competencias de ejecución reside en las regiones, que cuentan con sus servicios públicos autonómicos financiados con sus respectivos presupuestos, aunque reciben un buen pellizco de dotación estatal a través de la Conferencia Sectorial de Empleo, que preside la ministra de Trabajo, Yolanda Díaz. Esto garantiza un diseño general coordinado y centralizado por el Gobierno central. Además, el Estado diseña sus propios incentivos, bonificaciones y programas </w:t>
      </w:r>
      <w:r>
        <w:rPr>
          <w:rFonts w:ascii="Times New Roman" w:hAnsi="Times New Roman" w:cs="Times New Roman"/>
          <w:sz w:val="24"/>
          <w:szCs w:val="24"/>
          <w:shd w:val="clear" w:color="auto" w:fill="FFFFFF"/>
        </w:rPr>
        <w:t>para estimular la contratación.</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Pero esta estructura se traduce para el ciudadano medio en una retahíla de planes, programas y objetivos expresados en una jerga burocrática q</w:t>
      </w:r>
      <w:r>
        <w:rPr>
          <w:rFonts w:ascii="Times New Roman" w:hAnsi="Times New Roman" w:cs="Times New Roman"/>
          <w:sz w:val="24"/>
          <w:szCs w:val="24"/>
          <w:shd w:val="clear" w:color="auto" w:fill="FFFFFF"/>
        </w:rPr>
        <w:t>u</w:t>
      </w:r>
      <w:r w:rsidRPr="009F1AA1">
        <w:rPr>
          <w:rFonts w:ascii="Times New Roman" w:hAnsi="Times New Roman" w:cs="Times New Roman"/>
          <w:sz w:val="24"/>
          <w:szCs w:val="24"/>
          <w:shd w:val="clear" w:color="auto" w:fill="FFFFFF"/>
        </w:rPr>
        <w:t xml:space="preserve">e muchos consideran más pensados para contentar a las instituciones europeas (que también contribuyen con sus fondos a programas </w:t>
      </w:r>
      <w:r w:rsidRPr="009F1AA1">
        <w:rPr>
          <w:rFonts w:ascii="Times New Roman" w:hAnsi="Times New Roman" w:cs="Times New Roman"/>
          <w:sz w:val="24"/>
          <w:szCs w:val="24"/>
          <w:shd w:val="clear" w:color="auto" w:fill="FFFFFF"/>
        </w:rPr>
        <w:lastRenderedPageBreak/>
        <w:t>concretos llevan lustros exigiendo una mejora de los servicios españoles) que a explicar al parado qué puede o</w:t>
      </w:r>
      <w:r>
        <w:rPr>
          <w:rFonts w:ascii="Times New Roman" w:hAnsi="Times New Roman" w:cs="Times New Roman"/>
          <w:sz w:val="24"/>
          <w:szCs w:val="24"/>
          <w:shd w:val="clear" w:color="auto" w:fill="FFFFFF"/>
        </w:rPr>
        <w:t>frecerle una oficina de empleo.</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La confusión es tal que la mayoría de los españoles confunde el papel de los servicios autonómicos con el del SEPE, que se encarga de gestionar las prestaciones y subsidios por desempleo, las denominadas políticas pasivas. Es más, muchos si</w:t>
      </w:r>
      <w:r>
        <w:rPr>
          <w:rFonts w:ascii="Times New Roman" w:hAnsi="Times New Roman" w:cs="Times New Roman"/>
          <w:sz w:val="24"/>
          <w:szCs w:val="24"/>
          <w:shd w:val="clear" w:color="auto" w:fill="FFFFFF"/>
        </w:rPr>
        <w:t>guen denominando a este último “INEM”</w:t>
      </w:r>
      <w:r w:rsidRPr="009F1AA1">
        <w:rPr>
          <w:rFonts w:ascii="Times New Roman" w:hAnsi="Times New Roman" w:cs="Times New Roman"/>
          <w:sz w:val="24"/>
          <w:szCs w:val="24"/>
          <w:shd w:val="clear" w:color="auto" w:fill="FFFFFF"/>
        </w:rPr>
        <w:t>, que era el nombre que recibía hasta que la reforma de 2003 estableció el nuevo r</w:t>
      </w:r>
      <w:r>
        <w:rPr>
          <w:rFonts w:ascii="Times New Roman" w:hAnsi="Times New Roman" w:cs="Times New Roman"/>
          <w:sz w:val="24"/>
          <w:szCs w:val="24"/>
          <w:shd w:val="clear" w:color="auto" w:fill="FFFFFF"/>
        </w:rPr>
        <w:t>eparto competencial.</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Fedea les pone un “muy deficiente”</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Fedea acaba de publicar un estudio sobre los problemas y retos de las administraciones que recogía un esclarecedor capítulo centrado en las políticas activas de empleo. Su autor, el profesor de economía aplicada de la URJC e investigador asociado Fedea, Miguel Ángel García, fue también viceconsejero de Empleo de la Junta de Andalucía, con lo cual tiene conocimien</w:t>
      </w:r>
      <w:r>
        <w:rPr>
          <w:rFonts w:ascii="Times New Roman" w:hAnsi="Times New Roman" w:cs="Times New Roman"/>
          <w:sz w:val="24"/>
          <w:szCs w:val="24"/>
          <w:shd w:val="clear" w:color="auto" w:fill="FFFFFF"/>
        </w:rPr>
        <w:t>to de primera mano del sistema.</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Su análisis r</w:t>
      </w:r>
      <w:r>
        <w:rPr>
          <w:rFonts w:ascii="Times New Roman" w:hAnsi="Times New Roman" w:cs="Times New Roman"/>
          <w:sz w:val="24"/>
          <w:szCs w:val="24"/>
          <w:shd w:val="clear" w:color="auto" w:fill="FFFFFF"/>
        </w:rPr>
        <w:t>ecuerda que cuando hablamos de “</w:t>
      </w:r>
      <w:r w:rsidRPr="009F1AA1">
        <w:rPr>
          <w:rFonts w:ascii="Times New Roman" w:hAnsi="Times New Roman" w:cs="Times New Roman"/>
          <w:sz w:val="24"/>
          <w:szCs w:val="24"/>
          <w:shd w:val="clear" w:color="auto" w:fill="FFFFFF"/>
        </w:rPr>
        <w:t>políticas ac</w:t>
      </w:r>
      <w:r>
        <w:rPr>
          <w:rFonts w:ascii="Times New Roman" w:hAnsi="Times New Roman" w:cs="Times New Roman"/>
          <w:sz w:val="24"/>
          <w:szCs w:val="24"/>
          <w:shd w:val="clear" w:color="auto" w:fill="FFFFFF"/>
        </w:rPr>
        <w:t>tivas de empleo”</w:t>
      </w:r>
      <w:r w:rsidRPr="009F1AA1">
        <w:rPr>
          <w:rFonts w:ascii="Times New Roman" w:hAnsi="Times New Roman" w:cs="Times New Roman"/>
          <w:sz w:val="24"/>
          <w:szCs w:val="24"/>
          <w:shd w:val="clear" w:color="auto" w:fill="FFFFFF"/>
        </w:rPr>
        <w:t xml:space="preserve"> nos referimos a tres tipos </w:t>
      </w:r>
      <w:r>
        <w:rPr>
          <w:rFonts w:ascii="Times New Roman" w:hAnsi="Times New Roman" w:cs="Times New Roman"/>
          <w:sz w:val="24"/>
          <w:szCs w:val="24"/>
          <w:shd w:val="clear" w:color="auto" w:fill="FFFFFF"/>
        </w:rPr>
        <w:t>de medidas: las dirigidas a la “</w:t>
      </w:r>
      <w:r w:rsidRPr="009F1AA1">
        <w:rPr>
          <w:rFonts w:ascii="Times New Roman" w:hAnsi="Times New Roman" w:cs="Times New Roman"/>
          <w:sz w:val="24"/>
          <w:szCs w:val="24"/>
          <w:shd w:val="clear" w:color="auto" w:fill="FFFFFF"/>
        </w:rPr>
        <w:t>orientación de las personas e intermediación para empareja</w:t>
      </w:r>
      <w:r>
        <w:rPr>
          <w:rFonts w:ascii="Times New Roman" w:hAnsi="Times New Roman" w:cs="Times New Roman"/>
          <w:sz w:val="24"/>
          <w:szCs w:val="24"/>
          <w:shd w:val="clear" w:color="auto" w:fill="FFFFFF"/>
        </w:rPr>
        <w:t>r la oferta y demanda de empleo”, las de “formación de las personas”, y los “</w:t>
      </w:r>
      <w:r w:rsidRPr="009F1AA1">
        <w:rPr>
          <w:rFonts w:ascii="Times New Roman" w:hAnsi="Times New Roman" w:cs="Times New Roman"/>
          <w:sz w:val="24"/>
          <w:szCs w:val="24"/>
          <w:shd w:val="clear" w:color="auto" w:fill="FFFFFF"/>
        </w:rPr>
        <w:t xml:space="preserve">incentivos al empleo de colectivos con más dificultades </w:t>
      </w:r>
      <w:r>
        <w:rPr>
          <w:rFonts w:ascii="Times New Roman" w:hAnsi="Times New Roman" w:cs="Times New Roman"/>
          <w:sz w:val="24"/>
          <w:szCs w:val="24"/>
          <w:shd w:val="clear" w:color="auto" w:fill="FFFFFF"/>
        </w:rPr>
        <w:t>de acceso al mercado de trabajo”.</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En el primer bloque, el de intermediaci</w:t>
      </w:r>
      <w:r>
        <w:rPr>
          <w:rFonts w:ascii="Times New Roman" w:hAnsi="Times New Roman" w:cs="Times New Roman"/>
          <w:sz w:val="24"/>
          <w:szCs w:val="24"/>
          <w:shd w:val="clear" w:color="auto" w:fill="FFFFFF"/>
        </w:rPr>
        <w:t>ón, su veredicto es un rotundo “muy deficiente” y da una cifra: “</w:t>
      </w:r>
      <w:r w:rsidRPr="009F1AA1">
        <w:rPr>
          <w:rFonts w:ascii="Times New Roman" w:hAnsi="Times New Roman" w:cs="Times New Roman"/>
          <w:sz w:val="24"/>
          <w:szCs w:val="24"/>
          <w:shd w:val="clear" w:color="auto" w:fill="FFFFFF"/>
        </w:rPr>
        <w:t>a través de ellos se realizan menos del 3% del total de inserciones laborales, que corresponden en su mayo</w:t>
      </w:r>
      <w:r>
        <w:rPr>
          <w:rFonts w:ascii="Times New Roman" w:hAnsi="Times New Roman" w:cs="Times New Roman"/>
          <w:sz w:val="24"/>
          <w:szCs w:val="24"/>
          <w:shd w:val="clear" w:color="auto" w:fill="FFFFFF"/>
        </w:rPr>
        <w:t>ría al sector público”. “</w:t>
      </w:r>
      <w:r w:rsidRPr="009F1AA1">
        <w:rPr>
          <w:rFonts w:ascii="Times New Roman" w:hAnsi="Times New Roman" w:cs="Times New Roman"/>
          <w:sz w:val="24"/>
          <w:szCs w:val="24"/>
          <w:shd w:val="clear" w:color="auto" w:fill="FFFFFF"/>
        </w:rPr>
        <w:t>La constatación de su incapacidad para canalizar las ofertas de empleo hacia quienes buscan trabajo, incluso en una situación como la actual, con un número elevado de vacantes, ha alejado a trabajadores y empresas de las oficinas d</w:t>
      </w:r>
      <w:r>
        <w:rPr>
          <w:rFonts w:ascii="Times New Roman" w:hAnsi="Times New Roman" w:cs="Times New Roman"/>
          <w:sz w:val="24"/>
          <w:szCs w:val="24"/>
          <w:shd w:val="clear" w:color="auto" w:fill="FFFFFF"/>
        </w:rPr>
        <w:t>e empleo”, remarca.</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Por otro lado, que la asignación de la competencia sobre el pago de prestaciones, es decir, las políticas activas, corresponda al orga</w:t>
      </w:r>
      <w:r>
        <w:rPr>
          <w:rFonts w:ascii="Times New Roman" w:hAnsi="Times New Roman" w:cs="Times New Roman"/>
          <w:sz w:val="24"/>
          <w:szCs w:val="24"/>
          <w:shd w:val="clear" w:color="auto" w:fill="FFFFFF"/>
        </w:rPr>
        <w:t>nismo estatal (el SEPE) genera “</w:t>
      </w:r>
      <w:r w:rsidRPr="009F1AA1">
        <w:rPr>
          <w:rFonts w:ascii="Times New Roman" w:hAnsi="Times New Roman" w:cs="Times New Roman"/>
          <w:sz w:val="24"/>
          <w:szCs w:val="24"/>
          <w:shd w:val="clear" w:color="auto" w:fill="FFFFFF"/>
        </w:rPr>
        <w:t>u</w:t>
      </w:r>
      <w:r>
        <w:rPr>
          <w:rFonts w:ascii="Times New Roman" w:hAnsi="Times New Roman" w:cs="Times New Roman"/>
          <w:sz w:val="24"/>
          <w:szCs w:val="24"/>
          <w:shd w:val="clear" w:color="auto" w:fill="FFFFFF"/>
        </w:rPr>
        <w:t>n desalineamiento de incentivos”</w:t>
      </w:r>
      <w:r w:rsidRPr="009F1AA1">
        <w:rPr>
          <w:rFonts w:ascii="Times New Roman" w:hAnsi="Times New Roman" w:cs="Times New Roman"/>
          <w:sz w:val="24"/>
          <w:szCs w:val="24"/>
          <w:shd w:val="clear" w:color="auto" w:fill="FFFFFF"/>
        </w:rPr>
        <w:t xml:space="preserve"> con los servicios autonómicos. Esto afecta directamente a comprobar si los beneficiarios de prestaciones y subsidios cumplen con el compromiso de actividad, por ejemplo, al no rechaz</w:t>
      </w:r>
      <w:r>
        <w:rPr>
          <w:rFonts w:ascii="Times New Roman" w:hAnsi="Times New Roman" w:cs="Times New Roman"/>
          <w:sz w:val="24"/>
          <w:szCs w:val="24"/>
          <w:shd w:val="clear" w:color="auto" w:fill="FFFFFF"/>
        </w:rPr>
        <w:t>ar ofertas adecuadas de empleo.</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El segundo bloque, el de formación de desempleados, supone un coste de 2.000 millones al año (el 0,15% del PIB) gestionados por las comunidades, aunque se pone en común con los ministerios de Trabajo y, en este cao, de Educación. Aun así, sus resultados tampoco son precisamente positivos. García Díaz censura que la formación ofrec</w:t>
      </w:r>
      <w:r>
        <w:rPr>
          <w:rFonts w:ascii="Times New Roman" w:hAnsi="Times New Roman" w:cs="Times New Roman"/>
          <w:sz w:val="24"/>
          <w:szCs w:val="24"/>
          <w:shd w:val="clear" w:color="auto" w:fill="FFFFFF"/>
        </w:rPr>
        <w:t>ida “</w:t>
      </w:r>
      <w:r w:rsidRPr="009F1AA1">
        <w:rPr>
          <w:rFonts w:ascii="Times New Roman" w:hAnsi="Times New Roman" w:cs="Times New Roman"/>
          <w:sz w:val="24"/>
          <w:szCs w:val="24"/>
          <w:shd w:val="clear" w:color="auto" w:fill="FFFFFF"/>
        </w:rPr>
        <w:t>tiene un excesivo sesgo hacia los cursos disponibles por la ofer</w:t>
      </w:r>
      <w:r>
        <w:rPr>
          <w:rFonts w:ascii="Times New Roman" w:hAnsi="Times New Roman" w:cs="Times New Roman"/>
          <w:sz w:val="24"/>
          <w:szCs w:val="24"/>
          <w:shd w:val="clear" w:color="auto" w:fill="FFFFFF"/>
        </w:rPr>
        <w:t>ta de las empresas de formación”</w:t>
      </w:r>
      <w:r w:rsidRPr="009F1AA1">
        <w:rPr>
          <w:rFonts w:ascii="Times New Roman" w:hAnsi="Times New Roman" w:cs="Times New Roman"/>
          <w:sz w:val="24"/>
          <w:szCs w:val="24"/>
          <w:shd w:val="clear" w:color="auto" w:fill="FFFFFF"/>
        </w:rPr>
        <w:t xml:space="preserve"> y no por las necesidades reales del mercado laboral. La razón es que las administraciones públicas n cuentan con la necesaria información sobre las necesidades de las empresas y las ca</w:t>
      </w:r>
      <w:r>
        <w:rPr>
          <w:rFonts w:ascii="Times New Roman" w:hAnsi="Times New Roman" w:cs="Times New Roman"/>
          <w:sz w:val="24"/>
          <w:szCs w:val="24"/>
          <w:shd w:val="clear" w:color="auto" w:fill="FFFFFF"/>
        </w:rPr>
        <w:t>racterísticas de las personas, “</w:t>
      </w:r>
      <w:r w:rsidRPr="009F1AA1">
        <w:rPr>
          <w:rFonts w:ascii="Times New Roman" w:hAnsi="Times New Roman" w:cs="Times New Roman"/>
          <w:sz w:val="24"/>
          <w:szCs w:val="24"/>
          <w:shd w:val="clear" w:color="auto" w:fill="FFFFFF"/>
        </w:rPr>
        <w:t>debido a la inexistencia de u</w:t>
      </w:r>
      <w:r>
        <w:rPr>
          <w:rFonts w:ascii="Times New Roman" w:hAnsi="Times New Roman" w:cs="Times New Roman"/>
          <w:sz w:val="24"/>
          <w:szCs w:val="24"/>
          <w:shd w:val="clear" w:color="auto" w:fill="FFFFFF"/>
        </w:rPr>
        <w:t>n sistema adecuado de perfilado”.</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9F1AA1">
        <w:rPr>
          <w:rFonts w:ascii="Times New Roman" w:hAnsi="Times New Roman" w:cs="Times New Roman"/>
          <w:sz w:val="24"/>
          <w:szCs w:val="24"/>
          <w:shd w:val="clear" w:color="auto" w:fill="FFFFFF"/>
        </w:rPr>
        <w:t>Están desactualizados en relación con las necesidades del sector pr</w:t>
      </w:r>
      <w:r>
        <w:rPr>
          <w:rFonts w:ascii="Times New Roman" w:hAnsi="Times New Roman" w:cs="Times New Roman"/>
          <w:sz w:val="24"/>
          <w:szCs w:val="24"/>
          <w:shd w:val="clear" w:color="auto" w:fill="FFFFFF"/>
        </w:rPr>
        <w:t>oductivo y son demasiado largos”</w:t>
      </w:r>
      <w:r w:rsidRPr="009F1AA1">
        <w:rPr>
          <w:rFonts w:ascii="Times New Roman" w:hAnsi="Times New Roman" w:cs="Times New Roman"/>
          <w:sz w:val="24"/>
          <w:szCs w:val="24"/>
          <w:shd w:val="clear" w:color="auto" w:fill="FFFFFF"/>
        </w:rPr>
        <w:t>, incide el experto, que destaca este último factor, el de la duración de los cursos (muchos superan las 600 horas lectivas), como un desincentivo para unos</w:t>
      </w:r>
      <w:r>
        <w:rPr>
          <w:rFonts w:ascii="Times New Roman" w:hAnsi="Times New Roman" w:cs="Times New Roman"/>
          <w:sz w:val="24"/>
          <w:szCs w:val="24"/>
          <w:shd w:val="clear" w:color="auto" w:fill="FFFFFF"/>
        </w:rPr>
        <w:t xml:space="preserve"> parados que no ven garantizado</w:t>
      </w:r>
      <w:r w:rsidRPr="009F1AA1">
        <w:rPr>
          <w:rFonts w:ascii="Times New Roman" w:hAnsi="Times New Roman" w:cs="Times New Roman"/>
          <w:sz w:val="24"/>
          <w:szCs w:val="24"/>
          <w:shd w:val="clear" w:color="auto" w:fill="FFFFFF"/>
        </w:rPr>
        <w:t xml:space="preserve"> logr</w:t>
      </w:r>
      <w:r>
        <w:rPr>
          <w:rFonts w:ascii="Times New Roman" w:hAnsi="Times New Roman" w:cs="Times New Roman"/>
          <w:sz w:val="24"/>
          <w:szCs w:val="24"/>
          <w:shd w:val="clear" w:color="auto" w:fill="FFFFFF"/>
        </w:rPr>
        <w:t>ar un trabajo tras concluirlos.</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El tercer bloque, el de los incentivos al empleo están dirigidos a faci</w:t>
      </w:r>
      <w:r>
        <w:rPr>
          <w:rFonts w:ascii="Times New Roman" w:hAnsi="Times New Roman" w:cs="Times New Roman"/>
          <w:sz w:val="24"/>
          <w:szCs w:val="24"/>
          <w:shd w:val="clear" w:color="auto" w:fill="FFFFFF"/>
        </w:rPr>
        <w:t>litar la inserción de personas “</w:t>
      </w:r>
      <w:r w:rsidRPr="009F1AA1">
        <w:rPr>
          <w:rFonts w:ascii="Times New Roman" w:hAnsi="Times New Roman" w:cs="Times New Roman"/>
          <w:sz w:val="24"/>
          <w:szCs w:val="24"/>
          <w:shd w:val="clear" w:color="auto" w:fill="FFFFFF"/>
        </w:rPr>
        <w:t xml:space="preserve">con especiales problemas </w:t>
      </w:r>
      <w:r>
        <w:rPr>
          <w:rFonts w:ascii="Times New Roman" w:hAnsi="Times New Roman" w:cs="Times New Roman"/>
          <w:sz w:val="24"/>
          <w:szCs w:val="24"/>
          <w:shd w:val="clear" w:color="auto" w:fill="FFFFFF"/>
        </w:rPr>
        <w:t>de acceso en el mercado laboral”</w:t>
      </w:r>
      <w:r w:rsidRPr="009F1AA1">
        <w:rPr>
          <w:rFonts w:ascii="Times New Roman" w:hAnsi="Times New Roman" w:cs="Times New Roman"/>
          <w:sz w:val="24"/>
          <w:szCs w:val="24"/>
          <w:shd w:val="clear" w:color="auto" w:fill="FFFFFF"/>
        </w:rPr>
        <w:t xml:space="preserve">. En la práctica, estas se concretan en reducciones del coste laboral, a través de bonificaciones o reducciones de la </w:t>
      </w:r>
      <w:r w:rsidRPr="009F1AA1">
        <w:rPr>
          <w:rFonts w:ascii="Times New Roman" w:hAnsi="Times New Roman" w:cs="Times New Roman"/>
          <w:sz w:val="24"/>
          <w:szCs w:val="24"/>
          <w:shd w:val="clear" w:color="auto" w:fill="FFFFFF"/>
        </w:rPr>
        <w:lastRenderedPageBreak/>
        <w:t xml:space="preserve">cotización que abona el empresario. Aquí García ahonda en una crítica clásica que ha sido planteada incluso </w:t>
      </w:r>
      <w:r>
        <w:rPr>
          <w:rFonts w:ascii="Times New Roman" w:hAnsi="Times New Roman" w:cs="Times New Roman"/>
          <w:sz w:val="24"/>
          <w:szCs w:val="24"/>
          <w:shd w:val="clear" w:color="auto" w:fill="FFFFFF"/>
        </w:rPr>
        <w:t>por la AiReF: estas ayudas son “peso muerto”</w:t>
      </w:r>
      <w:r w:rsidRPr="009F1AA1">
        <w:rPr>
          <w:rFonts w:ascii="Times New Roman" w:hAnsi="Times New Roman" w:cs="Times New Roman"/>
          <w:sz w:val="24"/>
          <w:szCs w:val="24"/>
          <w:shd w:val="clear" w:color="auto" w:fill="FFFFFF"/>
        </w:rPr>
        <w:t>. Es decir, que la mayoría de esos contratos se habrían producido sin que las empresas se b</w:t>
      </w:r>
      <w:r>
        <w:rPr>
          <w:rFonts w:ascii="Times New Roman" w:hAnsi="Times New Roman" w:cs="Times New Roman"/>
          <w:sz w:val="24"/>
          <w:szCs w:val="24"/>
          <w:shd w:val="clear" w:color="auto" w:fill="FFFFFF"/>
        </w:rPr>
        <w:t>eneficiaran de esos descuentos.</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La razón, a su juicio, está en que se a</w:t>
      </w:r>
      <w:r>
        <w:rPr>
          <w:rFonts w:ascii="Times New Roman" w:hAnsi="Times New Roman" w:cs="Times New Roman"/>
          <w:sz w:val="24"/>
          <w:szCs w:val="24"/>
          <w:shd w:val="clear" w:color="auto" w:fill="FFFFFF"/>
        </w:rPr>
        <w:t>plican de manera general y son “</w:t>
      </w:r>
      <w:r w:rsidRPr="009F1AA1">
        <w:rPr>
          <w:rFonts w:ascii="Times New Roman" w:hAnsi="Times New Roman" w:cs="Times New Roman"/>
          <w:sz w:val="24"/>
          <w:szCs w:val="24"/>
          <w:shd w:val="clear" w:color="auto" w:fill="FFFFFF"/>
        </w:rPr>
        <w:t>discriminar adecuadamente a</w:t>
      </w:r>
      <w:r>
        <w:rPr>
          <w:rFonts w:ascii="Times New Roman" w:hAnsi="Times New Roman" w:cs="Times New Roman"/>
          <w:sz w:val="24"/>
          <w:szCs w:val="24"/>
          <w:shd w:val="clear" w:color="auto" w:fill="FFFFFF"/>
        </w:rPr>
        <w:t xml:space="preserve"> las personas que los necesitan”</w:t>
      </w:r>
      <w:r w:rsidRPr="009F1AA1">
        <w:rPr>
          <w:rFonts w:ascii="Times New Roman" w:hAnsi="Times New Roman" w:cs="Times New Roman"/>
          <w:sz w:val="24"/>
          <w:szCs w:val="24"/>
          <w:shd w:val="clear" w:color="auto" w:fill="FFFFFF"/>
        </w:rPr>
        <w:t>. El problema es que en España, donde se firman más de 15 millones contratos al año, analizar caso por caso parece imposible. Por el</w:t>
      </w:r>
      <w:r>
        <w:rPr>
          <w:rFonts w:ascii="Times New Roman" w:hAnsi="Times New Roman" w:cs="Times New Roman"/>
          <w:sz w:val="24"/>
          <w:szCs w:val="24"/>
          <w:shd w:val="clear" w:color="auto" w:fill="FFFFFF"/>
        </w:rPr>
        <w:t>lo García aboga por mejorar la “automatización”</w:t>
      </w:r>
      <w:r w:rsidRPr="009F1AA1">
        <w:rPr>
          <w:rFonts w:ascii="Times New Roman" w:hAnsi="Times New Roman" w:cs="Times New Roman"/>
          <w:sz w:val="24"/>
          <w:szCs w:val="24"/>
          <w:shd w:val="clear" w:color="auto" w:fill="FFFFFF"/>
        </w:rPr>
        <w:t xml:space="preserve"> de esos procesos, reforzando el cruce de datos de las administraciones para co</w:t>
      </w:r>
      <w:r>
        <w:rPr>
          <w:rFonts w:ascii="Times New Roman" w:hAnsi="Times New Roman" w:cs="Times New Roman"/>
          <w:sz w:val="24"/>
          <w:szCs w:val="24"/>
          <w:shd w:val="clear" w:color="auto" w:fill="FFFFFF"/>
        </w:rPr>
        <w:t>ntar con los que considera los “</w:t>
      </w:r>
      <w:r w:rsidRPr="009F1AA1">
        <w:rPr>
          <w:rFonts w:ascii="Times New Roman" w:hAnsi="Times New Roman" w:cs="Times New Roman"/>
          <w:sz w:val="24"/>
          <w:szCs w:val="24"/>
          <w:shd w:val="clear" w:color="auto" w:fill="FFFFFF"/>
        </w:rPr>
        <w:t>registros má</w:t>
      </w:r>
      <w:r>
        <w:rPr>
          <w:rFonts w:ascii="Times New Roman" w:hAnsi="Times New Roman" w:cs="Times New Roman"/>
          <w:sz w:val="24"/>
          <w:szCs w:val="24"/>
          <w:shd w:val="clear" w:color="auto" w:fill="FFFFFF"/>
        </w:rPr>
        <w:t>s completos del mercado laboral”, lo de la Seguridad Social.</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El silencio de los consejeros</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El análisis de García también incluye una crítica a la estrategia central de la coordinación de las políticas activas de empleo: el reparto de fondos a las comunidades autónomas. Advie</w:t>
      </w:r>
      <w:r>
        <w:rPr>
          <w:rFonts w:ascii="Times New Roman" w:hAnsi="Times New Roman" w:cs="Times New Roman"/>
          <w:sz w:val="24"/>
          <w:szCs w:val="24"/>
          <w:shd w:val="clear" w:color="auto" w:fill="FFFFFF"/>
        </w:rPr>
        <w:t>rte de que las regiones se ven “obligadas”</w:t>
      </w:r>
      <w:r w:rsidRPr="009F1AA1">
        <w:rPr>
          <w:rFonts w:ascii="Times New Roman" w:hAnsi="Times New Roman" w:cs="Times New Roman"/>
          <w:sz w:val="24"/>
          <w:szCs w:val="24"/>
          <w:shd w:val="clear" w:color="auto" w:fill="FFFFFF"/>
        </w:rPr>
        <w:t xml:space="preserve"> ejecutar los recursos asignados en las conferencias sectoriales (incluyendo fondos europeos)</w:t>
      </w:r>
      <w:r>
        <w:rPr>
          <w:rFonts w:ascii="Times New Roman" w:hAnsi="Times New Roman" w:cs="Times New Roman"/>
          <w:sz w:val="24"/>
          <w:szCs w:val="24"/>
          <w:shd w:val="clear" w:color="auto" w:fill="FFFFFF"/>
        </w:rPr>
        <w:t xml:space="preserve"> según los programas pactados, “</w:t>
      </w:r>
      <w:r w:rsidRPr="009F1AA1">
        <w:rPr>
          <w:rFonts w:ascii="Times New Roman" w:hAnsi="Times New Roman" w:cs="Times New Roman"/>
          <w:sz w:val="24"/>
          <w:szCs w:val="24"/>
          <w:shd w:val="clear" w:color="auto" w:fill="FFFFFF"/>
        </w:rPr>
        <w:t xml:space="preserve">aunque no sean necesarios o </w:t>
      </w:r>
      <w:r>
        <w:rPr>
          <w:rFonts w:ascii="Times New Roman" w:hAnsi="Times New Roman" w:cs="Times New Roman"/>
          <w:sz w:val="24"/>
          <w:szCs w:val="24"/>
          <w:shd w:val="clear" w:color="auto" w:fill="FFFFFF"/>
        </w:rPr>
        <w:t>no se ajusten a las prioridades” de las comunidades autónomas.</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Esto provoca ejem</w:t>
      </w:r>
      <w:r>
        <w:rPr>
          <w:rFonts w:ascii="Times New Roman" w:hAnsi="Times New Roman" w:cs="Times New Roman"/>
          <w:sz w:val="24"/>
          <w:szCs w:val="24"/>
          <w:shd w:val="clear" w:color="auto" w:fill="FFFFFF"/>
        </w:rPr>
        <w:t>plos sangrantes de ineficacia. “</w:t>
      </w:r>
      <w:r w:rsidRPr="009F1AA1">
        <w:rPr>
          <w:rFonts w:ascii="Times New Roman" w:hAnsi="Times New Roman" w:cs="Times New Roman"/>
          <w:sz w:val="24"/>
          <w:szCs w:val="24"/>
          <w:shd w:val="clear" w:color="auto" w:fill="FFFFFF"/>
        </w:rPr>
        <w:t>Se observa una cierta repetición de los cursos sin haber realizado la debida evaluación o la disposición de recursos financieros para aumentar el número de orientadores sin tener en cuenta las plantillas propi</w:t>
      </w:r>
      <w:r>
        <w:rPr>
          <w:rFonts w:ascii="Times New Roman" w:hAnsi="Times New Roman" w:cs="Times New Roman"/>
          <w:sz w:val="24"/>
          <w:szCs w:val="24"/>
          <w:shd w:val="clear" w:color="auto" w:fill="FFFFFF"/>
        </w:rPr>
        <w:t>as de los servicios autonómicos”</w:t>
      </w:r>
      <w:r w:rsidRPr="009F1AA1">
        <w:rPr>
          <w:rFonts w:ascii="Times New Roman" w:hAnsi="Times New Roman" w:cs="Times New Roman"/>
          <w:sz w:val="24"/>
          <w:szCs w:val="24"/>
          <w:shd w:val="clear" w:color="auto" w:fill="FFFFFF"/>
        </w:rPr>
        <w:t>, señala el autor. En el fondo de este desbarajuste, brilla el gran problema de las políticas a</w:t>
      </w:r>
      <w:r>
        <w:rPr>
          <w:rFonts w:ascii="Times New Roman" w:hAnsi="Times New Roman" w:cs="Times New Roman"/>
          <w:sz w:val="24"/>
          <w:szCs w:val="24"/>
          <w:shd w:val="clear" w:color="auto" w:fill="FFFFFF"/>
        </w:rPr>
        <w:t>ctivas: la falta de evaluación.</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García recuerda que en 2017 el Gobierno y las comunidades autónomas decidieron difundir públicamente evaluaciones, anuales o bienales, del cumplimiento y los resultados de las políticas activas de empleo y los planes anuales. Pero únicamente se ha publicado la evaluación del Plan Anual de Empleo 2021, y no se han publi</w:t>
      </w:r>
      <w:r>
        <w:rPr>
          <w:rFonts w:ascii="Times New Roman" w:hAnsi="Times New Roman" w:cs="Times New Roman"/>
          <w:sz w:val="24"/>
          <w:szCs w:val="24"/>
          <w:shd w:val="clear" w:color="auto" w:fill="FFFFFF"/>
        </w:rPr>
        <w:t>cado las de los de 2022 y 2024.</w:t>
      </w:r>
    </w:p>
    <w:p w:rsidR="00C06321" w:rsidRPr="009F1AA1"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Esta rigidez y opacidad impide a las comunidades ajustar los programas acordados en conferencias sectorial</w:t>
      </w:r>
      <w:r>
        <w:rPr>
          <w:rFonts w:ascii="Times New Roman" w:hAnsi="Times New Roman" w:cs="Times New Roman"/>
          <w:sz w:val="24"/>
          <w:szCs w:val="24"/>
          <w:shd w:val="clear" w:color="auto" w:fill="FFFFFF"/>
        </w:rPr>
        <w:t>es</w:t>
      </w:r>
      <w:r w:rsidRPr="009F1AA1">
        <w:rPr>
          <w:rFonts w:ascii="Times New Roman" w:hAnsi="Times New Roman" w:cs="Times New Roman"/>
          <w:sz w:val="24"/>
          <w:szCs w:val="24"/>
          <w:shd w:val="clear" w:color="auto" w:fill="FFFFFF"/>
        </w:rPr>
        <w:t xml:space="preserve">, como </w:t>
      </w:r>
      <w:r>
        <w:rPr>
          <w:rFonts w:ascii="Times New Roman" w:hAnsi="Times New Roman" w:cs="Times New Roman"/>
          <w:sz w:val="24"/>
          <w:szCs w:val="24"/>
          <w:shd w:val="clear" w:color="auto" w:fill="FFFFFF"/>
        </w:rPr>
        <w:t>la celebrada la semana pasada, “a sus necesidades concretas”</w:t>
      </w:r>
      <w:r w:rsidRPr="009F1AA1">
        <w:rPr>
          <w:rFonts w:ascii="Times New Roman" w:hAnsi="Times New Roman" w:cs="Times New Roman"/>
          <w:sz w:val="24"/>
          <w:szCs w:val="24"/>
          <w:shd w:val="clear" w:color="auto" w:fill="FFFFFF"/>
        </w:rPr>
        <w:t>. Aunque lo cierto es que las críticas al sistema y su falta de transparencia por parte de los consejeros autonómicos de empleo (incluyendo a los PP)</w:t>
      </w:r>
      <w:r>
        <w:rPr>
          <w:rFonts w:ascii="Times New Roman" w:hAnsi="Times New Roman" w:cs="Times New Roman"/>
          <w:sz w:val="24"/>
          <w:szCs w:val="24"/>
          <w:shd w:val="clear" w:color="auto" w:fill="FFFFFF"/>
        </w:rPr>
        <w:t xml:space="preserve"> </w:t>
      </w:r>
      <w:r w:rsidRPr="009F1AA1">
        <w:rPr>
          <w:rFonts w:ascii="Times New Roman" w:hAnsi="Times New Roman" w:cs="Times New Roman"/>
          <w:sz w:val="24"/>
          <w:szCs w:val="24"/>
          <w:shd w:val="clear" w:color="auto" w:fill="FFFFFF"/>
        </w:rPr>
        <w:t>t</w:t>
      </w:r>
      <w:r>
        <w:rPr>
          <w:rFonts w:ascii="Times New Roman" w:hAnsi="Times New Roman" w:cs="Times New Roman"/>
          <w:sz w:val="24"/>
          <w:szCs w:val="24"/>
          <w:shd w:val="clear" w:color="auto" w:fill="FFFFFF"/>
        </w:rPr>
        <w:t>ambién brillan por su ausencia.</w:t>
      </w:r>
    </w:p>
    <w:p w:rsidR="00C06321" w:rsidRPr="00B920F0" w:rsidRDefault="00C06321" w:rsidP="00C06321">
      <w:pPr>
        <w:spacing w:line="240" w:lineRule="auto"/>
        <w:jc w:val="both"/>
        <w:rPr>
          <w:rFonts w:ascii="Times New Roman" w:hAnsi="Times New Roman" w:cs="Times New Roman"/>
          <w:sz w:val="24"/>
          <w:szCs w:val="24"/>
          <w:shd w:val="clear" w:color="auto" w:fill="FFFFFF"/>
        </w:rPr>
      </w:pPr>
      <w:r w:rsidRPr="009F1AA1">
        <w:rPr>
          <w:rFonts w:ascii="Times New Roman" w:hAnsi="Times New Roman" w:cs="Times New Roman"/>
          <w:sz w:val="24"/>
          <w:szCs w:val="24"/>
          <w:shd w:val="clear" w:color="auto" w:fill="FFFFFF"/>
        </w:rPr>
        <w:t>En este sentido, García introduce una advertencia sobre los re</w:t>
      </w:r>
      <w:r>
        <w:rPr>
          <w:rFonts w:ascii="Times New Roman" w:hAnsi="Times New Roman" w:cs="Times New Roman"/>
          <w:sz w:val="24"/>
          <w:szCs w:val="24"/>
          <w:shd w:val="clear" w:color="auto" w:fill="FFFFFF"/>
        </w:rPr>
        <w:t>sponsables de estas políticas. “</w:t>
      </w:r>
      <w:r w:rsidRPr="009F1AA1">
        <w:rPr>
          <w:rFonts w:ascii="Times New Roman" w:hAnsi="Times New Roman" w:cs="Times New Roman"/>
          <w:sz w:val="24"/>
          <w:szCs w:val="24"/>
          <w:shd w:val="clear" w:color="auto" w:fill="FFFFFF"/>
        </w:rPr>
        <w:t>Es crucial garantizar que el personal directivo público tenga las cualificaciones necesarias para desempeñar las fun</w:t>
      </w:r>
      <w:r>
        <w:rPr>
          <w:rFonts w:ascii="Times New Roman" w:hAnsi="Times New Roman" w:cs="Times New Roman"/>
          <w:sz w:val="24"/>
          <w:szCs w:val="24"/>
          <w:shd w:val="clear" w:color="auto" w:fill="FFFFFF"/>
        </w:rPr>
        <w:t>ciones que tienen asignadas”</w:t>
      </w:r>
      <w:r w:rsidRPr="009F1AA1">
        <w:rPr>
          <w:rFonts w:ascii="Times New Roman" w:hAnsi="Times New Roman" w:cs="Times New Roman"/>
          <w:sz w:val="24"/>
          <w:szCs w:val="24"/>
          <w:shd w:val="clear" w:color="auto" w:fill="FFFFFF"/>
        </w:rPr>
        <w:t>, incide el experto que también apunta a que estas exigencias deben extenderse a los trabajadores de los ser</w:t>
      </w:r>
      <w:r>
        <w:rPr>
          <w:rFonts w:ascii="Times New Roman" w:hAnsi="Times New Roman" w:cs="Times New Roman"/>
          <w:sz w:val="24"/>
          <w:szCs w:val="24"/>
          <w:shd w:val="clear" w:color="auto" w:fill="FFFFFF"/>
        </w:rPr>
        <w:t>vicios públicos, incluyendo la “</w:t>
      </w:r>
      <w:r w:rsidRPr="009F1AA1">
        <w:rPr>
          <w:rFonts w:ascii="Times New Roman" w:hAnsi="Times New Roman" w:cs="Times New Roman"/>
          <w:sz w:val="24"/>
          <w:szCs w:val="24"/>
          <w:shd w:val="clear" w:color="auto" w:fill="FFFFFF"/>
        </w:rPr>
        <w:t>penalización efectiva del incumplimient</w:t>
      </w:r>
      <w:r>
        <w:rPr>
          <w:rFonts w:ascii="Times New Roman" w:hAnsi="Times New Roman" w:cs="Times New Roman"/>
          <w:sz w:val="24"/>
          <w:szCs w:val="24"/>
          <w:shd w:val="clear" w:color="auto" w:fill="FFFFFF"/>
        </w:rPr>
        <w:t>o de las obligaciones laborales”</w:t>
      </w:r>
      <w:r w:rsidRPr="009F1AA1">
        <w:rPr>
          <w:rFonts w:ascii="Times New Roman" w:hAnsi="Times New Roman" w:cs="Times New Roman"/>
          <w:sz w:val="24"/>
          <w:szCs w:val="24"/>
          <w:shd w:val="clear" w:color="auto" w:fill="FFFFFF"/>
        </w:rPr>
        <w:t>.</w:t>
      </w:r>
    </w:p>
    <w:p w:rsidR="00C06321" w:rsidRPr="00F22FE7" w:rsidRDefault="00C06321" w:rsidP="00C06321">
      <w:pPr>
        <w:spacing w:line="240" w:lineRule="auto"/>
        <w:jc w:val="both"/>
        <w:rPr>
          <w:rFonts w:ascii="Times New Roman" w:hAnsi="Times New Roman" w:cs="Times New Roman"/>
          <w:color w:val="FF0000"/>
          <w:sz w:val="24"/>
          <w:szCs w:val="24"/>
          <w:shd w:val="clear" w:color="auto" w:fill="FFFFFF"/>
        </w:rPr>
      </w:pPr>
      <w:r w:rsidRPr="00DB6260">
        <w:rPr>
          <w:rFonts w:ascii="Times New Roman" w:hAnsi="Times New Roman" w:cs="Times New Roman"/>
          <w:b/>
          <w:color w:val="FF0000"/>
          <w:sz w:val="24"/>
          <w:szCs w:val="24"/>
          <w:shd w:val="clear" w:color="auto" w:fill="FFFFFF"/>
        </w:rPr>
        <w:t>Nota</w:t>
      </w:r>
      <w:r>
        <w:rPr>
          <w:rFonts w:ascii="Times New Roman" w:hAnsi="Times New Roman" w:cs="Times New Roman"/>
          <w:color w:val="FF0000"/>
          <w:sz w:val="24"/>
          <w:szCs w:val="24"/>
          <w:shd w:val="clear" w:color="auto" w:fill="FFFFFF"/>
        </w:rPr>
        <w:t>: lo señalado para los “cursos de formación”, y para las “oficinas de empleo”, vale para el resto de las “políticas activas de empleo”. Hay que eliminar todo ese gasto improductivo porque solo sirve para alimentar a los sindicatos y organizaciones empresariales (compra de voluntades), aumentar la burocracia, mantener el clientelismo político, favorecer el capitalismo de amiguetes, facilitar la corrupción, anestesiar a la ciudadanía, y practicar simulación relativa (hacer que se hace algo provechoso, cuando es todo lo contrario).</w:t>
      </w:r>
    </w:p>
    <w:p w:rsidR="00C06321" w:rsidRPr="0015742B" w:rsidRDefault="00C06321" w:rsidP="00C06321">
      <w:pPr>
        <w:spacing w:line="240" w:lineRule="auto"/>
        <w:jc w:val="both"/>
        <w:rPr>
          <w:rFonts w:ascii="Times New Roman" w:hAnsi="Times New Roman" w:cs="Times New Roman"/>
          <w:color w:val="FF0000"/>
          <w:sz w:val="24"/>
          <w:szCs w:val="24"/>
          <w:shd w:val="clear" w:color="auto" w:fill="FFFFFF"/>
        </w:rPr>
      </w:pPr>
      <w:r w:rsidRPr="0015742B">
        <w:rPr>
          <w:rFonts w:ascii="Times New Roman" w:hAnsi="Times New Roman" w:cs="Times New Roman"/>
          <w:color w:val="FF0000"/>
          <w:sz w:val="24"/>
          <w:szCs w:val="24"/>
          <w:shd w:val="clear" w:color="auto" w:fill="FFFFFF"/>
        </w:rPr>
        <w:t>- Control privado de las bajas laborales (mutuas y empresas)</w:t>
      </w:r>
    </w:p>
    <w:p w:rsidR="00C06321" w:rsidRPr="00DB6260" w:rsidRDefault="00C06321" w:rsidP="00C06321">
      <w:pPr>
        <w:spacing w:line="240" w:lineRule="auto"/>
        <w:jc w:val="both"/>
        <w:rPr>
          <w:rFonts w:ascii="Times New Roman" w:hAnsi="Times New Roman" w:cs="Times New Roman"/>
          <w:color w:val="000000"/>
          <w:sz w:val="24"/>
          <w:szCs w:val="24"/>
          <w:shd w:val="clear" w:color="auto" w:fill="FFFFFF"/>
        </w:rPr>
      </w:pPr>
      <w:r w:rsidRPr="00DB6260">
        <w:rPr>
          <w:rFonts w:ascii="Times New Roman" w:hAnsi="Times New Roman" w:cs="Times New Roman"/>
          <w:color w:val="000000"/>
          <w:sz w:val="24"/>
          <w:szCs w:val="24"/>
          <w:shd w:val="clear" w:color="auto" w:fill="FFFFFF"/>
        </w:rPr>
        <w:t xml:space="preserve">En España, el control de las bajas laborales, también conocidas como incapacidad temporal (IT), se realiza a través de varios actores. La Inspección Médica de cada Comunidad Autónoma es la encargada de supervisar y controlar las bajas por IT. Además, los médicos </w:t>
      </w:r>
      <w:r w:rsidRPr="00DB6260">
        <w:rPr>
          <w:rFonts w:ascii="Times New Roman" w:hAnsi="Times New Roman" w:cs="Times New Roman"/>
          <w:color w:val="000000"/>
          <w:sz w:val="24"/>
          <w:szCs w:val="24"/>
          <w:shd w:val="clear" w:color="auto" w:fill="FFFFFF"/>
        </w:rPr>
        <w:lastRenderedPageBreak/>
        <w:t xml:space="preserve">inspectores del Instituto Nacional de la Seguridad Social (INSS) y profesionales sanitarios de las Mutuas Colaboradoras con la Seguridad Social también participan en el control. </w:t>
      </w:r>
    </w:p>
    <w:p w:rsidR="00C06321" w:rsidRPr="00DB6260" w:rsidRDefault="00C06321" w:rsidP="00C06321">
      <w:pPr>
        <w:spacing w:line="240" w:lineRule="auto"/>
        <w:jc w:val="both"/>
        <w:rPr>
          <w:rFonts w:ascii="Times New Roman" w:hAnsi="Times New Roman" w:cs="Times New Roman"/>
          <w:color w:val="000000"/>
          <w:sz w:val="24"/>
          <w:szCs w:val="24"/>
          <w:shd w:val="clear" w:color="auto" w:fill="FFFFFF"/>
        </w:rPr>
      </w:pPr>
      <w:r w:rsidRPr="00DB6260">
        <w:rPr>
          <w:rFonts w:ascii="Times New Roman" w:hAnsi="Times New Roman" w:cs="Times New Roman"/>
          <w:color w:val="000000"/>
          <w:sz w:val="24"/>
          <w:szCs w:val="24"/>
          <w:shd w:val="clear" w:color="auto" w:fill="FFFFFF"/>
        </w:rPr>
        <w:t>Desglose de los actores y sus roles:</w:t>
      </w:r>
    </w:p>
    <w:p w:rsidR="00C06321" w:rsidRPr="00DB6260" w:rsidRDefault="00C06321" w:rsidP="00C06321">
      <w:pPr>
        <w:spacing w:line="240" w:lineRule="auto"/>
        <w:jc w:val="both"/>
        <w:rPr>
          <w:rFonts w:ascii="Times New Roman" w:hAnsi="Times New Roman" w:cs="Times New Roman"/>
          <w:color w:val="000000"/>
          <w:sz w:val="24"/>
          <w:szCs w:val="24"/>
          <w:shd w:val="clear" w:color="auto" w:fill="FFFFFF"/>
        </w:rPr>
      </w:pPr>
      <w:r w:rsidRPr="00DB6260">
        <w:rPr>
          <w:rFonts w:ascii="Times New Roman" w:hAnsi="Times New Roman" w:cs="Times New Roman"/>
          <w:color w:val="000000"/>
          <w:sz w:val="24"/>
          <w:szCs w:val="24"/>
          <w:shd w:val="clear" w:color="auto" w:fill="FFFFFF"/>
        </w:rPr>
        <w:t>Inspección M</w:t>
      </w:r>
      <w:r>
        <w:rPr>
          <w:rFonts w:ascii="Times New Roman" w:hAnsi="Times New Roman" w:cs="Times New Roman"/>
          <w:color w:val="000000"/>
          <w:sz w:val="24"/>
          <w:szCs w:val="24"/>
          <w:shd w:val="clear" w:color="auto" w:fill="FFFFFF"/>
        </w:rPr>
        <w:t xml:space="preserve">édica de la Comunidad Autónoma: </w:t>
      </w:r>
      <w:r w:rsidRPr="00DB6260">
        <w:rPr>
          <w:rFonts w:ascii="Times New Roman" w:hAnsi="Times New Roman" w:cs="Times New Roman"/>
          <w:color w:val="000000"/>
          <w:sz w:val="24"/>
          <w:szCs w:val="24"/>
          <w:shd w:val="clear" w:color="auto" w:fill="FFFFFF"/>
        </w:rPr>
        <w:t xml:space="preserve">Son los responsables de evaluar, gestionar y controlar las bajas médicas, asegurando el cumplimiento de la normativa. </w:t>
      </w:r>
    </w:p>
    <w:p w:rsidR="00C06321" w:rsidRPr="00DB6260"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Médicos Inspectores del INSS: </w:t>
      </w:r>
      <w:r w:rsidRPr="00DB6260">
        <w:rPr>
          <w:rFonts w:ascii="Times New Roman" w:hAnsi="Times New Roman" w:cs="Times New Roman"/>
          <w:color w:val="000000"/>
          <w:sz w:val="24"/>
          <w:szCs w:val="24"/>
          <w:shd w:val="clear" w:color="auto" w:fill="FFFFFF"/>
        </w:rPr>
        <w:t xml:space="preserve">Son profesionales que evalúan la situación de las bajas, especialmente cuando superan los 365 días, y pueden emitir informes que determinen la prolongación o alta de la baja. </w:t>
      </w:r>
    </w:p>
    <w:p w:rsidR="00C06321" w:rsidRPr="00DB6260" w:rsidRDefault="00C06321" w:rsidP="00C06321">
      <w:pPr>
        <w:spacing w:line="240" w:lineRule="auto"/>
        <w:jc w:val="both"/>
        <w:rPr>
          <w:rFonts w:ascii="Times New Roman" w:hAnsi="Times New Roman" w:cs="Times New Roman"/>
          <w:color w:val="000000"/>
          <w:sz w:val="24"/>
          <w:szCs w:val="24"/>
          <w:shd w:val="clear" w:color="auto" w:fill="FFFFFF"/>
        </w:rPr>
      </w:pPr>
      <w:r w:rsidRPr="00DB6260">
        <w:rPr>
          <w:rFonts w:ascii="Times New Roman" w:hAnsi="Times New Roman" w:cs="Times New Roman"/>
          <w:color w:val="000000"/>
          <w:sz w:val="24"/>
          <w:szCs w:val="24"/>
          <w:shd w:val="clear" w:color="auto" w:fill="FFFFFF"/>
        </w:rPr>
        <w:t>Profesio</w:t>
      </w:r>
      <w:r>
        <w:rPr>
          <w:rFonts w:ascii="Times New Roman" w:hAnsi="Times New Roman" w:cs="Times New Roman"/>
          <w:color w:val="000000"/>
          <w:sz w:val="24"/>
          <w:szCs w:val="24"/>
          <w:shd w:val="clear" w:color="auto" w:fill="FFFFFF"/>
        </w:rPr>
        <w:t xml:space="preserve">nales Sanitarios de las Mutuas: </w:t>
      </w:r>
      <w:r w:rsidRPr="00DB6260">
        <w:rPr>
          <w:rFonts w:ascii="Times New Roman" w:hAnsi="Times New Roman" w:cs="Times New Roman"/>
          <w:color w:val="000000"/>
          <w:sz w:val="24"/>
          <w:szCs w:val="24"/>
          <w:shd w:val="clear" w:color="auto" w:fill="FFFFFF"/>
        </w:rPr>
        <w:t xml:space="preserve">En casos de bajas por contingencias profesionales (accidentes de trabajo o enfermedades profesionales), las mutuas colaboradoras con la Seguridad Social asumen el control y seguimiento de la IT. </w:t>
      </w:r>
    </w:p>
    <w:p w:rsidR="00C06321" w:rsidRPr="00DB6260"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Empresa: </w:t>
      </w:r>
      <w:r w:rsidRPr="00DB6260">
        <w:rPr>
          <w:rFonts w:ascii="Times New Roman" w:hAnsi="Times New Roman" w:cs="Times New Roman"/>
          <w:color w:val="000000"/>
          <w:sz w:val="24"/>
          <w:szCs w:val="24"/>
          <w:shd w:val="clear" w:color="auto" w:fill="FFFFFF"/>
        </w:rPr>
        <w:t xml:space="preserve">Aunque no realizan el control médico, las empresas tienen la responsabilidad de comunicar las bajas a la administración laboral y pueden realizar seguimientos internos de sus empleados, siempre respetando la intimidad y dignidad del trabajador. </w:t>
      </w:r>
    </w:p>
    <w:p w:rsidR="00C06321" w:rsidRPr="00DB6260" w:rsidRDefault="00C06321" w:rsidP="00C06321">
      <w:pPr>
        <w:spacing w:line="240" w:lineRule="auto"/>
        <w:jc w:val="both"/>
        <w:rPr>
          <w:rFonts w:ascii="Times New Roman" w:hAnsi="Times New Roman" w:cs="Times New Roman"/>
          <w:color w:val="000000"/>
          <w:sz w:val="24"/>
          <w:szCs w:val="24"/>
          <w:shd w:val="clear" w:color="auto" w:fill="FFFFFF"/>
        </w:rPr>
      </w:pPr>
      <w:r w:rsidRPr="00DB6260">
        <w:rPr>
          <w:rFonts w:ascii="Times New Roman" w:hAnsi="Times New Roman" w:cs="Times New Roman"/>
          <w:color w:val="000000"/>
          <w:sz w:val="24"/>
          <w:szCs w:val="24"/>
          <w:shd w:val="clear" w:color="auto" w:fill="FFFFFF"/>
        </w:rPr>
        <w:t>Instituto Nacional de la Seguridad Social (INSS) e Insti</w:t>
      </w:r>
      <w:r>
        <w:rPr>
          <w:rFonts w:ascii="Times New Roman" w:hAnsi="Times New Roman" w:cs="Times New Roman"/>
          <w:color w:val="000000"/>
          <w:sz w:val="24"/>
          <w:szCs w:val="24"/>
          <w:shd w:val="clear" w:color="auto" w:fill="FFFFFF"/>
        </w:rPr>
        <w:t xml:space="preserve">tuto Social de la Marina (ISM): </w:t>
      </w:r>
      <w:r w:rsidRPr="00DB6260">
        <w:rPr>
          <w:rFonts w:ascii="Times New Roman" w:hAnsi="Times New Roman" w:cs="Times New Roman"/>
          <w:color w:val="000000"/>
          <w:sz w:val="24"/>
          <w:szCs w:val="24"/>
          <w:shd w:val="clear" w:color="auto" w:fill="FFFFFF"/>
        </w:rPr>
        <w:t xml:space="preserve">En casos de bajas que superan los 365 días, el INSS e ISM asumen el control y seguimiento de la situación. </w:t>
      </w:r>
    </w:p>
    <w:p w:rsidR="00C06321" w:rsidRDefault="00C06321" w:rsidP="00C06321">
      <w:pPr>
        <w:spacing w:line="240" w:lineRule="auto"/>
        <w:jc w:val="both"/>
        <w:rPr>
          <w:rFonts w:ascii="Times New Roman" w:hAnsi="Times New Roman" w:cs="Times New Roman"/>
          <w:color w:val="000000"/>
          <w:sz w:val="24"/>
          <w:szCs w:val="24"/>
          <w:shd w:val="clear" w:color="auto" w:fill="FFFFFF"/>
        </w:rPr>
      </w:pPr>
      <w:r w:rsidRPr="00DB6260">
        <w:rPr>
          <w:rFonts w:ascii="Times New Roman" w:hAnsi="Times New Roman" w:cs="Times New Roman"/>
          <w:color w:val="000000"/>
          <w:sz w:val="24"/>
          <w:szCs w:val="24"/>
          <w:shd w:val="clear" w:color="auto" w:fill="FFFFFF"/>
        </w:rPr>
        <w:t>En resumen, el control de las bajas laborales en España es un proceso compartido entre la administración sanitaria (Inspección Médica), la Seguridad Social (INSS e ISM) y las mutuas, con la empresa jugando un papel importante en la comunicación y seguimiento interno.</w:t>
      </w:r>
    </w:p>
    <w:p w:rsidR="00C06321" w:rsidRPr="00DF7847" w:rsidRDefault="00C06321" w:rsidP="00C06321">
      <w:pPr>
        <w:spacing w:line="240" w:lineRule="auto"/>
        <w:jc w:val="both"/>
        <w:rPr>
          <w:rFonts w:ascii="Times New Roman" w:hAnsi="Times New Roman" w:cs="Times New Roman"/>
          <w:color w:val="000000"/>
          <w:sz w:val="24"/>
          <w:szCs w:val="24"/>
          <w:u w:val="single"/>
          <w:shd w:val="clear" w:color="auto" w:fill="FFFFFF"/>
        </w:rPr>
      </w:pPr>
      <w:r w:rsidRPr="00DF7847">
        <w:rPr>
          <w:rFonts w:ascii="Times New Roman" w:hAnsi="Times New Roman" w:cs="Times New Roman"/>
          <w:color w:val="000000"/>
          <w:sz w:val="24"/>
          <w:szCs w:val="24"/>
          <w:u w:val="single"/>
          <w:shd w:val="clear" w:color="auto" w:fill="FFFFFF"/>
        </w:rPr>
        <w:t>La laxitud de las bajas laborales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 xml:space="preserve">En España, </w:t>
      </w:r>
      <w:r w:rsidRPr="00C06321">
        <w:rPr>
          <w:rFonts w:ascii="Times New Roman" w:hAnsi="Times New Roman" w:cs="Times New Roman"/>
          <w:color w:val="000000"/>
          <w:sz w:val="24"/>
          <w:szCs w:val="24"/>
          <w:shd w:val="clear" w:color="auto" w:fill="FFFFFF"/>
        </w:rPr>
        <w:t>la laxitud en las bajas laborales</w:t>
      </w:r>
      <w:r w:rsidRPr="00DF7847">
        <w:rPr>
          <w:rFonts w:ascii="Times New Roman" w:hAnsi="Times New Roman" w:cs="Times New Roman"/>
          <w:color w:val="000000"/>
          <w:sz w:val="24"/>
          <w:szCs w:val="24"/>
          <w:shd w:val="clear" w:color="auto" w:fill="FFFFFF"/>
        </w:rPr>
        <w:t xml:space="preserve"> se refiere a la percepción de que existen facilidades o incluso abusos en el acceso a las bajas por enfermedad, lo que ha generado un aumento significativo en el número de bajas y en los costes asociados. Esta situación se ha visto agravada por el incremento del absentismo laboral y la pérdida de jornadas de trabajo, con un impacto económico considerable para las empresas y la seguridad social. </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Causas y Factores: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Aumento de las b</w:t>
      </w:r>
      <w:r>
        <w:rPr>
          <w:rFonts w:ascii="Times New Roman" w:hAnsi="Times New Roman" w:cs="Times New Roman"/>
          <w:color w:val="000000"/>
          <w:sz w:val="24"/>
          <w:szCs w:val="24"/>
          <w:shd w:val="clear" w:color="auto" w:fill="FFFFFF"/>
        </w:rPr>
        <w:t xml:space="preserve">ajas por contingencias comunes: </w:t>
      </w:r>
      <w:r w:rsidRPr="00DF7847">
        <w:rPr>
          <w:rFonts w:ascii="Times New Roman" w:hAnsi="Times New Roman" w:cs="Times New Roman"/>
          <w:color w:val="000000"/>
          <w:sz w:val="24"/>
          <w:szCs w:val="24"/>
          <w:shd w:val="clear" w:color="auto" w:fill="FFFFFF"/>
        </w:rPr>
        <w:t xml:space="preserve">Se ha observado un incremento notable en las bajas por enfermedad común, gestionadas tanto por las mutuas como por el INSS. </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Impacto en el PIB: </w:t>
      </w:r>
      <w:r w:rsidRPr="00DF7847">
        <w:rPr>
          <w:rFonts w:ascii="Times New Roman" w:hAnsi="Times New Roman" w:cs="Times New Roman"/>
          <w:color w:val="000000"/>
          <w:sz w:val="24"/>
          <w:szCs w:val="24"/>
          <w:shd w:val="clear" w:color="auto" w:fill="FFFFFF"/>
        </w:rPr>
        <w:t xml:space="preserve">La pérdida de producción asociada a las bajas por incapacidad temporal asciende a un porcentaje significativo del PIB, lo que evidencia el impacto económico del absentismo. </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Costes económicos: </w:t>
      </w:r>
      <w:r w:rsidRPr="00DF7847">
        <w:rPr>
          <w:rFonts w:ascii="Times New Roman" w:hAnsi="Times New Roman" w:cs="Times New Roman"/>
          <w:color w:val="000000"/>
          <w:sz w:val="24"/>
          <w:szCs w:val="24"/>
          <w:shd w:val="clear" w:color="auto" w:fill="FFFFFF"/>
        </w:rPr>
        <w:t xml:space="preserve">El gasto por bajas laborales se ha disparado, superando los 29.000 millones de euros, con un aumento del 78,5% desde 2019, según el Banco de España y La Razón. </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Encadenamiento de bajas: </w:t>
      </w:r>
      <w:r w:rsidRPr="00DF7847">
        <w:rPr>
          <w:rFonts w:ascii="Times New Roman" w:hAnsi="Times New Roman" w:cs="Times New Roman"/>
          <w:color w:val="000000"/>
          <w:sz w:val="24"/>
          <w:szCs w:val="24"/>
          <w:shd w:val="clear" w:color="auto" w:fill="FFFFFF"/>
        </w:rPr>
        <w:t xml:space="preserve">Un porcentaje considerable de las jornadas perdidas se debe a trabajadores que encadenan varias bajas a lo largo del año, lo que plantea interrogantes sobre la gestión y control de estas situaciones, según el Ivie. </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lastRenderedPageBreak/>
        <w:t xml:space="preserve">Mayor </w:t>
      </w:r>
      <w:r>
        <w:rPr>
          <w:rFonts w:ascii="Times New Roman" w:hAnsi="Times New Roman" w:cs="Times New Roman"/>
          <w:color w:val="000000"/>
          <w:sz w:val="24"/>
          <w:szCs w:val="24"/>
          <w:shd w:val="clear" w:color="auto" w:fill="FFFFFF"/>
        </w:rPr>
        <w:t xml:space="preserve">concienciación y menor estigma: </w:t>
      </w:r>
      <w:r w:rsidRPr="00DF7847">
        <w:rPr>
          <w:rFonts w:ascii="Times New Roman" w:hAnsi="Times New Roman" w:cs="Times New Roman"/>
          <w:color w:val="000000"/>
          <w:sz w:val="24"/>
          <w:szCs w:val="24"/>
          <w:shd w:val="clear" w:color="auto" w:fill="FFFFFF"/>
        </w:rPr>
        <w:t xml:space="preserve">La mayor concienciación sobre la salud mental y la reducción del estigma asociado a las bajas por enfermedad también pueden estar contribuyendo al aumento, según Antena 3. </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Implicaciones: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Aumento del absentismo laboral: </w:t>
      </w:r>
      <w:r w:rsidRPr="00DF7847">
        <w:rPr>
          <w:rFonts w:ascii="Times New Roman" w:hAnsi="Times New Roman" w:cs="Times New Roman"/>
          <w:color w:val="000000"/>
          <w:sz w:val="24"/>
          <w:szCs w:val="24"/>
          <w:shd w:val="clear" w:color="auto" w:fill="FFFFFF"/>
        </w:rPr>
        <w:t xml:space="preserve">La pérdida de jornadas laborales por incapacidad temporal ha alcanzado niveles alarmantes, generando preocupación en el ámbito económico y social. </w:t>
      </w:r>
    </w:p>
    <w:p w:rsidR="00C06321"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Presión sobre el sistem</w:t>
      </w:r>
      <w:r>
        <w:rPr>
          <w:rFonts w:ascii="Times New Roman" w:hAnsi="Times New Roman" w:cs="Times New Roman"/>
          <w:color w:val="000000"/>
          <w:sz w:val="24"/>
          <w:szCs w:val="24"/>
          <w:shd w:val="clear" w:color="auto" w:fill="FFFFFF"/>
        </w:rPr>
        <w:t xml:space="preserve">a de seguridad social: </w:t>
      </w:r>
      <w:r w:rsidRPr="00DF7847">
        <w:rPr>
          <w:rFonts w:ascii="Times New Roman" w:hAnsi="Times New Roman" w:cs="Times New Roman"/>
          <w:color w:val="000000"/>
          <w:sz w:val="24"/>
          <w:szCs w:val="24"/>
          <w:shd w:val="clear" w:color="auto" w:fill="FFFFFF"/>
        </w:rPr>
        <w:t xml:space="preserve">El aumento de las bajas laborales conlleva mayores costes para la seguridad social, que debe hacer frente al pago de las prestaciones por incapacidad temporal. </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DF7847">
        <w:rPr>
          <w:rFonts w:ascii="Times New Roman" w:hAnsi="Times New Roman" w:cs="Times New Roman"/>
          <w:color w:val="000000"/>
          <w:sz w:val="24"/>
          <w:szCs w:val="24"/>
          <w:u w:val="single"/>
          <w:shd w:val="clear" w:color="auto" w:fill="FFFFFF"/>
        </w:rPr>
        <w:t>El gasto por las bajas laborales se dispara un 78,5% desde 2019, según el Banco de España</w:t>
      </w:r>
      <w:r>
        <w:rPr>
          <w:rFonts w:ascii="Times New Roman" w:hAnsi="Times New Roman" w:cs="Times New Roman"/>
          <w:color w:val="000000"/>
          <w:sz w:val="24"/>
          <w:szCs w:val="24"/>
          <w:shd w:val="clear" w:color="auto" w:fill="FFFFFF"/>
        </w:rPr>
        <w:t xml:space="preserve"> (El País - </w:t>
      </w:r>
      <w:r w:rsidRPr="00DF7847">
        <w:rPr>
          <w:rFonts w:ascii="Times New Roman" w:hAnsi="Times New Roman" w:cs="Times New Roman"/>
          <w:b/>
          <w:color w:val="000000"/>
          <w:sz w:val="24"/>
          <w:szCs w:val="24"/>
          <w:shd w:val="clear" w:color="auto" w:fill="FFFFFF"/>
        </w:rPr>
        <w:t>20/5/25</w:t>
      </w:r>
      <w:r>
        <w:rPr>
          <w:rFonts w:ascii="Times New Roman" w:hAnsi="Times New Roman" w:cs="Times New Roman"/>
          <w:color w:val="000000"/>
          <w:sz w:val="24"/>
          <w:szCs w:val="24"/>
          <w:shd w:val="clear" w:color="auto" w:fill="FFFFFF"/>
        </w:rPr>
        <w:t>)</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El coste derivado del pago de prestaciones por incapacidad temporal (IT) fruto de enfermedades comunes se ha disparado en España un 78,5% desde 2019, hasta situarse en algo más de 15.000 millones de euros, lo que representa cerca de un 1% del PIB, según las estimaciones que el Banco de España recogidas en su informe anual. El documento, difundido este martes, eleva el gasto en bajas hasta los 16.480 millones si se tienen cuenta también los pagos p</w:t>
      </w:r>
      <w:r>
        <w:rPr>
          <w:rFonts w:ascii="Times New Roman" w:hAnsi="Times New Roman" w:cs="Times New Roman"/>
          <w:color w:val="000000"/>
          <w:sz w:val="24"/>
          <w:szCs w:val="24"/>
          <w:shd w:val="clear" w:color="auto" w:fill="FFFFFF"/>
        </w:rPr>
        <w:t>or contingencias profesionales.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La institución gobernada por José Luis Escrivá avisa de que existen “crecientes señales de tensionamiento” en el mercado laboral, como el aumento del porcentaje de empresas que declaran que la falta de mano de obra limita su actividad y el notable incremento de los ocupados en situación de IT.</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Sobre este punto, asegura que el gasto en incapacidad temporal de España se encuentra entre los más elevados dentro de la UE junto a Países Bajos, Alemania o Suecia. No obsta</w:t>
      </w:r>
      <w:r>
        <w:rPr>
          <w:rFonts w:ascii="Times New Roman" w:hAnsi="Times New Roman" w:cs="Times New Roman"/>
          <w:color w:val="000000"/>
          <w:sz w:val="24"/>
          <w:szCs w:val="24"/>
          <w:shd w:val="clear" w:color="auto" w:fill="FFFFFF"/>
        </w:rPr>
        <w:t>n</w:t>
      </w:r>
      <w:r w:rsidRPr="00DF7847">
        <w:rPr>
          <w:rFonts w:ascii="Times New Roman" w:hAnsi="Times New Roman" w:cs="Times New Roman"/>
          <w:color w:val="000000"/>
          <w:sz w:val="24"/>
          <w:szCs w:val="24"/>
          <w:shd w:val="clear" w:color="auto" w:fill="FFFFFF"/>
        </w:rPr>
        <w:t>te, el gasto comparable en estos países era de entre el 1,5% y el 2% del PIB en 2022.</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El organismo afirma que España es de los países que ha experimentado un mayor incremento del gasto en IT desde 2019. Así, con datos comparables hasta 2022, el gasto en España en bajas por enfermedad ha aumentado en torno a tres décimas del PIB, cifra similar a la de Países Bajos, Suecia o Eslovenia. En cambio, en otras economías, como Francia o Italia, esta ratio de gasto permaneció relativamen</w:t>
      </w:r>
      <w:r>
        <w:rPr>
          <w:rFonts w:ascii="Times New Roman" w:hAnsi="Times New Roman" w:cs="Times New Roman"/>
          <w:color w:val="000000"/>
          <w:sz w:val="24"/>
          <w:szCs w:val="24"/>
          <w:shd w:val="clear" w:color="auto" w:fill="FFFFFF"/>
        </w:rPr>
        <w:t>te estable en el mismo periodo.</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En el caso de las empresas, la institución recuerda que las ausencias por IT tienen un coste tanto directo, relacionado con la prestación económica para los trabajadores de baja, como indirecto, vinculado con los ajustes de plantilla que se pudieran ver obligadas a realizar pa</w:t>
      </w:r>
      <w:r>
        <w:rPr>
          <w:rFonts w:ascii="Times New Roman" w:hAnsi="Times New Roman" w:cs="Times New Roman"/>
          <w:color w:val="000000"/>
          <w:sz w:val="24"/>
          <w:szCs w:val="24"/>
          <w:shd w:val="clear" w:color="auto" w:fill="FFFFFF"/>
        </w:rPr>
        <w:t>ra poder mantener su actividad.</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En este sentido, estima que el coste directo de las empresas en prestaciones por IT, así como los posibles complementos a esta prestación recogidos en convenio, se ha disparado un 62% entre 2019 y 2024, al pasar de 2.840 mill</w:t>
      </w:r>
      <w:r>
        <w:rPr>
          <w:rFonts w:ascii="Times New Roman" w:hAnsi="Times New Roman" w:cs="Times New Roman"/>
          <w:color w:val="000000"/>
          <w:sz w:val="24"/>
          <w:szCs w:val="24"/>
          <w:shd w:val="clear" w:color="auto" w:fill="FFFFFF"/>
        </w:rPr>
        <w:t>ones a 4.613 millones de euros.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Para realizar esta estimación, la institución combina los datos de la Encuesta Trimestral de Coste Laboral (ETCL) con los datos de asalariados de la Encuesta de Población Activa (EPA). No obstante, advierte de que este cálculo excluye a los asalariados de la agricultura, la pesca y la silvicultura, “por lo que supondría una cota inferior”.</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lastRenderedPageBreak/>
        <w:t>El coste directo asumido por las empresas en las ausencias por IT consta de una prestación económica del 60% de la base reguladora entre los días 4 y 15 de baja, las cotizaciones a la Seguridad Social y los posibles complementos y mejoras incluidos potencialmente desde el primer día de baja si así lo establece el convenio colectivo de aplicación o bien lo decide</w:t>
      </w:r>
      <w:r>
        <w:rPr>
          <w:rFonts w:ascii="Times New Roman" w:hAnsi="Times New Roman" w:cs="Times New Roman"/>
          <w:color w:val="000000"/>
          <w:sz w:val="24"/>
          <w:szCs w:val="24"/>
          <w:shd w:val="clear" w:color="auto" w:fill="FFFFFF"/>
        </w:rPr>
        <w:t xml:space="preserve"> voluntariamente el empresario.</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Posibles causas del repunte del gasto en IT</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En el marco de su informe anual 2024, el organismo gobernado por José Luis Escrivá realiza un primer análisis del aumento de las bajas por IT en España. Apunta a posibles causas que pueden haber influido en este repunte, entre ellas el empeoramiento de la salud de los trabajadores tras la pandemia, el envejecimiento de la población, la “congestión” de los servicios sanitarios, y potenciales cambios en las preferencias de los trabajadores entre consumo y ocio o acerca de las co</w:t>
      </w:r>
      <w:r>
        <w:rPr>
          <w:rFonts w:ascii="Times New Roman" w:hAnsi="Times New Roman" w:cs="Times New Roman"/>
          <w:color w:val="000000"/>
          <w:sz w:val="24"/>
          <w:szCs w:val="24"/>
          <w:shd w:val="clear" w:color="auto" w:fill="FFFFFF"/>
        </w:rPr>
        <w:t>ndiciones laborales demandadas.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También considera que ha podido influir en este fenómeno el ciclo económico, ya que históricamente se ha observado que la incidencia de la IT es mayor durante los p</w:t>
      </w:r>
      <w:r>
        <w:rPr>
          <w:rFonts w:ascii="Times New Roman" w:hAnsi="Times New Roman" w:cs="Times New Roman"/>
          <w:color w:val="000000"/>
          <w:sz w:val="24"/>
          <w:szCs w:val="24"/>
          <w:shd w:val="clear" w:color="auto" w:fill="FFFFFF"/>
        </w:rPr>
        <w:t>eriodos de expansión económica.</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 xml:space="preserve">El hecho cierto, según el informe del Banco de España, es que han aumentado las bajas por IT y además de manera generalizada por características personales, </w:t>
      </w:r>
      <w:r>
        <w:rPr>
          <w:rFonts w:ascii="Times New Roman" w:hAnsi="Times New Roman" w:cs="Times New Roman"/>
          <w:color w:val="000000"/>
          <w:sz w:val="24"/>
          <w:szCs w:val="24"/>
          <w:shd w:val="clear" w:color="auto" w:fill="FFFFFF"/>
        </w:rPr>
        <w:t>sector de actividad y regiones.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Según datos de la EPA, la proporción de trabajadores de baja por IT ha aumentado desde el 2,7% en 2019 al 4,4% en 2024 y, aunque en otros países europeos también se han producido incrementos, en España el nivel en 2023 era superior (4,1%) al de Francia (3,6%), A</w:t>
      </w:r>
      <w:r>
        <w:rPr>
          <w:rFonts w:ascii="Times New Roman" w:hAnsi="Times New Roman" w:cs="Times New Roman"/>
          <w:color w:val="000000"/>
          <w:sz w:val="24"/>
          <w:szCs w:val="24"/>
          <w:shd w:val="clear" w:color="auto" w:fill="FFFFFF"/>
        </w:rPr>
        <w:t>lemania (3,1%) o Italia (1,3%).</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Antes de la pandemia, la incidencia de la IT era mayor entre las mujeres (3,3% frente al 2,2% de los varones), las personas de nacionalidad española (2,9% frente al 1,7% de la población extranjera) y los trabajadores de mayor edad (5%, más del doble que en los grupos de trabajadores de menor edad).</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En los últimos cinco años, apunta la institución, se ha producido un repunte generalizado de las ausencias por IT en todos los grupos de población. Así, estas bajas han aumentado en torno a 1,5 puntos en los hom</w:t>
      </w:r>
      <w:r>
        <w:rPr>
          <w:rFonts w:ascii="Times New Roman" w:hAnsi="Times New Roman" w:cs="Times New Roman"/>
          <w:color w:val="000000"/>
          <w:sz w:val="24"/>
          <w:szCs w:val="24"/>
          <w:shd w:val="clear" w:color="auto" w:fill="FFFFFF"/>
        </w:rPr>
        <w:t>bres y 2 puntos en las mujeres.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Por grupos de edad, el incremento ha sido de 2,5 puntos en los mayores de 55 años, de 1,6 puntos en el grupo de 30 a 54 años, y de 1,1 puntos en los menores de 30 años. Por su parte, el alza ha sido mayor en los ocupados nacionales (1,8 puntos) que e</w:t>
      </w:r>
      <w:r>
        <w:rPr>
          <w:rFonts w:ascii="Times New Roman" w:hAnsi="Times New Roman" w:cs="Times New Roman"/>
          <w:color w:val="000000"/>
          <w:sz w:val="24"/>
          <w:szCs w:val="24"/>
          <w:shd w:val="clear" w:color="auto" w:fill="FFFFFF"/>
        </w:rPr>
        <w:t>n los extranjeros (1,4 puntos).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Atendiendo al sector de actividad o la región de residencia, el Banco de España también aprecia un patrón bastante generalizado de aumento de las bajas por IT, aunque con algunos matices. Por un lado, las industrias extractivas y las actividades de suministro de energía experimentaron una disminución de sus bajas por IT entre 2019 y 2023. En el lado contrario, destacan los incrementos en agricultura, manufacturas, construcción, comercio y transporte, así como el fuerte aumento en suministro de agua y saneam</w:t>
      </w:r>
      <w:r>
        <w:rPr>
          <w:rFonts w:ascii="Times New Roman" w:hAnsi="Times New Roman" w:cs="Times New Roman"/>
          <w:color w:val="000000"/>
          <w:sz w:val="24"/>
          <w:szCs w:val="24"/>
          <w:shd w:val="clear" w:color="auto" w:fill="FFFFFF"/>
        </w:rPr>
        <w:t>iento.</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En el ámbito de las comunidades autónomas, el Banco de España destaca los casos de País Vasco, Galicia, Cantabria y Murcia, que encabezaron el ranking de incrementos, muy superiores a los observados en Asturias,</w:t>
      </w:r>
      <w:r>
        <w:rPr>
          <w:rFonts w:ascii="Times New Roman" w:hAnsi="Times New Roman" w:cs="Times New Roman"/>
          <w:color w:val="000000"/>
          <w:sz w:val="24"/>
          <w:szCs w:val="24"/>
          <w:shd w:val="clear" w:color="auto" w:fill="FFFFFF"/>
        </w:rPr>
        <w:t xml:space="preserve"> Madrid y, sobre todo, Navarra.</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lastRenderedPageBreak/>
        <w:t>Por lo que se refiere a la evolución del estado de salud de la población, la institución, citando datos del CIS, apunta que, entre 2019 y julio de 2024 se produjo un aumento de más de 17 puntos en el porcentaje de personas que declaraban tener un problema de s</w:t>
      </w:r>
      <w:r>
        <w:rPr>
          <w:rFonts w:ascii="Times New Roman" w:hAnsi="Times New Roman" w:cs="Times New Roman"/>
          <w:color w:val="000000"/>
          <w:sz w:val="24"/>
          <w:szCs w:val="24"/>
          <w:shd w:val="clear" w:color="auto" w:fill="FFFFFF"/>
        </w:rPr>
        <w:t>alud crónico.</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Vacantes: otro problema que tensiona el mercado laboral</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Junto al gasto en IT, el Banco de España avisa de que el problema de las vacantes por cubrir también está introduciendo tensiones</w:t>
      </w:r>
      <w:r>
        <w:rPr>
          <w:rFonts w:ascii="Times New Roman" w:hAnsi="Times New Roman" w:cs="Times New Roman"/>
          <w:color w:val="000000"/>
          <w:sz w:val="24"/>
          <w:szCs w:val="24"/>
          <w:shd w:val="clear" w:color="auto" w:fill="FFFFFF"/>
        </w:rPr>
        <w:t xml:space="preserve"> en el mercado laboral español.</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Según una encuesta de la institución, entre 2021 y 2024 el porcentaje de empresas que manifestaban que la falta de mano de obra limitaba su activid</w:t>
      </w:r>
      <w:r>
        <w:rPr>
          <w:rFonts w:ascii="Times New Roman" w:hAnsi="Times New Roman" w:cs="Times New Roman"/>
          <w:color w:val="000000"/>
          <w:sz w:val="24"/>
          <w:szCs w:val="24"/>
          <w:shd w:val="clear" w:color="auto" w:fill="FFFFFF"/>
        </w:rPr>
        <w:t>ad ha aumentado del 10% al 43%.</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Esta escasez de trabajadores se da especialmente en hostelería y construcción, donde el 64% y el 56% de las empresas, respectivamente, declaran verse afectada</w:t>
      </w:r>
      <w:r>
        <w:rPr>
          <w:rFonts w:ascii="Times New Roman" w:hAnsi="Times New Roman" w:cs="Times New Roman"/>
          <w:color w:val="000000"/>
          <w:sz w:val="24"/>
          <w:szCs w:val="24"/>
          <w:shd w:val="clear" w:color="auto" w:fill="FFFFFF"/>
        </w:rPr>
        <w:t>s por la falta de mano de obra.</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Para la institución, el aumento de las vacantes puede deberse a que las habilidades de las personas que buscan empleo no siempre coinciden con las demandadas por las empresas, lo que genera un d</w:t>
      </w:r>
      <w:r>
        <w:rPr>
          <w:rFonts w:ascii="Times New Roman" w:hAnsi="Times New Roman" w:cs="Times New Roman"/>
          <w:color w:val="000000"/>
          <w:sz w:val="24"/>
          <w:szCs w:val="24"/>
          <w:shd w:val="clear" w:color="auto" w:fill="FFFFFF"/>
        </w:rPr>
        <w:t>esajuste en el mercado laboral.</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Asimismo, considera que también puede deberse a elementos cíclicos: en una fase expansiva, aumenta el número de empresas que demandan nuevos empleos, pero, al mismo tiempo, también se eleva el salario mínimo que los parados están dispuestos a aceptar, lo que lleva a una relación inversa entre la tasa</w:t>
      </w:r>
      <w:r>
        <w:rPr>
          <w:rFonts w:ascii="Times New Roman" w:hAnsi="Times New Roman" w:cs="Times New Roman"/>
          <w:color w:val="000000"/>
          <w:sz w:val="24"/>
          <w:szCs w:val="24"/>
          <w:shd w:val="clear" w:color="auto" w:fill="FFFFFF"/>
        </w:rPr>
        <w:t xml:space="preserve"> de desempleo y la de vacantes.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Para el Banco de España, se requiere de nueva información, como la que pueden proporcionar los portales de búsqueda de empleo, para obtener un diagnóstico sobre la contribución relativa de los factores cíclicos y estructurales a la dinámica del paro y las vacantes.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El INE ya está trabajando en un proyecto de futuro para completar la información de vacantes que proporciona con datos de los portales de empleo.</w:t>
      </w:r>
    </w:p>
    <w:p w:rsidR="00C06321"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Por su parte, el Servicio Público de Empleo Estatal (SEPE) quiere mejorar toda la información disponible sobre ofertas y vacantes de empleo mediante la puesta en marcha de un registro estatal en el que las agencias privadas de empleo, las empresas de trabajo temporal (ETT) y los portales de empleo tengan la “obligación” de volcar sus datos.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8C6622">
        <w:rPr>
          <w:rFonts w:ascii="Times New Roman" w:hAnsi="Times New Roman" w:cs="Times New Roman"/>
          <w:color w:val="000000"/>
          <w:sz w:val="24"/>
          <w:szCs w:val="24"/>
          <w:u w:val="single"/>
          <w:shd w:val="clear" w:color="auto" w:fill="FFFFFF"/>
        </w:rPr>
        <w:t>La pérdida de producción asociada a las bajas por incapacidad temporal asciende al 5,4% de PIB</w:t>
      </w:r>
      <w:r w:rsidR="00850FB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El País - </w:t>
      </w:r>
      <w:r w:rsidRPr="008C6622">
        <w:rPr>
          <w:rFonts w:ascii="Times New Roman" w:hAnsi="Times New Roman" w:cs="Times New Roman"/>
          <w:b/>
          <w:color w:val="000000"/>
          <w:sz w:val="24"/>
          <w:szCs w:val="24"/>
          <w:shd w:val="clear" w:color="auto" w:fill="FFFFFF"/>
        </w:rPr>
        <w:t>11/6/25</w:t>
      </w:r>
      <w:r>
        <w:rPr>
          <w:rFonts w:ascii="Times New Roman" w:hAnsi="Times New Roman" w:cs="Times New Roman"/>
          <w:color w:val="000000"/>
          <w:sz w:val="24"/>
          <w:szCs w:val="24"/>
          <w:shd w:val="clear" w:color="auto" w:fill="FFFFFF"/>
        </w:rPr>
        <w:t>)</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La tasa de absentismo por IT en España aumentó un 52% entre 2018 y 2023, según un estudio de Umivale Activa y el Ivie</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(Por </w:t>
      </w:r>
      <w:r w:rsidRPr="00DF7847">
        <w:rPr>
          <w:rFonts w:ascii="Times New Roman" w:hAnsi="Times New Roman" w:cs="Times New Roman"/>
          <w:color w:val="000000"/>
          <w:sz w:val="24"/>
          <w:szCs w:val="24"/>
          <w:shd w:val="clear" w:color="auto" w:fill="FFFFFF"/>
        </w:rPr>
        <w:t>Luis Paz Villa</w:t>
      </w:r>
      <w:r>
        <w:rPr>
          <w:rFonts w:ascii="Times New Roman" w:hAnsi="Times New Roman" w:cs="Times New Roman"/>
          <w:color w:val="000000"/>
          <w:sz w:val="24"/>
          <w:szCs w:val="24"/>
          <w:shd w:val="clear" w:color="auto" w:fill="FFFFFF"/>
        </w:rPr>
        <w:t>)</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 xml:space="preserve">La tasa de absentismo por incapacidad temporal (IT) ha crecido a un ritmo acelerado en España entre el 2018 y 2023. En concreto, el número de jornadas laborales perdidas por IT en Régimen General ha escalado desde los 242 hasta los 368,7 millones, lo que supone un aumento del 52% en el periodo. Así lo refleja el estudio Evolución de la incapacidad temporal y la siniestralidad, realizado por la mutua Umivale Activa y el Instituto Valenciano de Investigaciones Económicas (Ivie). Los expertos también destacan que la pérdida de producción potencial asociada a este fenómeno alcanza los 81.574 millones de euros de PIB, </w:t>
      </w:r>
      <w:r w:rsidRPr="00DF7847">
        <w:rPr>
          <w:rFonts w:ascii="Times New Roman" w:hAnsi="Times New Roman" w:cs="Times New Roman"/>
          <w:color w:val="000000"/>
          <w:sz w:val="24"/>
          <w:szCs w:val="24"/>
          <w:shd w:val="clear" w:color="auto" w:fill="FFFFFF"/>
        </w:rPr>
        <w:lastRenderedPageBreak/>
        <w:t>un 5,4% del total nacional. Dato que sobrepasa en 25.900 millones de euro</w:t>
      </w:r>
      <w:r>
        <w:rPr>
          <w:rFonts w:ascii="Times New Roman" w:hAnsi="Times New Roman" w:cs="Times New Roman"/>
          <w:color w:val="000000"/>
          <w:sz w:val="24"/>
          <w:szCs w:val="24"/>
          <w:shd w:val="clear" w:color="auto" w:fill="FFFFFF"/>
        </w:rPr>
        <w:t>s al estimado para 2018 (+47%).</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Es</w:t>
      </w:r>
      <w:r>
        <w:rPr>
          <w:rFonts w:ascii="Times New Roman" w:hAnsi="Times New Roman" w:cs="Times New Roman"/>
          <w:color w:val="000000"/>
          <w:sz w:val="24"/>
          <w:szCs w:val="24"/>
          <w:shd w:val="clear" w:color="auto" w:fill="FFFFFF"/>
        </w:rPr>
        <w:t>ta cantidad de bajas laborales -</w:t>
      </w:r>
      <w:r w:rsidRPr="00DF7847">
        <w:rPr>
          <w:rFonts w:ascii="Times New Roman" w:hAnsi="Times New Roman" w:cs="Times New Roman"/>
          <w:color w:val="000000"/>
          <w:sz w:val="24"/>
          <w:szCs w:val="24"/>
          <w:shd w:val="clear" w:color="auto" w:fill="FFFFFF"/>
        </w:rPr>
        <w:t xml:space="preserve">que representa un 5,6% de las jornadas no trabajadas </w:t>
      </w:r>
      <w:r>
        <w:rPr>
          <w:rFonts w:ascii="Times New Roman" w:hAnsi="Times New Roman" w:cs="Times New Roman"/>
          <w:color w:val="000000"/>
          <w:sz w:val="24"/>
          <w:szCs w:val="24"/>
          <w:shd w:val="clear" w:color="auto" w:fill="FFFFFF"/>
        </w:rPr>
        <w:t>en un año sobre las potenciales-</w:t>
      </w:r>
      <w:r w:rsidRPr="00DF7847">
        <w:rPr>
          <w:rFonts w:ascii="Times New Roman" w:hAnsi="Times New Roman" w:cs="Times New Roman"/>
          <w:color w:val="000000"/>
          <w:sz w:val="24"/>
          <w:szCs w:val="24"/>
          <w:shd w:val="clear" w:color="auto" w:fill="FFFFFF"/>
        </w:rPr>
        <w:t>, equivale a que un millón de trabajadores hubiera estado de baja cada día de 2023 o a que cada empleado se hubiera ausentado por 20 días al año por IT (5 días más que en 2018). Para elaborar el informe se utilizaron los microdatos anonimizados de la Estadística de IT del Ministerio de Inclusión, Seguridad Social y Migraciones, que recoge todos los procesos de esta índole registrados en España (más de 62 millones). Además, se cotejó esa información con la ofrecida por la Muestra Continua de Vidas Laborales (MCVL) y por la Encuesta de Población Activa (EPA) del Instituto</w:t>
      </w:r>
      <w:r>
        <w:rPr>
          <w:rFonts w:ascii="Times New Roman" w:hAnsi="Times New Roman" w:cs="Times New Roman"/>
          <w:color w:val="000000"/>
          <w:sz w:val="24"/>
          <w:szCs w:val="24"/>
          <w:shd w:val="clear" w:color="auto" w:fill="FFFFFF"/>
        </w:rPr>
        <w:t xml:space="preserve"> Nacional de Estadística (INE).</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Se imponen los casos de larga duración</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L</w:t>
      </w:r>
      <w:r>
        <w:rPr>
          <w:rFonts w:ascii="Times New Roman" w:hAnsi="Times New Roman" w:cs="Times New Roman"/>
          <w:color w:val="000000"/>
          <w:sz w:val="24"/>
          <w:szCs w:val="24"/>
          <w:shd w:val="clear" w:color="auto" w:fill="FFFFFF"/>
        </w:rPr>
        <w:t>as ausencias de larga duración -</w:t>
      </w:r>
      <w:r w:rsidRPr="00DF7847">
        <w:rPr>
          <w:rFonts w:ascii="Times New Roman" w:hAnsi="Times New Roman" w:cs="Times New Roman"/>
          <w:color w:val="000000"/>
          <w:sz w:val="24"/>
          <w:szCs w:val="24"/>
          <w:shd w:val="clear" w:color="auto" w:fill="FFFFFF"/>
        </w:rPr>
        <w:t xml:space="preserve">aquellas </w:t>
      </w:r>
      <w:r>
        <w:rPr>
          <w:rFonts w:ascii="Times New Roman" w:hAnsi="Times New Roman" w:cs="Times New Roman"/>
          <w:color w:val="000000"/>
          <w:sz w:val="24"/>
          <w:szCs w:val="24"/>
          <w:shd w:val="clear" w:color="auto" w:fill="FFFFFF"/>
        </w:rPr>
        <w:t>que superan los 365 días-</w:t>
      </w:r>
      <w:r w:rsidRPr="00DF7847">
        <w:rPr>
          <w:rFonts w:ascii="Times New Roman" w:hAnsi="Times New Roman" w:cs="Times New Roman"/>
          <w:color w:val="000000"/>
          <w:sz w:val="24"/>
          <w:szCs w:val="24"/>
          <w:shd w:val="clear" w:color="auto" w:fill="FFFFFF"/>
        </w:rPr>
        <w:t>, fueron las que más impulso cobraron en el periodo analizado, hasta llegar a duplicarse. Pasaron de 83.000 en 2018 a 167.000 en 2023. Si bien representan el 2,4% de los procesos finalizados a cierre del 2023, aúnan el 34,1% de los días totales de baja. Las jornadas perdidas correspondientes a este tramo crecieron un 87% en seis años, en contraste con el 35% de l</w:t>
      </w:r>
      <w:r>
        <w:rPr>
          <w:rFonts w:ascii="Times New Roman" w:hAnsi="Times New Roman" w:cs="Times New Roman"/>
          <w:color w:val="000000"/>
          <w:sz w:val="24"/>
          <w:szCs w:val="24"/>
          <w:shd w:val="clear" w:color="auto" w:fill="FFFFFF"/>
        </w:rPr>
        <w:t>as bajas inferiores a 12 meses.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Otro fenómeno que ha ganado terreno es el aumento de las bajas correspondientes a personas que acumulan más de un proceso en el mismo ejercicio. El informe señala que más de la mitad de los trabajadores con una baja activa en 2023 fueron “repetidores”. El porcentaje de este grupo sobre el total de la población analizada se incrementó en 55% desde 2018. Aunque estos casos representan solo el 16,6% de los trabajadores, concentran el 69,6% de las bajas y</w:t>
      </w:r>
      <w:r>
        <w:rPr>
          <w:rFonts w:ascii="Times New Roman" w:hAnsi="Times New Roman" w:cs="Times New Roman"/>
          <w:color w:val="000000"/>
          <w:sz w:val="24"/>
          <w:szCs w:val="24"/>
          <w:shd w:val="clear" w:color="auto" w:fill="FFFFFF"/>
        </w:rPr>
        <w:t xml:space="preserve"> el 64,5% de los días perdidos.</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Bajas por algias y salud mental</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 xml:space="preserve">Los expertos apuntan que el grueso de las bajas corresponde a incapacidades temporales por contingencias comunes (enfermedades no profesionales o accidentes no laborales), y no a contingencias profesionales (accidentes de trabajo o enfermedades profesionales). Asimismo, advierten de que las patologías más complicadas de objetivar como las algias (lumbalgias, cervicalgias, dorsalgias, entre otras) y las asociadas a la salud mental, están detrás de más de la mitad del absentismo por </w:t>
      </w:r>
      <w:r>
        <w:rPr>
          <w:rFonts w:ascii="Times New Roman" w:hAnsi="Times New Roman" w:cs="Times New Roman"/>
          <w:color w:val="000000"/>
          <w:sz w:val="24"/>
          <w:szCs w:val="24"/>
          <w:shd w:val="clear" w:color="auto" w:fill="FFFFFF"/>
        </w:rPr>
        <w:t>IT y su peso no deja de crecer.</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Mientras las subidas en las bajas por procesos cardiovasculares (42,9%), oncológicos (39,8%) y de traumatología (29,9%) se mantienen por debajo de la media, las asociadas a las algias repuntaron un 56,5% en el periodo 2018-2023 y las vinculadas con la salud mental un 111,4%. Ambas concentran el 51,1% del indicador de absentismo por incapacidad temporal, mientras que el resto de los cuadros se sitúa en el otro 48,9%, y su incremento representa dos terceras partes del aume</w:t>
      </w:r>
      <w:r>
        <w:rPr>
          <w:rFonts w:ascii="Times New Roman" w:hAnsi="Times New Roman" w:cs="Times New Roman"/>
          <w:color w:val="000000"/>
          <w:sz w:val="24"/>
          <w:szCs w:val="24"/>
          <w:shd w:val="clear" w:color="auto" w:fill="FFFFFF"/>
        </w:rPr>
        <w:t>nto de los días de baja por IT.</w:t>
      </w:r>
    </w:p>
    <w:p w:rsidR="00C06321" w:rsidRPr="00DF7847"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La presencia de estas patologías ha ganado peso en los años posteriores a la pandemia, según el análisis del Ivie. Las bajas por problemas de salud mental y algias representan el 56,1% de los procesos en vigor de larga duración hasta 2023 y son la causa de las bajas del 37,7% de los trabajadores co</w:t>
      </w:r>
      <w:r>
        <w:rPr>
          <w:rFonts w:ascii="Times New Roman" w:hAnsi="Times New Roman" w:cs="Times New Roman"/>
          <w:color w:val="000000"/>
          <w:sz w:val="24"/>
          <w:szCs w:val="24"/>
          <w:shd w:val="clear" w:color="auto" w:fill="FFFFFF"/>
        </w:rPr>
        <w:t>n repeticiones en el mismo año.</w:t>
      </w:r>
    </w:p>
    <w:p w:rsidR="00C06321" w:rsidRDefault="00C06321" w:rsidP="00C06321">
      <w:pPr>
        <w:spacing w:line="240" w:lineRule="auto"/>
        <w:jc w:val="both"/>
        <w:rPr>
          <w:rFonts w:ascii="Times New Roman" w:hAnsi="Times New Roman" w:cs="Times New Roman"/>
          <w:color w:val="000000"/>
          <w:sz w:val="24"/>
          <w:szCs w:val="24"/>
          <w:shd w:val="clear" w:color="auto" w:fill="FFFFFF"/>
        </w:rPr>
      </w:pPr>
      <w:r w:rsidRPr="00DF7847">
        <w:rPr>
          <w:rFonts w:ascii="Times New Roman" w:hAnsi="Times New Roman" w:cs="Times New Roman"/>
          <w:color w:val="000000"/>
          <w:sz w:val="24"/>
          <w:szCs w:val="24"/>
          <w:shd w:val="clear" w:color="auto" w:fill="FFFFFF"/>
        </w:rPr>
        <w:t xml:space="preserve">A la luz de estos datos, los investigadores señalan que el absentismo por IT es “un reto estratégico y económico de primer orden”. Apuntan que es urgente respuesta inmediata todos los agentes implicados, dado que “en el ámbito de la incapacidad temporal están en juego, además de la salud de las personas trabajadoras y el buen funcionamiento de los recursos </w:t>
      </w:r>
      <w:r w:rsidRPr="00DF7847">
        <w:rPr>
          <w:rFonts w:ascii="Times New Roman" w:hAnsi="Times New Roman" w:cs="Times New Roman"/>
          <w:color w:val="000000"/>
          <w:sz w:val="24"/>
          <w:szCs w:val="24"/>
          <w:shd w:val="clear" w:color="auto" w:fill="FFFFFF"/>
        </w:rPr>
        <w:lastRenderedPageBreak/>
        <w:t>sanitarios, la sostenibilidad del sistema, el bienestar y la capacidad de generar riqueza y empleo del país”.</w:t>
      </w:r>
    </w:p>
    <w:p w:rsidR="00C06321" w:rsidRPr="00B277E2" w:rsidRDefault="00C06321" w:rsidP="00C06321">
      <w:pPr>
        <w:spacing w:line="240" w:lineRule="auto"/>
        <w:jc w:val="both"/>
        <w:rPr>
          <w:rFonts w:ascii="Times New Roman" w:hAnsi="Times New Roman" w:cs="Times New Roman"/>
          <w:color w:val="FF0000"/>
          <w:sz w:val="24"/>
          <w:szCs w:val="24"/>
          <w:shd w:val="clear" w:color="auto" w:fill="FFFFFF"/>
        </w:rPr>
      </w:pPr>
      <w:r w:rsidRPr="00B277E2">
        <w:rPr>
          <w:rFonts w:ascii="Times New Roman" w:hAnsi="Times New Roman" w:cs="Times New Roman"/>
          <w:b/>
          <w:color w:val="FF0000"/>
          <w:sz w:val="24"/>
          <w:szCs w:val="24"/>
          <w:shd w:val="clear" w:color="auto" w:fill="FFFFFF"/>
        </w:rPr>
        <w:t>Nota</w:t>
      </w:r>
      <w:r w:rsidRPr="00B277E2">
        <w:rPr>
          <w:rFonts w:ascii="Times New Roman" w:hAnsi="Times New Roman" w:cs="Times New Roman"/>
          <w:color w:val="FF0000"/>
          <w:sz w:val="24"/>
          <w:szCs w:val="24"/>
          <w:shd w:val="clear" w:color="auto" w:fill="FFFFFF"/>
        </w:rPr>
        <w:t xml:space="preserve"> </w:t>
      </w:r>
      <w:r w:rsidRPr="00B277E2">
        <w:rPr>
          <w:rFonts w:ascii="Times New Roman" w:hAnsi="Times New Roman" w:cs="Times New Roman"/>
          <w:b/>
          <w:color w:val="FF0000"/>
          <w:sz w:val="24"/>
          <w:szCs w:val="24"/>
          <w:shd w:val="clear" w:color="auto" w:fill="FFFFFF"/>
        </w:rPr>
        <w:t>I</w:t>
      </w:r>
      <w:r w:rsidRPr="00B277E2">
        <w:rPr>
          <w:rFonts w:ascii="Times New Roman" w:hAnsi="Times New Roman" w:cs="Times New Roman"/>
          <w:color w:val="FF0000"/>
          <w:sz w:val="24"/>
          <w:szCs w:val="24"/>
          <w:shd w:val="clear" w:color="auto" w:fill="FFFFFF"/>
        </w:rPr>
        <w:t xml:space="preserve">: más allá de toda suspicacia (la mayor cantidad de bajas laborales que se producen los días viernes o lunes), que hablan muy (pero muy) mal de la seriedad y responsabilidad del trabajador español, como corresponsal extranjero lo que más me ha sorprendido es que el diligenciamiento de las bajas laborales, está a cargo del sector público (servicio de salud), y no del empleador (sanatorio privado). Los evaluadores de la sanidad pública, son muy laxos a la hora de firmar una baja laboral, y eso favorece los abusos que cometen los trabajadores ante cualquier motivo para solicitarla. Falta de tiempo del profesional sanitario (en los “ambulatorios” el médico tiene tasado los minutos de atención para cada paciente), presión social (cierto sectarismo pro trabajador), posibles demandas por negligencia, relativismo…  </w:t>
      </w:r>
    </w:p>
    <w:p w:rsidR="00C06321" w:rsidRPr="00B277E2" w:rsidRDefault="00C06321" w:rsidP="00C06321">
      <w:pPr>
        <w:spacing w:line="240" w:lineRule="auto"/>
        <w:jc w:val="both"/>
        <w:rPr>
          <w:rFonts w:ascii="Times New Roman" w:hAnsi="Times New Roman" w:cs="Times New Roman"/>
          <w:color w:val="FF0000"/>
          <w:sz w:val="24"/>
          <w:szCs w:val="24"/>
          <w:shd w:val="clear" w:color="auto" w:fill="FFFFFF"/>
        </w:rPr>
      </w:pPr>
      <w:r w:rsidRPr="00B277E2">
        <w:rPr>
          <w:rFonts w:ascii="Times New Roman" w:hAnsi="Times New Roman" w:cs="Times New Roman"/>
          <w:color w:val="FF0000"/>
          <w:sz w:val="24"/>
          <w:szCs w:val="24"/>
          <w:shd w:val="clear" w:color="auto" w:fill="FFFFFF"/>
        </w:rPr>
        <w:t>Tampoco las empresas demuestran una preocupación excesiva por perseguir el ausentismo laboral, tal vez porque las bajas laborales, la paga el sistema de la Seguridad Social, En España, el pago de las bajas laborales (incapacidad temporal) lo asumen diferentes entidades dependiendo de la duración y la causa de la baja (la empresa suele adelantar el pago, pero la Seguridad Social o la mutua son quienes finalmente lo reembolsan o lo asumen directamente), o porque lo consideran un fenómeno típico de la sociedad española (costo hundido), que debe ser soportado con resignación. La ceguera voluntaria del amo, no engorada en ganado.</w:t>
      </w:r>
    </w:p>
    <w:p w:rsidR="00C06321" w:rsidRPr="00B277E2" w:rsidRDefault="00C06321" w:rsidP="00C06321">
      <w:pPr>
        <w:spacing w:line="240" w:lineRule="auto"/>
        <w:jc w:val="both"/>
        <w:rPr>
          <w:rFonts w:ascii="Times New Roman" w:hAnsi="Times New Roman" w:cs="Times New Roman"/>
          <w:color w:val="FF0000"/>
          <w:sz w:val="24"/>
          <w:szCs w:val="24"/>
          <w:shd w:val="clear" w:color="auto" w:fill="FFFFFF"/>
        </w:rPr>
      </w:pPr>
      <w:r w:rsidRPr="00B277E2">
        <w:rPr>
          <w:rFonts w:ascii="Times New Roman" w:hAnsi="Times New Roman" w:cs="Times New Roman"/>
          <w:color w:val="FF0000"/>
          <w:sz w:val="24"/>
          <w:szCs w:val="24"/>
          <w:shd w:val="clear" w:color="auto" w:fill="FFFFFF"/>
        </w:rPr>
        <w:t xml:space="preserve">Según mi experiencia laboral (en la falaz, y justicialista, Argentina peronista), las empresas tenían personal médico propio (si eran de gran tamaño), o contrataban con clínica privadas, para realizar la evaluación de las bajas laborales que, en su caso, eran abonadas íntegramente por la empresa. Eso creaba un estado de vigilancia efectivo a la hora de conceder una baja por enfermedad. El ojo del amo engorda el ganado. </w:t>
      </w:r>
    </w:p>
    <w:p w:rsidR="00C06321" w:rsidRPr="00A8773B"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 xml:space="preserve">- </w:t>
      </w:r>
      <w:r w:rsidRPr="00A8773B">
        <w:rPr>
          <w:rFonts w:ascii="Times New Roman" w:hAnsi="Times New Roman" w:cs="Times New Roman"/>
          <w:sz w:val="24"/>
          <w:szCs w:val="24"/>
          <w:u w:val="single"/>
        </w:rPr>
        <w:t>Las horas no trabajadas por incapacidad temporal crecen un 15% en el último año</w:t>
      </w:r>
      <w:r w:rsidRPr="00A8773B">
        <w:rPr>
          <w:rFonts w:ascii="Times New Roman" w:hAnsi="Times New Roman" w:cs="Times New Roman"/>
          <w:sz w:val="24"/>
          <w:szCs w:val="24"/>
        </w:rPr>
        <w:t xml:space="preserve"> (El Economista - </w:t>
      </w:r>
      <w:r w:rsidRPr="00A8773B">
        <w:rPr>
          <w:rFonts w:ascii="Times New Roman" w:hAnsi="Times New Roman" w:cs="Times New Roman"/>
          <w:b/>
          <w:sz w:val="24"/>
          <w:szCs w:val="24"/>
        </w:rPr>
        <w:t>1/8/25</w:t>
      </w:r>
      <w:r w:rsidRPr="00A8773B">
        <w:rPr>
          <w:rFonts w:ascii="Times New Roman" w:hAnsi="Times New Roman" w:cs="Times New Roman"/>
          <w:sz w:val="24"/>
          <w:szCs w:val="24"/>
        </w:rPr>
        <w:t>)</w:t>
      </w:r>
    </w:p>
    <w:p w:rsidR="00C06321" w:rsidRPr="00A8773B"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Las ausencias por bajas médicas aumentan un 78% en comparación con los niveles prepandemia</w:t>
      </w:r>
    </w:p>
    <w:p w:rsidR="00C06321" w:rsidRPr="00A8773B"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 xml:space="preserve">La jornada media por semana cae hasta las 35,8 horas </w:t>
      </w:r>
    </w:p>
    <w:p w:rsidR="00C06321" w:rsidRPr="00A8773B"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(Por Blanca Martínez Mingo)</w:t>
      </w:r>
    </w:p>
    <w:p w:rsidR="00C06321" w:rsidRPr="00A8773B"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El número de horas no trabajadas debido a situaciones de baja (o incapacidad temporal) creció un 15% en el primer trimestre de 2025. Así lo muestra la última estadística publicada ayer por el Ministerio de Seguridad Social que detalla el número de días cotizados y distingue entre ellos el tiempo no trabajado por incapacidad temporal. En comparación con el primer trimestre de 2019 -la fecha de referencia para Seguridad Social al mostrar los niveles prepandemia-, cuando empieza la serie, el número de horas no trabajadas por IT aumenta hasta el 78%, una cifra que excluye las bajas por cuidado al menor, lactancia y embarazo.</w:t>
      </w:r>
    </w:p>
    <w:p w:rsidR="00C06321" w:rsidRPr="00A8773B"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Por otro lado, los días no trabajados en el primer trimestre por bajas laborales derivadas de contingencias comunes -es decir, no causadas en el lugar de trabajo ni de camino a este- crecieron un 9% en comparación con el mismo periodo de 2024 y un 72% con 2019.</w:t>
      </w:r>
    </w:p>
    <w:p w:rsidR="00C06321" w:rsidRPr="00A8773B"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 xml:space="preserve">No obstante, a pesar de este incremento continuado en los días de baja desde 2019, las horas y días efectivamente trabajados en nuestro país crecen un 12,3 y un 12,9% en el primer trimestre de 2025 respectivamente. Una cifra que, además de la IT, resta del tiempo cotizado </w:t>
      </w:r>
      <w:r w:rsidRPr="00A8773B">
        <w:rPr>
          <w:rFonts w:ascii="Times New Roman" w:hAnsi="Times New Roman" w:cs="Times New Roman"/>
          <w:sz w:val="24"/>
          <w:szCs w:val="24"/>
        </w:rPr>
        <w:lastRenderedPageBreak/>
        <w:t>los días en ERTE y otras prestacione</w:t>
      </w:r>
      <w:r w:rsidR="00850FBA">
        <w:rPr>
          <w:rFonts w:ascii="Times New Roman" w:hAnsi="Times New Roman" w:cs="Times New Roman"/>
          <w:sz w:val="24"/>
          <w:szCs w:val="24"/>
        </w:rPr>
        <w:t>s para, detalla el Ministerio, “</w:t>
      </w:r>
      <w:r w:rsidRPr="00A8773B">
        <w:rPr>
          <w:rFonts w:ascii="Times New Roman" w:hAnsi="Times New Roman" w:cs="Times New Roman"/>
          <w:sz w:val="24"/>
          <w:szCs w:val="24"/>
        </w:rPr>
        <w:t>tener una visión real de l</w:t>
      </w:r>
      <w:r w:rsidR="00850FBA">
        <w:rPr>
          <w:rFonts w:ascii="Times New Roman" w:hAnsi="Times New Roman" w:cs="Times New Roman"/>
          <w:sz w:val="24"/>
          <w:szCs w:val="24"/>
        </w:rPr>
        <w:t>a situación del mercado laboral”</w:t>
      </w:r>
      <w:r w:rsidRPr="00A8773B">
        <w:rPr>
          <w:rFonts w:ascii="Times New Roman" w:hAnsi="Times New Roman" w:cs="Times New Roman"/>
          <w:sz w:val="24"/>
          <w:szCs w:val="24"/>
        </w:rPr>
        <w:t>.</w:t>
      </w:r>
    </w:p>
    <w:p w:rsidR="00C06321" w:rsidRPr="00A8773B"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noProof/>
          <w:sz w:val="24"/>
          <w:szCs w:val="24"/>
          <w:lang w:eastAsia="es-ES"/>
        </w:rPr>
        <w:drawing>
          <wp:inline distT="0" distB="0" distL="0" distR="0" wp14:anchorId="16BC7529" wp14:editId="56E75DA4">
            <wp:extent cx="5733918" cy="3467100"/>
            <wp:effectExtent l="0" t="0" r="635" b="0"/>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3465644"/>
                    </a:xfrm>
                    <a:prstGeom prst="rect">
                      <a:avLst/>
                    </a:prstGeom>
                  </pic:spPr>
                </pic:pic>
              </a:graphicData>
            </a:graphic>
          </wp:inline>
        </w:drawing>
      </w:r>
    </w:p>
    <w:p w:rsidR="00C06321" w:rsidRPr="00A8773B"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Para el Ministerio el aumento en el número de horas no trabajadas por IT viene explicado, en gran parte, por la cifra récord en número de afiliados a la Seguridad Social. Como defendió el secretario de Estado, Borja Suárez, este lunes en la firma del convenio de colaboración entre Cataluña y las mutuas (que deriva a estas últimas</w:t>
      </w:r>
      <w:r w:rsidR="00850FBA">
        <w:rPr>
          <w:rFonts w:ascii="Times New Roman" w:hAnsi="Times New Roman" w:cs="Times New Roman"/>
          <w:sz w:val="24"/>
          <w:szCs w:val="24"/>
        </w:rPr>
        <w:t>,</w:t>
      </w:r>
      <w:r w:rsidRPr="00A8773B">
        <w:rPr>
          <w:rFonts w:ascii="Times New Roman" w:hAnsi="Times New Roman" w:cs="Times New Roman"/>
          <w:sz w:val="24"/>
          <w:szCs w:val="24"/>
        </w:rPr>
        <w:t xml:space="preserve"> parte de la gestión de las incapacidades temporales en procesos traumatológicos) el crecimiento del empleo ejerce presión sobre los servicios públicos de salud. Según Suárez, un incremento en el número de trabajadores con plantillas similares e</w:t>
      </w:r>
      <w:r w:rsidR="00850FBA">
        <w:rPr>
          <w:rFonts w:ascii="Times New Roman" w:hAnsi="Times New Roman" w:cs="Times New Roman"/>
          <w:sz w:val="24"/>
          <w:szCs w:val="24"/>
        </w:rPr>
        <w:t>n el ámbito sanitario hace que “la capacidad se resienta”</w:t>
      </w:r>
      <w:r w:rsidRPr="00A8773B">
        <w:rPr>
          <w:rFonts w:ascii="Times New Roman" w:hAnsi="Times New Roman" w:cs="Times New Roman"/>
          <w:sz w:val="24"/>
          <w:szCs w:val="24"/>
        </w:rPr>
        <w:t>. Otras causas a las que apunta el secretario de Estado son el envejecimiento de la población y el incremento de las enfermedades mentales desde la pandemia, que también ejercen presión sobre los servicios públicos, lo que ralentiza los procesos. No obstante, el Ejecutivo sigue buscando explicación al boom de las bajas causadas fuera del lugar de trabajo en la mesa de diálogo social.</w:t>
      </w:r>
    </w:p>
    <w:p w:rsidR="00C06321" w:rsidRPr="00A8773B"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 xml:space="preserve">Estas cifras se enmarcan en plena negociación por la reforma de la prestación por incapacidad temporal en España. Una prestación que, </w:t>
      </w:r>
      <w:r w:rsidR="00850FBA">
        <w:rPr>
          <w:rFonts w:ascii="Times New Roman" w:hAnsi="Times New Roman" w:cs="Times New Roman"/>
          <w:sz w:val="24"/>
          <w:szCs w:val="24"/>
        </w:rPr>
        <w:t>para el Ministerio “</w:t>
      </w:r>
      <w:r w:rsidRPr="00A8773B">
        <w:rPr>
          <w:rFonts w:ascii="Times New Roman" w:hAnsi="Times New Roman" w:cs="Times New Roman"/>
          <w:sz w:val="24"/>
          <w:szCs w:val="24"/>
        </w:rPr>
        <w:t>no ha o</w:t>
      </w:r>
      <w:r w:rsidR="00850FBA">
        <w:rPr>
          <w:rFonts w:ascii="Times New Roman" w:hAnsi="Times New Roman" w:cs="Times New Roman"/>
          <w:sz w:val="24"/>
          <w:szCs w:val="24"/>
        </w:rPr>
        <w:t>btenido la atención que merecía”, que “tiene margen de mejora”</w:t>
      </w:r>
      <w:r w:rsidRPr="00A8773B">
        <w:rPr>
          <w:rFonts w:ascii="Times New Roman" w:hAnsi="Times New Roman" w:cs="Times New Roman"/>
          <w:sz w:val="24"/>
          <w:szCs w:val="24"/>
        </w:rPr>
        <w:t xml:space="preserve"> y que se ha convertido en los últimos años en una de las principales preocupaciones de la patronal.</w:t>
      </w:r>
    </w:p>
    <w:p w:rsidR="00C06321" w:rsidRPr="00A8773B"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Hasta ahora, las principales propuestas del Ejecutivo en la mesa de negociación con sindicatos y patronal se han basado en la reforma de las altas progresivas de 30 días con el 50% del salario para algunas patologías de larga duración; devolver a las mutuas el poder de dar el alta en las bajas laborales que duren más de un año, y en que las bajas médicas de las personas que se encuentran en situación de pluriempleo concreten qué tareas no pueden ejercerse. Se trata, no obstante, de cuestiones que ha planteado Saiz al diálogo social, pero que todavía no se han acordado.</w:t>
      </w:r>
    </w:p>
    <w:p w:rsidR="00C06321" w:rsidRPr="00A8773B"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 xml:space="preserve">De hecho, la única medida que se ha tomado desde el diálogo social para frenar el aumento del número de horas de IT fue hace justo un año, cuando patronal, sindicatos y el Ejecutivo </w:t>
      </w:r>
      <w:r w:rsidRPr="00A8773B">
        <w:rPr>
          <w:rFonts w:ascii="Times New Roman" w:hAnsi="Times New Roman" w:cs="Times New Roman"/>
          <w:sz w:val="24"/>
          <w:szCs w:val="24"/>
        </w:rPr>
        <w:lastRenderedPageBreak/>
        <w:t>pactaron un convenio marco de colaboración con las mutuas con la idea de que este se fuese aplicando en las comunidades autónomas. Sin embargo, un año más tarde, las únicas que han suscrito este acuerdo han sido Baleares y Cataluña. El objetivo de estos convenios es, precisamente, aprovechar los recursos de las mutuas para mejorar los tiempos de espera del sistema público. En concreto, el papel de las mutuas es el de realizar pruebas diagnósticas y tratamientos terapéuticos, rehabilitadores y quirúrgicos en procesos de incapacidad temporal por contingencias comunes de origen traumatológico.</w:t>
      </w:r>
    </w:p>
    <w:p w:rsidR="00C06321" w:rsidRPr="00A8773B"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Además de las cifras publicadas ayer por el Ministerio de Seguridad Social, la última Encuesta de Población Activa (EPA), que contiene cifras del segundo trimestre de 2025, también muestra un descenso en el número medio de horas trabajadas por semana. En concreto, el número las horas trabajadas por semana han descendido de 35,9 a 35,8 entre abril y junio. La diferencia, sin embargo, es más amplia al comparar con el mismo periodo de 2024, cuando se trabajó una media de 36,4 horas a la semana. Esta estadística, publicada en julio por el INE, tampoco incluye las vacaciones, días festivos, ausencias por enfermedad y otros motivos pagados, así como el tiempo no trabajado por estar afectado por una regulación de empleo.</w:t>
      </w:r>
    </w:p>
    <w:p w:rsidR="00C06321" w:rsidRPr="00850FBA" w:rsidRDefault="00C06321" w:rsidP="00C06321">
      <w:pPr>
        <w:spacing w:line="240" w:lineRule="auto"/>
        <w:jc w:val="both"/>
        <w:rPr>
          <w:rFonts w:ascii="Times New Roman" w:hAnsi="Times New Roman" w:cs="Times New Roman"/>
          <w:sz w:val="24"/>
          <w:szCs w:val="24"/>
        </w:rPr>
      </w:pPr>
      <w:r w:rsidRPr="00A8773B">
        <w:rPr>
          <w:rFonts w:ascii="Times New Roman" w:hAnsi="Times New Roman" w:cs="Times New Roman"/>
          <w:sz w:val="24"/>
          <w:szCs w:val="24"/>
        </w:rPr>
        <w:t>Por otro lado, la EPA también muestra que el número de personas que no ha trabajado por encontrarse de baja por enfermedad o accidente ha llegado a un nuevo máximo. En total, en el segundo trimestre del año 1.024.300 personas no acudieron a su puesto de trabajo a la semana de media.</w:t>
      </w:r>
    </w:p>
    <w:p w:rsidR="00C06321" w:rsidRPr="009774F0" w:rsidRDefault="00C06321" w:rsidP="00C06321">
      <w:pPr>
        <w:spacing w:line="240" w:lineRule="auto"/>
        <w:jc w:val="both"/>
        <w:rPr>
          <w:rFonts w:ascii="Times New Roman" w:hAnsi="Times New Roman" w:cs="Times New Roman"/>
          <w:color w:val="FF0000"/>
          <w:sz w:val="24"/>
          <w:szCs w:val="24"/>
          <w:shd w:val="clear" w:color="auto" w:fill="FFFFFF"/>
        </w:rPr>
      </w:pPr>
      <w:r w:rsidRPr="009774F0">
        <w:rPr>
          <w:rFonts w:ascii="Times New Roman" w:hAnsi="Times New Roman" w:cs="Times New Roman"/>
          <w:b/>
          <w:color w:val="FF0000"/>
          <w:sz w:val="24"/>
          <w:szCs w:val="24"/>
          <w:shd w:val="clear" w:color="auto" w:fill="FFFFFF"/>
        </w:rPr>
        <w:t>No</w:t>
      </w:r>
      <w:r>
        <w:rPr>
          <w:rFonts w:ascii="Times New Roman" w:hAnsi="Times New Roman" w:cs="Times New Roman"/>
          <w:b/>
          <w:color w:val="FF0000"/>
          <w:sz w:val="24"/>
          <w:szCs w:val="24"/>
          <w:shd w:val="clear" w:color="auto" w:fill="FFFFFF"/>
        </w:rPr>
        <w:t>ta</w:t>
      </w:r>
      <w:r w:rsidR="00B277E2">
        <w:rPr>
          <w:rFonts w:ascii="Times New Roman" w:hAnsi="Times New Roman" w:cs="Times New Roman"/>
          <w:b/>
          <w:color w:val="FF0000"/>
          <w:sz w:val="24"/>
          <w:szCs w:val="24"/>
          <w:shd w:val="clear" w:color="auto" w:fill="FFFFFF"/>
        </w:rPr>
        <w:t xml:space="preserve"> II</w:t>
      </w:r>
      <w:r w:rsidRPr="009774F0">
        <w:rPr>
          <w:rFonts w:ascii="Times New Roman" w:hAnsi="Times New Roman" w:cs="Times New Roman"/>
          <w:color w:val="FF0000"/>
          <w:sz w:val="24"/>
          <w:szCs w:val="24"/>
          <w:shd w:val="clear" w:color="auto" w:fill="FFFFFF"/>
        </w:rPr>
        <w:t>: Mi propuesta es que las empresas privadas asuman las tareas (directamente, o a través de clínicas privadas) de la evaluación, gestión, y control, de las bajas por enfermedad de sus trabajadores. Y, por otro lado, se hagan cargo del pago íntegro de las bajas laborales.</w:t>
      </w:r>
    </w:p>
    <w:p w:rsidR="00C06321" w:rsidRPr="0015742B" w:rsidRDefault="00B277E2" w:rsidP="00C06321">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Control efectivo del ab</w:t>
      </w:r>
      <w:r w:rsidR="00C06321" w:rsidRPr="0015742B">
        <w:rPr>
          <w:rFonts w:ascii="Times New Roman" w:hAnsi="Times New Roman" w:cs="Times New Roman"/>
          <w:color w:val="FF0000"/>
          <w:sz w:val="24"/>
          <w:szCs w:val="24"/>
          <w:shd w:val="clear" w:color="auto" w:fill="FFFFFF"/>
        </w:rPr>
        <w:t>sentismo laboral (mutuas y empresas)</w:t>
      </w:r>
    </w:p>
    <w:p w:rsidR="00C06321"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El absentismo laboral en España ha alcanzado niveles preocupantes, con un aumento significativo en los últimos años. En 2024, la tasa de absentismo laboral se situó en un 7,4%, lo que significa que un promedio de 1,25 millones de personas faltaron a su trabajo cada día, según Expansión. Este fenómeno ha generado un debate sobre sus causas y consecuencias, así como la necesidad de implementar medidas para combatirlo.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Causas del absentismo laboral:</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Enfermedad: Las bajas por enfermedad, tanto de corta como de larga duración, son una de las principales causas del absentismo.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Accidentes laborales: Los accidentes en el lugar de trabajo también contribuyen a la ausencia de empleados.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Causas personales: Problemas familiares, motivos de conciliación, o simplemente falta de motivación pueden llevar a la ausencia laboral.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Factores organizacionales: Un ambiente laboral poco saludable, falta de reconocimiento, o una gestión deficiente pueden influir en el absentismo.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Factores socioeconómicos: El contexto económico del país, como el aumento del desempleo o la incertidumbre laboral, puede afectar la percepción de los trabajadores sobre su trabajo y su compromiso.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lastRenderedPageBreak/>
        <w:t>Consecuencias del absentismo laboral:</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Costes económicos: Las empresas sufren pérdidas económicas debido a la falta de productividad y el pago de salarios por ausencias no justificadas.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Impacto en la productividad: La ausencia de empleados reduce la eficiencia de la empresa y dificulta el cumplimiento de objetivos.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Sobrecarga de trabajo para los compañeros: Los empleados que sí asisten al trabajo pueden verse sobrecargados con las tareas de los ausentes.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Desmotivación y deterioro del ambiente laboral: El absentismo puede generar frustración y desmotivación entre los empleados, afectando negativamente el clima laboral.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Medidas para reducir el absentismo laboral:</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Promover un ambiente laboral saludable: Fomentar la comunicación, el reconocimiento y la participación de los empleados en la toma de decisiones.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Implementar políticas de conciliación: Ofrecer flexibilidad horaria, teletrabajo o medidas de apoyo familiar.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Realizar evaluaciones periódicas de riesgos laborales: Identificar y prevenir los riesgos que pueden causar accidentes o enfermedades.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Invertir en formación y desarrollo: Ofrecer oportunidades de crecimiento profesional y personal para motivar a los empleados.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Monitorizar y analizar el absentismo: Identificar las causas y tendencias del absentismo para implementar medidas específicas. </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En resumen, el absentismo laboral en España es un problema complejo con múltiples causas y consecuencias. Requiere un enfoque integral que involucre a empresas, trabajadores y autoridades para reducir sus efectos negativos y promover un entorno laboral más saludable y productivo.</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 xml:space="preserve">- </w:t>
      </w:r>
      <w:r w:rsidRPr="00063DD0">
        <w:rPr>
          <w:rFonts w:ascii="Times New Roman" w:hAnsi="Times New Roman" w:cs="Times New Roman"/>
          <w:sz w:val="24"/>
          <w:szCs w:val="24"/>
          <w:u w:val="single"/>
          <w:shd w:val="clear" w:color="auto" w:fill="FFFFFF"/>
        </w:rPr>
        <w:t>100.000 millones de euros anuales de pérdidas a causa del absentismo laboral</w:t>
      </w:r>
      <w:r w:rsidRPr="00063DD0">
        <w:rPr>
          <w:rFonts w:ascii="Times New Roman" w:hAnsi="Times New Roman" w:cs="Times New Roman"/>
          <w:sz w:val="24"/>
          <w:szCs w:val="24"/>
          <w:shd w:val="clear" w:color="auto" w:fill="FFFFFF"/>
        </w:rPr>
        <w:t xml:space="preserve"> (Fuente: capital.es - </w:t>
      </w:r>
      <w:r w:rsidRPr="00063DD0">
        <w:rPr>
          <w:rFonts w:ascii="Times New Roman" w:hAnsi="Times New Roman" w:cs="Times New Roman"/>
          <w:b/>
          <w:sz w:val="24"/>
          <w:szCs w:val="24"/>
          <w:shd w:val="clear" w:color="auto" w:fill="FFFFFF"/>
        </w:rPr>
        <w:t>4/10/24</w:t>
      </w:r>
      <w:r w:rsidRPr="00063DD0">
        <w:rPr>
          <w:rFonts w:ascii="Times New Roman" w:hAnsi="Times New Roman" w:cs="Times New Roman"/>
          <w:sz w:val="24"/>
          <w:szCs w:val="24"/>
          <w:shd w:val="clear" w:color="auto" w:fill="FFFFFF"/>
        </w:rPr>
        <w:t>)</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Se suman un total de 12 días al año no trabajado por cada empleado, según el último informe de Grant Thornton</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Según el último informe presentado por Grant Thornton en la jornada “Crecimiento, empleo y ¿absentismo?”, el absentismo laboral en España genera pérdidas económicas de 100.000 millones de euros al año. Ramón Galcerán, presidente de Grant Thornton España, destacó que esta situación es “preocupante y compleja”. El absentismo no solo repercute en la productividad, sino que también afecta la competitividad de las empresas, lo que a su vez obstaculiza el desarrollo económico y la creación de empleo.</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El informe revela que el porcentaje de horas en que los trabajadores están ausentes de sus puestos representa un 6,6% del total de horas pactadas. De este total, un 5,2% corresponde a bajas médicas por incapacidad temporal, mientras que el 1,4% restante son horas no justificadas, lo que suma un total de 12 días de trabajo no realizados por empleado al año.</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lastRenderedPageBreak/>
        <w:t>Además, el estudio indica que el absentismo se ha convertido en una tendencia creciente en los últimos años, con un aumento tanto en el número de bajas médicas como en su duración. Esta prolongación se debe, según Grant Thornton, a las demoras en la realización de pruebas diagnósticas y procesos de rehabilitación.</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En este sentido, acusan desde Grant Thornton a la Administración pública de este aumento del absentismo por su gestión del sistema público de salud y señalan la falta de implicación de las organizaciones sindicales en solucionar el problema.</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El director de Relaciones Laborales de Foment del Treball Nacional, Javier Ibars, destacó la responsabilidad tanto de “las empresas, que deberían mejorar las condiciones y establecer protocolos de ausencias; la Administración, en áreas como la sanidad, la educación y la conciliación, y los trabajadores, entre los que hay un porcentaje que se aprovecha de las debilidades del sistema”.</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Entre las propuestas señaladas para solucionar este problema se encuentra mejorar el clima laboral, lograr un mayor compromiso de los trabajadores, agilizar la gestión de las bajas médicas o disminuir los períodos para la realización de las pruebas médicas.</w:t>
      </w:r>
    </w:p>
    <w:p w:rsidR="00C06321" w:rsidRPr="00063DD0" w:rsidRDefault="00C06321" w:rsidP="00C06321">
      <w:pPr>
        <w:spacing w:line="240" w:lineRule="auto"/>
        <w:jc w:val="both"/>
        <w:rPr>
          <w:rFonts w:ascii="Times New Roman" w:hAnsi="Times New Roman" w:cs="Times New Roman"/>
          <w:sz w:val="24"/>
          <w:szCs w:val="24"/>
          <w:shd w:val="clear" w:color="auto" w:fill="FFFFFF"/>
        </w:rPr>
      </w:pPr>
      <w:r w:rsidRPr="00063DD0">
        <w:rPr>
          <w:rFonts w:ascii="Times New Roman" w:hAnsi="Times New Roman" w:cs="Times New Roman"/>
          <w:sz w:val="24"/>
          <w:szCs w:val="24"/>
          <w:shd w:val="clear" w:color="auto" w:fill="FFFFFF"/>
        </w:rPr>
        <w:t>A su vez, el informe destaca la importancia del liderazgo en las empresas, que juega un papel clave a la hora de motivar y fidelizar a los trabajadores. De esta forma, el absentismo podría convertirse en una oportunidad para conocer los problemas de los trabajadores y mejorar la cultura de las compañías.</w:t>
      </w:r>
    </w:p>
    <w:p w:rsidR="00C06321" w:rsidRPr="00063DD0"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063DD0">
        <w:rPr>
          <w:rFonts w:ascii="Times New Roman" w:hAnsi="Times New Roman" w:cs="Times New Roman"/>
          <w:color w:val="000000"/>
          <w:sz w:val="24"/>
          <w:szCs w:val="24"/>
          <w:u w:val="single"/>
          <w:shd w:val="clear" w:color="auto" w:fill="FFFFFF"/>
        </w:rPr>
        <w:t>El absentismo laboral en España: radiografía de un fenómeno persistente</w:t>
      </w:r>
      <w:r>
        <w:rPr>
          <w:rFonts w:ascii="Times New Roman" w:hAnsi="Times New Roman" w:cs="Times New Roman"/>
          <w:color w:val="000000"/>
          <w:sz w:val="24"/>
          <w:szCs w:val="24"/>
          <w:shd w:val="clear" w:color="auto" w:fill="FFFFFF"/>
        </w:rPr>
        <w:t xml:space="preserve"> (Fuente: capital.es - </w:t>
      </w:r>
      <w:r w:rsidRPr="00063DD0">
        <w:rPr>
          <w:rFonts w:ascii="Times New Roman" w:hAnsi="Times New Roman" w:cs="Times New Roman"/>
          <w:b/>
          <w:color w:val="000000"/>
          <w:sz w:val="24"/>
          <w:szCs w:val="24"/>
          <w:shd w:val="clear" w:color="auto" w:fill="FFFFFF"/>
        </w:rPr>
        <w:t>20/6/25</w:t>
      </w:r>
      <w:r>
        <w:rPr>
          <w:rFonts w:ascii="Times New Roman" w:hAnsi="Times New Roman" w:cs="Times New Roman"/>
          <w:color w:val="000000"/>
          <w:sz w:val="24"/>
          <w:szCs w:val="24"/>
          <w:shd w:val="clear" w:color="auto" w:fill="FFFFFF"/>
        </w:rPr>
        <w:t>)</w:t>
      </w:r>
    </w:p>
    <w:p w:rsidR="00C06321" w:rsidRPr="00063DD0" w:rsidRDefault="00C06321" w:rsidP="00C06321">
      <w:pPr>
        <w:spacing w:line="240" w:lineRule="auto"/>
        <w:jc w:val="both"/>
        <w:rPr>
          <w:rFonts w:ascii="Times New Roman" w:hAnsi="Times New Roman" w:cs="Times New Roman"/>
          <w:color w:val="000000"/>
          <w:sz w:val="24"/>
          <w:szCs w:val="24"/>
          <w:shd w:val="clear" w:color="auto" w:fill="FFFFFF"/>
        </w:rPr>
      </w:pPr>
      <w:r w:rsidRPr="00063DD0">
        <w:rPr>
          <w:rFonts w:ascii="Times New Roman" w:hAnsi="Times New Roman" w:cs="Times New Roman"/>
          <w:color w:val="000000"/>
          <w:sz w:val="24"/>
          <w:szCs w:val="24"/>
          <w:shd w:val="clear" w:color="auto" w:fill="FFFFFF"/>
        </w:rPr>
        <w:t>Las actividades sanitarias y de servicios sociales son las que mayor tasa de absentismo tienen (10,18%), frente al sector inmobiliario, que es el que arroja la cifra más baja (3,5%), según un informe de Gi Group</w:t>
      </w:r>
    </w:p>
    <w:p w:rsidR="00C06321" w:rsidRPr="00063DD0" w:rsidRDefault="00C06321" w:rsidP="00C06321">
      <w:pPr>
        <w:spacing w:line="240" w:lineRule="auto"/>
        <w:jc w:val="both"/>
        <w:rPr>
          <w:rFonts w:ascii="Times New Roman" w:hAnsi="Times New Roman" w:cs="Times New Roman"/>
          <w:color w:val="000000"/>
          <w:sz w:val="24"/>
          <w:szCs w:val="24"/>
          <w:shd w:val="clear" w:color="auto" w:fill="FFFFFF"/>
        </w:rPr>
      </w:pPr>
      <w:r w:rsidRPr="00063DD0">
        <w:rPr>
          <w:rFonts w:ascii="Times New Roman" w:hAnsi="Times New Roman" w:cs="Times New Roman"/>
          <w:color w:val="000000"/>
          <w:sz w:val="24"/>
          <w:szCs w:val="24"/>
          <w:shd w:val="clear" w:color="auto" w:fill="FFFFFF"/>
        </w:rPr>
        <w:t>El absentismo laboral, justificado o no, tiene efectos que impactan directamente en la productividad, la gestión de equipos y el clima laboral, lo que supone todo un reto para la gestión del talento. Así, según el informe “Tendencias y análisis del Absentismo Laboral en España” elaborado por Gi Group Holding, multinacional que ofrece soluciones 360º de RRHH, la tasa de absentismo general, aquella que se refiere a la ausencia injustificada o no autorizada de un empleado a su puesto de trabajo, se situó en el 6,74%, mientras que la de absentismo por Incapacidad Temporal (IT) alcanzó el 5,2% en el cuarto trimestre de 2024, según datos del Instituto Nacional de Estadística (INE) y la Encuesta de Población Activa (EPA). En cifras absolutas, esto supone que aproximadamente 1,46 millones de personas no acudieron a su puesto de trabajo por cualquier tipo de ausencia, y más de 1,14 millones, po</w:t>
      </w:r>
      <w:r>
        <w:rPr>
          <w:rFonts w:ascii="Times New Roman" w:hAnsi="Times New Roman" w:cs="Times New Roman"/>
          <w:color w:val="000000"/>
          <w:sz w:val="24"/>
          <w:szCs w:val="24"/>
          <w:shd w:val="clear" w:color="auto" w:fill="FFFFFF"/>
        </w:rPr>
        <w:t xml:space="preserve">r motivos médicos acreditados. </w:t>
      </w:r>
    </w:p>
    <w:p w:rsidR="00C06321" w:rsidRPr="00063DD0" w:rsidRDefault="00C06321" w:rsidP="00C06321">
      <w:pPr>
        <w:spacing w:line="240" w:lineRule="auto"/>
        <w:jc w:val="both"/>
        <w:rPr>
          <w:rFonts w:ascii="Times New Roman" w:hAnsi="Times New Roman" w:cs="Times New Roman"/>
          <w:color w:val="000000"/>
          <w:sz w:val="24"/>
          <w:szCs w:val="24"/>
          <w:shd w:val="clear" w:color="auto" w:fill="FFFFFF"/>
        </w:rPr>
      </w:pPr>
      <w:r w:rsidRPr="00063DD0">
        <w:rPr>
          <w:rFonts w:ascii="Times New Roman" w:hAnsi="Times New Roman" w:cs="Times New Roman"/>
          <w:color w:val="000000"/>
          <w:sz w:val="24"/>
          <w:szCs w:val="24"/>
          <w:shd w:val="clear" w:color="auto" w:fill="FFFFFF"/>
        </w:rPr>
        <w:t xml:space="preserve">La evolución del absentismo laboral en España ha sido desigual desde 2019. El pico histórico se alcanzó en el segundo trimestre de 2020, con casi un 21% para la jornada completa y un 30,43% para la jornada parcial, impulsado principalmente por el confinamiento derivado de la pandemia. Desde entonces, las tasas han descendido, pero sin recuperar los niveles prepandemia. En 2024, el absentismo se mantuvo estable, aunque en valores superiores a los de 2019: un 6,77% en jornada completa </w:t>
      </w:r>
      <w:r>
        <w:rPr>
          <w:rFonts w:ascii="Times New Roman" w:hAnsi="Times New Roman" w:cs="Times New Roman"/>
          <w:color w:val="000000"/>
          <w:sz w:val="24"/>
          <w:szCs w:val="24"/>
          <w:shd w:val="clear" w:color="auto" w:fill="FFFFFF"/>
        </w:rPr>
        <w:t xml:space="preserve">y un 6,36% en jornada parcial. </w:t>
      </w:r>
    </w:p>
    <w:p w:rsidR="00C06321" w:rsidRPr="00063DD0" w:rsidRDefault="00C06321" w:rsidP="00C06321">
      <w:pPr>
        <w:spacing w:line="240" w:lineRule="auto"/>
        <w:jc w:val="both"/>
        <w:rPr>
          <w:rFonts w:ascii="Times New Roman" w:hAnsi="Times New Roman" w:cs="Times New Roman"/>
          <w:color w:val="000000"/>
          <w:sz w:val="24"/>
          <w:szCs w:val="24"/>
          <w:shd w:val="clear" w:color="auto" w:fill="FFFFFF"/>
        </w:rPr>
      </w:pPr>
      <w:r w:rsidRPr="00063DD0">
        <w:rPr>
          <w:rFonts w:ascii="Times New Roman" w:hAnsi="Times New Roman" w:cs="Times New Roman"/>
          <w:color w:val="000000"/>
          <w:sz w:val="24"/>
          <w:szCs w:val="24"/>
          <w:shd w:val="clear" w:color="auto" w:fill="FFFFFF"/>
        </w:rPr>
        <w:t xml:space="preserve">Entre los sectores con mayor tasa de absentismo general durante el último trimestre de 2024 se encuentran las actividades sanitarias y de servicios sociales (10,18%); suministro de agua, actividades de saneamiento, gestión de residuos y descontaminación (9,11%); las actividades </w:t>
      </w:r>
      <w:r w:rsidRPr="00063DD0">
        <w:rPr>
          <w:rFonts w:ascii="Times New Roman" w:hAnsi="Times New Roman" w:cs="Times New Roman"/>
          <w:color w:val="000000"/>
          <w:sz w:val="24"/>
          <w:szCs w:val="24"/>
          <w:shd w:val="clear" w:color="auto" w:fill="FFFFFF"/>
        </w:rPr>
        <w:lastRenderedPageBreak/>
        <w:t>administrativas y servicios auxiliares (8,36%); la administración pública y defensa (8,01%) y el transporte y almacenamiento (7,96%). Todos ellos superan ampliamente la media nacional, que se sitúa en el 6,74%. Estos 5 sectores tienen en común factores como la elevada exigencia física, turnos rotativos, entornos de alta presión, y un alto grado de exposición a riesgos que repercute directamente en la salud y continui</w:t>
      </w:r>
      <w:r>
        <w:rPr>
          <w:rFonts w:ascii="Times New Roman" w:hAnsi="Times New Roman" w:cs="Times New Roman"/>
          <w:color w:val="000000"/>
          <w:sz w:val="24"/>
          <w:szCs w:val="24"/>
          <w:shd w:val="clear" w:color="auto" w:fill="FFFFFF"/>
        </w:rPr>
        <w:t xml:space="preserve">dad laboral de los empleados.  </w:t>
      </w:r>
    </w:p>
    <w:p w:rsidR="00C06321" w:rsidRPr="00063DD0" w:rsidRDefault="00850FBA"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r w:rsidR="00C06321" w:rsidRPr="00063DD0">
        <w:rPr>
          <w:rFonts w:ascii="Times New Roman" w:hAnsi="Times New Roman" w:cs="Times New Roman"/>
          <w:color w:val="000000"/>
          <w:sz w:val="24"/>
          <w:szCs w:val="24"/>
          <w:shd w:val="clear" w:color="auto" w:fill="FFFFFF"/>
        </w:rPr>
        <w:t>Los sectores más afectados por el absentismo concentran una combinación de alta exigencia física y presión operativa que, si no se gestiona adecuadamente, deriva en una carga insostenible para las plantillas. En este contexto, la prevención de riesgos, la mejora de las condiciones laborales y el cuidado del bienestar físico y emocional ya no son una opción, sino claves para reducir el absentismo y garantizar la continuidad operativa. El objetivo debe ser comprender las causas de las ausencias y actuar sobre ellas, no medi</w:t>
      </w:r>
      <w:r>
        <w:rPr>
          <w:rFonts w:ascii="Times New Roman" w:hAnsi="Times New Roman" w:cs="Times New Roman"/>
          <w:color w:val="000000"/>
          <w:sz w:val="24"/>
          <w:szCs w:val="24"/>
          <w:shd w:val="clear" w:color="auto" w:fill="FFFFFF"/>
        </w:rPr>
        <w:t>rlas”</w:t>
      </w:r>
      <w:r w:rsidR="00C06321" w:rsidRPr="00063DD0">
        <w:rPr>
          <w:rFonts w:ascii="Times New Roman" w:hAnsi="Times New Roman" w:cs="Times New Roman"/>
          <w:color w:val="000000"/>
          <w:sz w:val="24"/>
          <w:szCs w:val="24"/>
          <w:shd w:val="clear" w:color="auto" w:fill="FFFFFF"/>
        </w:rPr>
        <w:t>, señala Victoria Olalla Blanco, Corporate Sales</w:t>
      </w:r>
      <w:r w:rsidR="00C06321">
        <w:rPr>
          <w:rFonts w:ascii="Times New Roman" w:hAnsi="Times New Roman" w:cs="Times New Roman"/>
          <w:color w:val="000000"/>
          <w:sz w:val="24"/>
          <w:szCs w:val="24"/>
          <w:shd w:val="clear" w:color="auto" w:fill="FFFFFF"/>
        </w:rPr>
        <w:t xml:space="preserve"> Director de Gi Group Holding. </w:t>
      </w:r>
    </w:p>
    <w:p w:rsidR="00C06321" w:rsidRPr="00063DD0" w:rsidRDefault="00C06321" w:rsidP="00C06321">
      <w:pPr>
        <w:spacing w:line="240" w:lineRule="auto"/>
        <w:jc w:val="both"/>
        <w:rPr>
          <w:rFonts w:ascii="Times New Roman" w:hAnsi="Times New Roman" w:cs="Times New Roman"/>
          <w:color w:val="000000"/>
          <w:sz w:val="24"/>
          <w:szCs w:val="24"/>
          <w:shd w:val="clear" w:color="auto" w:fill="FFFFFF"/>
        </w:rPr>
      </w:pPr>
      <w:r w:rsidRPr="00063DD0">
        <w:rPr>
          <w:rFonts w:ascii="Times New Roman" w:hAnsi="Times New Roman" w:cs="Times New Roman"/>
          <w:color w:val="000000"/>
          <w:sz w:val="24"/>
          <w:szCs w:val="24"/>
          <w:shd w:val="clear" w:color="auto" w:fill="FFFFFF"/>
        </w:rPr>
        <w:t>En el lado opuesto de la situación, entre las actividades con menores tasas de absentismo general destacan las inmobiliarias, con un 3,5%; actividades profesionales, científicas y técnicas (3,74%), e info</w:t>
      </w:r>
      <w:r>
        <w:rPr>
          <w:rFonts w:ascii="Times New Roman" w:hAnsi="Times New Roman" w:cs="Times New Roman"/>
          <w:color w:val="000000"/>
          <w:sz w:val="24"/>
          <w:szCs w:val="24"/>
          <w:shd w:val="clear" w:color="auto" w:fill="FFFFFF"/>
        </w:rPr>
        <w:t xml:space="preserve">rmación y comunicaciones (4%). </w:t>
      </w:r>
    </w:p>
    <w:p w:rsidR="00C06321" w:rsidRPr="00063DD0" w:rsidRDefault="00C06321" w:rsidP="00C06321">
      <w:pPr>
        <w:spacing w:line="240" w:lineRule="auto"/>
        <w:jc w:val="both"/>
        <w:rPr>
          <w:rFonts w:ascii="Times New Roman" w:hAnsi="Times New Roman" w:cs="Times New Roman"/>
          <w:color w:val="000000"/>
          <w:sz w:val="24"/>
          <w:szCs w:val="24"/>
          <w:shd w:val="clear" w:color="auto" w:fill="FFFFFF"/>
        </w:rPr>
      </w:pPr>
      <w:r w:rsidRPr="00063DD0">
        <w:rPr>
          <w:rFonts w:ascii="Times New Roman" w:hAnsi="Times New Roman" w:cs="Times New Roman"/>
          <w:color w:val="000000"/>
          <w:sz w:val="24"/>
          <w:szCs w:val="24"/>
          <w:shd w:val="clear" w:color="auto" w:fill="FFFFFF"/>
        </w:rPr>
        <w:t>Victoria Olalla, Corporate Sales Director de Gi Group Holding: “la prevención de riesgos, la mejora de las condiciones laborales y el cuidado del bienestar físico y emocional son claves para reducir el absentismo y garantizar la continuidad operativa”</w:t>
      </w:r>
    </w:p>
    <w:p w:rsidR="00C06321" w:rsidRPr="00063DD0" w:rsidRDefault="00C06321" w:rsidP="00C06321">
      <w:pPr>
        <w:spacing w:line="240" w:lineRule="auto"/>
        <w:jc w:val="both"/>
        <w:rPr>
          <w:rFonts w:ascii="Times New Roman" w:hAnsi="Times New Roman" w:cs="Times New Roman"/>
          <w:color w:val="000000"/>
          <w:sz w:val="24"/>
          <w:szCs w:val="24"/>
          <w:shd w:val="clear" w:color="auto" w:fill="FFFFFF"/>
        </w:rPr>
      </w:pPr>
      <w:r w:rsidRPr="00063DD0">
        <w:rPr>
          <w:rFonts w:ascii="Times New Roman" w:hAnsi="Times New Roman" w:cs="Times New Roman"/>
          <w:color w:val="000000"/>
          <w:sz w:val="24"/>
          <w:szCs w:val="24"/>
          <w:shd w:val="clear" w:color="auto" w:fill="FFFFFF"/>
        </w:rPr>
        <w:t xml:space="preserve">Crece el absentismo por incapacidad temporal </w:t>
      </w:r>
    </w:p>
    <w:p w:rsidR="00C06321" w:rsidRPr="00063DD0" w:rsidRDefault="00C06321" w:rsidP="00C06321">
      <w:pPr>
        <w:spacing w:line="240" w:lineRule="auto"/>
        <w:jc w:val="both"/>
        <w:rPr>
          <w:rFonts w:ascii="Times New Roman" w:hAnsi="Times New Roman" w:cs="Times New Roman"/>
          <w:color w:val="000000"/>
          <w:sz w:val="24"/>
          <w:szCs w:val="24"/>
          <w:shd w:val="clear" w:color="auto" w:fill="FFFFFF"/>
        </w:rPr>
      </w:pPr>
      <w:r w:rsidRPr="00063DD0">
        <w:rPr>
          <w:rFonts w:ascii="Times New Roman" w:hAnsi="Times New Roman" w:cs="Times New Roman"/>
          <w:color w:val="000000"/>
          <w:sz w:val="24"/>
          <w:szCs w:val="24"/>
          <w:shd w:val="clear" w:color="auto" w:fill="FFFFFF"/>
        </w:rPr>
        <w:t>En los últimos años, el absentismo por incapacidad temporal, aquel derivado de una enfermedad o accidente ha evolucionado al alza, tanto en la jornada completa como en la parcial. En el cuarto trimestre de 2024, este tipo de absentismo superó el 5,2%, incrementando casi en dos puntos cuando hacemos la comparativa con el 2019. Por otro lado, si se tiene en cuenta el grupo de actividad, la evolución ha sido ascendente en la gran mayoría de ellos, siendo especialmente relevante en sectores con un</w:t>
      </w:r>
      <w:r>
        <w:rPr>
          <w:rFonts w:ascii="Times New Roman" w:hAnsi="Times New Roman" w:cs="Times New Roman"/>
          <w:color w:val="000000"/>
          <w:sz w:val="24"/>
          <w:szCs w:val="24"/>
          <w:shd w:val="clear" w:color="auto" w:fill="FFFFFF"/>
        </w:rPr>
        <w:t>a</w:t>
      </w:r>
      <w:r w:rsidRPr="00063DD0">
        <w:rPr>
          <w:rFonts w:ascii="Times New Roman" w:hAnsi="Times New Roman" w:cs="Times New Roman"/>
          <w:color w:val="000000"/>
          <w:sz w:val="24"/>
          <w:szCs w:val="24"/>
          <w:shd w:val="clear" w:color="auto" w:fill="FFFFFF"/>
        </w:rPr>
        <w:t xml:space="preserve"> gran exigencia física o emocional como es el caso de la sanidad y los servicios sociales (7,33%) o la ind</w:t>
      </w:r>
      <w:r>
        <w:rPr>
          <w:rFonts w:ascii="Times New Roman" w:hAnsi="Times New Roman" w:cs="Times New Roman"/>
          <w:color w:val="000000"/>
          <w:sz w:val="24"/>
          <w:szCs w:val="24"/>
          <w:shd w:val="clear" w:color="auto" w:fill="FFFFFF"/>
        </w:rPr>
        <w:t xml:space="preserve">ustria manufacturera (5,43%).  </w:t>
      </w:r>
    </w:p>
    <w:p w:rsidR="00C06321" w:rsidRPr="00063DD0"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r w:rsidRPr="00063DD0">
        <w:rPr>
          <w:rFonts w:ascii="Times New Roman" w:hAnsi="Times New Roman" w:cs="Times New Roman"/>
          <w:color w:val="000000"/>
          <w:sz w:val="24"/>
          <w:szCs w:val="24"/>
          <w:shd w:val="clear" w:color="auto" w:fill="FFFFFF"/>
        </w:rPr>
        <w:t>El análisis de las cifras de absentismo por IT pone de relieve la importancia de reforzar las estrategias de prevención en el entorno laboral, tanto a nivel físico como psicosocial. Invertir en prevención no es un coste, sino una medida</w:t>
      </w:r>
      <w:r>
        <w:rPr>
          <w:rFonts w:ascii="Times New Roman" w:hAnsi="Times New Roman" w:cs="Times New Roman"/>
          <w:color w:val="000000"/>
          <w:sz w:val="24"/>
          <w:szCs w:val="24"/>
          <w:shd w:val="clear" w:color="auto" w:fill="FFFFFF"/>
        </w:rPr>
        <w:t xml:space="preserve"> de sostenibilidad organizativa”</w:t>
      </w:r>
      <w:r w:rsidRPr="00063DD0">
        <w:rPr>
          <w:rFonts w:ascii="Times New Roman" w:hAnsi="Times New Roman" w:cs="Times New Roman"/>
          <w:color w:val="000000"/>
          <w:sz w:val="24"/>
          <w:szCs w:val="24"/>
          <w:shd w:val="clear" w:color="auto" w:fill="FFFFFF"/>
        </w:rPr>
        <w:t xml:space="preserve">, reconoce Olalla. </w:t>
      </w:r>
    </w:p>
    <w:p w:rsidR="00C06321" w:rsidRPr="00063DD0" w:rsidRDefault="00C06321" w:rsidP="00C06321">
      <w:pPr>
        <w:spacing w:line="240" w:lineRule="auto"/>
        <w:jc w:val="both"/>
        <w:rPr>
          <w:rFonts w:ascii="Times New Roman" w:hAnsi="Times New Roman" w:cs="Times New Roman"/>
          <w:color w:val="000000"/>
          <w:sz w:val="24"/>
          <w:szCs w:val="24"/>
          <w:shd w:val="clear" w:color="auto" w:fill="FFFFFF"/>
        </w:rPr>
      </w:pPr>
      <w:r w:rsidRPr="00063DD0">
        <w:rPr>
          <w:rFonts w:ascii="Times New Roman" w:hAnsi="Times New Roman" w:cs="Times New Roman"/>
          <w:color w:val="000000"/>
          <w:sz w:val="24"/>
          <w:szCs w:val="24"/>
          <w:shd w:val="clear" w:color="auto" w:fill="FFFFFF"/>
        </w:rPr>
        <w:t>En este sentido, una de las iniciativas más destacadas de Gi BPO, la firma de Gi Group Holding, especializada en ofrecer soluciones de Outsourcing Avanzado, ha sido la implementación del sistema SILA Detection System, una herramienta basada en Inteligencia Artificial que mejora la seguridad al detectar personas y objetos cercanos a carretillas elevadoras, reduciendo</w:t>
      </w:r>
      <w:r>
        <w:rPr>
          <w:rFonts w:ascii="Times New Roman" w:hAnsi="Times New Roman" w:cs="Times New Roman"/>
          <w:color w:val="000000"/>
          <w:sz w:val="24"/>
          <w:szCs w:val="24"/>
          <w:shd w:val="clear" w:color="auto" w:fill="FFFFFF"/>
        </w:rPr>
        <w:t xml:space="preserve"> así el riesgo de colisiones.  </w:t>
      </w:r>
    </w:p>
    <w:p w:rsidR="00C06321" w:rsidRPr="00063DD0" w:rsidRDefault="00C06321" w:rsidP="00C06321">
      <w:pPr>
        <w:spacing w:line="240" w:lineRule="auto"/>
        <w:jc w:val="both"/>
        <w:rPr>
          <w:rFonts w:ascii="Times New Roman" w:hAnsi="Times New Roman" w:cs="Times New Roman"/>
          <w:color w:val="000000"/>
          <w:sz w:val="24"/>
          <w:szCs w:val="24"/>
          <w:shd w:val="clear" w:color="auto" w:fill="FFFFFF"/>
        </w:rPr>
      </w:pPr>
      <w:r w:rsidRPr="00063DD0">
        <w:rPr>
          <w:rFonts w:ascii="Times New Roman" w:hAnsi="Times New Roman" w:cs="Times New Roman"/>
          <w:color w:val="000000"/>
          <w:sz w:val="24"/>
          <w:szCs w:val="24"/>
          <w:shd w:val="clear" w:color="auto" w:fill="FFFFFF"/>
        </w:rPr>
        <w:t>Los accidentes de trabajo representan un indicador clave del estado de la salud y seguridad en el entorno laboral. En el cuarto trimestre de 2024 se registraron 510.000 accidentes laborales, apenas un 0,2% más que en 2023. Con casi 97.000 accidentes, la industria manufacturera fue la más afectada. A continuación, se sitúan la construcción (81.697) y el comercio (71.780). Por otro lado, del informe de Gi Group Holding se desprende que se han detectado aumentos significativos en sectores como actividades inmobiliarias (+14,4%) e informa</w:t>
      </w:r>
      <w:r>
        <w:rPr>
          <w:rFonts w:ascii="Times New Roman" w:hAnsi="Times New Roman" w:cs="Times New Roman"/>
          <w:color w:val="000000"/>
          <w:sz w:val="24"/>
          <w:szCs w:val="24"/>
          <w:shd w:val="clear" w:color="auto" w:fill="FFFFFF"/>
        </w:rPr>
        <w:t xml:space="preserve">ción y comunicaciones (+6,5%). </w:t>
      </w:r>
    </w:p>
    <w:p w:rsidR="00C06321" w:rsidRPr="008D31EE"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w:t>
      </w:r>
      <w:r w:rsidRPr="00063DD0">
        <w:rPr>
          <w:rFonts w:ascii="Times New Roman" w:hAnsi="Times New Roman" w:cs="Times New Roman"/>
          <w:color w:val="000000"/>
          <w:sz w:val="24"/>
          <w:szCs w:val="24"/>
          <w:shd w:val="clear" w:color="auto" w:fill="FFFFFF"/>
        </w:rPr>
        <w:t>Aunque el volumen de accidentes se mantiene estable, nuestro informe pone de manifiesto que los cambios en las dinámicas laborales están generando nuevos focos de siniestralidad que requieren atención y estrat</w:t>
      </w:r>
      <w:r>
        <w:rPr>
          <w:rFonts w:ascii="Times New Roman" w:hAnsi="Times New Roman" w:cs="Times New Roman"/>
          <w:color w:val="000000"/>
          <w:sz w:val="24"/>
          <w:szCs w:val="24"/>
          <w:shd w:val="clear" w:color="auto" w:fill="FFFFFF"/>
        </w:rPr>
        <w:t>egias preventivas más adaptadas”</w:t>
      </w:r>
      <w:r w:rsidRPr="00063DD0">
        <w:rPr>
          <w:rFonts w:ascii="Times New Roman" w:hAnsi="Times New Roman" w:cs="Times New Roman"/>
          <w:color w:val="000000"/>
          <w:sz w:val="24"/>
          <w:szCs w:val="24"/>
          <w:shd w:val="clear" w:color="auto" w:fill="FFFFFF"/>
        </w:rPr>
        <w:t>, sostiene Victoria Olalla Blanco, Corporate Sales Director de Gi Group Holding.</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00850FBA">
        <w:rPr>
          <w:rFonts w:ascii="Times New Roman" w:hAnsi="Times New Roman" w:cs="Times New Roman"/>
          <w:color w:val="000000"/>
          <w:sz w:val="24"/>
          <w:szCs w:val="24"/>
          <w:u w:val="single"/>
          <w:shd w:val="clear" w:color="auto" w:fill="FFFFFF"/>
        </w:rPr>
        <w:t>Informe absentismo laboral /</w:t>
      </w:r>
      <w:r w:rsidRPr="00383F33">
        <w:rPr>
          <w:rFonts w:ascii="Times New Roman" w:hAnsi="Times New Roman" w:cs="Times New Roman"/>
          <w:color w:val="000000"/>
          <w:sz w:val="24"/>
          <w:szCs w:val="24"/>
          <w:u w:val="single"/>
          <w:shd w:val="clear" w:color="auto" w:fill="FFFFFF"/>
        </w:rPr>
        <w:t xml:space="preserve"> Primer trimestre 2025.</w:t>
      </w:r>
      <w:r>
        <w:rPr>
          <w:rFonts w:ascii="Times New Roman" w:hAnsi="Times New Roman" w:cs="Times New Roman"/>
          <w:color w:val="000000"/>
          <w:sz w:val="24"/>
          <w:szCs w:val="24"/>
          <w:shd w:val="clear" w:color="auto" w:fill="FFFFFF"/>
        </w:rPr>
        <w:t xml:space="preserve"> (Fuente: Ranstad Research - </w:t>
      </w:r>
      <w:r w:rsidRPr="00383F33">
        <w:rPr>
          <w:rFonts w:ascii="Times New Roman" w:hAnsi="Times New Roman" w:cs="Times New Roman"/>
          <w:b/>
          <w:color w:val="000000"/>
          <w:sz w:val="24"/>
          <w:szCs w:val="24"/>
          <w:shd w:val="clear" w:color="auto" w:fill="FFFFFF"/>
        </w:rPr>
        <w:t>1/7/25</w:t>
      </w:r>
      <w:r>
        <w:rPr>
          <w:rFonts w:ascii="Times New Roman" w:hAnsi="Times New Roman" w:cs="Times New Roman"/>
          <w:color w:val="000000"/>
          <w:sz w:val="24"/>
          <w:szCs w:val="24"/>
          <w:shd w:val="clear" w:color="auto" w:fill="FFFFFF"/>
        </w:rPr>
        <w:t>)</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El último informe de absentismo laboral en España, correspondiente al primer trimestre de 2025, refleja un importante incremento en la tasa de absentismo, tanto en términos generales como en el absentismo causado</w:t>
      </w:r>
      <w:r>
        <w:rPr>
          <w:rFonts w:ascii="Times New Roman" w:hAnsi="Times New Roman" w:cs="Times New Roman"/>
          <w:color w:val="000000"/>
          <w:sz w:val="24"/>
          <w:szCs w:val="24"/>
          <w:shd w:val="clear" w:color="auto" w:fill="FFFFFF"/>
        </w:rPr>
        <w:t xml:space="preserve"> por incapacidad temporal (IT).</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Según estos datos, el absentismo ha provocado una pérdida de un 7,0% de las horas pactadas, mientras que el absentismo por IT ha supuesto la caída de un 5,5% de las horas pactadas en el periodo de referencia. Tanto el absentismo general como por incapacidad temporal (IT), se sitúan en el segundo nivel más alto, solo superados por las cifras récor</w:t>
      </w:r>
      <w:r>
        <w:rPr>
          <w:rFonts w:ascii="Times New Roman" w:hAnsi="Times New Roman" w:cs="Times New Roman"/>
          <w:color w:val="000000"/>
          <w:sz w:val="24"/>
          <w:szCs w:val="24"/>
          <w:shd w:val="clear" w:color="auto" w:fill="FFFFFF"/>
        </w:rPr>
        <w:t>d del primer trimestre de 2022.</w:t>
      </w:r>
    </w:p>
    <w:p w:rsidR="00C06321"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Teniendo en cuenta el número de ocupados según la Encuesta de Población Activa (EPA) y las cifras de absentismo obtenidas, se puede estimar que el número de personas que en promedio cada día se ausentaron de su puesto de trabajo aumentó un 4%, respecto del trimestre anterior, hasta situarse en 1.523.578. Las personas que se encontraban de baja médica siguen por encima del millón (1.197.097), con un incremento del 5% respec</w:t>
      </w:r>
      <w:r>
        <w:rPr>
          <w:rFonts w:ascii="Times New Roman" w:hAnsi="Times New Roman" w:cs="Times New Roman"/>
          <w:color w:val="000000"/>
          <w:sz w:val="24"/>
          <w:szCs w:val="24"/>
          <w:shd w:val="clear" w:color="auto" w:fill="FFFFFF"/>
        </w:rPr>
        <w:t>to al cuarto trimestre de 2024.</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noProof/>
          <w:color w:val="000000"/>
          <w:sz w:val="24"/>
          <w:szCs w:val="24"/>
          <w:shd w:val="clear" w:color="auto" w:fill="FFFFFF"/>
          <w:lang w:eastAsia="es-ES"/>
        </w:rPr>
        <w:drawing>
          <wp:inline distT="0" distB="0" distL="0" distR="0" wp14:anchorId="05003BD1" wp14:editId="75036F3B">
            <wp:extent cx="5732711" cy="2622550"/>
            <wp:effectExtent l="0" t="0" r="1905" b="635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731510" cy="2622000"/>
                    </a:xfrm>
                    <a:prstGeom prst="rect">
                      <a:avLst/>
                    </a:prstGeom>
                  </pic:spPr>
                </pic:pic>
              </a:graphicData>
            </a:graphic>
          </wp:inline>
        </w:drawing>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Gráfico de evolución del absentismo - Primer trimestre 2025 - que muestra que el absentismo general alcanzó un 7,0% y el absentismo por IT, un 5,5% en el primer trimestre 2025. Mientras que en el período anterior estuvo situado en 6,7% y 5,2%, respectivamente.</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83F33">
        <w:rPr>
          <w:rFonts w:ascii="Times New Roman" w:hAnsi="Times New Roman" w:cs="Times New Roman"/>
          <w:color w:val="000000"/>
          <w:sz w:val="24"/>
          <w:szCs w:val="24"/>
          <w:shd w:val="clear" w:color="auto" w:fill="FFFFFF"/>
        </w:rPr>
        <w:t>La comparativa con los resultados obtenidos hace un año dibuja un escenario preocupante, al registrar, tanto en el absentismo general como en el de por IT, crecimientos en el número de personas que no acudieron a su puesto de trabajo un día por término medio del 7% y 8%, respectivamente.</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La industria se mantiene como el sector con el nivel de absentismo más elevado.</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 xml:space="preserve">El análisis sectorial muestra que la industria presenta la tasa de absentismo general más alta (7,3%), junto con el sector servicios que alcanza el 7,1%. Ambos sectores también superan el </w:t>
      </w:r>
      <w:r w:rsidRPr="00383F33">
        <w:rPr>
          <w:rFonts w:ascii="Times New Roman" w:hAnsi="Times New Roman" w:cs="Times New Roman"/>
          <w:color w:val="000000"/>
          <w:sz w:val="24"/>
          <w:szCs w:val="24"/>
          <w:shd w:val="clear" w:color="auto" w:fill="FFFFFF"/>
        </w:rPr>
        <w:lastRenderedPageBreak/>
        <w:t>nivel medio de absentismo por incapacidad. En cambio, el sector de la construcción se mantiene con la tasa de absentismo general y por IT más baja, 5,7% y 4,9% respectivamente, pe</w:t>
      </w:r>
      <w:r>
        <w:rPr>
          <w:rFonts w:ascii="Times New Roman" w:hAnsi="Times New Roman" w:cs="Times New Roman"/>
          <w:color w:val="000000"/>
          <w:sz w:val="24"/>
          <w:szCs w:val="24"/>
          <w:shd w:val="clear" w:color="auto" w:fill="FFFFFF"/>
        </w:rPr>
        <w:t>ro con una tendencia creciente.</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Además, el estudio del absentismo por ramas de actividad pone de manifiesto que existe una gran disp</w:t>
      </w:r>
      <w:r>
        <w:rPr>
          <w:rFonts w:ascii="Times New Roman" w:hAnsi="Times New Roman" w:cs="Times New Roman"/>
          <w:color w:val="000000"/>
          <w:sz w:val="24"/>
          <w:szCs w:val="24"/>
          <w:shd w:val="clear" w:color="auto" w:fill="FFFFFF"/>
        </w:rPr>
        <w:t xml:space="preserve">ersión respecto al absentismo. </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Mientras que algunos sectores cuentan con un nivel reducido (diez de ellos con absentismo por debajo del 4,5%), siendo el menor nivel un 2,8%; otros se enfrentan a un grave problema relacionado con el absentismo; los diez sectores con mayor absentismo se sitúan por encima del 9,0%, sie</w:t>
      </w:r>
      <w:r>
        <w:rPr>
          <w:rFonts w:ascii="Times New Roman" w:hAnsi="Times New Roman" w:cs="Times New Roman"/>
          <w:color w:val="000000"/>
          <w:sz w:val="24"/>
          <w:szCs w:val="24"/>
          <w:shd w:val="clear" w:color="auto" w:fill="FFFFFF"/>
        </w:rPr>
        <w:t>ndo el de mayor nivel un 12,5%.</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Dentro del top 10 con menor absentismo, nos encontramos los sectores de Actividades  relacionadas con el empleo (2,8%) y de Actividades jurídicas y de contabilidad (3,2%), o</w:t>
      </w:r>
      <w:r>
        <w:rPr>
          <w:rFonts w:ascii="Times New Roman" w:hAnsi="Times New Roman" w:cs="Times New Roman"/>
          <w:color w:val="000000"/>
          <w:sz w:val="24"/>
          <w:szCs w:val="24"/>
          <w:shd w:val="clear" w:color="auto" w:fill="FFFFFF"/>
        </w:rPr>
        <w:t xml:space="preserve">cupando los niveles más bajos. </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En el top 10 con mayor absentismo, los niveles más altos corresponden a los sectores de Actividades postales y de correos y Servicios a edificios y actividades de jardinería, con niveles d</w:t>
      </w:r>
      <w:r>
        <w:rPr>
          <w:rFonts w:ascii="Times New Roman" w:hAnsi="Times New Roman" w:cs="Times New Roman"/>
          <w:color w:val="000000"/>
          <w:sz w:val="24"/>
          <w:szCs w:val="24"/>
          <w:shd w:val="clear" w:color="auto" w:fill="FFFFFF"/>
        </w:rPr>
        <w:t xml:space="preserve">e 12,5 y 11,5 respectivamente. </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Canarias, País Vasco y Cantabria encabezan el absentismo por bajas médicas.</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 xml:space="preserve">En el primer trimestre de 2025, País Vasco, Canarias y Cantabria fueron las comunidades con mayor nivel de absentismo en su medición general (integrando tanto las bajas por IT como el resto de motivos), mientras que los menores niveles se localizaron en </w:t>
      </w:r>
      <w:r>
        <w:rPr>
          <w:rFonts w:ascii="Times New Roman" w:hAnsi="Times New Roman" w:cs="Times New Roman"/>
          <w:color w:val="000000"/>
          <w:sz w:val="24"/>
          <w:szCs w:val="24"/>
          <w:shd w:val="clear" w:color="auto" w:fill="FFFFFF"/>
        </w:rPr>
        <w:t xml:space="preserve">Baleares, Madrid, y Andalucía. </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En el caso del absentismo debido a bajas médicas, Canarias, País Vasco y Cantabria cuentan con los mayores niveles de absentismo por IT y, de nuevo, Baleares, Madrid y Andalucía se s</w:t>
      </w:r>
      <w:r>
        <w:rPr>
          <w:rFonts w:ascii="Times New Roman" w:hAnsi="Times New Roman" w:cs="Times New Roman"/>
          <w:color w:val="000000"/>
          <w:sz w:val="24"/>
          <w:szCs w:val="24"/>
          <w:shd w:val="clear" w:color="auto" w:fill="FFFFFF"/>
        </w:rPr>
        <w:t>itúan en los niveles más bajos.</w:t>
      </w:r>
    </w:p>
    <w:p w:rsidR="00C06321" w:rsidRPr="00383F33"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Absentismo laboral por CCAA</w:t>
      </w:r>
      <w:r w:rsidRPr="00383F33">
        <w:rPr>
          <w:rFonts w:ascii="Times New Roman" w:hAnsi="Times New Roman" w:cs="Times New Roman"/>
          <w:color w:val="000000"/>
          <w:sz w:val="24"/>
          <w:szCs w:val="24"/>
          <w:shd w:val="clear" w:color="auto" w:fill="FFFFFF"/>
        </w:rPr>
        <w:t xml:space="preserve"> en todos los sectores</w:t>
      </w:r>
    </w:p>
    <w:p w:rsidR="00C06321" w:rsidRDefault="00C06321" w:rsidP="00C06321">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Mapa de absentismo general - Total sectores en España - Primer trimestre 2025 - donde se muestra como Canarias y País Vasco estuvieron por encima de la media en absentismo general con un 9,1%, y Baleares por debajo con un 5,6%.</w:t>
      </w:r>
    </w:p>
    <w:p w:rsidR="00850FBA" w:rsidRDefault="00850FBA"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(Ver representación gráfica en siguiente página)</w:t>
      </w:r>
    </w:p>
    <w:p w:rsidR="00850FBA" w:rsidRDefault="00850FBA" w:rsidP="00850FBA">
      <w:pPr>
        <w:spacing w:line="240" w:lineRule="auto"/>
        <w:jc w:val="both"/>
        <w:rPr>
          <w:rFonts w:ascii="Times New Roman" w:hAnsi="Times New Roman" w:cs="Times New Roman"/>
          <w:color w:val="000000"/>
          <w:sz w:val="24"/>
          <w:szCs w:val="24"/>
          <w:shd w:val="clear" w:color="auto" w:fill="FFFFFF"/>
        </w:rPr>
      </w:pPr>
      <w:r w:rsidRPr="00383F33">
        <w:rPr>
          <w:rFonts w:ascii="Times New Roman" w:hAnsi="Times New Roman" w:cs="Times New Roman"/>
          <w:color w:val="000000"/>
          <w:sz w:val="24"/>
          <w:szCs w:val="24"/>
          <w:shd w:val="clear" w:color="auto" w:fill="FFFFFF"/>
        </w:rPr>
        <w:t>Mapa de absentismo por IT - Total sectores en España - Primer trimestre 2025 - donde se muestra como Canarias y País Vasco estuvieron por encima de la media en absentismo por IT con un 7,6% y 7,2%, y Baleares por debajo con un 4,4%.</w:t>
      </w:r>
    </w:p>
    <w:p w:rsidR="00850FBA" w:rsidRDefault="00850FBA" w:rsidP="00850FB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(Ver representación gráfica en siguiente página)</w:t>
      </w:r>
    </w:p>
    <w:p w:rsidR="00850FBA" w:rsidRDefault="00850FBA" w:rsidP="00850FBA">
      <w:pPr>
        <w:spacing w:line="240" w:lineRule="auto"/>
        <w:jc w:val="both"/>
        <w:rPr>
          <w:rFonts w:ascii="Times New Roman" w:hAnsi="Times New Roman" w:cs="Times New Roman"/>
          <w:color w:val="000000"/>
          <w:sz w:val="24"/>
          <w:szCs w:val="24"/>
          <w:shd w:val="clear" w:color="auto" w:fill="FFFFFF"/>
        </w:rPr>
      </w:pPr>
    </w:p>
    <w:p w:rsidR="00850FBA" w:rsidRDefault="00850FBA" w:rsidP="00C06321">
      <w:pPr>
        <w:spacing w:line="240" w:lineRule="auto"/>
        <w:jc w:val="both"/>
        <w:rPr>
          <w:rFonts w:ascii="Times New Roman" w:hAnsi="Times New Roman" w:cs="Times New Roman"/>
          <w:color w:val="000000"/>
          <w:sz w:val="24"/>
          <w:szCs w:val="24"/>
          <w:shd w:val="clear" w:color="auto" w:fill="FFFFFF"/>
        </w:rPr>
      </w:pPr>
    </w:p>
    <w:p w:rsidR="00C06321"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             </w:t>
      </w:r>
      <w:r w:rsidRPr="00383F33">
        <w:rPr>
          <w:rFonts w:ascii="Times New Roman" w:hAnsi="Times New Roman" w:cs="Times New Roman"/>
          <w:noProof/>
          <w:color w:val="000000"/>
          <w:sz w:val="24"/>
          <w:szCs w:val="24"/>
          <w:shd w:val="clear" w:color="auto" w:fill="FFFFFF"/>
          <w:lang w:eastAsia="es-ES"/>
        </w:rPr>
        <w:drawing>
          <wp:inline distT="0" distB="0" distL="0" distR="0" wp14:anchorId="1FCF0E04" wp14:editId="6559725D">
            <wp:extent cx="4768849" cy="4159250"/>
            <wp:effectExtent l="0" t="0" r="0" b="0"/>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4769516" cy="4159832"/>
                    </a:xfrm>
                    <a:prstGeom prst="rect">
                      <a:avLst/>
                    </a:prstGeom>
                  </pic:spPr>
                </pic:pic>
              </a:graphicData>
            </a:graphic>
          </wp:inline>
        </w:drawing>
      </w:r>
    </w:p>
    <w:p w:rsidR="00C06321" w:rsidRDefault="00C06321" w:rsidP="00C0632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83F33">
        <w:rPr>
          <w:rFonts w:ascii="Times New Roman" w:hAnsi="Times New Roman" w:cs="Times New Roman"/>
          <w:noProof/>
          <w:color w:val="000000"/>
          <w:sz w:val="24"/>
          <w:szCs w:val="24"/>
          <w:shd w:val="clear" w:color="auto" w:fill="FFFFFF"/>
          <w:lang w:eastAsia="es-ES"/>
        </w:rPr>
        <w:drawing>
          <wp:inline distT="0" distB="0" distL="0" distR="0" wp14:anchorId="33853B7E" wp14:editId="19482538">
            <wp:extent cx="4806950" cy="4470400"/>
            <wp:effectExtent l="0" t="0" r="0" b="635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4810564" cy="4473761"/>
                    </a:xfrm>
                    <a:prstGeom prst="rect">
                      <a:avLst/>
                    </a:prstGeom>
                  </pic:spPr>
                </pic:pic>
              </a:graphicData>
            </a:graphic>
          </wp:inline>
        </w:drawing>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lastRenderedPageBreak/>
        <w:t xml:space="preserve">- </w:t>
      </w:r>
      <w:r w:rsidRPr="00F06A28">
        <w:rPr>
          <w:rFonts w:ascii="Times New Roman" w:hAnsi="Times New Roman" w:cs="Times New Roman"/>
          <w:sz w:val="24"/>
          <w:szCs w:val="24"/>
          <w:u w:val="single"/>
        </w:rPr>
        <w:t>El coste del absentismo para las empresas crece un 60% en cuatro años</w:t>
      </w:r>
      <w:r w:rsidRPr="00F06A28">
        <w:rPr>
          <w:rFonts w:ascii="Times New Roman" w:hAnsi="Times New Roman" w:cs="Times New Roman"/>
          <w:sz w:val="24"/>
          <w:szCs w:val="24"/>
        </w:rPr>
        <w:t xml:space="preserve"> (El Economista - </w:t>
      </w:r>
      <w:r w:rsidRPr="00F06A28">
        <w:rPr>
          <w:rFonts w:ascii="Times New Roman" w:hAnsi="Times New Roman" w:cs="Times New Roman"/>
          <w:b/>
          <w:sz w:val="24"/>
          <w:szCs w:val="24"/>
        </w:rPr>
        <w:t>19/8/25</w:t>
      </w:r>
      <w:r w:rsidRPr="00F06A28">
        <w:rPr>
          <w:rFonts w:ascii="Times New Roman" w:hAnsi="Times New Roman" w:cs="Times New Roman"/>
          <w:sz w:val="24"/>
          <w:szCs w:val="24"/>
        </w:rPr>
        <w:t>)</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La patronal plantea negociar en convenio la eliminación de los complementos de las bajas</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El gasto pagado por los empleadores sube en 2.500 millones de euros solo en un año</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(Por Blanca Martínez Mingo)</w:t>
      </w:r>
    </w:p>
    <w:p w:rsidR="00C06321"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En los últimos años, las horas no trabajadas por bajas médicas han crecido de forma continua, y, como consecuencia, también lo ha hecho el coste para las empresas. En concreto, las faltas al trabajo por contingencias comunes (es decir, no causadas en el lugar de trabajo ni de camino a este) costaron más de 18.000 millones de euros a las empresas en 2024, según el último informe de la patronal del metal junto a la asociación de mutuas colaboradoras de la seguridad social. En los últimos cuatro años el gasto pagado por las empresas ha crecido un 60%, un total de 6.883,71 millones más en comparación con 2021.</w:t>
      </w:r>
    </w:p>
    <w:p w:rsidR="00736F58" w:rsidRPr="00F06A28" w:rsidRDefault="00736F58" w:rsidP="00C06321">
      <w:pPr>
        <w:spacing w:line="240" w:lineRule="auto"/>
        <w:jc w:val="both"/>
        <w:rPr>
          <w:rFonts w:ascii="Times New Roman" w:hAnsi="Times New Roman" w:cs="Times New Roman"/>
          <w:sz w:val="24"/>
          <w:szCs w:val="24"/>
        </w:rPr>
      </w:pPr>
      <w:r w:rsidRPr="00F06A28">
        <w:rPr>
          <w:noProof/>
          <w:lang w:eastAsia="es-ES"/>
        </w:rPr>
        <w:drawing>
          <wp:inline distT="0" distB="0" distL="0" distR="0" wp14:anchorId="24299283" wp14:editId="69E67DC9">
            <wp:extent cx="5731510" cy="3686810"/>
            <wp:effectExtent l="0" t="0" r="2540" b="8890"/>
            <wp:docPr id="77" name="Imagen 77" descr="https://s03.s3c.es/imag/_v0/1758x1131/7/0/e/770x_ausencia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1758x1131/7/0/e/770x_ausencias.gif"/>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731510" cy="3686810"/>
                    </a:xfrm>
                    <a:prstGeom prst="rect">
                      <a:avLst/>
                    </a:prstGeom>
                    <a:noFill/>
                    <a:ln>
                      <a:noFill/>
                    </a:ln>
                  </pic:spPr>
                </pic:pic>
              </a:graphicData>
            </a:graphic>
          </wp:inline>
        </w:drawing>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A la hora de calcular el coste directo para las empresas, la patronal tiene en cuenta el gasto en prestaciones económicas, las cotizaciones sociales y los complementos y mejoras. Y según el informe El absentismo laboral derivado de accidentes y enfermedades comunes y laborales en el sector del metal, las bajas costaron 11.295 millones de euros en 2021, 13.259 millones en 2022, 15.633 millones en 2023 y 18.179 millones de euros en 2024, el último año completo disponible. Además, en total, el documento cifra el coste de la IT (con el 90% de las bajas correspondientes a contingencias comunes) en 29.000 millones de euros. Una cuantía que se reparte entre empresas, Seguridad Social y mutuas.</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Para la prestación por Incapacidad Temporal (IT) la empresa paga el periodo comprendido entre el día 4 de la baja y el 15. En este tramo, a los empleadores les corresponde pagar el 60% de la base reguladora de dicho empleo. Además,</w:t>
      </w:r>
      <w:r w:rsidR="00736F58">
        <w:rPr>
          <w:rFonts w:ascii="Times New Roman" w:hAnsi="Times New Roman" w:cs="Times New Roman"/>
          <w:sz w:val="24"/>
          <w:szCs w:val="24"/>
        </w:rPr>
        <w:t xml:space="preserve"> las empresas tienen que pagar -</w:t>
      </w:r>
      <w:r w:rsidRPr="00F06A28">
        <w:rPr>
          <w:rFonts w:ascii="Times New Roman" w:hAnsi="Times New Roman" w:cs="Times New Roman"/>
          <w:sz w:val="24"/>
          <w:szCs w:val="24"/>
        </w:rPr>
        <w:t>al igual que lo hacen cuando el trabaja</w:t>
      </w:r>
      <w:r w:rsidR="00736F58">
        <w:rPr>
          <w:rFonts w:ascii="Times New Roman" w:hAnsi="Times New Roman" w:cs="Times New Roman"/>
          <w:sz w:val="24"/>
          <w:szCs w:val="24"/>
        </w:rPr>
        <w:t>dor no se encuentra de baja-</w:t>
      </w:r>
      <w:r w:rsidRPr="00F06A28">
        <w:rPr>
          <w:rFonts w:ascii="Times New Roman" w:hAnsi="Times New Roman" w:cs="Times New Roman"/>
          <w:sz w:val="24"/>
          <w:szCs w:val="24"/>
        </w:rPr>
        <w:t xml:space="preserve"> las cotizaciones por contingencias </w:t>
      </w:r>
      <w:r w:rsidRPr="00F06A28">
        <w:rPr>
          <w:rFonts w:ascii="Times New Roman" w:hAnsi="Times New Roman" w:cs="Times New Roman"/>
          <w:sz w:val="24"/>
          <w:szCs w:val="24"/>
        </w:rPr>
        <w:lastRenderedPageBreak/>
        <w:t>comunes y profesionales, el desempleo, el fondo de garantía social, la formación profesional y el mecanismo de equidad intergeneracional. Por otro lado, las compañías también están obligadas a pagar durante la ausencia del trabajador todos aquellos complementos pactados por convenio.</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Esta última es, precisamente, una de las líneas en las que plantea moverse la patronal para reducir el coste derivado del aumento en las cifras de IT. Así lo trasladó la representante de CEOE en la última Comisión del Pacto de Toledo, donde aseguró que, aunque hasta ahora las empresas han mantenido los comple</w:t>
      </w:r>
      <w:r w:rsidR="00736F58">
        <w:rPr>
          <w:rFonts w:ascii="Times New Roman" w:hAnsi="Times New Roman" w:cs="Times New Roman"/>
          <w:sz w:val="24"/>
          <w:szCs w:val="24"/>
        </w:rPr>
        <w:t>mentos por contingencia común: “</w:t>
      </w:r>
      <w:r w:rsidRPr="00F06A28">
        <w:rPr>
          <w:rFonts w:ascii="Times New Roman" w:hAnsi="Times New Roman" w:cs="Times New Roman"/>
          <w:sz w:val="24"/>
          <w:szCs w:val="24"/>
        </w:rPr>
        <w:t>Es hora de transformar esos complementos, que en un contexto de crecimiento de la IT, están contribuyendo a que l</w:t>
      </w:r>
      <w:r w:rsidR="00736F58">
        <w:rPr>
          <w:rFonts w:ascii="Times New Roman" w:hAnsi="Times New Roman" w:cs="Times New Roman"/>
          <w:sz w:val="24"/>
          <w:szCs w:val="24"/>
        </w:rPr>
        <w:t>as cifras no se puedan aminorar”</w:t>
      </w:r>
      <w:r w:rsidRPr="00F06A28">
        <w:rPr>
          <w:rFonts w:ascii="Times New Roman" w:hAnsi="Times New Roman" w:cs="Times New Roman"/>
          <w:sz w:val="24"/>
          <w:szCs w:val="24"/>
        </w:rPr>
        <w:t>, apuntó entonces Santos. Cabe destacar que, para cambiar estos extras, los representantes de los empleadores deben negociar la modificación en los convenios con los sindicatos. Es decir, es una cuestión que patronal y sindicatos tendrían que discutir en negociación colectiva, al margen de las reformas acometidas por el Gobierno.</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Por otro lado, al margen de los costes que las empresas pueden recortar a través de negociación colectiva, Santos también puso sobre la mesa que, uno de los principales problemas a la hora de abordar el absentismo es la saturación que vive el sistema de salud y la falta de recursos del INSS (también en cuanto a médicos e inspectores). Un análisis con el que coincidían los sindicatos en esta misma comisión.</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Últimas cifras</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Aunque las cifras del informe de la patronal del metal junto a las mutuas solo llegan hasta 2024, el Ministerio de Inclusión, Seguridad Social y Migraciones ya ha publicado los primeros datos de 2025.</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Según la estadística de días y horas cotizadas del primer trimestre, el tiempo no trabajado debido a situaciones de baja (o incapacidad temporal) creció un 15% hasta el mes de marzo. En comparación con el primer trimestre de 2019 -la fecha de referencia para Seguridad Social al mostrar los niveles prepandemia-, cuando empieza la serie, el número de horas no trabajadas por IT aumenta hasta el 78%, una cifra que excluye las bajas por cuidado al menor, lactancia y embarazo. Ausencias que, sin embargo, sí tiene en cuenta la patronal en su medición del coste.</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No obstante, a pesar de este incremento continuado en los días de baja desde 2019, las horas y días efectivamente trabajados en nuestro país crecen un 12,3 y un 12,9% en el primer trimestre de 2025 respectivamente.</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Hasta ahora, las principales propuestas del Ejecutivo en la mesa de negociación con sindicatos y patronal se han basado en la reforma de las altas progresivas de 30 días con el 50% del salario para algunas patologías de larga duración; devolver a las mutuas el poder de dar el alta en las bajas laborales que duren más de un año, y en que las bajas médicas de las personas que se encuentran en situación de pluriempleo concreten qué tareas no pueden ejercerse.</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Además, el Ministerio ha propuesto otras cuestiones para reducir la duración de los procesos y mejorar la gestión, como reforzar los equipos de valoración de incapacidades del INSS o determinar un plazo máximo para solicitar la determinación de la contingencia (es decir, decidir si el origen de la baja es de enfermedad común o del trabajo). Se trata, no obstante, de cuestiones que el Ministerio de Seguridad Social ha planteado a patronal y sindicatos, pero que todavía se encuentran en fase de negociación.</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lastRenderedPageBreak/>
        <w:t>Los sectores más afectados</w:t>
      </w:r>
    </w:p>
    <w:p w:rsidR="00C06321" w:rsidRPr="00F06A28" w:rsidRDefault="00C06321" w:rsidP="00C06321">
      <w:pPr>
        <w:spacing w:line="240" w:lineRule="auto"/>
        <w:jc w:val="both"/>
        <w:rPr>
          <w:rFonts w:ascii="Times New Roman" w:hAnsi="Times New Roman" w:cs="Times New Roman"/>
          <w:sz w:val="24"/>
          <w:szCs w:val="24"/>
        </w:rPr>
      </w:pPr>
      <w:r w:rsidRPr="00F06A28">
        <w:rPr>
          <w:rFonts w:ascii="Times New Roman" w:hAnsi="Times New Roman" w:cs="Times New Roman"/>
          <w:sz w:val="24"/>
          <w:szCs w:val="24"/>
        </w:rPr>
        <w:t>Uno de los sectores más afectados por el aumento en el coste de la incapacidad temporal es, precisamente, el metal. Según el último informe trimestral sobre absentismo de Randstad, los sectores en los que se han registrado mayor número de horas no trabajadas por contingencias comunes son, en orden: las actividades postales, los servicios de jardinería, los servicios sociales, la recogida de residuos, la asistencia en establecimientos residenciales, las actividades relacionadas con las apuestas, las relacionadas con seguridad e investigación, las sanitarias, la fabricación de vehículos y la metalurgia. En todas ellas, la proporción de horas perdidas se situó, al menos, en el 6,6% y por encima de la media nacional, que se encontró en el primer trimestre en el 5,5%.</w:t>
      </w:r>
    </w:p>
    <w:p w:rsidR="00C06321" w:rsidRDefault="00C06321" w:rsidP="00C06321">
      <w:pPr>
        <w:spacing w:line="240" w:lineRule="auto"/>
        <w:jc w:val="both"/>
        <w:rPr>
          <w:rFonts w:ascii="Times New Roman" w:hAnsi="Times New Roman" w:cs="Times New Roman"/>
          <w:color w:val="FF0000"/>
          <w:sz w:val="24"/>
          <w:szCs w:val="24"/>
          <w:shd w:val="clear" w:color="auto" w:fill="FFFFFF"/>
        </w:rPr>
      </w:pPr>
      <w:r w:rsidRPr="003D007C">
        <w:rPr>
          <w:rFonts w:ascii="Times New Roman" w:hAnsi="Times New Roman" w:cs="Times New Roman"/>
          <w:b/>
          <w:color w:val="FF0000"/>
          <w:sz w:val="24"/>
          <w:szCs w:val="24"/>
          <w:shd w:val="clear" w:color="auto" w:fill="FFFFFF"/>
        </w:rPr>
        <w:t>Nota</w:t>
      </w:r>
      <w:r w:rsidRPr="003D007C">
        <w:rPr>
          <w:rFonts w:ascii="Times New Roman" w:hAnsi="Times New Roman" w:cs="Times New Roman"/>
          <w:color w:val="FF0000"/>
          <w:sz w:val="24"/>
          <w:szCs w:val="24"/>
          <w:shd w:val="clear" w:color="auto" w:fill="FFFFFF"/>
        </w:rPr>
        <w:t xml:space="preserve">: 100.000 millones de euros anuales de pérdidas a causa del absentismo laboral, resulta una cifra “impresentable”, “inasumible”, “inaudita”, “ofensiva”, “vergonzosa”… (y podría seguir agregando, adjetivos descalificativos), que habla muy (pero muy) </w:t>
      </w:r>
      <w:r>
        <w:rPr>
          <w:rFonts w:ascii="Times New Roman" w:hAnsi="Times New Roman" w:cs="Times New Roman"/>
          <w:color w:val="FF0000"/>
          <w:sz w:val="24"/>
          <w:szCs w:val="24"/>
          <w:shd w:val="clear" w:color="auto" w:fill="FFFFFF"/>
        </w:rPr>
        <w:t>mal, de los trabajadores (falta</w:t>
      </w:r>
      <w:r w:rsidRPr="003D007C">
        <w:rPr>
          <w:rFonts w:ascii="Times New Roman" w:hAnsi="Times New Roman" w:cs="Times New Roman"/>
          <w:color w:val="FF0000"/>
          <w:sz w:val="24"/>
          <w:szCs w:val="24"/>
          <w:shd w:val="clear" w:color="auto" w:fill="FFFFFF"/>
        </w:rPr>
        <w:t xml:space="preserve"> de ética del trabajo), de las autoridades (falta de control), y de los empresarios</w:t>
      </w:r>
      <w:r>
        <w:rPr>
          <w:rFonts w:ascii="Times New Roman" w:hAnsi="Times New Roman" w:cs="Times New Roman"/>
          <w:color w:val="FF0000"/>
          <w:sz w:val="24"/>
          <w:szCs w:val="24"/>
          <w:shd w:val="clear" w:color="auto" w:fill="FFFFFF"/>
        </w:rPr>
        <w:t xml:space="preserve"> (resignación, o indiferencia</w:t>
      </w:r>
      <w:r w:rsidRPr="003D007C">
        <w:rPr>
          <w:rFonts w:ascii="Times New Roman" w:hAnsi="Times New Roman" w:cs="Times New Roman"/>
          <w:color w:val="FF0000"/>
          <w:sz w:val="24"/>
          <w:szCs w:val="24"/>
          <w:shd w:val="clear" w:color="auto" w:fill="FFFFFF"/>
        </w:rPr>
        <w:t>). Una situación contemplativa, y relativista, que no puede tolerarse (y prolongarse) a riesgo de una importante pérdida de competitividad de la economía española. Alcanzar la media de la UE</w:t>
      </w:r>
      <w:r>
        <w:rPr>
          <w:rFonts w:ascii="Times New Roman" w:hAnsi="Times New Roman" w:cs="Times New Roman"/>
          <w:color w:val="FF0000"/>
          <w:sz w:val="24"/>
          <w:szCs w:val="24"/>
          <w:shd w:val="clear" w:color="auto" w:fill="FFFFFF"/>
        </w:rPr>
        <w:t>,</w:t>
      </w:r>
      <w:r w:rsidRPr="003D007C">
        <w:rPr>
          <w:rFonts w:ascii="Times New Roman" w:hAnsi="Times New Roman" w:cs="Times New Roman"/>
          <w:color w:val="FF0000"/>
          <w:sz w:val="24"/>
          <w:szCs w:val="24"/>
          <w:shd w:val="clear" w:color="auto" w:fill="FFFFFF"/>
        </w:rPr>
        <w:t xml:space="preserve"> o de la</w:t>
      </w:r>
      <w:r>
        <w:rPr>
          <w:rFonts w:ascii="Times New Roman" w:hAnsi="Times New Roman" w:cs="Times New Roman"/>
          <w:color w:val="FF0000"/>
          <w:sz w:val="24"/>
          <w:szCs w:val="24"/>
          <w:shd w:val="clear" w:color="auto" w:fill="FFFFFF"/>
        </w:rPr>
        <w:t xml:space="preserve"> OCDE, no me parece impracticable</w:t>
      </w:r>
      <w:r w:rsidRPr="003D007C">
        <w:rPr>
          <w:rFonts w:ascii="Times New Roman" w:hAnsi="Times New Roman" w:cs="Times New Roman"/>
          <w:color w:val="FF0000"/>
          <w:sz w:val="24"/>
          <w:szCs w:val="24"/>
          <w:shd w:val="clear" w:color="auto" w:fill="FFFFFF"/>
        </w:rPr>
        <w:t>.</w:t>
      </w:r>
    </w:p>
    <w:p w:rsidR="00736F58" w:rsidRDefault="00736F58" w:rsidP="00736F58">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8D31EE">
        <w:rPr>
          <w:rFonts w:ascii="Times New Roman" w:hAnsi="Times New Roman" w:cs="Times New Roman"/>
          <w:color w:val="FF0000"/>
          <w:sz w:val="24"/>
          <w:szCs w:val="24"/>
          <w:shd w:val="clear" w:color="auto" w:fill="FFFFFF"/>
        </w:rPr>
        <w:t>Reducir las prestaciones por desempleo a un máximo de 6 meses</w:t>
      </w:r>
    </w:p>
    <w:p w:rsidR="00736F58" w:rsidRDefault="00736F58" w:rsidP="00736F58">
      <w:pPr>
        <w:spacing w:line="240" w:lineRule="auto"/>
        <w:jc w:val="both"/>
        <w:rPr>
          <w:rFonts w:ascii="Times New Roman" w:hAnsi="Times New Roman" w:cs="Times New Roman"/>
          <w:color w:val="FF0000"/>
          <w:sz w:val="24"/>
          <w:szCs w:val="24"/>
          <w:shd w:val="clear" w:color="auto" w:fill="FFFFFF"/>
        </w:rPr>
      </w:pPr>
    </w:p>
    <w:p w:rsidR="00736F58" w:rsidRDefault="00736F58" w:rsidP="00736F58">
      <w:pPr>
        <w:spacing w:line="240" w:lineRule="auto"/>
        <w:jc w:val="both"/>
        <w:rPr>
          <w:rFonts w:ascii="Times New Roman" w:hAnsi="Times New Roman" w:cs="Times New Roman"/>
          <w:color w:val="FF0000"/>
          <w:sz w:val="24"/>
          <w:szCs w:val="24"/>
          <w:shd w:val="clear" w:color="auto" w:fill="FFFFFF"/>
        </w:rPr>
      </w:pPr>
      <w:r w:rsidRPr="00291459">
        <w:rPr>
          <w:rFonts w:ascii="Times New Roman" w:hAnsi="Times New Roman" w:cs="Times New Roman"/>
          <w:noProof/>
          <w:color w:val="FF0000"/>
          <w:sz w:val="24"/>
          <w:szCs w:val="24"/>
          <w:shd w:val="clear" w:color="auto" w:fill="FFFFFF"/>
          <w:lang w:eastAsia="es-ES"/>
        </w:rPr>
        <w:drawing>
          <wp:inline distT="0" distB="0" distL="0" distR="0" wp14:anchorId="6E8F37EB" wp14:editId="076115E1">
            <wp:extent cx="5726238" cy="3035300"/>
            <wp:effectExtent l="0" t="0" r="8255"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731510" cy="3038095"/>
                    </a:xfrm>
                    <a:prstGeom prst="rect">
                      <a:avLst/>
                    </a:prstGeom>
                  </pic:spPr>
                </pic:pic>
              </a:graphicData>
            </a:graphic>
          </wp:inline>
        </w:drawing>
      </w:r>
    </w:p>
    <w:p w:rsidR="00736F58" w:rsidRPr="00A67110" w:rsidRDefault="00736F58" w:rsidP="00736F58">
      <w:pPr>
        <w:spacing w:line="240" w:lineRule="auto"/>
        <w:jc w:val="both"/>
        <w:rPr>
          <w:rFonts w:ascii="Times New Roman" w:hAnsi="Times New Roman" w:cs="Times New Roman"/>
          <w:sz w:val="24"/>
          <w:szCs w:val="24"/>
          <w:shd w:val="clear" w:color="auto" w:fill="FFFFFF"/>
        </w:rPr>
      </w:pPr>
      <w:r w:rsidRPr="00A67110">
        <w:rPr>
          <w:rFonts w:ascii="Times New Roman" w:hAnsi="Times New Roman" w:cs="Times New Roman"/>
          <w:sz w:val="24"/>
          <w:szCs w:val="24"/>
          <w:shd w:val="clear" w:color="auto" w:fill="FFFFFF"/>
        </w:rPr>
        <w:t>(Fuente: Servicio Público de Empleo Estatal)</w:t>
      </w:r>
    </w:p>
    <w:p w:rsidR="00736F58" w:rsidRPr="00A67110"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w:t>
      </w:r>
      <w:r w:rsidRPr="00A67110">
        <w:rPr>
          <w:rFonts w:ascii="Times New Roman" w:hAnsi="Times New Roman" w:cs="Times New Roman"/>
          <w:sz w:val="24"/>
          <w:szCs w:val="24"/>
          <w:shd w:val="clear" w:color="auto" w:fill="FFFFFF"/>
        </w:rPr>
        <w:t>nformación de las personas desempleadas que llevan doce meses como mínimo buscando empleo y no han trabajado en ese período, por grupos de edad: menores de 25 años, de 25 a 49 años, de 50 a 59 años, de 50 a 64 años.</w:t>
      </w:r>
    </w:p>
    <w:p w:rsidR="00736F58" w:rsidRPr="00A67110" w:rsidRDefault="00736F58" w:rsidP="00736F58">
      <w:pPr>
        <w:spacing w:line="240" w:lineRule="auto"/>
        <w:jc w:val="both"/>
        <w:rPr>
          <w:rFonts w:ascii="Times New Roman" w:hAnsi="Times New Roman" w:cs="Times New Roman"/>
          <w:sz w:val="24"/>
          <w:szCs w:val="24"/>
          <w:shd w:val="clear" w:color="auto" w:fill="FFFFFF"/>
        </w:rPr>
      </w:pPr>
      <w:r w:rsidRPr="00A67110">
        <w:rPr>
          <w:rFonts w:ascii="Times New Roman" w:hAnsi="Times New Roman" w:cs="Times New Roman"/>
          <w:sz w:val="24"/>
          <w:szCs w:val="24"/>
          <w:shd w:val="clear" w:color="auto" w:fill="FFFFFF"/>
        </w:rPr>
        <w:t>Tasa de paro de larga duración: Parados que llevan doce meses como mínimo buscando empleo y no han trabajado en ese período, como porcentaje de la población activa total (ocupados más no ocupados).</w:t>
      </w:r>
    </w:p>
    <w:p w:rsidR="00736F58" w:rsidRDefault="00736F58" w:rsidP="00736F58">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lastRenderedPageBreak/>
        <w:t xml:space="preserve">             </w:t>
      </w:r>
      <w:r w:rsidRPr="00291459">
        <w:rPr>
          <w:rFonts w:ascii="Times New Roman" w:hAnsi="Times New Roman" w:cs="Times New Roman"/>
          <w:noProof/>
          <w:color w:val="FF0000"/>
          <w:sz w:val="24"/>
          <w:szCs w:val="24"/>
          <w:shd w:val="clear" w:color="auto" w:fill="FFFFFF"/>
          <w:lang w:eastAsia="es-ES"/>
        </w:rPr>
        <w:drawing>
          <wp:inline distT="0" distB="0" distL="0" distR="0" wp14:anchorId="7567B8ED" wp14:editId="272E65BE">
            <wp:extent cx="4883150" cy="2451100"/>
            <wp:effectExtent l="0" t="0" r="0" b="635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4887007" cy="2453036"/>
                    </a:xfrm>
                    <a:prstGeom prst="rect">
                      <a:avLst/>
                    </a:prstGeom>
                  </pic:spPr>
                </pic:pic>
              </a:graphicData>
            </a:graphic>
          </wp:inline>
        </w:drawing>
      </w:r>
    </w:p>
    <w:p w:rsidR="00736F58" w:rsidRDefault="00736F58" w:rsidP="00736F58">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3872E7">
        <w:rPr>
          <w:rFonts w:ascii="Times New Roman" w:hAnsi="Times New Roman" w:cs="Times New Roman"/>
          <w:noProof/>
          <w:color w:val="FF0000"/>
          <w:sz w:val="24"/>
          <w:szCs w:val="24"/>
          <w:shd w:val="clear" w:color="auto" w:fill="FFFFFF"/>
          <w:lang w:eastAsia="es-ES"/>
        </w:rPr>
        <w:drawing>
          <wp:inline distT="0" distB="0" distL="0" distR="0" wp14:anchorId="787DDC6C" wp14:editId="0F7E148C">
            <wp:extent cx="3174999" cy="2495550"/>
            <wp:effectExtent l="0" t="0" r="6985"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3181794" cy="2500891"/>
                    </a:xfrm>
                    <a:prstGeom prst="rect">
                      <a:avLst/>
                    </a:prstGeom>
                  </pic:spPr>
                </pic:pic>
              </a:graphicData>
            </a:graphic>
          </wp:inline>
        </w:drawing>
      </w:r>
    </w:p>
    <w:p w:rsidR="00736F58" w:rsidRDefault="00736F58" w:rsidP="00736F58">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3872E7">
        <w:rPr>
          <w:rFonts w:ascii="Times New Roman" w:hAnsi="Times New Roman" w:cs="Times New Roman"/>
          <w:noProof/>
          <w:color w:val="FF0000"/>
          <w:sz w:val="24"/>
          <w:szCs w:val="24"/>
          <w:shd w:val="clear" w:color="auto" w:fill="FFFFFF"/>
          <w:lang w:eastAsia="es-ES"/>
        </w:rPr>
        <w:drawing>
          <wp:inline distT="0" distB="0" distL="0" distR="0" wp14:anchorId="215E99BE" wp14:editId="453CDC2C">
            <wp:extent cx="4622800" cy="3206750"/>
            <wp:effectExtent l="0" t="0" r="635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4629796" cy="3211603"/>
                    </a:xfrm>
                    <a:prstGeom prst="rect">
                      <a:avLst/>
                    </a:prstGeom>
                  </pic:spPr>
                </pic:pic>
              </a:graphicData>
            </a:graphic>
          </wp:inline>
        </w:drawing>
      </w:r>
    </w:p>
    <w:p w:rsidR="00736F58" w:rsidRDefault="00736F58" w:rsidP="00736F58">
      <w:pPr>
        <w:spacing w:line="240" w:lineRule="auto"/>
        <w:jc w:val="both"/>
        <w:rPr>
          <w:rFonts w:ascii="Times New Roman" w:hAnsi="Times New Roman" w:cs="Times New Roman"/>
          <w:sz w:val="24"/>
          <w:szCs w:val="24"/>
          <w:shd w:val="clear" w:color="auto" w:fill="FFFFFF"/>
        </w:rPr>
      </w:pPr>
      <w:r w:rsidRPr="00A67110">
        <w:rPr>
          <w:rFonts w:ascii="Times New Roman" w:hAnsi="Times New Roman" w:cs="Times New Roman"/>
          <w:sz w:val="24"/>
          <w:szCs w:val="24"/>
          <w:shd w:val="clear" w:color="auto" w:fill="FFFFFF"/>
        </w:rPr>
        <w:t>(Fuente: Instituto Nacional de Estadística)</w:t>
      </w:r>
    </w:p>
    <w:p w:rsidR="00736F58" w:rsidRPr="00A67110" w:rsidRDefault="00736F58" w:rsidP="00736F58">
      <w:pPr>
        <w:spacing w:line="240" w:lineRule="auto"/>
        <w:jc w:val="both"/>
        <w:rPr>
          <w:rFonts w:ascii="Times New Roman" w:hAnsi="Times New Roman" w:cs="Times New Roman"/>
          <w:sz w:val="24"/>
          <w:szCs w:val="24"/>
          <w:shd w:val="clear" w:color="auto" w:fill="FFFFFF"/>
        </w:rPr>
      </w:pPr>
      <w:r w:rsidRPr="00A67110">
        <w:rPr>
          <w:rFonts w:ascii="Times New Roman" w:hAnsi="Times New Roman" w:cs="Times New Roman"/>
          <w:sz w:val="24"/>
          <w:szCs w:val="24"/>
          <w:shd w:val="clear" w:color="auto" w:fill="FFFFFF"/>
        </w:rPr>
        <w:lastRenderedPageBreak/>
        <w:t xml:space="preserve">- </w:t>
      </w:r>
      <w:r w:rsidRPr="00A67110">
        <w:rPr>
          <w:rFonts w:ascii="Times New Roman" w:hAnsi="Times New Roman" w:cs="Times New Roman"/>
          <w:sz w:val="24"/>
          <w:szCs w:val="24"/>
          <w:u w:val="single"/>
          <w:shd w:val="clear" w:color="auto" w:fill="FFFFFF"/>
        </w:rPr>
        <w:t>El número de desempleados de larga duración alcanza su valor mínimo en 15 años, pero castiga especialmente a las mujeres y a los mayores de 50 años</w:t>
      </w:r>
      <w:r w:rsidRPr="00A67110">
        <w:rPr>
          <w:rFonts w:ascii="Times New Roman" w:hAnsi="Times New Roman" w:cs="Times New Roman"/>
          <w:sz w:val="24"/>
          <w:szCs w:val="24"/>
          <w:shd w:val="clear" w:color="auto" w:fill="FFFFFF"/>
        </w:rPr>
        <w:t xml:space="preserve"> (Fuente: Fundación Adecco)</w:t>
      </w:r>
    </w:p>
    <w:p w:rsidR="00736F58" w:rsidRPr="00A67110" w:rsidRDefault="00736F58" w:rsidP="00736F58">
      <w:pPr>
        <w:spacing w:line="240" w:lineRule="auto"/>
        <w:jc w:val="both"/>
        <w:rPr>
          <w:rFonts w:ascii="Times New Roman" w:hAnsi="Times New Roman" w:cs="Times New Roman"/>
          <w:sz w:val="24"/>
          <w:szCs w:val="24"/>
          <w:shd w:val="clear" w:color="auto" w:fill="FFFFFF"/>
        </w:rPr>
      </w:pPr>
      <w:r w:rsidRPr="00A67110">
        <w:rPr>
          <w:rFonts w:ascii="Times New Roman" w:hAnsi="Times New Roman" w:cs="Times New Roman"/>
          <w:sz w:val="24"/>
          <w:szCs w:val="24"/>
          <w:shd w:val="clear" w:color="auto" w:fill="FFFFFF"/>
        </w:rPr>
        <w:t>Se contabilizan en España 999.700 personas en desempleo que superan el año de búsqueda de trabajo, siendo la primera vez en 15 años que bajan del millón de personas. Han descendido un 13,4% respecto al mismo periodo del año anterior y un 70% con relación a hace una década.</w:t>
      </w:r>
    </w:p>
    <w:p w:rsidR="00736F58" w:rsidRPr="00A67110" w:rsidRDefault="00736F58" w:rsidP="00736F58">
      <w:pPr>
        <w:spacing w:line="240" w:lineRule="auto"/>
        <w:jc w:val="both"/>
        <w:rPr>
          <w:rFonts w:ascii="Times New Roman" w:hAnsi="Times New Roman" w:cs="Times New Roman"/>
          <w:sz w:val="24"/>
          <w:szCs w:val="24"/>
          <w:shd w:val="clear" w:color="auto" w:fill="FFFFFF"/>
        </w:rPr>
      </w:pPr>
      <w:r w:rsidRPr="00A67110">
        <w:rPr>
          <w:rFonts w:ascii="Times New Roman" w:hAnsi="Times New Roman" w:cs="Times New Roman"/>
          <w:sz w:val="24"/>
          <w:szCs w:val="24"/>
          <w:shd w:val="clear" w:color="auto" w:fill="FFFFFF"/>
        </w:rPr>
        <w:t>Su representación sobre el total de personas desempleadas es también la más baja desde 2010. Hoy, las personas que llevan más de un año en paro representan el 39% de la población en desempleo (eran un 43% hace 5 años y un 46% en 2010).</w:t>
      </w:r>
    </w:p>
    <w:p w:rsidR="00736F58" w:rsidRPr="00A67110" w:rsidRDefault="00736F58" w:rsidP="00736F58">
      <w:pPr>
        <w:spacing w:line="240" w:lineRule="auto"/>
        <w:jc w:val="both"/>
        <w:rPr>
          <w:rFonts w:ascii="Times New Roman" w:hAnsi="Times New Roman" w:cs="Times New Roman"/>
          <w:sz w:val="24"/>
          <w:szCs w:val="24"/>
          <w:shd w:val="clear" w:color="auto" w:fill="FFFFFF"/>
        </w:rPr>
      </w:pPr>
      <w:r w:rsidRPr="00A67110">
        <w:rPr>
          <w:rFonts w:ascii="Times New Roman" w:hAnsi="Times New Roman" w:cs="Times New Roman"/>
          <w:sz w:val="24"/>
          <w:szCs w:val="24"/>
          <w:shd w:val="clear" w:color="auto" w:fill="FFFFFF"/>
        </w:rPr>
        <w:t>Entre las principales razones de este descenso se encuentran la creación de nuevos puestos de trabajo en sectores como el comercio electrónico, la logística y la atención al cliente, que están demostrando capacidad para incorporar a un gran volumen de personas desempleadas. Además, la reactivación de actividades como el turismo y el transporte, paralizadas durante los años más críticos de la pandemia (2020-2021), está integrando a quienes llevaban un periodo prolongado en situación de desempleo.</w:t>
      </w:r>
    </w:p>
    <w:p w:rsidR="00736F58" w:rsidRPr="00A67110" w:rsidRDefault="00736F58" w:rsidP="00736F58">
      <w:pPr>
        <w:spacing w:line="240" w:lineRule="auto"/>
        <w:jc w:val="both"/>
        <w:rPr>
          <w:rFonts w:ascii="Times New Roman" w:hAnsi="Times New Roman" w:cs="Times New Roman"/>
          <w:sz w:val="24"/>
          <w:szCs w:val="24"/>
          <w:shd w:val="clear" w:color="auto" w:fill="FFFFFF"/>
        </w:rPr>
      </w:pPr>
      <w:r w:rsidRPr="00A67110">
        <w:rPr>
          <w:rFonts w:ascii="Times New Roman" w:hAnsi="Times New Roman" w:cs="Times New Roman"/>
          <w:sz w:val="24"/>
          <w:szCs w:val="24"/>
          <w:shd w:val="clear" w:color="auto" w:fill="FFFFFF"/>
        </w:rPr>
        <w:t>Por otra parte, y aunque aún tienen mucho recorrido, las políticas activas de empleo y los programas de acompañamiento a personas desempleadas de larga duración también han tenido un impacto positivo en la actualización de habilidades y competencias de las personas desempleadas, reduciendo el tiempo que tardan en encontrar trabajo.</w:t>
      </w:r>
    </w:p>
    <w:p w:rsidR="00736F58" w:rsidRPr="00A67110" w:rsidRDefault="00736F58" w:rsidP="00736F58">
      <w:pPr>
        <w:spacing w:line="240" w:lineRule="auto"/>
        <w:jc w:val="both"/>
        <w:rPr>
          <w:rFonts w:ascii="Times New Roman" w:hAnsi="Times New Roman" w:cs="Times New Roman"/>
          <w:sz w:val="24"/>
          <w:szCs w:val="24"/>
          <w:shd w:val="clear" w:color="auto" w:fill="FFFFFF"/>
        </w:rPr>
      </w:pPr>
      <w:r w:rsidRPr="00A67110">
        <w:rPr>
          <w:rFonts w:ascii="Times New Roman" w:hAnsi="Times New Roman" w:cs="Times New Roman"/>
          <w:sz w:val="24"/>
          <w:szCs w:val="24"/>
          <w:shd w:val="clear" w:color="auto" w:fill="FFFFFF"/>
        </w:rPr>
        <w:t>Pero si bien el descenso del paro de larga duración es una buena noticia, cuando se analiza el perfil del desempleado de larga duración se evidencian desigualdades estructurales que afectan a las mujeres y a la población sénior. Las personas mayores de 50 años constituyen el 30% de los parados, pero el 45% de los desempleados de larga duración (en 2014 eran el 25%) y el 56% lleva más de un año buscando empleo sin éxito (frente al 39% general),</w:t>
      </w:r>
    </w:p>
    <w:p w:rsidR="00736F58" w:rsidRDefault="00736F58" w:rsidP="00736F58">
      <w:pPr>
        <w:spacing w:line="240" w:lineRule="auto"/>
        <w:jc w:val="both"/>
        <w:rPr>
          <w:rFonts w:ascii="Times New Roman" w:hAnsi="Times New Roman" w:cs="Times New Roman"/>
          <w:sz w:val="24"/>
          <w:szCs w:val="24"/>
          <w:shd w:val="clear" w:color="auto" w:fill="FFFFFF"/>
        </w:rPr>
      </w:pPr>
      <w:r w:rsidRPr="00A67110">
        <w:rPr>
          <w:rFonts w:ascii="Times New Roman" w:hAnsi="Times New Roman" w:cs="Times New Roman"/>
          <w:sz w:val="24"/>
          <w:szCs w:val="24"/>
          <w:shd w:val="clear" w:color="auto" w:fill="FFFFFF"/>
        </w:rPr>
        <w:t>Por otra parte, el 56% de las personas desempleadas de larga duración son mujeres, cuyas trayectorias laborales tienden a verse interrumpidas debido a las responsabilidades familiares. Asimismo, las mujeres están sobrerrepresentadas en sectores con baja cualificación y vulnerabilidad ante crisis económicas como el turismo, la hostelería, la limpieza o el cuidado.</w:t>
      </w:r>
    </w:p>
    <w:p w:rsidR="00736F58" w:rsidRPr="00736F58" w:rsidRDefault="00736F58" w:rsidP="00736F58">
      <w:pPr>
        <w:spacing w:line="240" w:lineRule="auto"/>
        <w:jc w:val="both"/>
        <w:rPr>
          <w:rFonts w:ascii="Times New Roman" w:hAnsi="Times New Roman" w:cs="Times New Roman"/>
          <w:color w:val="FF0000"/>
          <w:sz w:val="24"/>
          <w:szCs w:val="24"/>
          <w:shd w:val="clear" w:color="auto" w:fill="FFFFFF"/>
        </w:rPr>
      </w:pPr>
      <w:r w:rsidRPr="00736F58">
        <w:rPr>
          <w:rFonts w:ascii="Times New Roman" w:hAnsi="Times New Roman" w:cs="Times New Roman"/>
          <w:b/>
          <w:color w:val="FF0000"/>
          <w:sz w:val="24"/>
          <w:szCs w:val="24"/>
          <w:shd w:val="clear" w:color="auto" w:fill="FFFFFF"/>
        </w:rPr>
        <w:t>Nota I</w:t>
      </w:r>
      <w:r w:rsidRPr="00736F58">
        <w:rPr>
          <w:rFonts w:ascii="Times New Roman" w:hAnsi="Times New Roman" w:cs="Times New Roman"/>
          <w:color w:val="FF0000"/>
          <w:sz w:val="24"/>
          <w:szCs w:val="24"/>
          <w:shd w:val="clear" w:color="auto" w:fill="FFFFFF"/>
        </w:rPr>
        <w:t>: El tiempo medio que una persona permanece desempleada en España es de 10.61 meses. Este dato corresponde al año 2021 y representa una reducción con respecto a años anteriores, según un informe de Europa Press.</w:t>
      </w:r>
    </w:p>
    <w:p w:rsidR="00736F58" w:rsidRPr="00736F58" w:rsidRDefault="00736F58" w:rsidP="00736F58">
      <w:pPr>
        <w:spacing w:line="240" w:lineRule="auto"/>
        <w:jc w:val="both"/>
        <w:rPr>
          <w:rFonts w:ascii="Times New Roman" w:hAnsi="Times New Roman" w:cs="Times New Roman"/>
          <w:color w:val="FF0000"/>
          <w:sz w:val="24"/>
          <w:szCs w:val="24"/>
          <w:shd w:val="clear" w:color="auto" w:fill="FFFFFF"/>
        </w:rPr>
      </w:pPr>
      <w:r w:rsidRPr="00736F58">
        <w:rPr>
          <w:rFonts w:ascii="Times New Roman" w:hAnsi="Times New Roman" w:cs="Times New Roman"/>
          <w:b/>
          <w:color w:val="FF0000"/>
          <w:sz w:val="24"/>
          <w:szCs w:val="24"/>
          <w:shd w:val="clear" w:color="auto" w:fill="FFFFFF"/>
        </w:rPr>
        <w:t>Nota II</w:t>
      </w:r>
      <w:r w:rsidRPr="00736F58">
        <w:rPr>
          <w:rFonts w:ascii="Times New Roman" w:hAnsi="Times New Roman" w:cs="Times New Roman"/>
          <w:color w:val="FF0000"/>
          <w:sz w:val="24"/>
          <w:szCs w:val="24"/>
          <w:shd w:val="clear" w:color="auto" w:fill="FFFFFF"/>
        </w:rPr>
        <w:t xml:space="preserve">: La prestación media por desempleo ha superado ya de largo los 1.000 euros mensuales y, en términos de nómina, cada parado le está costando al Servicio Público de Empleo Estatal (Sepe) casi 1.300 euros al mes. Fue en noviembre de 2024 cuando se rompió por primera vez la barrera de los 1.000 euros. (El Mundo - </w:t>
      </w:r>
      <w:r w:rsidRPr="000058D1">
        <w:rPr>
          <w:rFonts w:ascii="Times New Roman" w:hAnsi="Times New Roman" w:cs="Times New Roman"/>
          <w:b/>
          <w:color w:val="FF0000"/>
          <w:sz w:val="24"/>
          <w:szCs w:val="24"/>
          <w:shd w:val="clear" w:color="auto" w:fill="FFFFFF"/>
        </w:rPr>
        <w:t>4/4/25</w:t>
      </w:r>
      <w:r w:rsidRPr="00736F58">
        <w:rPr>
          <w:rFonts w:ascii="Times New Roman" w:hAnsi="Times New Roman" w:cs="Times New Roman"/>
          <w:color w:val="FF0000"/>
          <w:sz w:val="24"/>
          <w:szCs w:val="24"/>
          <w:shd w:val="clear" w:color="auto" w:fill="FFFFFF"/>
        </w:rPr>
        <w:t>)</w:t>
      </w:r>
    </w:p>
    <w:p w:rsidR="00736F58" w:rsidRDefault="00736F58" w:rsidP="00736F58">
      <w:pPr>
        <w:spacing w:line="240" w:lineRule="auto"/>
        <w:jc w:val="both"/>
        <w:rPr>
          <w:rFonts w:ascii="Times New Roman" w:hAnsi="Times New Roman" w:cs="Times New Roman"/>
          <w:sz w:val="24"/>
          <w:szCs w:val="24"/>
          <w:shd w:val="clear" w:color="auto" w:fill="FFFFFF"/>
        </w:rPr>
      </w:pPr>
      <w:r w:rsidRPr="00961FB3">
        <w:rPr>
          <w:rFonts w:ascii="Times New Roman" w:hAnsi="Times New Roman" w:cs="Times New Roman"/>
          <w:sz w:val="24"/>
          <w:szCs w:val="24"/>
          <w:shd w:val="clear" w:color="auto" w:fill="FFFFFF"/>
        </w:rPr>
        <w:t>Calcular paro: ¿Cuánto se cobra de paro y cuál es la duración?</w:t>
      </w:r>
      <w:r>
        <w:rPr>
          <w:rFonts w:ascii="Times New Roman" w:hAnsi="Times New Roman" w:cs="Times New Roman"/>
          <w:sz w:val="24"/>
          <w:szCs w:val="24"/>
          <w:shd w:val="clear" w:color="auto" w:fill="FFFFFF"/>
        </w:rPr>
        <w:t xml:space="preserve"> (Fuente: Bankinter - </w:t>
      </w:r>
      <w:r w:rsidRPr="00F06A28">
        <w:rPr>
          <w:rFonts w:ascii="Times New Roman" w:hAnsi="Times New Roman" w:cs="Times New Roman"/>
          <w:b/>
          <w:sz w:val="24"/>
          <w:szCs w:val="24"/>
          <w:shd w:val="clear" w:color="auto" w:fill="FFFFFF"/>
        </w:rPr>
        <w:t>28/1/25</w:t>
      </w:r>
      <w:r>
        <w:rPr>
          <w:rFonts w:ascii="Times New Roman" w:hAnsi="Times New Roman" w:cs="Times New Roman"/>
          <w:sz w:val="24"/>
          <w:szCs w:val="24"/>
          <w:shd w:val="clear" w:color="auto" w:fill="FFFFFF"/>
        </w:rPr>
        <w:t>)</w:t>
      </w:r>
    </w:p>
    <w:p w:rsidR="00736F58" w:rsidRDefault="00736F58" w:rsidP="00736F58">
      <w:pPr>
        <w:spacing w:line="240" w:lineRule="auto"/>
        <w:jc w:val="both"/>
        <w:rPr>
          <w:rFonts w:ascii="Times New Roman" w:hAnsi="Times New Roman" w:cs="Times New Roman"/>
          <w:sz w:val="24"/>
          <w:szCs w:val="24"/>
          <w:shd w:val="clear" w:color="auto" w:fill="FFFFFF"/>
        </w:rPr>
      </w:pPr>
      <w:r w:rsidRPr="00961FB3">
        <w:rPr>
          <w:rFonts w:ascii="Times New Roman" w:hAnsi="Times New Roman" w:cs="Times New Roman"/>
          <w:sz w:val="24"/>
          <w:szCs w:val="24"/>
          <w:shd w:val="clear" w:color="auto" w:fill="FFFFFF"/>
        </w:rPr>
        <w:t>En la siguiente tabla del Servicio Público de Empleo Estatal (SEPE) pueden calcularse los días de paro que corresponden en función del número de días cotizados.</w:t>
      </w:r>
    </w:p>
    <w:p w:rsidR="00736F58" w:rsidRPr="00A67110" w:rsidRDefault="00736F58" w:rsidP="00736F58">
      <w:pPr>
        <w:spacing w:line="240" w:lineRule="auto"/>
        <w:jc w:val="both"/>
        <w:rPr>
          <w:rFonts w:ascii="Times New Roman" w:hAnsi="Times New Roman" w:cs="Times New Roman"/>
          <w:sz w:val="24"/>
          <w:szCs w:val="24"/>
          <w:shd w:val="clear" w:color="auto" w:fill="FFFFFF"/>
        </w:rPr>
      </w:pPr>
      <w:r w:rsidRPr="00961FB3">
        <w:rPr>
          <w:rFonts w:ascii="Times New Roman" w:hAnsi="Times New Roman" w:cs="Times New Roman"/>
          <w:noProof/>
          <w:sz w:val="24"/>
          <w:szCs w:val="24"/>
          <w:shd w:val="clear" w:color="auto" w:fill="FFFFFF"/>
          <w:lang w:eastAsia="es-ES"/>
        </w:rPr>
        <w:lastRenderedPageBreak/>
        <w:drawing>
          <wp:inline distT="0" distB="0" distL="0" distR="0" wp14:anchorId="53C75D93" wp14:editId="225DA1DA">
            <wp:extent cx="4445000" cy="3255655"/>
            <wp:effectExtent l="0" t="0" r="0" b="190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4448208" cy="3258005"/>
                    </a:xfrm>
                    <a:prstGeom prst="rect">
                      <a:avLst/>
                    </a:prstGeom>
                  </pic:spPr>
                </pic:pic>
              </a:graphicData>
            </a:graphic>
          </wp:inline>
        </w:drawing>
      </w:r>
    </w:p>
    <w:p w:rsidR="00736F58" w:rsidRPr="00961FB3"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Para calcular cuánto paro </w:t>
      </w:r>
      <w:r w:rsidRPr="00961FB3">
        <w:rPr>
          <w:rFonts w:ascii="Times New Roman" w:hAnsi="Times New Roman" w:cs="Times New Roman"/>
          <w:sz w:val="24"/>
          <w:szCs w:val="24"/>
          <w:shd w:val="clear" w:color="auto" w:fill="FFFFFF"/>
        </w:rPr>
        <w:t>corresponde, la Seguridad Social tiene en cuenta la media de la base de cotización de los últimos 180 días cotizados (sin tener en cuenta las horas extraordinarias). El importe diario que se cobra en el paro sería el 70% de la base reguladora durante los primeros 180 días de la prestación por desempleo y el 50% el resto de días que dure el paro.</w:t>
      </w:r>
    </w:p>
    <w:p w:rsidR="00736F58" w:rsidRDefault="00736F58" w:rsidP="00736F58">
      <w:pPr>
        <w:spacing w:line="240" w:lineRule="auto"/>
        <w:jc w:val="both"/>
        <w:rPr>
          <w:rFonts w:ascii="Times New Roman" w:hAnsi="Times New Roman" w:cs="Times New Roman"/>
          <w:sz w:val="24"/>
          <w:szCs w:val="24"/>
          <w:shd w:val="clear" w:color="auto" w:fill="FFFFFF"/>
        </w:rPr>
      </w:pPr>
      <w:r w:rsidRPr="00961FB3">
        <w:rPr>
          <w:rFonts w:ascii="Times New Roman" w:hAnsi="Times New Roman" w:cs="Times New Roman"/>
          <w:sz w:val="24"/>
          <w:szCs w:val="24"/>
          <w:shd w:val="clear" w:color="auto" w:fill="FFFFFF"/>
        </w:rPr>
        <w:t>Estas cantidades no pueden ser inferiores al tope mínimo ni superiores al tope máximo establecido:</w:t>
      </w:r>
    </w:p>
    <w:p w:rsidR="00736F58" w:rsidRDefault="00736F58" w:rsidP="00736F58">
      <w:pPr>
        <w:spacing w:line="240" w:lineRule="auto"/>
        <w:jc w:val="both"/>
        <w:rPr>
          <w:rFonts w:ascii="Times New Roman" w:hAnsi="Times New Roman" w:cs="Times New Roman"/>
          <w:sz w:val="24"/>
          <w:szCs w:val="24"/>
          <w:shd w:val="clear" w:color="auto" w:fill="FFFFFF"/>
        </w:rPr>
      </w:pPr>
      <w:r w:rsidRPr="00961FB3">
        <w:rPr>
          <w:rFonts w:ascii="Times New Roman" w:hAnsi="Times New Roman" w:cs="Times New Roman"/>
          <w:noProof/>
          <w:sz w:val="24"/>
          <w:szCs w:val="24"/>
          <w:shd w:val="clear" w:color="auto" w:fill="FFFFFF"/>
          <w:lang w:eastAsia="es-ES"/>
        </w:rPr>
        <w:drawing>
          <wp:inline distT="0" distB="0" distL="0" distR="0" wp14:anchorId="2EAFE3EF" wp14:editId="2CC81CB8">
            <wp:extent cx="5731510" cy="2271784"/>
            <wp:effectExtent l="0" t="0" r="254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731510" cy="2271784"/>
                    </a:xfrm>
                    <a:prstGeom prst="rect">
                      <a:avLst/>
                    </a:prstGeom>
                  </pic:spPr>
                </pic:pic>
              </a:graphicData>
            </a:graphic>
          </wp:inline>
        </w:drawing>
      </w:r>
    </w:p>
    <w:p w:rsidR="00736F58" w:rsidRPr="00961FB3"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w:t>
      </w:r>
      <w:r w:rsidRPr="00961FB3">
        <w:rPr>
          <w:rFonts w:ascii="Times New Roman" w:hAnsi="Times New Roman" w:cs="Times New Roman"/>
          <w:sz w:val="24"/>
          <w:szCs w:val="24"/>
          <w:shd w:val="clear" w:color="auto" w:fill="FFFFFF"/>
        </w:rPr>
        <w:t>l importe bruto de la prestación por desempleo se le aplicarán dos tipos de deducciones:</w:t>
      </w:r>
    </w:p>
    <w:p w:rsidR="00736F58" w:rsidRPr="00961FB3" w:rsidRDefault="00736F58" w:rsidP="00736F58">
      <w:pPr>
        <w:spacing w:line="240" w:lineRule="auto"/>
        <w:jc w:val="both"/>
        <w:rPr>
          <w:rFonts w:ascii="Times New Roman" w:hAnsi="Times New Roman" w:cs="Times New Roman"/>
          <w:sz w:val="24"/>
          <w:szCs w:val="24"/>
          <w:shd w:val="clear" w:color="auto" w:fill="FFFFFF"/>
        </w:rPr>
      </w:pPr>
      <w:r w:rsidRPr="00961FB3">
        <w:rPr>
          <w:rFonts w:ascii="Times New Roman" w:hAnsi="Times New Roman" w:cs="Times New Roman"/>
          <w:sz w:val="24"/>
          <w:szCs w:val="24"/>
          <w:shd w:val="clear" w:color="auto" w:fill="FFFFFF"/>
        </w:rPr>
        <w:t>La cotización a la Seguridad Social.</w:t>
      </w:r>
    </w:p>
    <w:p w:rsidR="00736F58" w:rsidRDefault="00736F58" w:rsidP="00736F58">
      <w:pPr>
        <w:spacing w:line="240" w:lineRule="auto"/>
        <w:jc w:val="both"/>
        <w:rPr>
          <w:rFonts w:ascii="Times New Roman" w:hAnsi="Times New Roman" w:cs="Times New Roman"/>
          <w:sz w:val="24"/>
          <w:szCs w:val="24"/>
          <w:shd w:val="clear" w:color="auto" w:fill="FFFFFF"/>
        </w:rPr>
      </w:pPr>
      <w:r w:rsidRPr="00961FB3">
        <w:rPr>
          <w:rFonts w:ascii="Times New Roman" w:hAnsi="Times New Roman" w:cs="Times New Roman"/>
          <w:sz w:val="24"/>
          <w:szCs w:val="24"/>
          <w:shd w:val="clear" w:color="auto" w:fill="FFFFFF"/>
        </w:rPr>
        <w:t>La retención a cuenta del IRPF, cuando proceda.</w:t>
      </w:r>
    </w:p>
    <w:p w:rsidR="00736F58" w:rsidRPr="007E1970" w:rsidRDefault="00736F58" w:rsidP="00736F58">
      <w:pPr>
        <w:spacing w:line="240" w:lineRule="auto"/>
        <w:jc w:val="both"/>
        <w:rPr>
          <w:rFonts w:ascii="Times New Roman" w:hAnsi="Times New Roman" w:cs="Times New Roman"/>
          <w:sz w:val="24"/>
          <w:szCs w:val="24"/>
          <w:shd w:val="clear" w:color="auto" w:fill="FFFFFF"/>
        </w:rPr>
      </w:pPr>
      <w:r w:rsidRPr="007E1970">
        <w:rPr>
          <w:rFonts w:ascii="Times New Roman" w:hAnsi="Times New Roman" w:cs="Times New Roman"/>
          <w:sz w:val="24"/>
          <w:szCs w:val="24"/>
          <w:shd w:val="clear" w:color="auto" w:fill="FFFFFF"/>
        </w:rPr>
        <w:t>Duración del subsidio por desempleo</w:t>
      </w:r>
    </w:p>
    <w:p w:rsidR="00736F58" w:rsidRDefault="00736F58" w:rsidP="00736F58">
      <w:pPr>
        <w:spacing w:line="240" w:lineRule="auto"/>
        <w:jc w:val="both"/>
        <w:rPr>
          <w:rFonts w:ascii="Times New Roman" w:hAnsi="Times New Roman" w:cs="Times New Roman"/>
          <w:sz w:val="24"/>
          <w:szCs w:val="24"/>
          <w:shd w:val="clear" w:color="auto" w:fill="FFFFFF"/>
        </w:rPr>
      </w:pPr>
      <w:r w:rsidRPr="007E1970">
        <w:rPr>
          <w:rFonts w:ascii="Times New Roman" w:hAnsi="Times New Roman" w:cs="Times New Roman"/>
          <w:sz w:val="24"/>
          <w:szCs w:val="24"/>
          <w:shd w:val="clear" w:color="auto" w:fill="FFFFFF"/>
        </w:rPr>
        <w:t>La duración del subsidio por desempleo depende del número de meses cotizados y de las responsabilidades familiares:</w:t>
      </w:r>
    </w:p>
    <w:p w:rsidR="00736F58" w:rsidRPr="007E1970" w:rsidRDefault="00736F58" w:rsidP="00736F58">
      <w:pPr>
        <w:pStyle w:val="NormalWeb"/>
        <w:numPr>
          <w:ilvl w:val="0"/>
          <w:numId w:val="21"/>
        </w:numPr>
        <w:shd w:val="clear" w:color="auto" w:fill="FFFFFF"/>
        <w:spacing w:before="0" w:beforeAutospacing="0"/>
        <w:jc w:val="both"/>
      </w:pPr>
      <w:r w:rsidRPr="007E1970">
        <w:lastRenderedPageBreak/>
        <w:t>Si no se tienen hijos, el subsidio durará 6 meses.</w:t>
      </w:r>
    </w:p>
    <w:p w:rsidR="00736F58" w:rsidRDefault="00736F58" w:rsidP="00736F58">
      <w:pPr>
        <w:pStyle w:val="NormalWeb"/>
        <w:numPr>
          <w:ilvl w:val="0"/>
          <w:numId w:val="21"/>
        </w:numPr>
        <w:shd w:val="clear" w:color="auto" w:fill="FFFFFF"/>
        <w:spacing w:before="0" w:beforeAutospacing="0"/>
        <w:jc w:val="both"/>
      </w:pPr>
      <w:r w:rsidRPr="007E1970">
        <w:t>Si se tienen hijos, el subsidio durará 21 meses si se ha cotizado un mínimo de 6 meses. En caso de haber cotizado menos tiempo, el subsidio será equivalente al número de meses trabajados.</w:t>
      </w:r>
    </w:p>
    <w:p w:rsidR="00736F58" w:rsidRDefault="00736F58" w:rsidP="00736F58">
      <w:pPr>
        <w:pStyle w:val="NormalWeb"/>
        <w:shd w:val="clear" w:color="auto" w:fill="FFFFFF"/>
        <w:jc w:val="both"/>
      </w:pPr>
      <w:r>
        <w:t>¿Cuánto es el subsidio por desempleo?</w:t>
      </w:r>
    </w:p>
    <w:p w:rsidR="00736F58" w:rsidRPr="007E1970" w:rsidRDefault="00736F58" w:rsidP="00736F58">
      <w:pPr>
        <w:pStyle w:val="NormalWeb"/>
        <w:shd w:val="clear" w:color="auto" w:fill="FFFFFF"/>
        <w:spacing w:before="0" w:beforeAutospacing="0"/>
        <w:jc w:val="both"/>
      </w:pPr>
      <w:r>
        <w:t>La norma aprobada en 2024 elevó el porcentaje del IPREM que se utiliza para calcular el subsidio por desempleo. Así, el porcentaje que se cobraría ahora en el subsidio por desempleo sería el 95% de la base reguladora. La cuantía mensual del subsidio por desempleo quedaría así, según el indicador público de renta de efectos múltiples (IPREM):</w:t>
      </w:r>
    </w:p>
    <w:p w:rsidR="00736F58" w:rsidRPr="007E1970" w:rsidRDefault="00736F58" w:rsidP="00736F58">
      <w:pPr>
        <w:pStyle w:val="NormalWeb"/>
        <w:numPr>
          <w:ilvl w:val="0"/>
          <w:numId w:val="22"/>
        </w:numPr>
        <w:shd w:val="clear" w:color="auto" w:fill="FFFFFF"/>
        <w:spacing w:before="0" w:beforeAutospacing="0"/>
        <w:jc w:val="both"/>
      </w:pPr>
      <w:r w:rsidRPr="007E1970">
        <w:t>6 primeros meses: 95% IPREM (570 euros en 2025)</w:t>
      </w:r>
    </w:p>
    <w:p w:rsidR="00736F58" w:rsidRPr="007E1970" w:rsidRDefault="00736F58" w:rsidP="00736F58">
      <w:pPr>
        <w:pStyle w:val="NormalWeb"/>
        <w:numPr>
          <w:ilvl w:val="0"/>
          <w:numId w:val="22"/>
        </w:numPr>
        <w:shd w:val="clear" w:color="auto" w:fill="FFFFFF"/>
        <w:spacing w:before="0" w:beforeAutospacing="0"/>
        <w:jc w:val="both"/>
      </w:pPr>
      <w:r w:rsidRPr="007E1970">
        <w:t>6 meses siguientes: 90% IPREM (540 euros en 2025)</w:t>
      </w:r>
    </w:p>
    <w:p w:rsidR="00736F58" w:rsidRPr="007E1970" w:rsidRDefault="00736F58" w:rsidP="00736F58">
      <w:pPr>
        <w:pStyle w:val="NormalWeb"/>
        <w:numPr>
          <w:ilvl w:val="0"/>
          <w:numId w:val="22"/>
        </w:numPr>
        <w:shd w:val="clear" w:color="auto" w:fill="FFFFFF"/>
        <w:spacing w:before="0" w:beforeAutospacing="0"/>
        <w:jc w:val="both"/>
      </w:pPr>
      <w:r w:rsidRPr="007E1970">
        <w:t>resto del período: 80% IPREM (480 euros en 2025)</w:t>
      </w:r>
    </w:p>
    <w:p w:rsidR="00736F58" w:rsidRPr="007E1970" w:rsidRDefault="00736F58" w:rsidP="00736F58">
      <w:pPr>
        <w:spacing w:line="240" w:lineRule="auto"/>
        <w:jc w:val="both"/>
        <w:rPr>
          <w:rFonts w:ascii="Times New Roman" w:hAnsi="Times New Roman" w:cs="Times New Roman"/>
          <w:sz w:val="24"/>
          <w:szCs w:val="24"/>
          <w:u w:val="single"/>
          <w:shd w:val="clear" w:color="auto" w:fill="FFFFFF"/>
        </w:rPr>
      </w:pPr>
      <w:r w:rsidRPr="007E1970">
        <w:rPr>
          <w:rFonts w:ascii="Times New Roman" w:hAnsi="Times New Roman" w:cs="Times New Roman"/>
          <w:sz w:val="24"/>
          <w:szCs w:val="24"/>
          <w:u w:val="single"/>
          <w:shd w:val="clear" w:color="auto" w:fill="FFFFFF"/>
        </w:rPr>
        <w:t>Subsidio de desempleo por agotamiento de la prestación contributiva</w:t>
      </w:r>
      <w:r>
        <w:rPr>
          <w:rFonts w:ascii="Times New Roman" w:hAnsi="Times New Roman" w:cs="Times New Roman"/>
          <w:sz w:val="24"/>
          <w:szCs w:val="24"/>
          <w:shd w:val="clear" w:color="auto" w:fill="FFFFFF"/>
        </w:rPr>
        <w:t xml:space="preserve"> (Fuente: </w:t>
      </w:r>
      <w:r w:rsidRPr="007E1970">
        <w:rPr>
          <w:rFonts w:ascii="Times New Roman" w:hAnsi="Times New Roman" w:cs="Times New Roman"/>
          <w:sz w:val="24"/>
          <w:szCs w:val="24"/>
          <w:shd w:val="clear" w:color="auto" w:fill="FFFFFF"/>
        </w:rPr>
        <w:t>SEPE)</w:t>
      </w:r>
    </w:p>
    <w:p w:rsidR="00736F58" w:rsidRPr="007E1970"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Cuando se agota la prestación contributiva se puede</w:t>
      </w:r>
      <w:r w:rsidRPr="007E1970">
        <w:rPr>
          <w:rFonts w:ascii="Times New Roman" w:hAnsi="Times New Roman" w:cs="Times New Roman"/>
          <w:sz w:val="24"/>
          <w:szCs w:val="24"/>
          <w:shd w:val="clear" w:color="auto" w:fill="FFFFFF"/>
        </w:rPr>
        <w:t xml:space="preserve"> tener derecho al s</w:t>
      </w:r>
      <w:r>
        <w:rPr>
          <w:rFonts w:ascii="Times New Roman" w:hAnsi="Times New Roman" w:cs="Times New Roman"/>
          <w:sz w:val="24"/>
          <w:szCs w:val="24"/>
          <w:shd w:val="clear" w:color="auto" w:fill="FFFFFF"/>
        </w:rPr>
        <w:t>ubsidio por desempleo si se cumplen</w:t>
      </w:r>
      <w:r w:rsidRPr="007E1970">
        <w:rPr>
          <w:rFonts w:ascii="Times New Roman" w:hAnsi="Times New Roman" w:cs="Times New Roman"/>
          <w:sz w:val="24"/>
          <w:szCs w:val="24"/>
          <w:shd w:val="clear" w:color="auto" w:fill="FFFFFF"/>
        </w:rPr>
        <w:t xml:space="preserve"> los requisitos exigidos.</w:t>
      </w:r>
    </w:p>
    <w:p w:rsidR="00736F58" w:rsidRPr="007E1970"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Personas beneficiarias: Podrá</w:t>
      </w:r>
      <w:r w:rsidRPr="007E1970">
        <w:rPr>
          <w:rFonts w:ascii="Times New Roman" w:hAnsi="Times New Roman" w:cs="Times New Roman"/>
          <w:sz w:val="24"/>
          <w:szCs w:val="24"/>
          <w:shd w:val="clear" w:color="auto" w:fill="FFFFFF"/>
        </w:rPr>
        <w:t xml:space="preserve"> ser persona be</w:t>
      </w:r>
      <w:r>
        <w:rPr>
          <w:rFonts w:ascii="Times New Roman" w:hAnsi="Times New Roman" w:cs="Times New Roman"/>
          <w:sz w:val="24"/>
          <w:szCs w:val="24"/>
          <w:shd w:val="clear" w:color="auto" w:fill="FFFFFF"/>
        </w:rPr>
        <w:t>neficiaria del subsidio si está en desempleo y ha</w:t>
      </w:r>
      <w:r w:rsidRPr="007E1970">
        <w:rPr>
          <w:rFonts w:ascii="Times New Roman" w:hAnsi="Times New Roman" w:cs="Times New Roman"/>
          <w:sz w:val="24"/>
          <w:szCs w:val="24"/>
          <w:shd w:val="clear" w:color="auto" w:fill="FFFFFF"/>
        </w:rPr>
        <w:t xml:space="preserve"> agotado la prestación contributiva.</w:t>
      </w:r>
    </w:p>
    <w:p w:rsidR="00736F58" w:rsidRPr="007E1970" w:rsidRDefault="00736F58" w:rsidP="00736F58">
      <w:pPr>
        <w:spacing w:line="240" w:lineRule="auto"/>
        <w:jc w:val="both"/>
        <w:rPr>
          <w:rFonts w:ascii="Times New Roman" w:hAnsi="Times New Roman" w:cs="Times New Roman"/>
          <w:sz w:val="24"/>
          <w:szCs w:val="24"/>
          <w:shd w:val="clear" w:color="auto" w:fill="FFFFFF"/>
        </w:rPr>
      </w:pPr>
      <w:r w:rsidRPr="007E1970">
        <w:rPr>
          <w:rFonts w:ascii="Times New Roman" w:hAnsi="Times New Roman" w:cs="Times New Roman"/>
          <w:sz w:val="24"/>
          <w:szCs w:val="24"/>
          <w:shd w:val="clear" w:color="auto" w:fill="FFFFFF"/>
        </w:rPr>
        <w:t>Si</w:t>
      </w:r>
      <w:r>
        <w:rPr>
          <w:rFonts w:ascii="Times New Roman" w:hAnsi="Times New Roman" w:cs="Times New Roman"/>
          <w:sz w:val="24"/>
          <w:szCs w:val="24"/>
          <w:shd w:val="clear" w:color="auto" w:fill="FFFFFF"/>
        </w:rPr>
        <w:t xml:space="preserve"> se </w:t>
      </w:r>
      <w:r w:rsidRPr="007E1970">
        <w:rPr>
          <w:rFonts w:ascii="Times New Roman" w:hAnsi="Times New Roman" w:cs="Times New Roman"/>
          <w:sz w:val="24"/>
          <w:szCs w:val="24"/>
          <w:shd w:val="clear" w:color="auto" w:fill="FFFFFF"/>
        </w:rPr>
        <w:t>es menor de c</w:t>
      </w:r>
      <w:r>
        <w:rPr>
          <w:rFonts w:ascii="Times New Roman" w:hAnsi="Times New Roman" w:cs="Times New Roman"/>
          <w:sz w:val="24"/>
          <w:szCs w:val="24"/>
          <w:shd w:val="clear" w:color="auto" w:fill="FFFFFF"/>
        </w:rPr>
        <w:t>uarenta y cinco años y no tiene</w:t>
      </w:r>
      <w:r w:rsidRPr="007E1970">
        <w:rPr>
          <w:rFonts w:ascii="Times New Roman" w:hAnsi="Times New Roman" w:cs="Times New Roman"/>
          <w:sz w:val="24"/>
          <w:szCs w:val="24"/>
          <w:shd w:val="clear" w:color="auto" w:fill="FFFFFF"/>
        </w:rPr>
        <w:t xml:space="preserve"> responsabilidades familiares, la prestación por desempleo agotada debe haber tenido una duración igual o superior a 360 días.</w:t>
      </w:r>
    </w:p>
    <w:p w:rsidR="00736F58" w:rsidRPr="007E1970" w:rsidRDefault="00736F58" w:rsidP="00736F58">
      <w:pPr>
        <w:spacing w:line="240" w:lineRule="auto"/>
        <w:jc w:val="both"/>
        <w:rPr>
          <w:rFonts w:ascii="Times New Roman" w:hAnsi="Times New Roman" w:cs="Times New Roman"/>
          <w:sz w:val="24"/>
          <w:szCs w:val="24"/>
          <w:shd w:val="clear" w:color="auto" w:fill="FFFFFF"/>
        </w:rPr>
      </w:pPr>
      <w:r w:rsidRPr="007E1970">
        <w:rPr>
          <w:rFonts w:ascii="Times New Roman" w:hAnsi="Times New Roman" w:cs="Times New Roman"/>
          <w:sz w:val="24"/>
          <w:szCs w:val="24"/>
          <w:shd w:val="clear" w:color="auto" w:fill="FFFFFF"/>
        </w:rPr>
        <w:t>Duración y cuantía</w:t>
      </w:r>
    </w:p>
    <w:p w:rsidR="00736F58" w:rsidRPr="007E1970" w:rsidRDefault="00736F58" w:rsidP="00736F58">
      <w:pPr>
        <w:spacing w:line="240" w:lineRule="auto"/>
        <w:jc w:val="both"/>
        <w:rPr>
          <w:rFonts w:ascii="Times New Roman" w:hAnsi="Times New Roman" w:cs="Times New Roman"/>
          <w:sz w:val="24"/>
          <w:szCs w:val="24"/>
          <w:shd w:val="clear" w:color="auto" w:fill="FFFFFF"/>
        </w:rPr>
      </w:pPr>
      <w:r w:rsidRPr="007E1970">
        <w:rPr>
          <w:rFonts w:ascii="Times New Roman" w:hAnsi="Times New Roman" w:cs="Times New Roman"/>
          <w:sz w:val="24"/>
          <w:szCs w:val="24"/>
          <w:shd w:val="clear" w:color="auto" w:fill="FFFFFF"/>
        </w:rPr>
        <w:t>Duración</w:t>
      </w:r>
    </w:p>
    <w:p w:rsidR="00736F58" w:rsidRPr="007E1970" w:rsidRDefault="00736F58" w:rsidP="00736F58">
      <w:pPr>
        <w:spacing w:line="240" w:lineRule="auto"/>
        <w:jc w:val="both"/>
        <w:rPr>
          <w:rFonts w:ascii="Times New Roman" w:hAnsi="Times New Roman" w:cs="Times New Roman"/>
          <w:sz w:val="24"/>
          <w:szCs w:val="24"/>
          <w:shd w:val="clear" w:color="auto" w:fill="FFFFFF"/>
        </w:rPr>
      </w:pPr>
      <w:r w:rsidRPr="007E1970">
        <w:rPr>
          <w:rFonts w:ascii="Times New Roman" w:hAnsi="Times New Roman" w:cs="Times New Roman"/>
          <w:sz w:val="24"/>
          <w:szCs w:val="24"/>
          <w:shd w:val="clear" w:color="auto" w:fill="FFFFFF"/>
        </w:rPr>
        <w:t>La duración máxima del subsidio por desempleo se determinará en función de:</w:t>
      </w:r>
    </w:p>
    <w:p w:rsidR="00736F58" w:rsidRPr="007E1970"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L</w:t>
      </w:r>
      <w:r w:rsidRPr="007E1970">
        <w:rPr>
          <w:rFonts w:ascii="Times New Roman" w:hAnsi="Times New Roman" w:cs="Times New Roman"/>
          <w:sz w:val="24"/>
          <w:szCs w:val="24"/>
          <w:shd w:val="clear" w:color="auto" w:fill="FFFFFF"/>
        </w:rPr>
        <w:t>a edad que</w:t>
      </w:r>
      <w:r>
        <w:rPr>
          <w:rFonts w:ascii="Times New Roman" w:hAnsi="Times New Roman" w:cs="Times New Roman"/>
          <w:sz w:val="24"/>
          <w:szCs w:val="24"/>
          <w:shd w:val="clear" w:color="auto" w:fill="FFFFFF"/>
        </w:rPr>
        <w:t xml:space="preserve"> se tenga</w:t>
      </w:r>
      <w:r w:rsidRPr="007E1970">
        <w:rPr>
          <w:rFonts w:ascii="Times New Roman" w:hAnsi="Times New Roman" w:cs="Times New Roman"/>
          <w:sz w:val="24"/>
          <w:szCs w:val="24"/>
          <w:shd w:val="clear" w:color="auto" w:fill="FFFFFF"/>
        </w:rPr>
        <w:t xml:space="preserve"> en la fecha de agotamiento de la prestación por desempleo.</w:t>
      </w:r>
    </w:p>
    <w:p w:rsidR="00736F58" w:rsidRPr="007E1970"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L</w:t>
      </w:r>
      <w:r w:rsidRPr="007E1970">
        <w:rPr>
          <w:rFonts w:ascii="Times New Roman" w:hAnsi="Times New Roman" w:cs="Times New Roman"/>
          <w:sz w:val="24"/>
          <w:szCs w:val="24"/>
          <w:shd w:val="clear" w:color="auto" w:fill="FFFFFF"/>
        </w:rPr>
        <w:t>a acreditación de responsabilidades familiares.</w:t>
      </w:r>
    </w:p>
    <w:p w:rsidR="00736F58"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L</w:t>
      </w:r>
      <w:r w:rsidRPr="007E1970">
        <w:rPr>
          <w:rFonts w:ascii="Times New Roman" w:hAnsi="Times New Roman" w:cs="Times New Roman"/>
          <w:sz w:val="24"/>
          <w:szCs w:val="24"/>
          <w:shd w:val="clear" w:color="auto" w:fill="FFFFFF"/>
        </w:rPr>
        <w:t>a duración de la prestación por desempleo agotada co</w:t>
      </w:r>
      <w:r>
        <w:rPr>
          <w:rFonts w:ascii="Times New Roman" w:hAnsi="Times New Roman" w:cs="Times New Roman"/>
          <w:sz w:val="24"/>
          <w:szCs w:val="24"/>
          <w:shd w:val="clear" w:color="auto" w:fill="FFFFFF"/>
        </w:rPr>
        <w:t>n arreglo a la siguiente tabla:</w:t>
      </w:r>
    </w:p>
    <w:p w:rsidR="00736F58" w:rsidRPr="007E1970" w:rsidRDefault="00736F58" w:rsidP="00736F58">
      <w:pPr>
        <w:spacing w:line="240" w:lineRule="auto"/>
        <w:jc w:val="both"/>
        <w:rPr>
          <w:rFonts w:ascii="Times New Roman" w:hAnsi="Times New Roman" w:cs="Times New Roman"/>
          <w:sz w:val="24"/>
          <w:szCs w:val="24"/>
          <w:shd w:val="clear" w:color="auto" w:fill="FFFFFF"/>
        </w:rPr>
      </w:pPr>
      <w:r w:rsidRPr="007E1970">
        <w:rPr>
          <w:rFonts w:ascii="Times New Roman" w:hAnsi="Times New Roman" w:cs="Times New Roman"/>
          <w:noProof/>
          <w:sz w:val="24"/>
          <w:szCs w:val="24"/>
          <w:shd w:val="clear" w:color="auto" w:fill="FFFFFF"/>
          <w:lang w:eastAsia="es-ES"/>
        </w:rPr>
        <w:drawing>
          <wp:inline distT="0" distB="0" distL="0" distR="0" wp14:anchorId="22127A8B" wp14:editId="39F3E151">
            <wp:extent cx="4924426" cy="2273300"/>
            <wp:effectExtent l="0" t="0" r="9525"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4925113" cy="2273617"/>
                    </a:xfrm>
                    <a:prstGeom prst="rect">
                      <a:avLst/>
                    </a:prstGeom>
                  </pic:spPr>
                </pic:pic>
              </a:graphicData>
            </a:graphic>
          </wp:inline>
        </w:drawing>
      </w:r>
    </w:p>
    <w:p w:rsidR="00736F58" w:rsidRPr="002A6CCE" w:rsidRDefault="00736F58" w:rsidP="00736F58">
      <w:pPr>
        <w:spacing w:line="240" w:lineRule="auto"/>
        <w:jc w:val="both"/>
        <w:rPr>
          <w:rFonts w:ascii="Times New Roman" w:hAnsi="Times New Roman" w:cs="Times New Roman"/>
          <w:sz w:val="24"/>
          <w:szCs w:val="24"/>
          <w:shd w:val="clear" w:color="auto" w:fill="FFFFFF"/>
        </w:rPr>
      </w:pPr>
      <w:r w:rsidRPr="002A6CCE">
        <w:rPr>
          <w:rFonts w:ascii="Times New Roman" w:hAnsi="Times New Roman" w:cs="Times New Roman"/>
          <w:sz w:val="24"/>
          <w:szCs w:val="24"/>
          <w:shd w:val="clear" w:color="auto" w:fill="FFFFFF"/>
        </w:rPr>
        <w:lastRenderedPageBreak/>
        <w:t>Cuantía</w:t>
      </w:r>
    </w:p>
    <w:p w:rsidR="00736F58" w:rsidRPr="002A6CCE" w:rsidRDefault="00736F58" w:rsidP="00736F58">
      <w:pPr>
        <w:spacing w:line="240" w:lineRule="auto"/>
        <w:jc w:val="both"/>
        <w:rPr>
          <w:rFonts w:ascii="Times New Roman" w:hAnsi="Times New Roman" w:cs="Times New Roman"/>
          <w:sz w:val="24"/>
          <w:szCs w:val="24"/>
          <w:shd w:val="clear" w:color="auto" w:fill="FFFFFF"/>
        </w:rPr>
      </w:pPr>
      <w:r w:rsidRPr="002A6CCE">
        <w:rPr>
          <w:rFonts w:ascii="Times New Roman" w:hAnsi="Times New Roman" w:cs="Times New Roman"/>
          <w:sz w:val="24"/>
          <w:szCs w:val="24"/>
          <w:shd w:val="clear" w:color="auto" w:fill="FFFFFF"/>
        </w:rPr>
        <w:t>La cuantía del subsidio será igual a los siguientes porcentajes del indicador público de rentas de efectos múltiples (IPREM) mensual vigente en cada momento.</w:t>
      </w:r>
    </w:p>
    <w:p w:rsidR="00736F58" w:rsidRPr="002A6CCE" w:rsidRDefault="00736F58" w:rsidP="00736F58">
      <w:pPr>
        <w:spacing w:line="240" w:lineRule="auto"/>
        <w:jc w:val="both"/>
        <w:rPr>
          <w:rFonts w:ascii="Times New Roman" w:hAnsi="Times New Roman" w:cs="Times New Roman"/>
          <w:sz w:val="24"/>
          <w:szCs w:val="24"/>
          <w:shd w:val="clear" w:color="auto" w:fill="FFFFFF"/>
        </w:rPr>
      </w:pPr>
      <w:r w:rsidRPr="002A6CCE">
        <w:rPr>
          <w:rFonts w:ascii="Times New Roman" w:hAnsi="Times New Roman" w:cs="Times New Roman"/>
          <w:sz w:val="24"/>
          <w:szCs w:val="24"/>
          <w:shd w:val="clear" w:color="auto" w:fill="FFFFFF"/>
        </w:rPr>
        <w:t>- El 95 por ciento durante los ciento ochenta primeros días.</w:t>
      </w:r>
    </w:p>
    <w:p w:rsidR="00736F58" w:rsidRPr="002A6CCE" w:rsidRDefault="00736F58" w:rsidP="00736F58">
      <w:pPr>
        <w:spacing w:line="240" w:lineRule="auto"/>
        <w:jc w:val="both"/>
        <w:rPr>
          <w:rFonts w:ascii="Times New Roman" w:hAnsi="Times New Roman" w:cs="Times New Roman"/>
          <w:sz w:val="24"/>
          <w:szCs w:val="24"/>
          <w:shd w:val="clear" w:color="auto" w:fill="FFFFFF"/>
        </w:rPr>
      </w:pPr>
      <w:r w:rsidRPr="002A6CCE">
        <w:rPr>
          <w:rFonts w:ascii="Times New Roman" w:hAnsi="Times New Roman" w:cs="Times New Roman"/>
          <w:sz w:val="24"/>
          <w:szCs w:val="24"/>
          <w:shd w:val="clear" w:color="auto" w:fill="FFFFFF"/>
        </w:rPr>
        <w:t>- EL 90 por ciento desde el día ciento ochenta y uno al día trescientos sesenta.</w:t>
      </w:r>
    </w:p>
    <w:p w:rsidR="00736F58" w:rsidRPr="002A6CCE" w:rsidRDefault="00736F58" w:rsidP="00736F58">
      <w:pPr>
        <w:spacing w:line="240" w:lineRule="auto"/>
        <w:jc w:val="both"/>
        <w:rPr>
          <w:rFonts w:ascii="Times New Roman" w:hAnsi="Times New Roman" w:cs="Times New Roman"/>
          <w:sz w:val="24"/>
          <w:szCs w:val="24"/>
          <w:shd w:val="clear" w:color="auto" w:fill="FFFFFF"/>
        </w:rPr>
      </w:pPr>
      <w:r w:rsidRPr="002A6CCE">
        <w:rPr>
          <w:rFonts w:ascii="Times New Roman" w:hAnsi="Times New Roman" w:cs="Times New Roman"/>
          <w:sz w:val="24"/>
          <w:szCs w:val="24"/>
          <w:shd w:val="clear" w:color="auto" w:fill="FFFFFF"/>
        </w:rPr>
        <w:t>- El 80 por ciento a partir del día trescientos sesenta y uno.</w:t>
      </w:r>
    </w:p>
    <w:p w:rsidR="00736F58" w:rsidRPr="002A6CCE" w:rsidRDefault="00736F58" w:rsidP="00736F58">
      <w:pPr>
        <w:spacing w:line="240" w:lineRule="auto"/>
        <w:jc w:val="both"/>
        <w:rPr>
          <w:rFonts w:ascii="Times New Roman" w:hAnsi="Times New Roman" w:cs="Times New Roman"/>
          <w:sz w:val="24"/>
          <w:szCs w:val="24"/>
          <w:shd w:val="clear" w:color="auto" w:fill="FFFFFF"/>
        </w:rPr>
      </w:pPr>
      <w:r w:rsidRPr="002A6CCE">
        <w:rPr>
          <w:rFonts w:ascii="Times New Roman" w:hAnsi="Times New Roman" w:cs="Times New Roman"/>
          <w:sz w:val="24"/>
          <w:szCs w:val="24"/>
          <w:shd w:val="clear" w:color="auto" w:fill="FFFFFF"/>
        </w:rPr>
        <w:t>¿Cuál es el IPREM para 2025?</w:t>
      </w:r>
    </w:p>
    <w:p w:rsidR="00736F58" w:rsidRPr="002A6CCE" w:rsidRDefault="00736F58" w:rsidP="00736F58">
      <w:pPr>
        <w:spacing w:line="240" w:lineRule="auto"/>
        <w:jc w:val="both"/>
        <w:rPr>
          <w:rFonts w:ascii="Times New Roman" w:hAnsi="Times New Roman" w:cs="Times New Roman"/>
          <w:sz w:val="24"/>
          <w:szCs w:val="24"/>
          <w:shd w:val="clear" w:color="auto" w:fill="FFFFFF"/>
        </w:rPr>
      </w:pPr>
      <w:r w:rsidRPr="002A6CCE">
        <w:rPr>
          <w:rFonts w:ascii="Times New Roman" w:hAnsi="Times New Roman" w:cs="Times New Roman"/>
          <w:sz w:val="24"/>
          <w:szCs w:val="24"/>
          <w:shd w:val="clear" w:color="auto" w:fill="FFFFFF"/>
        </w:rPr>
        <w:t>El IPREM de 2025 se mantiene con las cuantías fijadas para 2023 y 2024:</w:t>
      </w:r>
    </w:p>
    <w:p w:rsidR="00736F58" w:rsidRPr="002A6CCE" w:rsidRDefault="00736F58" w:rsidP="00736F58">
      <w:pPr>
        <w:spacing w:line="240" w:lineRule="auto"/>
        <w:jc w:val="both"/>
        <w:rPr>
          <w:rFonts w:ascii="Times New Roman" w:hAnsi="Times New Roman" w:cs="Times New Roman"/>
          <w:sz w:val="24"/>
          <w:szCs w:val="24"/>
          <w:shd w:val="clear" w:color="auto" w:fill="FFFFFF"/>
        </w:rPr>
      </w:pPr>
      <w:r w:rsidRPr="002A6CCE">
        <w:rPr>
          <w:rFonts w:ascii="Times New Roman" w:hAnsi="Times New Roman" w:cs="Times New Roman"/>
          <w:sz w:val="24"/>
          <w:szCs w:val="24"/>
          <w:shd w:val="clear" w:color="auto" w:fill="FFFFFF"/>
        </w:rPr>
        <w:t>- IPREM diario: 20 euros.</w:t>
      </w:r>
    </w:p>
    <w:p w:rsidR="00736F58" w:rsidRPr="002A6CCE" w:rsidRDefault="00736F58" w:rsidP="00736F58">
      <w:pPr>
        <w:spacing w:line="240" w:lineRule="auto"/>
        <w:jc w:val="both"/>
        <w:rPr>
          <w:rFonts w:ascii="Times New Roman" w:hAnsi="Times New Roman" w:cs="Times New Roman"/>
          <w:sz w:val="24"/>
          <w:szCs w:val="24"/>
          <w:shd w:val="clear" w:color="auto" w:fill="FFFFFF"/>
        </w:rPr>
      </w:pPr>
      <w:r w:rsidRPr="002A6CCE">
        <w:rPr>
          <w:rFonts w:ascii="Times New Roman" w:hAnsi="Times New Roman" w:cs="Times New Roman"/>
          <w:sz w:val="24"/>
          <w:szCs w:val="24"/>
          <w:shd w:val="clear" w:color="auto" w:fill="FFFFFF"/>
        </w:rPr>
        <w:t>- IPREM mensual: 600 euros.</w:t>
      </w:r>
    </w:p>
    <w:p w:rsidR="00736F58" w:rsidRPr="002A6CCE" w:rsidRDefault="00736F58" w:rsidP="00736F58">
      <w:pPr>
        <w:spacing w:line="240" w:lineRule="auto"/>
        <w:jc w:val="both"/>
        <w:rPr>
          <w:rFonts w:ascii="Times New Roman" w:hAnsi="Times New Roman" w:cs="Times New Roman"/>
          <w:sz w:val="24"/>
          <w:szCs w:val="24"/>
          <w:shd w:val="clear" w:color="auto" w:fill="FFFFFF"/>
        </w:rPr>
      </w:pPr>
      <w:r w:rsidRPr="002A6CCE">
        <w:rPr>
          <w:rFonts w:ascii="Times New Roman" w:hAnsi="Times New Roman" w:cs="Times New Roman"/>
          <w:sz w:val="24"/>
          <w:szCs w:val="24"/>
          <w:shd w:val="clear" w:color="auto" w:fill="FFFFFF"/>
        </w:rPr>
        <w:t>- IPREM anual en 12 pagas: 7.200 euros.</w:t>
      </w:r>
    </w:p>
    <w:p w:rsidR="00736F58" w:rsidRDefault="00736F58" w:rsidP="00736F58">
      <w:pPr>
        <w:spacing w:line="240" w:lineRule="auto"/>
        <w:jc w:val="both"/>
        <w:rPr>
          <w:rFonts w:ascii="Times New Roman" w:hAnsi="Times New Roman" w:cs="Times New Roman"/>
          <w:sz w:val="24"/>
          <w:szCs w:val="24"/>
          <w:shd w:val="clear" w:color="auto" w:fill="FFFFFF"/>
        </w:rPr>
      </w:pPr>
      <w:r w:rsidRPr="002A6CCE">
        <w:rPr>
          <w:rFonts w:ascii="Times New Roman" w:hAnsi="Times New Roman" w:cs="Times New Roman"/>
          <w:sz w:val="24"/>
          <w:szCs w:val="24"/>
          <w:shd w:val="clear" w:color="auto" w:fill="FFFFFF"/>
        </w:rPr>
        <w:t>- IPREM anual en 14 pagas: 8.400 euros.</w:t>
      </w:r>
    </w:p>
    <w:p w:rsidR="00736F58" w:rsidRPr="008759E0" w:rsidRDefault="00736F58" w:rsidP="00736F58">
      <w:pPr>
        <w:spacing w:line="240" w:lineRule="auto"/>
        <w:jc w:val="both"/>
        <w:rPr>
          <w:rFonts w:ascii="Times New Roman" w:hAnsi="Times New Roman" w:cs="Times New Roman"/>
          <w:color w:val="FF0000"/>
          <w:sz w:val="24"/>
          <w:szCs w:val="24"/>
          <w:shd w:val="clear" w:color="auto" w:fill="FFFFFF"/>
        </w:rPr>
      </w:pPr>
      <w:r w:rsidRPr="008759E0">
        <w:rPr>
          <w:rFonts w:ascii="Times New Roman" w:hAnsi="Times New Roman" w:cs="Times New Roman"/>
          <w:b/>
          <w:color w:val="FF0000"/>
          <w:sz w:val="24"/>
          <w:szCs w:val="24"/>
          <w:shd w:val="clear" w:color="auto" w:fill="FFFFFF"/>
        </w:rPr>
        <w:t>Nota</w:t>
      </w:r>
      <w:r w:rsidRPr="008759E0">
        <w:rPr>
          <w:rFonts w:ascii="Times New Roman" w:hAnsi="Times New Roman" w:cs="Times New Roman"/>
          <w:color w:val="FF0000"/>
          <w:sz w:val="24"/>
          <w:szCs w:val="24"/>
          <w:shd w:val="clear" w:color="auto" w:fill="FFFFFF"/>
        </w:rPr>
        <w:t>: Mi propuesta es reducir las prestaciones por desempleo a un máximo de 6 meses.</w:t>
      </w:r>
    </w:p>
    <w:p w:rsidR="00736F58" w:rsidRPr="00967282" w:rsidRDefault="00736F58" w:rsidP="00736F58">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967282">
        <w:rPr>
          <w:rFonts w:ascii="Times New Roman" w:hAnsi="Times New Roman" w:cs="Times New Roman"/>
          <w:color w:val="FF0000"/>
          <w:sz w:val="24"/>
          <w:szCs w:val="24"/>
          <w:shd w:val="clear" w:color="auto" w:fill="FFFFFF"/>
        </w:rPr>
        <w:t>Limitar</w:t>
      </w:r>
      <w:r>
        <w:rPr>
          <w:rFonts w:ascii="Times New Roman" w:hAnsi="Times New Roman" w:cs="Times New Roman"/>
          <w:color w:val="FF0000"/>
          <w:sz w:val="24"/>
          <w:szCs w:val="24"/>
          <w:shd w:val="clear" w:color="auto" w:fill="FFFFFF"/>
        </w:rPr>
        <w:t xml:space="preserve"> </w:t>
      </w:r>
      <w:r w:rsidRPr="00967282">
        <w:rPr>
          <w:rFonts w:ascii="Times New Roman" w:hAnsi="Times New Roman" w:cs="Times New Roman"/>
          <w:color w:val="FF0000"/>
          <w:sz w:val="24"/>
          <w:szCs w:val="24"/>
          <w:shd w:val="clear" w:color="auto" w:fill="FFFFFF"/>
        </w:rPr>
        <w:t>el subsidio de desempleo por agotamiento de la prestación contributiva a un máximo de 6 meses desde la finalización de la prestación por desempleo</w:t>
      </w:r>
    </w:p>
    <w:p w:rsidR="00736F58" w:rsidRPr="003B2C9A" w:rsidRDefault="00736F58" w:rsidP="00736F58">
      <w:pPr>
        <w:spacing w:line="240" w:lineRule="auto"/>
        <w:jc w:val="both"/>
        <w:rPr>
          <w:rFonts w:ascii="Times New Roman" w:hAnsi="Times New Roman" w:cs="Times New Roman"/>
          <w:sz w:val="24"/>
          <w:szCs w:val="24"/>
          <w:shd w:val="clear" w:color="auto" w:fill="FFFFFF"/>
        </w:rPr>
      </w:pPr>
      <w:r w:rsidRPr="003B2C9A">
        <w:rPr>
          <w:rFonts w:ascii="Times New Roman" w:hAnsi="Times New Roman" w:cs="Times New Roman"/>
          <w:sz w:val="24"/>
          <w:szCs w:val="24"/>
          <w:shd w:val="clear" w:color="auto" w:fill="FFFFFF"/>
        </w:rPr>
        <w:t>(Los antecedentes y cuantificación de la prestación</w:t>
      </w:r>
      <w:r>
        <w:rPr>
          <w:rFonts w:ascii="Times New Roman" w:hAnsi="Times New Roman" w:cs="Times New Roman"/>
          <w:sz w:val="24"/>
          <w:szCs w:val="24"/>
          <w:shd w:val="clear" w:color="auto" w:fill="FFFFFF"/>
        </w:rPr>
        <w:t>,</w:t>
      </w:r>
      <w:r w:rsidRPr="003B2C9A">
        <w:rPr>
          <w:rFonts w:ascii="Times New Roman" w:hAnsi="Times New Roman" w:cs="Times New Roman"/>
          <w:sz w:val="24"/>
          <w:szCs w:val="24"/>
          <w:shd w:val="clear" w:color="auto" w:fill="FFFFFF"/>
        </w:rPr>
        <w:t xml:space="preserve"> fueron presentados en la sección anterior)</w:t>
      </w:r>
    </w:p>
    <w:p w:rsidR="00736F58" w:rsidRDefault="00736F58" w:rsidP="00736F58">
      <w:pPr>
        <w:spacing w:line="240" w:lineRule="auto"/>
        <w:jc w:val="both"/>
        <w:rPr>
          <w:rFonts w:ascii="Times New Roman" w:hAnsi="Times New Roman" w:cs="Times New Roman"/>
          <w:color w:val="FF0000"/>
          <w:sz w:val="24"/>
          <w:szCs w:val="24"/>
          <w:shd w:val="clear" w:color="auto" w:fill="FFFFFF"/>
        </w:rPr>
      </w:pPr>
      <w:r w:rsidRPr="00967282">
        <w:rPr>
          <w:rFonts w:ascii="Times New Roman" w:hAnsi="Times New Roman" w:cs="Times New Roman"/>
          <w:color w:val="FF0000"/>
          <w:sz w:val="24"/>
          <w:szCs w:val="24"/>
          <w:shd w:val="clear" w:color="auto" w:fill="FFFFFF"/>
        </w:rPr>
        <w:t>- Las personas que cobren la prestación por desempleo, deberán realizar tareas de asistencia social (controladas) durante los 6 meses (o perderán la prestación)</w:t>
      </w:r>
    </w:p>
    <w:p w:rsidR="00736F58" w:rsidRPr="003B2C9A" w:rsidRDefault="00736F58" w:rsidP="00736F58">
      <w:pPr>
        <w:spacing w:line="240" w:lineRule="auto"/>
        <w:jc w:val="both"/>
        <w:rPr>
          <w:rFonts w:ascii="Times New Roman" w:hAnsi="Times New Roman" w:cs="Times New Roman"/>
          <w:sz w:val="24"/>
          <w:szCs w:val="24"/>
          <w:shd w:val="clear" w:color="auto" w:fill="FFFFFF"/>
        </w:rPr>
      </w:pPr>
      <w:r w:rsidRPr="003B2C9A">
        <w:rPr>
          <w:rFonts w:ascii="Times New Roman" w:hAnsi="Times New Roman" w:cs="Times New Roman"/>
          <w:sz w:val="24"/>
          <w:szCs w:val="24"/>
          <w:shd w:val="clear" w:color="auto" w:fill="FFFFFF"/>
        </w:rPr>
        <w:t xml:space="preserve">En España, las personas mayores necesitan principalmente asistencia domiciliaria, teleasistencia, apoyo económico, atención médica y psicológica, y actividades sociales para mantener una buena calidad de vida. </w:t>
      </w:r>
    </w:p>
    <w:p w:rsidR="00736F58" w:rsidRPr="003B2C9A" w:rsidRDefault="00736F58" w:rsidP="00736F58">
      <w:pPr>
        <w:spacing w:line="240" w:lineRule="auto"/>
        <w:jc w:val="both"/>
        <w:rPr>
          <w:rFonts w:ascii="Times New Roman" w:hAnsi="Times New Roman" w:cs="Times New Roman"/>
          <w:sz w:val="24"/>
          <w:szCs w:val="24"/>
          <w:shd w:val="clear" w:color="auto" w:fill="FFFFFF"/>
        </w:rPr>
      </w:pPr>
      <w:r w:rsidRPr="003B2C9A">
        <w:rPr>
          <w:rFonts w:ascii="Times New Roman" w:hAnsi="Times New Roman" w:cs="Times New Roman"/>
          <w:sz w:val="24"/>
          <w:szCs w:val="24"/>
          <w:shd w:val="clear" w:color="auto" w:fill="FFFFFF"/>
        </w:rPr>
        <w:t xml:space="preserve">Las personas desempleadas que están cobrando el subsidio por desempleo, pueden prestar (durante los 6 meses que dura el subsidio, según lo propuesto) tareas de asistencia social para mayores para cubrir sus necesidades físicas, emocionales y sociales, promoviendo su autonomía y bienestar. </w:t>
      </w:r>
    </w:p>
    <w:p w:rsidR="00736F58" w:rsidRPr="003B2C9A" w:rsidRDefault="00736F58" w:rsidP="00736F58">
      <w:pPr>
        <w:spacing w:line="240" w:lineRule="auto"/>
        <w:jc w:val="both"/>
        <w:rPr>
          <w:rFonts w:ascii="Times New Roman" w:hAnsi="Times New Roman" w:cs="Times New Roman"/>
          <w:sz w:val="24"/>
          <w:szCs w:val="24"/>
          <w:shd w:val="clear" w:color="auto" w:fill="FFFFFF"/>
        </w:rPr>
      </w:pPr>
      <w:r w:rsidRPr="003B2C9A">
        <w:rPr>
          <w:rFonts w:ascii="Times New Roman" w:hAnsi="Times New Roman" w:cs="Times New Roman"/>
          <w:sz w:val="24"/>
          <w:szCs w:val="24"/>
          <w:shd w:val="clear" w:color="auto" w:fill="FFFFFF"/>
        </w:rPr>
        <w:t xml:space="preserve">Ayuda con las tareas diarias: Apoyo para actividades como la higiene personal, la alimentación, la movilidad y las tareas domésticas. </w:t>
      </w:r>
    </w:p>
    <w:p w:rsidR="00736F58" w:rsidRPr="003B2C9A" w:rsidRDefault="00736F58" w:rsidP="00736F58">
      <w:pPr>
        <w:spacing w:line="240" w:lineRule="auto"/>
        <w:jc w:val="both"/>
        <w:rPr>
          <w:rFonts w:ascii="Times New Roman" w:hAnsi="Times New Roman" w:cs="Times New Roman"/>
          <w:sz w:val="24"/>
          <w:szCs w:val="24"/>
          <w:shd w:val="clear" w:color="auto" w:fill="FFFFFF"/>
        </w:rPr>
      </w:pPr>
      <w:r w:rsidRPr="003B2C9A">
        <w:rPr>
          <w:rFonts w:ascii="Times New Roman" w:hAnsi="Times New Roman" w:cs="Times New Roman"/>
          <w:sz w:val="24"/>
          <w:szCs w:val="24"/>
          <w:shd w:val="clear" w:color="auto" w:fill="FFFFFF"/>
        </w:rPr>
        <w:t>Apoyo emocional: Compañía, conversación y actividades que promuevan el bienestar emocional y prevengan la soledad.</w:t>
      </w:r>
    </w:p>
    <w:p w:rsidR="00736F58" w:rsidRDefault="00736F58" w:rsidP="00736F58">
      <w:pPr>
        <w:spacing w:line="240" w:lineRule="auto"/>
        <w:jc w:val="both"/>
        <w:rPr>
          <w:rFonts w:ascii="Times New Roman" w:hAnsi="Times New Roman" w:cs="Times New Roman"/>
          <w:sz w:val="24"/>
          <w:szCs w:val="24"/>
          <w:shd w:val="clear" w:color="auto" w:fill="FFFFFF"/>
        </w:rPr>
      </w:pPr>
      <w:r w:rsidRPr="003B2C9A">
        <w:rPr>
          <w:rFonts w:ascii="Times New Roman" w:hAnsi="Times New Roman" w:cs="Times New Roman"/>
          <w:sz w:val="24"/>
          <w:szCs w:val="24"/>
          <w:shd w:val="clear" w:color="auto" w:fill="FFFFFF"/>
        </w:rPr>
        <w:t xml:space="preserve">Atención médica: acompañar a los pacientes a sus citas médicas, seguimiento de tratamientos, y cuidados sanitarios si es necesario. </w:t>
      </w:r>
    </w:p>
    <w:p w:rsidR="00736F58" w:rsidRPr="00470B83" w:rsidRDefault="00736F58" w:rsidP="00736F58">
      <w:pPr>
        <w:spacing w:line="240" w:lineRule="auto"/>
        <w:jc w:val="both"/>
        <w:rPr>
          <w:rFonts w:ascii="Times New Roman" w:hAnsi="Times New Roman" w:cs="Times New Roman"/>
          <w:color w:val="FF0000"/>
          <w:sz w:val="24"/>
          <w:szCs w:val="24"/>
          <w:shd w:val="clear" w:color="auto" w:fill="FFFFFF"/>
        </w:rPr>
      </w:pPr>
      <w:r w:rsidRPr="00470B83">
        <w:rPr>
          <w:rFonts w:ascii="Times New Roman" w:hAnsi="Times New Roman" w:cs="Times New Roman"/>
          <w:b/>
          <w:color w:val="FF0000"/>
          <w:sz w:val="24"/>
          <w:szCs w:val="24"/>
          <w:shd w:val="clear" w:color="auto" w:fill="FFFFFF"/>
        </w:rPr>
        <w:t>Nota</w:t>
      </w:r>
      <w:r w:rsidR="000058D1">
        <w:rPr>
          <w:rFonts w:ascii="Times New Roman" w:hAnsi="Times New Roman" w:cs="Times New Roman"/>
          <w:color w:val="FF0000"/>
          <w:sz w:val="24"/>
          <w:szCs w:val="24"/>
          <w:shd w:val="clear" w:color="auto" w:fill="FFFFFF"/>
        </w:rPr>
        <w:t>: los</w:t>
      </w:r>
      <w:r w:rsidRPr="00470B83">
        <w:rPr>
          <w:rFonts w:ascii="Times New Roman" w:hAnsi="Times New Roman" w:cs="Times New Roman"/>
          <w:color w:val="FF0000"/>
          <w:sz w:val="24"/>
          <w:szCs w:val="24"/>
          <w:shd w:val="clear" w:color="auto" w:fill="FFFFFF"/>
        </w:rPr>
        <w:t xml:space="preserve"> anterior</w:t>
      </w:r>
      <w:r w:rsidR="000058D1">
        <w:rPr>
          <w:rFonts w:ascii="Times New Roman" w:hAnsi="Times New Roman" w:cs="Times New Roman"/>
          <w:color w:val="FF0000"/>
          <w:sz w:val="24"/>
          <w:szCs w:val="24"/>
          <w:shd w:val="clear" w:color="auto" w:fill="FFFFFF"/>
        </w:rPr>
        <w:t>es, son solo algunos</w:t>
      </w:r>
      <w:r w:rsidRPr="00470B83">
        <w:rPr>
          <w:rFonts w:ascii="Times New Roman" w:hAnsi="Times New Roman" w:cs="Times New Roman"/>
          <w:color w:val="FF0000"/>
          <w:sz w:val="24"/>
          <w:szCs w:val="24"/>
          <w:shd w:val="clear" w:color="auto" w:fill="FFFFFF"/>
        </w:rPr>
        <w:t xml:space="preserve"> ejemplo</w:t>
      </w:r>
      <w:r w:rsidR="000058D1">
        <w:rPr>
          <w:rFonts w:ascii="Times New Roman" w:hAnsi="Times New Roman" w:cs="Times New Roman"/>
          <w:color w:val="FF0000"/>
          <w:sz w:val="24"/>
          <w:szCs w:val="24"/>
          <w:shd w:val="clear" w:color="auto" w:fill="FFFFFF"/>
        </w:rPr>
        <w:t>s</w:t>
      </w:r>
      <w:r w:rsidRPr="00470B83">
        <w:rPr>
          <w:rFonts w:ascii="Times New Roman" w:hAnsi="Times New Roman" w:cs="Times New Roman"/>
          <w:color w:val="FF0000"/>
          <w:sz w:val="24"/>
          <w:szCs w:val="24"/>
          <w:shd w:val="clear" w:color="auto" w:fill="FFFFFF"/>
        </w:rPr>
        <w:t xml:space="preserve"> del tipo de servicio social sustitutorio que puede prestar una persona que esté cobrando el subsidio por desempleo. Hay una serie de alternativas, que pueden resultar de utilidad social (la atención a personas con discapacidad, la protección familiar y el cuidado de niños, el acompañamiento en situaciones críticas como violencia de género, atención a las personas sin hogar, adicciones…). Al final, si el Estado </w:t>
      </w:r>
      <w:r w:rsidRPr="00470B83">
        <w:rPr>
          <w:rFonts w:ascii="Times New Roman" w:hAnsi="Times New Roman" w:cs="Times New Roman"/>
          <w:color w:val="FF0000"/>
          <w:sz w:val="24"/>
          <w:szCs w:val="24"/>
          <w:shd w:val="clear" w:color="auto" w:fill="FFFFFF"/>
        </w:rPr>
        <w:lastRenderedPageBreak/>
        <w:t>paga una asignación a la persona desempleada, bien puede requerir algún tipo de servicio en compensación. Además s</w:t>
      </w:r>
      <w:r>
        <w:rPr>
          <w:rFonts w:ascii="Times New Roman" w:hAnsi="Times New Roman" w:cs="Times New Roman"/>
          <w:color w:val="FF0000"/>
          <w:sz w:val="24"/>
          <w:szCs w:val="24"/>
          <w:shd w:val="clear" w:color="auto" w:fill="FFFFFF"/>
        </w:rPr>
        <w:t>e evita, en cierta</w:t>
      </w:r>
      <w:r w:rsidRPr="00470B83">
        <w:rPr>
          <w:rFonts w:ascii="Times New Roman" w:hAnsi="Times New Roman" w:cs="Times New Roman"/>
          <w:color w:val="FF0000"/>
          <w:sz w:val="24"/>
          <w:szCs w:val="24"/>
          <w:shd w:val="clear" w:color="auto" w:fill="FFFFFF"/>
        </w:rPr>
        <w:t xml:space="preserve"> medida, el abandono de toda rutina laboral, el trabajo en negro, y hasta puede que alguno</w:t>
      </w:r>
      <w:r w:rsidR="000058D1">
        <w:rPr>
          <w:rFonts w:ascii="Times New Roman" w:hAnsi="Times New Roman" w:cs="Times New Roman"/>
          <w:color w:val="FF0000"/>
          <w:sz w:val="24"/>
          <w:szCs w:val="24"/>
          <w:shd w:val="clear" w:color="auto" w:fill="FFFFFF"/>
        </w:rPr>
        <w:t>,</w:t>
      </w:r>
      <w:r w:rsidRPr="00470B83">
        <w:rPr>
          <w:rFonts w:ascii="Times New Roman" w:hAnsi="Times New Roman" w:cs="Times New Roman"/>
          <w:color w:val="FF0000"/>
          <w:sz w:val="24"/>
          <w:szCs w:val="24"/>
          <w:shd w:val="clear" w:color="auto" w:fill="FFFFFF"/>
        </w:rPr>
        <w:t xml:space="preserve"> descubra nuevas motivaciones.</w:t>
      </w:r>
    </w:p>
    <w:p w:rsidR="00736F58" w:rsidRDefault="00736F58" w:rsidP="00736F58">
      <w:pPr>
        <w:spacing w:line="240" w:lineRule="auto"/>
        <w:jc w:val="both"/>
        <w:rPr>
          <w:rFonts w:ascii="Times New Roman" w:hAnsi="Times New Roman" w:cs="Times New Roman"/>
          <w:color w:val="FF0000"/>
          <w:sz w:val="24"/>
          <w:szCs w:val="24"/>
          <w:shd w:val="clear" w:color="auto" w:fill="FFFFFF"/>
        </w:rPr>
      </w:pPr>
      <w:r w:rsidRPr="00967282">
        <w:rPr>
          <w:rFonts w:ascii="Times New Roman" w:hAnsi="Times New Roman" w:cs="Times New Roman"/>
          <w:color w:val="FF0000"/>
          <w:sz w:val="24"/>
          <w:szCs w:val="24"/>
          <w:shd w:val="clear" w:color="auto" w:fill="FFFFFF"/>
        </w:rPr>
        <w:t>- Las personas que cobren el subsidio de desempleo por agotamiento de la prestación contributiva, deberán realizar tareas de asistencia social (controladas) durante los 6 meses (o perderán la prestación)</w:t>
      </w:r>
    </w:p>
    <w:p w:rsidR="00736F58" w:rsidRPr="003279EA" w:rsidRDefault="00736F58" w:rsidP="00736F58">
      <w:pPr>
        <w:spacing w:line="240" w:lineRule="auto"/>
        <w:jc w:val="both"/>
        <w:rPr>
          <w:rFonts w:ascii="Times New Roman" w:hAnsi="Times New Roman" w:cs="Times New Roman"/>
          <w:sz w:val="24"/>
          <w:szCs w:val="24"/>
          <w:shd w:val="clear" w:color="auto" w:fill="FFFFFF"/>
        </w:rPr>
      </w:pPr>
      <w:r w:rsidRPr="003279EA">
        <w:rPr>
          <w:rFonts w:ascii="Times New Roman" w:hAnsi="Times New Roman" w:cs="Times New Roman"/>
          <w:sz w:val="24"/>
          <w:szCs w:val="24"/>
          <w:shd w:val="clear" w:color="auto" w:fill="FFFFFF"/>
        </w:rPr>
        <w:t>(Los antecedentes sobre la prestación social sustitutoria</w:t>
      </w:r>
      <w:r>
        <w:rPr>
          <w:rFonts w:ascii="Times New Roman" w:hAnsi="Times New Roman" w:cs="Times New Roman"/>
          <w:sz w:val="24"/>
          <w:szCs w:val="24"/>
          <w:shd w:val="clear" w:color="auto" w:fill="FFFFFF"/>
        </w:rPr>
        <w:t>,</w:t>
      </w:r>
      <w:r w:rsidRPr="003279EA">
        <w:rPr>
          <w:rFonts w:ascii="Times New Roman" w:hAnsi="Times New Roman" w:cs="Times New Roman"/>
          <w:sz w:val="24"/>
          <w:szCs w:val="24"/>
          <w:shd w:val="clear" w:color="auto" w:fill="FFFFFF"/>
        </w:rPr>
        <w:t xml:space="preserve"> fueron presentados en la sección anterior)</w:t>
      </w:r>
    </w:p>
    <w:p w:rsidR="00736F58" w:rsidRDefault="00736F58" w:rsidP="00736F58">
      <w:pPr>
        <w:spacing w:line="240" w:lineRule="auto"/>
        <w:jc w:val="both"/>
        <w:rPr>
          <w:rFonts w:ascii="Times New Roman" w:hAnsi="Times New Roman" w:cs="Times New Roman"/>
          <w:color w:val="FF0000"/>
          <w:sz w:val="24"/>
          <w:szCs w:val="24"/>
          <w:shd w:val="clear" w:color="auto" w:fill="FFFFFF"/>
        </w:rPr>
      </w:pPr>
      <w:r w:rsidRPr="00967282">
        <w:rPr>
          <w:rFonts w:ascii="Times New Roman" w:hAnsi="Times New Roman" w:cs="Times New Roman"/>
          <w:color w:val="FF0000"/>
          <w:sz w:val="24"/>
          <w:szCs w:val="24"/>
          <w:shd w:val="clear" w:color="auto" w:fill="FFFFFF"/>
        </w:rPr>
        <w:t>- Las personas que cobren la prestación por desempleo estarán oblig</w:t>
      </w:r>
      <w:r>
        <w:rPr>
          <w:rFonts w:ascii="Times New Roman" w:hAnsi="Times New Roman" w:cs="Times New Roman"/>
          <w:color w:val="FF0000"/>
          <w:sz w:val="24"/>
          <w:szCs w:val="24"/>
          <w:shd w:val="clear" w:color="auto" w:fill="FFFFFF"/>
        </w:rPr>
        <w:t xml:space="preserve">adas a </w:t>
      </w:r>
      <w:r w:rsidRPr="00967282">
        <w:rPr>
          <w:rFonts w:ascii="Times New Roman" w:hAnsi="Times New Roman" w:cs="Times New Roman"/>
          <w:color w:val="FF0000"/>
          <w:sz w:val="24"/>
          <w:szCs w:val="24"/>
          <w:shd w:val="clear" w:color="auto" w:fill="FFFFFF"/>
        </w:rPr>
        <w:t>aceptar una oferta de empleo entre las tres primeras que reciban (o perderán la prestación)</w:t>
      </w:r>
    </w:p>
    <w:p w:rsidR="00736F58"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La demanda de empleo es la solicitud personal y voluntaria que</w:t>
      </w:r>
      <w:r>
        <w:rPr>
          <w:rFonts w:ascii="Times New Roman" w:hAnsi="Times New Roman" w:cs="Times New Roman"/>
          <w:sz w:val="24"/>
          <w:szCs w:val="24"/>
          <w:shd w:val="clear" w:color="auto" w:fill="FFFFFF"/>
        </w:rPr>
        <w:t xml:space="preserve"> se realiza</w:t>
      </w:r>
      <w:r w:rsidRPr="00EC3541">
        <w:rPr>
          <w:rFonts w:ascii="Times New Roman" w:hAnsi="Times New Roman" w:cs="Times New Roman"/>
          <w:sz w:val="24"/>
          <w:szCs w:val="24"/>
          <w:shd w:val="clear" w:color="auto" w:fill="FFFFFF"/>
        </w:rPr>
        <w:t xml:space="preserve"> ante la Oficina de Empleo con el objetivo de obten</w:t>
      </w:r>
      <w:r>
        <w:rPr>
          <w:rFonts w:ascii="Times New Roman" w:hAnsi="Times New Roman" w:cs="Times New Roman"/>
          <w:sz w:val="24"/>
          <w:szCs w:val="24"/>
          <w:shd w:val="clear" w:color="auto" w:fill="FFFFFF"/>
        </w:rPr>
        <w:t>er un puesto de trabajo. Se debe</w:t>
      </w:r>
      <w:r w:rsidRPr="00EC3541">
        <w:rPr>
          <w:rFonts w:ascii="Times New Roman" w:hAnsi="Times New Roman" w:cs="Times New Roman"/>
          <w:sz w:val="24"/>
          <w:szCs w:val="24"/>
          <w:shd w:val="clear" w:color="auto" w:fill="FFFFFF"/>
        </w:rPr>
        <w:t xml:space="preserve"> tener en cuenta que para percibir cualquier tipo de prestación o subsidio por desempleo es necesario ser demandante de empleo.</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Ventajas de ser demandante de empleo</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C3541">
        <w:rPr>
          <w:rFonts w:ascii="Times New Roman" w:hAnsi="Times New Roman" w:cs="Times New Roman"/>
          <w:sz w:val="24"/>
          <w:szCs w:val="24"/>
          <w:shd w:val="clear" w:color="auto" w:fill="FFFFFF"/>
        </w:rPr>
        <w:t>Acceso a cursos de formación gratuitos.</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C3541">
        <w:rPr>
          <w:rFonts w:ascii="Times New Roman" w:hAnsi="Times New Roman" w:cs="Times New Roman"/>
          <w:sz w:val="24"/>
          <w:szCs w:val="24"/>
          <w:shd w:val="clear" w:color="auto" w:fill="FFFFFF"/>
        </w:rPr>
        <w:t>Acceso a planes de empleo.</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C3541">
        <w:rPr>
          <w:rFonts w:ascii="Times New Roman" w:hAnsi="Times New Roman" w:cs="Times New Roman"/>
          <w:sz w:val="24"/>
          <w:szCs w:val="24"/>
          <w:shd w:val="clear" w:color="auto" w:fill="FFFFFF"/>
        </w:rPr>
        <w:t>Orientación laboral.</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C3541">
        <w:rPr>
          <w:rFonts w:ascii="Times New Roman" w:hAnsi="Times New Roman" w:cs="Times New Roman"/>
          <w:sz w:val="24"/>
          <w:szCs w:val="24"/>
          <w:shd w:val="clear" w:color="auto" w:fill="FFFFFF"/>
        </w:rPr>
        <w:t>Acceso a formaciones especializadas e intermediación laboral.</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C3541">
        <w:rPr>
          <w:rFonts w:ascii="Times New Roman" w:hAnsi="Times New Roman" w:cs="Times New Roman"/>
          <w:sz w:val="24"/>
          <w:szCs w:val="24"/>
          <w:shd w:val="clear" w:color="auto" w:fill="FFFFFF"/>
        </w:rPr>
        <w:t>Bonificaciones y ayudas de contratación.</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C3541">
        <w:rPr>
          <w:rFonts w:ascii="Times New Roman" w:hAnsi="Times New Roman" w:cs="Times New Roman"/>
          <w:sz w:val="24"/>
          <w:szCs w:val="24"/>
          <w:shd w:val="clear" w:color="auto" w:fill="FFFFFF"/>
        </w:rPr>
        <w:t>Recepción de ofertas específicas.</w:t>
      </w:r>
    </w:p>
    <w:p w:rsidR="00736F58"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C3541">
        <w:rPr>
          <w:rFonts w:ascii="Times New Roman" w:hAnsi="Times New Roman" w:cs="Times New Roman"/>
          <w:sz w:val="24"/>
          <w:szCs w:val="24"/>
          <w:shd w:val="clear" w:color="auto" w:fill="FFFFFF"/>
        </w:rPr>
        <w:t>Acceso al “Sistema de Garantía Juvenil” (menores de 30 años)</w:t>
      </w:r>
    </w:p>
    <w:p w:rsidR="00736F58"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Una vez inscrito como demandante de empleo, es obligatorio renovar la demanda de empleo cada tres meses.</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 xml:space="preserve">El porcentaje del empleo que se obtiene a través del SEPE (Servicio Público de Empleo Estatal) es relativamente bajo. En algunos casos se ha reportado que solo logra colocar a 1 de cada 100 personas desempleadas, según El Economista y La Vanguardia. Esto significa que la mayoría de las personas desempleadas encuentran empleo por otros medios, como a través de contactos personales, empresas privadas de empleo o por su propia cuenta. </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 xml:space="preserve">El SEPE se encarga principalmente de gestionar las prestaciones por desempleo y de ofrecer servicios de intermediación laboral, pero su capacidad para colocar a las personas desempleadas en puestos de trabajo es limitada. </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 xml:space="preserve">Es importante mencionar que el SEPE ha sido objeto de críticas y reformas en los últimos años, precisamente por su baja eficacia en la intermediación laboral, señala El Economista. </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En resumen, aunque el SEPE juega un papel importante en la gestión del desempleo, su impacto directo en la colocación de personas desempleadas es menor en comparación con otros canales de búsqueda de empleo.</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EC3541">
        <w:rPr>
          <w:rFonts w:ascii="Times New Roman" w:hAnsi="Times New Roman" w:cs="Times New Roman"/>
          <w:sz w:val="24"/>
          <w:szCs w:val="24"/>
          <w:u w:val="single"/>
          <w:shd w:val="clear" w:color="auto" w:fill="FFFFFF"/>
        </w:rPr>
        <w:t>La reforma del SEPE fracasa: apenas encuentra empleo a 1 de cada 100 parados</w:t>
      </w:r>
      <w:r>
        <w:rPr>
          <w:rFonts w:ascii="Times New Roman" w:hAnsi="Times New Roman" w:cs="Times New Roman"/>
          <w:sz w:val="24"/>
          <w:szCs w:val="24"/>
          <w:shd w:val="clear" w:color="auto" w:fill="FFFFFF"/>
        </w:rPr>
        <w:t xml:space="preserve"> (El Economista - </w:t>
      </w:r>
      <w:r w:rsidRPr="00EC3541">
        <w:rPr>
          <w:rFonts w:ascii="Times New Roman" w:hAnsi="Times New Roman" w:cs="Times New Roman"/>
          <w:b/>
          <w:sz w:val="24"/>
          <w:szCs w:val="24"/>
          <w:shd w:val="clear" w:color="auto" w:fill="FFFFFF"/>
        </w:rPr>
        <w:t>29/8/23</w:t>
      </w:r>
      <w:r>
        <w:rPr>
          <w:rFonts w:ascii="Times New Roman" w:hAnsi="Times New Roman" w:cs="Times New Roman"/>
          <w:sz w:val="24"/>
          <w:szCs w:val="24"/>
          <w:shd w:val="clear" w:color="auto" w:fill="FFFFFF"/>
        </w:rPr>
        <w:t>)</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Intermedian en un 10% menos de colocaciones que hace un año</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Las ofertas disponibles caen un 9,9% y un tercio están en el sector público</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EC3541">
        <w:rPr>
          <w:rFonts w:ascii="Times New Roman" w:hAnsi="Times New Roman" w:cs="Times New Roman"/>
          <w:sz w:val="24"/>
          <w:szCs w:val="24"/>
          <w:shd w:val="clear" w:color="auto" w:fill="FFFFFF"/>
        </w:rPr>
        <w:t>Javier Esteban</w:t>
      </w:r>
      <w:r>
        <w:rPr>
          <w:rFonts w:ascii="Times New Roman" w:hAnsi="Times New Roman" w:cs="Times New Roman"/>
          <w:sz w:val="24"/>
          <w:szCs w:val="24"/>
          <w:shd w:val="clear" w:color="auto" w:fill="FFFFFF"/>
        </w:rPr>
        <w:t>)</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La de los servicios públicos de empleo fue la última gran reforma aprobada por el Ministerio de Trabajo y Economía Social en la anterior Legislatura. Se consagró en la Ley de Empleo que entró en vigor el 1 de marzo y se ha venido desarrollando en una serie de reglamentos y planes regados con el reparto de 2.800 millones de euros a las comunidades aprobado en abril, justo antes de las elecciones autonómicas. Sin embargo, los principales beneficiarios, los desempleados, no han notado ninguna mejoría. Se puede</w:t>
      </w:r>
      <w:r>
        <w:rPr>
          <w:rFonts w:ascii="Times New Roman" w:hAnsi="Times New Roman" w:cs="Times New Roman"/>
          <w:sz w:val="24"/>
          <w:szCs w:val="24"/>
          <w:shd w:val="clear" w:color="auto" w:fill="FFFFFF"/>
        </w:rPr>
        <w:t xml:space="preserve"> decir, incluso, lo contrario. </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De hecho, los demandantes de empleo colocados gracias a las ofertas que les hicieron llegar las oficinas públicas de empleo en el pasado mes de julio, lo que se conoce como intermediación directa, apenas llegaron a las 37.262, un 10% menos que hace un año.</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Una cifra que equivale al 0,87% del total de personas que estaban inscritas como demandantes en el mes anterior y al 1,3% de los parados registrados. Hace un año, estos porcentajes eran del 0,96% y del 1,43%, respectivamente.</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 xml:space="preserve">Se trata de una evolución que confirma que tras las medidas impulsadas por Yolanda Díaz no es que todo siga igual: es que incluso funciona algo peor. Ello a pesar de que la reforma, comprometida con la Comisión Europea, que lleva lustros advirtiendo sobre la eficacia de los servicios públicos de empleo españoles, estaba considerada como una de las más ambiciosas en la historia laboral de nuestro país no solo por el propio  Gobierno: también por los responsables autonómicos que tienen transferidas las </w:t>
      </w:r>
      <w:r>
        <w:rPr>
          <w:rFonts w:ascii="Times New Roman" w:hAnsi="Times New Roman" w:cs="Times New Roman"/>
          <w:sz w:val="24"/>
          <w:szCs w:val="24"/>
          <w:shd w:val="clear" w:color="auto" w:fill="FFFFFF"/>
        </w:rPr>
        <w:t>competencias en esta materia.</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Precisamente, uno de los principales ejes de la Ley de Empleo es la transformación del Servicio Público de Empleo Estatal (SEPE) en una Agencia Española de Empleo, que nace con el objeto de mejorar la coordinación entre las oficinas de empleo públicas</w:t>
      </w:r>
      <w:r>
        <w:rPr>
          <w:rFonts w:ascii="Times New Roman" w:hAnsi="Times New Roman" w:cs="Times New Roman"/>
          <w:sz w:val="24"/>
          <w:szCs w:val="24"/>
          <w:shd w:val="clear" w:color="auto" w:fill="FFFFFF"/>
        </w:rPr>
        <w:t>,</w:t>
      </w:r>
      <w:r w:rsidRPr="00EC3541">
        <w:rPr>
          <w:rFonts w:ascii="Times New Roman" w:hAnsi="Times New Roman" w:cs="Times New Roman"/>
          <w:sz w:val="24"/>
          <w:szCs w:val="24"/>
          <w:shd w:val="clear" w:color="auto" w:fill="FFFFFF"/>
        </w:rPr>
        <w:t xml:space="preserve"> estatales y autonómicas, así como su eficacia</w:t>
      </w:r>
      <w:r>
        <w:rPr>
          <w:rFonts w:ascii="Times New Roman" w:hAnsi="Times New Roman" w:cs="Times New Roman"/>
          <w:sz w:val="24"/>
          <w:szCs w:val="24"/>
          <w:shd w:val="clear" w:color="auto" w:fill="FFFFFF"/>
        </w:rPr>
        <w:t>…</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315077">
        <w:rPr>
          <w:rFonts w:ascii="Times New Roman" w:hAnsi="Times New Roman" w:cs="Times New Roman"/>
          <w:noProof/>
          <w:sz w:val="24"/>
          <w:szCs w:val="24"/>
          <w:shd w:val="clear" w:color="auto" w:fill="FFFFFF"/>
          <w:lang w:eastAsia="es-ES"/>
        </w:rPr>
        <w:drawing>
          <wp:inline distT="0" distB="0" distL="0" distR="0" wp14:anchorId="4FB1ACC6" wp14:editId="6E3E04D7">
            <wp:extent cx="5734049" cy="2870200"/>
            <wp:effectExtent l="0" t="0" r="635"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731510" cy="2868929"/>
                    </a:xfrm>
                    <a:prstGeom prst="rect">
                      <a:avLst/>
                    </a:prstGeom>
                  </pic:spPr>
                </pic:pic>
              </a:graphicData>
            </a:graphic>
          </wp:inline>
        </w:drawing>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lastRenderedPageBreak/>
        <w:t>Las empresas no comparten vacantes</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En cualquier caso, el termómetro que usan los desempleados para valorar la eficacia de los servicios públicos de empleo son las oportunidades de empleo que estos les brindan. Y, en este sentido, algo que sí queda rotundamente claro es que no se ha cumplido uno de los objetivos explícitos de la norma:</w:t>
      </w:r>
      <w:r>
        <w:rPr>
          <w:rFonts w:ascii="Times New Roman" w:hAnsi="Times New Roman" w:cs="Times New Roman"/>
          <w:sz w:val="24"/>
          <w:szCs w:val="24"/>
          <w:shd w:val="clear" w:color="auto" w:fill="FFFFFF"/>
        </w:rPr>
        <w:t xml:space="preserve"> aumentar el número de ofertas.</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La reforma prometía introducir fórmulas para que las empresas notifiquen todas sus vacantes a los servicios públicos de empleo. Pero esto no se ha materializado. En julio, los servicios públicos de empleo registraron 44.557 nuevas altas de vacantes, un 9,9% menos que, en el mismo mes de 2022. Una evolución que no deja de ser sorprendente en un momento en el que la demanda de mano de obra, según las propias empresas, está alcanzado niveles históricos. Parece que no confían en los servicios públicos de empleo: de hecho, el 31% de las vacantes corresponden a las administraciones públicas (sin contar educación y sanidad).</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Esto perjudica a los desempleados: las ofertas puestas a disposición para gestión de los servicios públicos de empleo en julio apenas llegan al 1,03% de los demandantes y al 1,6% de los parados, ambos porcentajes inferiores a los de hace un año.</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315077">
        <w:rPr>
          <w:rFonts w:ascii="Times New Roman" w:hAnsi="Times New Roman" w:cs="Times New Roman"/>
          <w:noProof/>
          <w:sz w:val="24"/>
          <w:szCs w:val="24"/>
          <w:shd w:val="clear" w:color="auto" w:fill="FFFFFF"/>
          <w:lang w:eastAsia="es-ES"/>
        </w:rPr>
        <w:drawing>
          <wp:inline distT="0" distB="0" distL="0" distR="0" wp14:anchorId="2B0A5A6C" wp14:editId="473BAC16">
            <wp:extent cx="5727700" cy="2851150"/>
            <wp:effectExtent l="0" t="0" r="6350" b="635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731510" cy="2853047"/>
                    </a:xfrm>
                    <a:prstGeom prst="rect">
                      <a:avLst/>
                    </a:prstGeom>
                  </pic:spPr>
                </pic:pic>
              </a:graphicData>
            </a:graphic>
          </wp:inline>
        </w:drawing>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 xml:space="preserve">Y aun así, no todas se cubren. Y es que en el mismo mes se registraron 45.831 bajas de estas ofertas (un 9,3% menos que hace un año), pero de estas, un 10% no se cubrieron con un empleo (de una persona apuntada al paro o no), sino que fueron retiradas por </w:t>
      </w:r>
      <w:r>
        <w:rPr>
          <w:rFonts w:ascii="Times New Roman" w:hAnsi="Times New Roman" w:cs="Times New Roman"/>
          <w:sz w:val="24"/>
          <w:szCs w:val="24"/>
          <w:shd w:val="clear" w:color="auto" w:fill="FFFFFF"/>
        </w:rPr>
        <w:t>las empresas por otros motivos.</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Efecto residual en el empleo</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El Ministerio de Trabajo y las comunidades autónomas recuerdan que la presentación de oferta</w:t>
      </w:r>
      <w:r>
        <w:rPr>
          <w:rFonts w:ascii="Times New Roman" w:hAnsi="Times New Roman" w:cs="Times New Roman"/>
          <w:sz w:val="24"/>
          <w:szCs w:val="24"/>
          <w:shd w:val="clear" w:color="auto" w:fill="FFFFFF"/>
        </w:rPr>
        <w:t>s a los parados, la denominada “intermediación”</w:t>
      </w:r>
      <w:r w:rsidRPr="00EC3541">
        <w:rPr>
          <w:rFonts w:ascii="Times New Roman" w:hAnsi="Times New Roman" w:cs="Times New Roman"/>
          <w:sz w:val="24"/>
          <w:szCs w:val="24"/>
          <w:shd w:val="clear" w:color="auto" w:fill="FFFFFF"/>
        </w:rPr>
        <w:t>, no es la única manera desempleados. También están los cursos de formación y el diseño de planes e incentivos a la contratación, con un result</w:t>
      </w:r>
      <w:r>
        <w:rPr>
          <w:rFonts w:ascii="Times New Roman" w:hAnsi="Times New Roman" w:cs="Times New Roman"/>
          <w:sz w:val="24"/>
          <w:szCs w:val="24"/>
          <w:shd w:val="clear" w:color="auto" w:fill="FFFFFF"/>
        </w:rPr>
        <w:t>ado desigual según cada región.</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 xml:space="preserve">En cualquier caso, los datos de empleo total creado por actuaciones por los servicios públicos tampoco parecen positivos. Según el Instituto Nacional de Estadísticas, en 2022 solo el 1,9 de los 17,1 millones de asalariados españoles declaraban haber encontrado su trabajo gracias a </w:t>
      </w:r>
      <w:r w:rsidRPr="00EC3541">
        <w:rPr>
          <w:rFonts w:ascii="Times New Roman" w:hAnsi="Times New Roman" w:cs="Times New Roman"/>
          <w:sz w:val="24"/>
          <w:szCs w:val="24"/>
          <w:shd w:val="clear" w:color="auto" w:fill="FFFFFF"/>
        </w:rPr>
        <w:lastRenderedPageBreak/>
        <w:t>una oficina pública de empleo. Un porcentaje que no ha hecho sino reducirse desde el máximo del 3,2% de 2007. Está por ver si en el últim</w:t>
      </w:r>
      <w:r>
        <w:rPr>
          <w:rFonts w:ascii="Times New Roman" w:hAnsi="Times New Roman" w:cs="Times New Roman"/>
          <w:sz w:val="24"/>
          <w:szCs w:val="24"/>
          <w:shd w:val="clear" w:color="auto" w:fill="FFFFFF"/>
        </w:rPr>
        <w:t>o año la situación ha mejorado.</w:t>
      </w:r>
    </w:p>
    <w:p w:rsidR="00736F58" w:rsidRPr="00EC3541" w:rsidRDefault="00736F58" w:rsidP="00736F58">
      <w:pPr>
        <w:spacing w:line="240" w:lineRule="auto"/>
        <w:jc w:val="both"/>
        <w:rPr>
          <w:rFonts w:ascii="Times New Roman" w:hAnsi="Times New Roman" w:cs="Times New Roman"/>
          <w:sz w:val="24"/>
          <w:szCs w:val="24"/>
          <w:shd w:val="clear" w:color="auto" w:fill="FFFFFF"/>
        </w:rPr>
      </w:pPr>
      <w:r w:rsidRPr="00EC3541">
        <w:rPr>
          <w:rFonts w:ascii="Times New Roman" w:hAnsi="Times New Roman" w:cs="Times New Roman"/>
          <w:sz w:val="24"/>
          <w:szCs w:val="24"/>
          <w:shd w:val="clear" w:color="auto" w:fill="FFFFFF"/>
        </w:rPr>
        <w:t>Y es que el nulo efecto de la Ley de Empleo en la eficacia de los servicios públicos de empleo resulta difícil de justificar. Según el Gobierno ahora en funciones, las elecciones autonómicas de mayo y legislativas de julio han bloqueado los avances para la implantación de la reforma, a lo que se suma la constitución de los nuevos ejecutivos autonómicos.</w:t>
      </w:r>
    </w:p>
    <w:p w:rsidR="00736F58"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Ello a </w:t>
      </w:r>
      <w:r w:rsidRPr="00EC3541">
        <w:rPr>
          <w:rFonts w:ascii="Times New Roman" w:hAnsi="Times New Roman" w:cs="Times New Roman"/>
          <w:sz w:val="24"/>
          <w:szCs w:val="24"/>
          <w:shd w:val="clear" w:color="auto" w:fill="FFFFFF"/>
        </w:rPr>
        <w:t>pesar de que la norma estaba en vigor y ya había echado a andar junto varios desarrollos reglamentarios y la actualización de los planes de empleo pactados con las comunidades (incluyendo su dotación presupuestaria) antes de las elecciones. Aunque no se ha completado la creación de la Agencia Española de Empleo (pese a estar prevista para este año recogida en los Presupuestos para 2023), la propia Ley de Empleo establecía un periodo transitorio en el que el SEPE ha asumido sus nuevas funciones.</w:t>
      </w:r>
    </w:p>
    <w:p w:rsidR="00736F58" w:rsidRPr="00040E95" w:rsidRDefault="00736F58" w:rsidP="00736F5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40E95">
        <w:rPr>
          <w:rFonts w:ascii="Times New Roman" w:hAnsi="Times New Roman" w:cs="Times New Roman"/>
          <w:sz w:val="24"/>
          <w:szCs w:val="24"/>
          <w:u w:val="single"/>
        </w:rPr>
        <w:t>El IMV disminuye un 12% la probabilidad de trabajar, según Airef</w:t>
      </w:r>
      <w:r>
        <w:rPr>
          <w:rFonts w:ascii="Times New Roman" w:hAnsi="Times New Roman" w:cs="Times New Roman"/>
          <w:sz w:val="24"/>
          <w:szCs w:val="24"/>
        </w:rPr>
        <w:t xml:space="preserve"> (El Economista - </w:t>
      </w:r>
      <w:r w:rsidRPr="00040E95">
        <w:rPr>
          <w:rFonts w:ascii="Times New Roman" w:hAnsi="Times New Roman" w:cs="Times New Roman"/>
          <w:b/>
          <w:sz w:val="24"/>
          <w:szCs w:val="24"/>
        </w:rPr>
        <w:t>9/7/25</w:t>
      </w:r>
      <w:r>
        <w:rPr>
          <w:rFonts w:ascii="Times New Roman" w:hAnsi="Times New Roman" w:cs="Times New Roman"/>
          <w:sz w:val="24"/>
          <w:szCs w:val="24"/>
        </w:rPr>
        <w:t>)</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Reduce los días trabajados en 0,6 al mes, un 11%</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La autoridad fiscal pide una reformulación del incentivo al empleo</w:t>
      </w:r>
    </w:p>
    <w:p w:rsidR="00736F58" w:rsidRPr="00040E95" w:rsidRDefault="00736F58" w:rsidP="00736F5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40E95">
        <w:rPr>
          <w:rFonts w:ascii="Times New Roman" w:hAnsi="Times New Roman" w:cs="Times New Roman"/>
          <w:sz w:val="24"/>
          <w:szCs w:val="24"/>
        </w:rPr>
        <w:t>Blanca Martínez Mingo</w:t>
      </w:r>
      <w:r>
        <w:rPr>
          <w:rFonts w:ascii="Times New Roman" w:hAnsi="Times New Roman" w:cs="Times New Roman"/>
          <w:sz w:val="24"/>
          <w:szCs w:val="24"/>
        </w:rPr>
        <w:t>)</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El hecho de recibir el Ingreso Mínimo Vital (IMV) disminuye la probabilidad de trabaj</w:t>
      </w:r>
      <w:r>
        <w:rPr>
          <w:rFonts w:ascii="Times New Roman" w:hAnsi="Times New Roman" w:cs="Times New Roman"/>
          <w:sz w:val="24"/>
          <w:szCs w:val="24"/>
        </w:rPr>
        <w:t>ar en tres puntos porcentuales -</w:t>
      </w:r>
      <w:r w:rsidRPr="00040E95">
        <w:rPr>
          <w:rFonts w:ascii="Times New Roman" w:hAnsi="Times New Roman" w:cs="Times New Roman"/>
          <w:sz w:val="24"/>
          <w:szCs w:val="24"/>
        </w:rPr>
        <w:t>una caída del 12% respecto al porcentaje de titulares con trabajo</w:t>
      </w:r>
      <w:r>
        <w:rPr>
          <w:rFonts w:ascii="Times New Roman" w:hAnsi="Times New Roman" w:cs="Times New Roman"/>
          <w:sz w:val="24"/>
          <w:szCs w:val="24"/>
        </w:rPr>
        <w:t xml:space="preserve"> antes de recibir la prestación-</w:t>
      </w:r>
      <w:r w:rsidRPr="00040E95">
        <w:rPr>
          <w:rFonts w:ascii="Times New Roman" w:hAnsi="Times New Roman" w:cs="Times New Roman"/>
          <w:sz w:val="24"/>
          <w:szCs w:val="24"/>
        </w:rPr>
        <w:t xml:space="preserve"> y los días trabajados en 0,6 al mes –un 11%–. Son las principales conclusiones de la Cuarta Opinión del IMV de la Autoridad Independiente de Responsabilidad Fiscal (Airef) publicada esta mañana y que se centra, precisamente, en los efectos de la medida en el mercado laboral. Unos efectos negativos en el empleo que</w:t>
      </w:r>
      <w:r w:rsidR="000058D1">
        <w:rPr>
          <w:rFonts w:ascii="Times New Roman" w:hAnsi="Times New Roman" w:cs="Times New Roman"/>
          <w:sz w:val="24"/>
          <w:szCs w:val="24"/>
        </w:rPr>
        <w:t>, según el organismo, han sido “estables”</w:t>
      </w:r>
      <w:r w:rsidRPr="00040E95">
        <w:rPr>
          <w:rFonts w:ascii="Times New Roman" w:hAnsi="Times New Roman" w:cs="Times New Roman"/>
          <w:sz w:val="24"/>
          <w:szCs w:val="24"/>
        </w:rPr>
        <w:t xml:space="preserve"> desde la entrada en vigor de la</w:t>
      </w:r>
      <w:r>
        <w:rPr>
          <w:rFonts w:ascii="Times New Roman" w:hAnsi="Times New Roman" w:cs="Times New Roman"/>
          <w:sz w:val="24"/>
          <w:szCs w:val="24"/>
        </w:rPr>
        <w:t xml:space="preserve"> prestación hace ya cinco años.</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El impacto de la prestación en el empleo, sin embargo, es desigual y es más acusado en el caso de los menores de 30, los hogares monoparentales y los beneficiarios que reciben mayor cuantía. Todos ellos llegan a desincentivar la participación laboral en cifras superiores al 20%. En concreto, la probabilidad de trabajar cae un 29% para los mayores de 30 años, un 23% para aquellos con mayor renta y un 19% p</w:t>
      </w:r>
      <w:r>
        <w:rPr>
          <w:rFonts w:ascii="Times New Roman" w:hAnsi="Times New Roman" w:cs="Times New Roman"/>
          <w:sz w:val="24"/>
          <w:szCs w:val="24"/>
        </w:rPr>
        <w:t>ara los hogares monoparentales.</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La situación es similar para la reducción de horas, donde el cobro del IMV en este mismo perfil supone una caída del 20% en las horas trabajadas al mes. En este sentido, el organismo también concluye que cesar la percepción aumenta los días trabajados en 0,5 al mes y la probabilidad de trabajar en 2,2 puntos porcentuales (un 7 %).</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Unos efectos que, tal y como ex</w:t>
      </w:r>
      <w:r>
        <w:rPr>
          <w:rFonts w:ascii="Times New Roman" w:hAnsi="Times New Roman" w:cs="Times New Roman"/>
          <w:sz w:val="24"/>
          <w:szCs w:val="24"/>
        </w:rPr>
        <w:t>plica la Airef en la Opinión, “s</w:t>
      </w:r>
      <w:r w:rsidRPr="00040E95">
        <w:rPr>
          <w:rFonts w:ascii="Times New Roman" w:hAnsi="Times New Roman" w:cs="Times New Roman"/>
          <w:sz w:val="24"/>
          <w:szCs w:val="24"/>
        </w:rPr>
        <w:t>e mantienen en las cohortes que comenzaron a percibir el IMV tras la entrada en vigor del incentivo al empleo en enero de 2023, lo cual evidencia la persistencia del impacto desincentivador y la redu</w:t>
      </w:r>
      <w:r>
        <w:rPr>
          <w:rFonts w:ascii="Times New Roman" w:hAnsi="Times New Roman" w:cs="Times New Roman"/>
          <w:sz w:val="24"/>
          <w:szCs w:val="24"/>
        </w:rPr>
        <w:t>cida eficacia de este mecanismo”. Una conclusión que “no sorprende”</w:t>
      </w:r>
      <w:r w:rsidRPr="00040E95">
        <w:rPr>
          <w:rFonts w:ascii="Times New Roman" w:hAnsi="Times New Roman" w:cs="Times New Roman"/>
          <w:sz w:val="24"/>
          <w:szCs w:val="24"/>
        </w:rPr>
        <w:t xml:space="preserve"> según la presidenta de la Airef, Cristina Herrero. De hecho, la literatura económica ya había encontrado efectos de desincentivo en prestaciones dirigidas a garan</w:t>
      </w:r>
      <w:r>
        <w:rPr>
          <w:rFonts w:ascii="Times New Roman" w:hAnsi="Times New Roman" w:cs="Times New Roman"/>
          <w:sz w:val="24"/>
          <w:szCs w:val="24"/>
        </w:rPr>
        <w:t>tizar un nivel mínimo de renta.</w:t>
      </w:r>
    </w:p>
    <w:p w:rsidR="00736F58" w:rsidRPr="00040E95" w:rsidRDefault="00736F58" w:rsidP="00736F5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40E95">
        <w:rPr>
          <w:rFonts w:ascii="Times New Roman" w:hAnsi="Times New Roman" w:cs="Times New Roman"/>
          <w:sz w:val="24"/>
          <w:szCs w:val="24"/>
        </w:rPr>
        <w:t>Es un peaje que hay que pagar por tener prestaciones de esta naturaleza, pero si se pone una medida para mitigar es</w:t>
      </w:r>
      <w:r>
        <w:rPr>
          <w:rFonts w:ascii="Times New Roman" w:hAnsi="Times New Roman" w:cs="Times New Roman"/>
          <w:sz w:val="24"/>
          <w:szCs w:val="24"/>
        </w:rPr>
        <w:t>te efecto, tiene que ser eficaz”</w:t>
      </w:r>
      <w:r w:rsidRPr="00040E95">
        <w:rPr>
          <w:rFonts w:ascii="Times New Roman" w:hAnsi="Times New Roman" w:cs="Times New Roman"/>
          <w:sz w:val="24"/>
          <w:szCs w:val="24"/>
        </w:rPr>
        <w:t xml:space="preserve">, dijo en la presentación del documento, refiriéndose al incentivo al empleo. Fuentes del Ministerio de Seguridad Social, por su parte, </w:t>
      </w:r>
      <w:r>
        <w:rPr>
          <w:rFonts w:ascii="Times New Roman" w:hAnsi="Times New Roman" w:cs="Times New Roman"/>
          <w:sz w:val="24"/>
          <w:szCs w:val="24"/>
        </w:rPr>
        <w:lastRenderedPageBreak/>
        <w:t>aseguran que “</w:t>
      </w:r>
      <w:r w:rsidRPr="00040E95">
        <w:rPr>
          <w:rFonts w:ascii="Times New Roman" w:hAnsi="Times New Roman" w:cs="Times New Roman"/>
          <w:sz w:val="24"/>
          <w:szCs w:val="24"/>
        </w:rPr>
        <w:t>la evaluación del incentivo es demasiado tempra</w:t>
      </w:r>
      <w:r>
        <w:rPr>
          <w:rFonts w:ascii="Times New Roman" w:hAnsi="Times New Roman" w:cs="Times New Roman"/>
          <w:sz w:val="24"/>
          <w:szCs w:val="24"/>
        </w:rPr>
        <w:t>na” ya que la Airef “</w:t>
      </w:r>
      <w:r w:rsidRPr="00040E95">
        <w:rPr>
          <w:rFonts w:ascii="Times New Roman" w:hAnsi="Times New Roman" w:cs="Times New Roman"/>
          <w:sz w:val="24"/>
          <w:szCs w:val="24"/>
        </w:rPr>
        <w:t>solo dispone de dat</w:t>
      </w:r>
      <w:r>
        <w:rPr>
          <w:rFonts w:ascii="Times New Roman" w:hAnsi="Times New Roman" w:cs="Times New Roman"/>
          <w:sz w:val="24"/>
          <w:szCs w:val="24"/>
        </w:rPr>
        <w:t>os del primer año de aplicación”</w:t>
      </w:r>
      <w:r w:rsidRPr="00040E95">
        <w:rPr>
          <w:rFonts w:ascii="Times New Roman" w:hAnsi="Times New Roman" w:cs="Times New Roman"/>
          <w:sz w:val="24"/>
          <w:szCs w:val="24"/>
        </w:rPr>
        <w:t xml:space="preserve">. Algo a lo que Herrero responde que, </w:t>
      </w:r>
      <w:r>
        <w:rPr>
          <w:rFonts w:ascii="Times New Roman" w:hAnsi="Times New Roman" w:cs="Times New Roman"/>
          <w:sz w:val="24"/>
          <w:szCs w:val="24"/>
        </w:rPr>
        <w:t>el problema es de diseño y que “</w:t>
      </w:r>
      <w:r w:rsidRPr="00040E95">
        <w:rPr>
          <w:rFonts w:ascii="Times New Roman" w:hAnsi="Times New Roman" w:cs="Times New Roman"/>
          <w:sz w:val="24"/>
          <w:szCs w:val="24"/>
        </w:rPr>
        <w:t>cuanto antes se actúe mej</w:t>
      </w:r>
      <w:r>
        <w:rPr>
          <w:rFonts w:ascii="Times New Roman" w:hAnsi="Times New Roman" w:cs="Times New Roman"/>
          <w:sz w:val="24"/>
          <w:szCs w:val="24"/>
        </w:rPr>
        <w:t>or”.</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Rediseñar el incentivo</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La principal recomendación emitida por la Airef se ha enfocado la reformulación completa del diseño del incentivo al empleo del IMV. Una propuesta que incide en la finalidad de que este mecanismo sea visible para todos los potenciales beneficiarios, transparente en su duración y modulable según el momento de incorporación laboral</w:t>
      </w:r>
      <w:r>
        <w:rPr>
          <w:rFonts w:ascii="Times New Roman" w:hAnsi="Times New Roman" w:cs="Times New Roman"/>
          <w:sz w:val="24"/>
          <w:szCs w:val="24"/>
        </w:rPr>
        <w:t xml:space="preserve"> y la intensidad de la jornada.</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Para Herrero, la eva</w:t>
      </w:r>
      <w:r>
        <w:rPr>
          <w:rFonts w:ascii="Times New Roman" w:hAnsi="Times New Roman" w:cs="Times New Roman"/>
          <w:sz w:val="24"/>
          <w:szCs w:val="24"/>
        </w:rPr>
        <w:t>luación expuesta por la Airef, “</w:t>
      </w:r>
      <w:r w:rsidRPr="00040E95">
        <w:rPr>
          <w:rFonts w:ascii="Times New Roman" w:hAnsi="Times New Roman" w:cs="Times New Roman"/>
          <w:sz w:val="24"/>
          <w:szCs w:val="24"/>
        </w:rPr>
        <w:t>plantea serias dudas sobre la e</w:t>
      </w:r>
      <w:r>
        <w:rPr>
          <w:rFonts w:ascii="Times New Roman" w:hAnsi="Times New Roman" w:cs="Times New Roman"/>
          <w:sz w:val="24"/>
          <w:szCs w:val="24"/>
        </w:rPr>
        <w:t>ficacia del incentivo al empleo”</w:t>
      </w:r>
      <w:r w:rsidRPr="00040E95">
        <w:rPr>
          <w:rFonts w:ascii="Times New Roman" w:hAnsi="Times New Roman" w:cs="Times New Roman"/>
          <w:sz w:val="24"/>
          <w:szCs w:val="24"/>
        </w:rPr>
        <w:t>. Un mecanismo cuyo objetivo es mitigar dicho efecto desincentivador. Según Herrero, el incenti</w:t>
      </w:r>
      <w:r>
        <w:rPr>
          <w:rFonts w:ascii="Times New Roman" w:hAnsi="Times New Roman" w:cs="Times New Roman"/>
          <w:sz w:val="24"/>
          <w:szCs w:val="24"/>
        </w:rPr>
        <w:t>vo “</w:t>
      </w:r>
      <w:r w:rsidRPr="00040E95">
        <w:rPr>
          <w:rFonts w:ascii="Times New Roman" w:hAnsi="Times New Roman" w:cs="Times New Roman"/>
          <w:sz w:val="24"/>
          <w:szCs w:val="24"/>
        </w:rPr>
        <w:t>no ha generado impactos significativos ni sobre la intensidad laboral ni sob</w:t>
      </w:r>
      <w:r>
        <w:rPr>
          <w:rFonts w:ascii="Times New Roman" w:hAnsi="Times New Roman" w:cs="Times New Roman"/>
          <w:sz w:val="24"/>
          <w:szCs w:val="24"/>
        </w:rPr>
        <w:t>re las tasas de participación”.</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 xml:space="preserve">Asimismo, el organismo ha planteado dudas sobre </w:t>
      </w:r>
      <w:r>
        <w:rPr>
          <w:rFonts w:ascii="Times New Roman" w:hAnsi="Times New Roman" w:cs="Times New Roman"/>
          <w:sz w:val="24"/>
          <w:szCs w:val="24"/>
        </w:rPr>
        <w:t>algunas cuestiones como el que “</w:t>
      </w:r>
      <w:r w:rsidRPr="00040E95">
        <w:rPr>
          <w:rFonts w:ascii="Times New Roman" w:hAnsi="Times New Roman" w:cs="Times New Roman"/>
          <w:sz w:val="24"/>
          <w:szCs w:val="24"/>
        </w:rPr>
        <w:t>se utilice información fisca</w:t>
      </w:r>
      <w:r w:rsidR="002B7B12">
        <w:rPr>
          <w:rFonts w:ascii="Times New Roman" w:hAnsi="Times New Roman" w:cs="Times New Roman"/>
          <w:sz w:val="24"/>
          <w:szCs w:val="24"/>
        </w:rPr>
        <w:t>l desfasada (de dos años antes)”, que el incentivo “</w:t>
      </w:r>
      <w:r w:rsidRPr="00040E95">
        <w:rPr>
          <w:rFonts w:ascii="Times New Roman" w:hAnsi="Times New Roman" w:cs="Times New Roman"/>
          <w:sz w:val="24"/>
          <w:szCs w:val="24"/>
        </w:rPr>
        <w:t xml:space="preserve">no </w:t>
      </w:r>
      <w:r w:rsidR="002B7B12">
        <w:rPr>
          <w:rFonts w:ascii="Times New Roman" w:hAnsi="Times New Roman" w:cs="Times New Roman"/>
          <w:sz w:val="24"/>
          <w:szCs w:val="24"/>
        </w:rPr>
        <w:t>tiene un grado de adaptabilidad”</w:t>
      </w:r>
      <w:r w:rsidRPr="00040E95">
        <w:rPr>
          <w:rFonts w:ascii="Times New Roman" w:hAnsi="Times New Roman" w:cs="Times New Roman"/>
          <w:sz w:val="24"/>
          <w:szCs w:val="24"/>
        </w:rPr>
        <w:t xml:space="preserve">, que </w:t>
      </w:r>
      <w:r w:rsidR="002B7B12">
        <w:rPr>
          <w:rFonts w:ascii="Times New Roman" w:hAnsi="Times New Roman" w:cs="Times New Roman"/>
          <w:sz w:val="24"/>
          <w:szCs w:val="24"/>
        </w:rPr>
        <w:t>“</w:t>
      </w:r>
      <w:r w:rsidRPr="00040E95">
        <w:rPr>
          <w:rFonts w:ascii="Times New Roman" w:hAnsi="Times New Roman" w:cs="Times New Roman"/>
          <w:sz w:val="24"/>
          <w:szCs w:val="24"/>
        </w:rPr>
        <w:t>carece de elementos que fomenten</w:t>
      </w:r>
      <w:r w:rsidR="002B7B12">
        <w:rPr>
          <w:rFonts w:ascii="Times New Roman" w:hAnsi="Times New Roman" w:cs="Times New Roman"/>
          <w:sz w:val="24"/>
          <w:szCs w:val="24"/>
        </w:rPr>
        <w:t xml:space="preserve"> la rapidez en la incorporación” y que “</w:t>
      </w:r>
      <w:r w:rsidRPr="00040E95">
        <w:rPr>
          <w:rFonts w:ascii="Times New Roman" w:hAnsi="Times New Roman" w:cs="Times New Roman"/>
          <w:sz w:val="24"/>
          <w:szCs w:val="24"/>
        </w:rPr>
        <w:t>no ofrece una duración garantizada que proporcione seguridad a los beneficiarios sobre</w:t>
      </w:r>
      <w:r w:rsidR="002B7B12">
        <w:rPr>
          <w:rFonts w:ascii="Times New Roman" w:hAnsi="Times New Roman" w:cs="Times New Roman"/>
          <w:sz w:val="24"/>
          <w:szCs w:val="24"/>
        </w:rPr>
        <w:t xml:space="preserve"> la permanencia del beneficio”</w:t>
      </w:r>
      <w:r>
        <w:rPr>
          <w:rFonts w:ascii="Times New Roman" w:hAnsi="Times New Roman" w:cs="Times New Roman"/>
          <w:sz w:val="24"/>
          <w:szCs w:val="24"/>
        </w:rPr>
        <w:t>.</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Efectos positivos</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Además de los impactos negativos en el mercado laboral de la prestación, la Airef también saca otras conclusiones más positivas. En concreto, según la Cuarta Opinión de la autoridad fiscal, el IMV también aumenta la probabilidad de tener un contrato indefinido entre los beneficiarios que mantienen un vínculo con el mercado laboral del 3%. Asimismo, aumenta el salario mínimo a partir del cual un trabajador estaría dispuesto a aceptar un empleo. Algo que, sin embargo, pued</w:t>
      </w:r>
      <w:r>
        <w:rPr>
          <w:rFonts w:ascii="Times New Roman" w:hAnsi="Times New Roman" w:cs="Times New Roman"/>
          <w:sz w:val="24"/>
          <w:szCs w:val="24"/>
        </w:rPr>
        <w:t>e reducir la oferta de trabajo.</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Además, la prestación también facilita el rechazo a empleos precarios, permite búsquedas laborales más selectivas, proporciona estabilidad que puede mejorar el rendimiento posterior del trabajador y ofrece oportun</w:t>
      </w:r>
      <w:r>
        <w:rPr>
          <w:rFonts w:ascii="Times New Roman" w:hAnsi="Times New Roman" w:cs="Times New Roman"/>
          <w:sz w:val="24"/>
          <w:szCs w:val="24"/>
        </w:rPr>
        <w:t>idades para la recualificación.</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El 90% de los beneficiarios permanece más de doce meses</w:t>
      </w:r>
    </w:p>
    <w:p w:rsidR="00736F58" w:rsidRPr="00040E95"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Por otro lado, la Airef además publicó la permanencia de los beneficiarios en la prestación. Las conclusiones del organismo independiente detallan que el 90 % de los beneficiarios permanece más de doce meses, el 75 % supera los veinticuatro meses, y aproximadamente el 60 % mantiene la prest</w:t>
      </w:r>
      <w:r>
        <w:rPr>
          <w:rFonts w:ascii="Times New Roman" w:hAnsi="Times New Roman" w:cs="Times New Roman"/>
          <w:sz w:val="24"/>
          <w:szCs w:val="24"/>
        </w:rPr>
        <w:t>ación durante más de tres años.</w:t>
      </w:r>
    </w:p>
    <w:p w:rsidR="00736F58" w:rsidRDefault="00736F58" w:rsidP="00736F58">
      <w:pPr>
        <w:spacing w:line="240" w:lineRule="auto"/>
        <w:jc w:val="both"/>
        <w:rPr>
          <w:rFonts w:ascii="Times New Roman" w:hAnsi="Times New Roman" w:cs="Times New Roman"/>
          <w:sz w:val="24"/>
          <w:szCs w:val="24"/>
        </w:rPr>
      </w:pPr>
      <w:r w:rsidRPr="00040E95">
        <w:rPr>
          <w:rFonts w:ascii="Times New Roman" w:hAnsi="Times New Roman" w:cs="Times New Roman"/>
          <w:sz w:val="24"/>
          <w:szCs w:val="24"/>
        </w:rPr>
        <w:t>Según el organismo independiente, la permanencia, junto</w:t>
      </w:r>
      <w:r w:rsidR="002B7B12">
        <w:rPr>
          <w:rFonts w:ascii="Times New Roman" w:hAnsi="Times New Roman" w:cs="Times New Roman"/>
          <w:sz w:val="24"/>
          <w:szCs w:val="24"/>
        </w:rPr>
        <w:t xml:space="preserve"> con los efectos en el empleo, “</w:t>
      </w:r>
      <w:r w:rsidRPr="00040E95">
        <w:rPr>
          <w:rFonts w:ascii="Times New Roman" w:hAnsi="Times New Roman" w:cs="Times New Roman"/>
          <w:sz w:val="24"/>
          <w:szCs w:val="24"/>
        </w:rPr>
        <w:t>plantea interrogantes sobre la eficacia de los mecanismos de transición hacia el empleo que incluye la presta</w:t>
      </w:r>
      <w:r w:rsidR="002B7B12">
        <w:rPr>
          <w:rFonts w:ascii="Times New Roman" w:hAnsi="Times New Roman" w:cs="Times New Roman"/>
          <w:sz w:val="24"/>
          <w:szCs w:val="24"/>
        </w:rPr>
        <w:t>ción”</w:t>
      </w:r>
      <w:r w:rsidRPr="00040E95">
        <w:rPr>
          <w:rFonts w:ascii="Times New Roman" w:hAnsi="Times New Roman" w:cs="Times New Roman"/>
          <w:sz w:val="24"/>
          <w:szCs w:val="24"/>
        </w:rPr>
        <w:t>.</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 xml:space="preserve">- </w:t>
      </w:r>
      <w:r w:rsidRPr="00470B83">
        <w:rPr>
          <w:rFonts w:ascii="Times New Roman" w:hAnsi="Times New Roman" w:cs="Times New Roman"/>
          <w:sz w:val="24"/>
          <w:szCs w:val="24"/>
          <w:u w:val="single"/>
        </w:rPr>
        <w:t>Sánchez dispara la factura del Ingreso Mínimo Vital y el número de beneficiarios llega a máximos</w:t>
      </w:r>
      <w:r w:rsidRPr="00470B83">
        <w:rPr>
          <w:rFonts w:ascii="Times New Roman" w:hAnsi="Times New Roman" w:cs="Times New Roman"/>
          <w:sz w:val="24"/>
          <w:szCs w:val="24"/>
        </w:rPr>
        <w:t xml:space="preserve"> (Libertad Digital - </w:t>
      </w:r>
      <w:r w:rsidRPr="00470B83">
        <w:rPr>
          <w:rFonts w:ascii="Times New Roman" w:hAnsi="Times New Roman" w:cs="Times New Roman"/>
          <w:b/>
          <w:sz w:val="24"/>
          <w:szCs w:val="24"/>
        </w:rPr>
        <w:t>20/7/25</w:t>
      </w:r>
      <w:r w:rsidRPr="00470B83">
        <w:rPr>
          <w:rFonts w:ascii="Times New Roman" w:hAnsi="Times New Roman" w:cs="Times New Roman"/>
          <w:sz w:val="24"/>
          <w:szCs w:val="24"/>
        </w:rPr>
        <w:t>)</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(Por Beatriz García)</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La Airef ha revelado que las prestaciones de último recurso, como el IMV, desincentivan la búsqueda de empleo.</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lastRenderedPageBreak/>
        <w:t>La semana pasada, la Airef publicaba un demoledor informe sobre los perniciosos efectos del Ingreso Mínimo Vital (IMV). Cuando se cumplen cinco años desde que José Luis Escrivá inaugurara este subsidio, la Airef ha realizado una radiografía completa del impacto causal de esta prestación en las decisiones laborales de sus beneficiarios.</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El resultado del estudio nos dice que las prestaciones de último recurso, como el IMV, influyen sobre el salario de reserva de los beneficiarios, que es el salario mínimo al que un trabajador estaría dispuesto a aceptar un empleo, lo que hace que menos gente esté dispuesta a trabajar.</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La presidenta del organismo, Cristina Herrero, llegó a afirmar en la presentación del estadio que no le sorprendía el resultado. Y es que, el fracaso de esta prestación ya ha sido demostrado en otros países. A continuación, algunas de las conclusiones:</w:t>
      </w:r>
    </w:p>
    <w:p w:rsidR="00736F58" w:rsidRPr="00470B83" w:rsidRDefault="00736F58" w:rsidP="00736F58">
      <w:pPr>
        <w:numPr>
          <w:ilvl w:val="0"/>
          <w:numId w:val="1"/>
        </w:numPr>
        <w:shd w:val="clear" w:color="auto" w:fill="FFFFFF"/>
        <w:spacing w:after="0" w:line="240" w:lineRule="auto"/>
        <w:ind w:left="360"/>
        <w:jc w:val="both"/>
        <w:textAlignment w:val="baseline"/>
        <w:rPr>
          <w:rFonts w:ascii="Times New Roman" w:hAnsi="Times New Roman" w:cs="Times New Roman"/>
          <w:sz w:val="24"/>
          <w:szCs w:val="24"/>
        </w:rPr>
      </w:pPr>
      <w:r w:rsidRPr="00470B83">
        <w:rPr>
          <w:rFonts w:ascii="Times New Roman" w:hAnsi="Times New Roman" w:cs="Times New Roman"/>
          <w:sz w:val="24"/>
          <w:szCs w:val="24"/>
        </w:rPr>
        <w:t>Cobrar el SMI disminuye la probabilidad de trabajar un 12%, aunque, llega a superar el 20% cuando se trata de nóminas altas o jóvenes.</w:t>
      </w:r>
    </w:p>
    <w:p w:rsidR="00736F58" w:rsidRPr="00470B83" w:rsidRDefault="00736F58" w:rsidP="00736F58">
      <w:pPr>
        <w:numPr>
          <w:ilvl w:val="0"/>
          <w:numId w:val="1"/>
        </w:numPr>
        <w:shd w:val="clear" w:color="auto" w:fill="FFFFFF"/>
        <w:spacing w:after="0" w:line="240" w:lineRule="auto"/>
        <w:ind w:left="360"/>
        <w:jc w:val="both"/>
        <w:textAlignment w:val="baseline"/>
        <w:rPr>
          <w:rFonts w:ascii="Times New Roman" w:hAnsi="Times New Roman" w:cs="Times New Roman"/>
          <w:sz w:val="24"/>
          <w:szCs w:val="24"/>
        </w:rPr>
      </w:pPr>
      <w:r w:rsidRPr="00470B83">
        <w:rPr>
          <w:rFonts w:ascii="Times New Roman" w:hAnsi="Times New Roman" w:cs="Times New Roman"/>
          <w:sz w:val="24"/>
          <w:szCs w:val="24"/>
        </w:rPr>
        <w:t>A los que se quedan sin IMV, les aumentan las ganas de trabajar, un 7%.</w:t>
      </w:r>
    </w:p>
    <w:p w:rsidR="00736F58" w:rsidRPr="00470B83" w:rsidRDefault="00736F58" w:rsidP="00736F58">
      <w:pPr>
        <w:numPr>
          <w:ilvl w:val="0"/>
          <w:numId w:val="1"/>
        </w:numPr>
        <w:shd w:val="clear" w:color="auto" w:fill="FFFFFF"/>
        <w:spacing w:after="0" w:line="240" w:lineRule="auto"/>
        <w:ind w:left="360"/>
        <w:jc w:val="both"/>
        <w:textAlignment w:val="baseline"/>
        <w:rPr>
          <w:rFonts w:ascii="Times New Roman" w:hAnsi="Times New Roman" w:cs="Times New Roman"/>
          <w:sz w:val="24"/>
          <w:szCs w:val="24"/>
        </w:rPr>
      </w:pPr>
      <w:r w:rsidRPr="00470B83">
        <w:rPr>
          <w:rFonts w:ascii="Times New Roman" w:hAnsi="Times New Roman" w:cs="Times New Roman"/>
          <w:sz w:val="24"/>
          <w:szCs w:val="24"/>
        </w:rPr>
        <w:t>Otro dato preocupante es que el 90% de los beneficiarios permanece más de doce meses cobrándolo, el 75%, supera los veinticuatro meses, y aproximadamente el 60% mantiene la prestación durante más de tres años. Por lo que no es una paga de emergencia.</w:t>
      </w:r>
    </w:p>
    <w:p w:rsidR="00736F58" w:rsidRPr="00470B83" w:rsidRDefault="00736F58" w:rsidP="00736F58">
      <w:pPr>
        <w:shd w:val="clear" w:color="auto" w:fill="FFFFFF"/>
        <w:spacing w:after="0" w:line="240" w:lineRule="auto"/>
        <w:jc w:val="both"/>
        <w:textAlignment w:val="baseline"/>
        <w:rPr>
          <w:rFonts w:ascii="Times New Roman" w:hAnsi="Times New Roman" w:cs="Times New Roman"/>
          <w:sz w:val="24"/>
          <w:szCs w:val="24"/>
        </w:rPr>
      </w:pPr>
    </w:p>
    <w:p w:rsidR="00736F58" w:rsidRDefault="00736F58" w:rsidP="00736F58">
      <w:pPr>
        <w:shd w:val="clear" w:color="auto" w:fill="FFFFFF"/>
        <w:spacing w:after="0" w:line="240" w:lineRule="auto"/>
        <w:jc w:val="both"/>
        <w:textAlignment w:val="baseline"/>
        <w:rPr>
          <w:rFonts w:ascii="Times New Roman" w:hAnsi="Times New Roman" w:cs="Times New Roman"/>
          <w:sz w:val="24"/>
          <w:szCs w:val="24"/>
        </w:rPr>
      </w:pPr>
      <w:r w:rsidRPr="00470B83">
        <w:rPr>
          <w:rFonts w:ascii="Times New Roman" w:hAnsi="Times New Roman" w:cs="Times New Roman"/>
          <w:sz w:val="24"/>
          <w:szCs w:val="24"/>
        </w:rPr>
        <w:t>En el Gobierno, lejos de preocuparse, celebran que cada vez haya más personas en España cobrando esta prestación. Desde su creación hasta el pasado mes de junio, el Ingreso Mínimo Vital ha llegado a más de 3.120.000 personas desde su puesta en marcha. Desde entonces, el Estado lleva desembolsados la friolera de 15.348,6 millones de euros con cargo al contribuyente. Cada año se superan los perceptores del IMV respecto al año anterior.</w:t>
      </w:r>
    </w:p>
    <w:p w:rsidR="000058D1" w:rsidRPr="00470B83" w:rsidRDefault="000058D1" w:rsidP="00736F58">
      <w:pPr>
        <w:shd w:val="clear" w:color="auto" w:fill="FFFFFF"/>
        <w:spacing w:after="0" w:line="240" w:lineRule="auto"/>
        <w:jc w:val="both"/>
        <w:textAlignment w:val="baseline"/>
        <w:rPr>
          <w:rFonts w:ascii="Times New Roman" w:hAnsi="Times New Roman" w:cs="Times New Roman"/>
          <w:sz w:val="24"/>
          <w:szCs w:val="24"/>
        </w:rPr>
      </w:pPr>
    </w:p>
    <w:p w:rsidR="00736F58" w:rsidRPr="00397338" w:rsidRDefault="00736F58" w:rsidP="00736F58">
      <w:pPr>
        <w:pStyle w:val="Ttulo2"/>
        <w:shd w:val="clear" w:color="auto" w:fill="FFFFFF"/>
        <w:spacing w:before="0" w:after="480" w:line="240" w:lineRule="auto"/>
        <w:jc w:val="both"/>
        <w:textAlignment w:val="baseline"/>
        <w:rPr>
          <w:rFonts w:ascii="Times New Roman" w:hAnsi="Times New Roman" w:cs="Times New Roman"/>
          <w:b w:val="0"/>
          <w:bCs w:val="0"/>
          <w:color w:val="auto"/>
          <w:sz w:val="24"/>
          <w:szCs w:val="24"/>
        </w:rPr>
      </w:pPr>
      <w:r w:rsidRPr="00470B83">
        <w:rPr>
          <w:rFonts w:ascii="Times New Roman" w:hAnsi="Times New Roman" w:cs="Times New Roman"/>
          <w:b w:val="0"/>
          <w:bCs w:val="0"/>
          <w:color w:val="auto"/>
          <w:sz w:val="24"/>
          <w:szCs w:val="24"/>
        </w:rPr>
        <w:t>No deja de ser llamati</w:t>
      </w:r>
      <w:r w:rsidR="000058D1">
        <w:rPr>
          <w:rFonts w:ascii="Times New Roman" w:hAnsi="Times New Roman" w:cs="Times New Roman"/>
          <w:b w:val="0"/>
          <w:bCs w:val="0"/>
          <w:color w:val="auto"/>
          <w:sz w:val="24"/>
          <w:szCs w:val="24"/>
        </w:rPr>
        <w:t>vo que la idea del Gobierno de “luchar contra la pobreza”</w:t>
      </w:r>
      <w:r w:rsidRPr="00470B83">
        <w:rPr>
          <w:rFonts w:ascii="Times New Roman" w:hAnsi="Times New Roman" w:cs="Times New Roman"/>
          <w:b w:val="0"/>
          <w:bCs w:val="0"/>
          <w:color w:val="auto"/>
          <w:sz w:val="24"/>
          <w:szCs w:val="24"/>
        </w:rPr>
        <w:t xml:space="preserve"> sea la limosna estatal en lugar de crear un entorno en el que los ciudadanos puedan salir por sí mismo de la nefasta situación económica en la que se encuentran. Además, la cronificación de la pobreza sería incompatible con la versión de bonanza económica que el Ejecutivo de </w:t>
      </w:r>
      <w:r>
        <w:rPr>
          <w:rFonts w:ascii="Times New Roman" w:hAnsi="Times New Roman" w:cs="Times New Roman"/>
          <w:b w:val="0"/>
          <w:bCs w:val="0"/>
          <w:color w:val="auto"/>
          <w:sz w:val="24"/>
          <w:szCs w:val="24"/>
        </w:rPr>
        <w:t>Sánchez vende sistemáticamente.</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 xml:space="preserve">- </w:t>
      </w:r>
      <w:r w:rsidRPr="00470B83">
        <w:rPr>
          <w:rFonts w:ascii="Times New Roman" w:hAnsi="Times New Roman" w:cs="Times New Roman"/>
          <w:sz w:val="24"/>
          <w:szCs w:val="24"/>
          <w:u w:val="single"/>
        </w:rPr>
        <w:t>Rechazan trabajos de 1.300 euros netos para no dejar de cobra</w:t>
      </w:r>
      <w:r w:rsidR="002B7B12">
        <w:rPr>
          <w:rFonts w:ascii="Times New Roman" w:hAnsi="Times New Roman" w:cs="Times New Roman"/>
          <w:sz w:val="24"/>
          <w:szCs w:val="24"/>
          <w:u w:val="single"/>
        </w:rPr>
        <w:t>r subsidios o por “</w:t>
      </w:r>
      <w:r w:rsidRPr="00470B83">
        <w:rPr>
          <w:rFonts w:ascii="Times New Roman" w:hAnsi="Times New Roman" w:cs="Times New Roman"/>
          <w:sz w:val="24"/>
          <w:szCs w:val="24"/>
          <w:u w:val="single"/>
        </w:rPr>
        <w:t>no andar 10 minutos</w:t>
      </w:r>
      <w:r w:rsidR="002B7B12">
        <w:rPr>
          <w:rFonts w:ascii="Times New Roman" w:hAnsi="Times New Roman" w:cs="Times New Roman"/>
          <w:sz w:val="24"/>
          <w:szCs w:val="24"/>
        </w:rPr>
        <w:t>” (</w:t>
      </w:r>
      <w:r w:rsidRPr="00470B83">
        <w:rPr>
          <w:rFonts w:ascii="Times New Roman" w:hAnsi="Times New Roman" w:cs="Times New Roman"/>
          <w:sz w:val="24"/>
          <w:szCs w:val="24"/>
        </w:rPr>
        <w:t xml:space="preserve">Libertad Digital - </w:t>
      </w:r>
      <w:r w:rsidRPr="00470B83">
        <w:rPr>
          <w:rFonts w:ascii="Times New Roman" w:hAnsi="Times New Roman" w:cs="Times New Roman"/>
          <w:b/>
          <w:sz w:val="24"/>
          <w:szCs w:val="24"/>
        </w:rPr>
        <w:t>6/8/25</w:t>
      </w:r>
      <w:r w:rsidRPr="00470B83">
        <w:rPr>
          <w:rFonts w:ascii="Times New Roman" w:hAnsi="Times New Roman" w:cs="Times New Roman"/>
          <w:sz w:val="24"/>
          <w:szCs w:val="24"/>
        </w:rPr>
        <w:t>)</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Se hace viral un tuit donde varias personas rechazan puestos de trabajo de 1.300 euros n</w:t>
      </w:r>
      <w:r>
        <w:rPr>
          <w:rFonts w:ascii="Times New Roman" w:hAnsi="Times New Roman" w:cs="Times New Roman"/>
          <w:sz w:val="24"/>
          <w:szCs w:val="24"/>
        </w:rPr>
        <w:t xml:space="preserve">etos </w:t>
      </w:r>
      <w:r w:rsidRPr="00470B83">
        <w:rPr>
          <w:rFonts w:ascii="Times New Roman" w:hAnsi="Times New Roman" w:cs="Times New Roman"/>
          <w:sz w:val="24"/>
          <w:szCs w:val="24"/>
        </w:rPr>
        <w:t>por los motivos más sorprendentes y peculiares.</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(Por Miguel Puga)</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El pasado jueves 31 de julio hubo un post en la red social X (Twitter) que se volvió viral hasta el punto de que casi 4 millones de personas lo han visto desde entonces. El tuit es el siguiente y se cuenta cómo varias personas sin trabajo rechazan una oferta de empleo no cuali</w:t>
      </w:r>
      <w:r w:rsidR="002B7B12">
        <w:rPr>
          <w:rFonts w:ascii="Times New Roman" w:hAnsi="Times New Roman" w:cs="Times New Roman"/>
          <w:sz w:val="24"/>
          <w:szCs w:val="24"/>
        </w:rPr>
        <w:t>ficado porque “</w:t>
      </w:r>
      <w:r w:rsidRPr="00470B83">
        <w:rPr>
          <w:rFonts w:ascii="Times New Roman" w:hAnsi="Times New Roman" w:cs="Times New Roman"/>
          <w:sz w:val="24"/>
          <w:szCs w:val="24"/>
        </w:rPr>
        <w:t xml:space="preserve">es durante muy poco </w:t>
      </w:r>
      <w:r w:rsidR="002B7B12">
        <w:rPr>
          <w:rFonts w:ascii="Times New Roman" w:hAnsi="Times New Roman" w:cs="Times New Roman"/>
          <w:sz w:val="24"/>
          <w:szCs w:val="24"/>
        </w:rPr>
        <w:t>tiempo y les estropea el verano”</w:t>
      </w:r>
      <w:r w:rsidRPr="00470B83">
        <w:rPr>
          <w:rFonts w:ascii="Times New Roman" w:hAnsi="Times New Roman" w:cs="Times New Roman"/>
          <w:sz w:val="24"/>
          <w:szCs w:val="24"/>
        </w:rPr>
        <w:t>, tal y como explica el autor del post.</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 xml:space="preserve">Desde Libre Mercado nos hemos puesto en contacto con Gabi Pizarro para que nos contara más acerca de lo ocurrido en estas entrevistas de trabajo, dada la gran repercusión que tuvo esta serie de tuits sobre la negativa de los entrevistados a aceptar la oferta de trabajo que se menciona. Según nos cuenta Gabi Pizarro, se necesitaban cubrir cuatro puestos de trabajo que </w:t>
      </w:r>
      <w:r w:rsidR="002B7B12">
        <w:rPr>
          <w:rFonts w:ascii="Times New Roman" w:hAnsi="Times New Roman" w:cs="Times New Roman"/>
          <w:sz w:val="24"/>
          <w:szCs w:val="24"/>
        </w:rPr>
        <w:lastRenderedPageBreak/>
        <w:t>van desde “</w:t>
      </w:r>
      <w:r w:rsidRPr="00470B83">
        <w:rPr>
          <w:rFonts w:ascii="Times New Roman" w:hAnsi="Times New Roman" w:cs="Times New Roman"/>
          <w:sz w:val="24"/>
          <w:szCs w:val="24"/>
        </w:rPr>
        <w:t>mozos de almacén para hacer el picking de pedidos o abrir cajas de proveedores, operario de atención al cliente para teléfono, depe</w:t>
      </w:r>
      <w:r w:rsidR="002B7B12">
        <w:rPr>
          <w:rFonts w:ascii="Times New Roman" w:hAnsi="Times New Roman" w:cs="Times New Roman"/>
          <w:sz w:val="24"/>
          <w:szCs w:val="24"/>
        </w:rPr>
        <w:t>ndiente de tienda y en imprenta”</w:t>
      </w:r>
      <w:r w:rsidRPr="00470B83">
        <w:rPr>
          <w:rFonts w:ascii="Times New Roman" w:hAnsi="Times New Roman" w:cs="Times New Roman"/>
          <w:sz w:val="24"/>
          <w:szCs w:val="24"/>
        </w:rPr>
        <w:t>.</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De estos cuatro puestos parecen haberse cubierto ya dos de ellos. En cuanto a las condiciones salariales y laborales de los puestos, s</w:t>
      </w:r>
      <w:r>
        <w:rPr>
          <w:rFonts w:ascii="Times New Roman" w:hAnsi="Times New Roman" w:cs="Times New Roman"/>
          <w:sz w:val="24"/>
          <w:szCs w:val="24"/>
        </w:rPr>
        <w:t xml:space="preserve">e </w:t>
      </w:r>
      <w:r w:rsidRPr="00470B83">
        <w:rPr>
          <w:rFonts w:ascii="Times New Roman" w:hAnsi="Times New Roman" w:cs="Times New Roman"/>
          <w:sz w:val="24"/>
          <w:szCs w:val="24"/>
        </w:rPr>
        <w:t>nos explica que el salario neto es de 1.285 euros, con un horario de lunes a viernes de 8:30 a 17:00, con 30 minutos de descanso para comer (además de un d</w:t>
      </w:r>
      <w:r w:rsidR="002B7B12">
        <w:rPr>
          <w:rFonts w:ascii="Times New Roman" w:hAnsi="Times New Roman" w:cs="Times New Roman"/>
          <w:sz w:val="24"/>
          <w:szCs w:val="24"/>
        </w:rPr>
        <w:t>escanso para el desayuno y los “mini-descansos”</w:t>
      </w:r>
      <w:r w:rsidRPr="00470B83">
        <w:rPr>
          <w:rFonts w:ascii="Times New Roman" w:hAnsi="Times New Roman" w:cs="Times New Roman"/>
          <w:sz w:val="24"/>
          <w:szCs w:val="24"/>
        </w:rPr>
        <w:t xml:space="preserve"> para despejarse, fumar, etc.). Según nos cuenta Gabi, a los candidatos se les advierte de que lo más probable es que el contrato no pase de cuatro meses, aunque todos los años se quedan al menos dos personas de forma indefinida.</w:t>
      </w:r>
    </w:p>
    <w:p w:rsidR="00736F58" w:rsidRPr="00470B83" w:rsidRDefault="000058D1" w:rsidP="00736F58">
      <w:pPr>
        <w:spacing w:line="240" w:lineRule="auto"/>
        <w:jc w:val="both"/>
        <w:rPr>
          <w:rFonts w:ascii="Times New Roman" w:hAnsi="Times New Roman" w:cs="Times New Roman"/>
          <w:sz w:val="24"/>
          <w:szCs w:val="24"/>
        </w:rPr>
      </w:pPr>
      <w:r>
        <w:rPr>
          <w:rFonts w:ascii="Times New Roman" w:hAnsi="Times New Roman" w:cs="Times New Roman"/>
          <w:sz w:val="24"/>
          <w:szCs w:val="24"/>
        </w:rPr>
        <w:t>Las “razones”</w:t>
      </w:r>
      <w:r w:rsidR="00736F58" w:rsidRPr="00470B83">
        <w:rPr>
          <w:rFonts w:ascii="Times New Roman" w:hAnsi="Times New Roman" w:cs="Times New Roman"/>
          <w:sz w:val="24"/>
          <w:szCs w:val="24"/>
        </w:rPr>
        <w:t xml:space="preserve"> para rechazar los puestos de trabajo</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Lo más llamativo de todo, como nos cuenta el autor de los posts, es que varias personas de las que fueron a las entrevistas indicaron que estaban cobrando ayudas, el paro e incluso algún tipo de renta mínima (IMV o RMI), hasta el punto de ofrecerse a trabajar en negro para no perder dichos ingresos mensuales. También nos cuenta como algunos jóvenes sin trabajo no aceptaron el puesto porque preferían est</w:t>
      </w:r>
      <w:r w:rsidR="002B7B12">
        <w:rPr>
          <w:rFonts w:ascii="Times New Roman" w:hAnsi="Times New Roman" w:cs="Times New Roman"/>
          <w:sz w:val="24"/>
          <w:szCs w:val="24"/>
        </w:rPr>
        <w:t>ar de vacaciones, otros porque “</w:t>
      </w:r>
      <w:r w:rsidRPr="00470B83">
        <w:rPr>
          <w:rFonts w:ascii="Times New Roman" w:hAnsi="Times New Roman" w:cs="Times New Roman"/>
          <w:sz w:val="24"/>
          <w:szCs w:val="24"/>
        </w:rPr>
        <w:t>tienen que andar 10 minutos desde la parad</w:t>
      </w:r>
      <w:r w:rsidR="002B7B12">
        <w:rPr>
          <w:rFonts w:ascii="Times New Roman" w:hAnsi="Times New Roman" w:cs="Times New Roman"/>
          <w:sz w:val="24"/>
          <w:szCs w:val="24"/>
        </w:rPr>
        <w:t>a del autobús y les pilla lejos”</w:t>
      </w:r>
      <w:r w:rsidRPr="00470B83">
        <w:rPr>
          <w:rFonts w:ascii="Times New Roman" w:hAnsi="Times New Roman" w:cs="Times New Roman"/>
          <w:sz w:val="24"/>
          <w:szCs w:val="24"/>
        </w:rPr>
        <w:t>, y otro</w:t>
      </w:r>
      <w:r w:rsidR="002B7B12">
        <w:rPr>
          <w:rFonts w:ascii="Times New Roman" w:hAnsi="Times New Roman" w:cs="Times New Roman"/>
          <w:sz w:val="24"/>
          <w:szCs w:val="24"/>
        </w:rPr>
        <w:t xml:space="preserve"> porque “</w:t>
      </w:r>
      <w:r w:rsidRPr="00470B83">
        <w:rPr>
          <w:rFonts w:ascii="Times New Roman" w:hAnsi="Times New Roman" w:cs="Times New Roman"/>
          <w:sz w:val="24"/>
          <w:szCs w:val="24"/>
        </w:rPr>
        <w:t>pasa de trabajar en v</w:t>
      </w:r>
      <w:r w:rsidR="002B7B12">
        <w:rPr>
          <w:rFonts w:ascii="Times New Roman" w:hAnsi="Times New Roman" w:cs="Times New Roman"/>
          <w:sz w:val="24"/>
          <w:szCs w:val="24"/>
        </w:rPr>
        <w:t>erano y no se ve abriendo cajas”</w:t>
      </w:r>
      <w:r w:rsidRPr="00470B83">
        <w:rPr>
          <w:rFonts w:ascii="Times New Roman" w:hAnsi="Times New Roman" w:cs="Times New Roman"/>
          <w:sz w:val="24"/>
          <w:szCs w:val="24"/>
        </w:rPr>
        <w:t>, siendo este último estudiante.</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Esto es quizás lo más sorprendente de todo lo que se cuenta en el hilo de Gabi Pizarro, y es la negativa de varias personas a aceptar un trabajo de prácticamente 1.300 euros netos al mes por semejantes razones. Unos por estar cobrando una serie de ayudas y otros porque o bien prefieren estar de vacaciones, o bien no quieren caminar 10 minutos o porque no se ven haciendo un determinado trabajo.</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Una empresa donde no se agobia al trabajador</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Tal y como no</w:t>
      </w:r>
      <w:r w:rsidR="002B7B12">
        <w:rPr>
          <w:rFonts w:ascii="Times New Roman" w:hAnsi="Times New Roman" w:cs="Times New Roman"/>
          <w:sz w:val="24"/>
          <w:szCs w:val="24"/>
        </w:rPr>
        <w:t>s cuenta Gabi sobre su empresa “</w:t>
      </w:r>
      <w:r w:rsidRPr="00470B83">
        <w:rPr>
          <w:rFonts w:ascii="Times New Roman" w:hAnsi="Times New Roman" w:cs="Times New Roman"/>
          <w:sz w:val="24"/>
          <w:szCs w:val="24"/>
        </w:rPr>
        <w:t xml:space="preserve">nosotros vivimos más tranquilos, sin agobiar todo el santo </w:t>
      </w:r>
      <w:r w:rsidR="002B7B12" w:rsidRPr="00470B83">
        <w:rPr>
          <w:rFonts w:ascii="Times New Roman" w:hAnsi="Times New Roman" w:cs="Times New Roman"/>
          <w:sz w:val="24"/>
          <w:szCs w:val="24"/>
        </w:rPr>
        <w:t>día</w:t>
      </w:r>
      <w:r w:rsidRPr="00470B83">
        <w:rPr>
          <w:rFonts w:ascii="Times New Roman" w:hAnsi="Times New Roman" w:cs="Times New Roman"/>
          <w:sz w:val="24"/>
          <w:szCs w:val="24"/>
        </w:rPr>
        <w:t xml:space="preserve"> con llegar a objetivos imposibles o con infor</w:t>
      </w:r>
      <w:r w:rsidR="002B7B12">
        <w:rPr>
          <w:rFonts w:ascii="Times New Roman" w:hAnsi="Times New Roman" w:cs="Times New Roman"/>
          <w:sz w:val="24"/>
          <w:szCs w:val="24"/>
        </w:rPr>
        <w:t>mes hechos los fines de semana”</w:t>
      </w:r>
      <w:r w:rsidRPr="00470B83">
        <w:rPr>
          <w:rFonts w:ascii="Times New Roman" w:hAnsi="Times New Roman" w:cs="Times New Roman"/>
          <w:sz w:val="24"/>
          <w:szCs w:val="24"/>
        </w:rPr>
        <w:t>, de manera que no parece que estemos hablando de trabajos muy exigentes.</w:t>
      </w:r>
    </w:p>
    <w:p w:rsidR="00736F58" w:rsidRPr="00470B83"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Este caso muestra una realidad, ya sea pequeña, mediana o grande de la idiosincrasia española y es que hay quienes prefieren estar cobrando un subsidio o una prestación por desempleo antes que estar trabajando por un salario superior al de esa prestación. También muestra como hay una parte de la juventud (aunque sea pequeña) que prefiere no hacer nada durante el verano antes que estar trabajando y ahorrar algo durante esta época, más aún si son muchachos que viven con sus padres, lo que les puede permitir ahorrar la inmensa mayoría de su salario.</w:t>
      </w:r>
    </w:p>
    <w:p w:rsidR="00736F58" w:rsidRDefault="00736F58" w:rsidP="00736F58">
      <w:pPr>
        <w:spacing w:line="240" w:lineRule="auto"/>
        <w:jc w:val="both"/>
        <w:rPr>
          <w:rFonts w:ascii="Times New Roman" w:hAnsi="Times New Roman" w:cs="Times New Roman"/>
          <w:sz w:val="24"/>
          <w:szCs w:val="24"/>
        </w:rPr>
      </w:pPr>
      <w:r w:rsidRPr="00470B83">
        <w:rPr>
          <w:rFonts w:ascii="Times New Roman" w:hAnsi="Times New Roman" w:cs="Times New Roman"/>
          <w:sz w:val="24"/>
          <w:szCs w:val="24"/>
        </w:rPr>
        <w:t>Por otro lado, estos tuits de Gabi Pizarro no estuvieron exentos de polémica por parte de otros tantos usuarios en X (Twitter) que aprovecharon para descargar su ira contra el tuitero tildándolo prácticamente de todo sin conocer todos los detalles de lo que había ocurrido.</w:t>
      </w:r>
    </w:p>
    <w:p w:rsidR="00736F58" w:rsidRPr="00397338" w:rsidRDefault="00736F58" w:rsidP="00736F58">
      <w:pPr>
        <w:spacing w:line="240" w:lineRule="auto"/>
        <w:jc w:val="both"/>
        <w:rPr>
          <w:rFonts w:ascii="Times New Roman" w:hAnsi="Times New Roman" w:cs="Times New Roman"/>
          <w:sz w:val="24"/>
          <w:szCs w:val="24"/>
        </w:rPr>
      </w:pPr>
      <w:r w:rsidRPr="00397338">
        <w:rPr>
          <w:rFonts w:ascii="Times New Roman" w:hAnsi="Times New Roman" w:cs="Times New Roman"/>
          <w:sz w:val="24"/>
          <w:szCs w:val="24"/>
        </w:rPr>
        <w:t xml:space="preserve">- </w:t>
      </w:r>
      <w:r w:rsidRPr="00397338">
        <w:rPr>
          <w:rFonts w:ascii="Times New Roman" w:hAnsi="Times New Roman" w:cs="Times New Roman"/>
          <w:sz w:val="24"/>
          <w:szCs w:val="24"/>
          <w:u w:val="single"/>
        </w:rPr>
        <w:t xml:space="preserve">El Gobierno saca pecho del aumento de la dependencia en España: 2,3 millones de personas cobraron el IMV en julio </w:t>
      </w:r>
      <w:r w:rsidRPr="00397338">
        <w:rPr>
          <w:rFonts w:ascii="Times New Roman" w:hAnsi="Times New Roman" w:cs="Times New Roman"/>
          <w:sz w:val="24"/>
          <w:szCs w:val="24"/>
        </w:rPr>
        <w:t xml:space="preserve">(Libertad Digital - </w:t>
      </w:r>
      <w:r w:rsidRPr="00397338">
        <w:rPr>
          <w:rFonts w:ascii="Times New Roman" w:hAnsi="Times New Roman" w:cs="Times New Roman"/>
          <w:b/>
          <w:sz w:val="24"/>
          <w:szCs w:val="24"/>
        </w:rPr>
        <w:t>9/8/25</w:t>
      </w:r>
      <w:r w:rsidRPr="00397338">
        <w:rPr>
          <w:rFonts w:ascii="Times New Roman" w:hAnsi="Times New Roman" w:cs="Times New Roman"/>
          <w:sz w:val="24"/>
          <w:szCs w:val="24"/>
        </w:rPr>
        <w:t>)</w:t>
      </w:r>
    </w:p>
    <w:p w:rsidR="00736F58" w:rsidRPr="00397338" w:rsidRDefault="00736F58" w:rsidP="00736F58">
      <w:pPr>
        <w:spacing w:line="240" w:lineRule="auto"/>
        <w:jc w:val="both"/>
        <w:rPr>
          <w:rFonts w:ascii="Times New Roman" w:hAnsi="Times New Roman" w:cs="Times New Roman"/>
          <w:sz w:val="24"/>
          <w:szCs w:val="24"/>
        </w:rPr>
      </w:pPr>
      <w:r w:rsidRPr="00397338">
        <w:rPr>
          <w:rFonts w:ascii="Times New Roman" w:hAnsi="Times New Roman" w:cs="Times New Roman"/>
          <w:sz w:val="24"/>
          <w:szCs w:val="24"/>
        </w:rPr>
        <w:t>En cinco años, la Seguridad Social ha destinado 16.204,7 millones de euros al pago del IMV.</w:t>
      </w:r>
    </w:p>
    <w:p w:rsidR="00736F58" w:rsidRPr="00397338" w:rsidRDefault="00736F58" w:rsidP="00736F58">
      <w:pPr>
        <w:spacing w:line="240" w:lineRule="auto"/>
        <w:jc w:val="both"/>
        <w:rPr>
          <w:rFonts w:ascii="Times New Roman" w:hAnsi="Times New Roman" w:cs="Times New Roman"/>
          <w:sz w:val="24"/>
          <w:szCs w:val="24"/>
        </w:rPr>
      </w:pPr>
      <w:r w:rsidRPr="00397338">
        <w:rPr>
          <w:rFonts w:ascii="Times New Roman" w:hAnsi="Times New Roman" w:cs="Times New Roman"/>
          <w:sz w:val="24"/>
          <w:szCs w:val="24"/>
        </w:rPr>
        <w:t xml:space="preserve">Crece la dependencia del Estado para poder vivir en España. De este modo, tal y como anunció el pasado jueves 7 de agosto el Ministerio de Inclusión, Seguridad Social y Migraciones, el Ingreso Mínimo Vital (IMV) llegó a 752.469 hogares en el mes de julio, </w:t>
      </w:r>
      <w:r w:rsidRPr="00397338">
        <w:rPr>
          <w:rFonts w:ascii="Times New Roman" w:hAnsi="Times New Roman" w:cs="Times New Roman"/>
          <w:sz w:val="24"/>
          <w:szCs w:val="24"/>
        </w:rPr>
        <w:lastRenderedPageBreak/>
        <w:t>superando en un 17,6% los niveles del mismo mes del año anterior. Así, esta prestación llegó a un total de 2.299.000 personas, un 19,2% más en términos anuales.</w:t>
      </w:r>
    </w:p>
    <w:p w:rsidR="00736F58" w:rsidRPr="00397338" w:rsidRDefault="00736F58" w:rsidP="00736F58">
      <w:pPr>
        <w:spacing w:line="240" w:lineRule="auto"/>
        <w:jc w:val="both"/>
        <w:rPr>
          <w:rFonts w:ascii="Times New Roman" w:hAnsi="Times New Roman" w:cs="Times New Roman"/>
          <w:sz w:val="24"/>
          <w:szCs w:val="24"/>
        </w:rPr>
      </w:pPr>
      <w:r w:rsidRPr="00397338">
        <w:rPr>
          <w:rFonts w:ascii="Times New Roman" w:hAnsi="Times New Roman" w:cs="Times New Roman"/>
          <w:sz w:val="24"/>
          <w:szCs w:val="24"/>
        </w:rPr>
        <w:t>Así las cosas, el Ministerio de Inclusión, Seguridad Social y Migraciones en un comunicado, la última estadística del Instituto Nacional de la Seguridad Social (INSS) sitúa la cuantía media de la prestación en 519,16 euros al mes por hogar. Por lo tanto, el total suma 426,3 millones de euros.</w:t>
      </w:r>
    </w:p>
    <w:p w:rsidR="00736F58" w:rsidRPr="00397338" w:rsidRDefault="00736F58" w:rsidP="00736F58">
      <w:pPr>
        <w:spacing w:line="240" w:lineRule="auto"/>
        <w:jc w:val="both"/>
        <w:rPr>
          <w:rFonts w:ascii="Times New Roman" w:hAnsi="Times New Roman" w:cs="Times New Roman"/>
          <w:sz w:val="24"/>
          <w:szCs w:val="24"/>
        </w:rPr>
      </w:pPr>
      <w:r w:rsidRPr="00397338">
        <w:rPr>
          <w:rFonts w:ascii="Times New Roman" w:hAnsi="Times New Roman" w:cs="Times New Roman"/>
          <w:sz w:val="24"/>
          <w:szCs w:val="24"/>
        </w:rPr>
        <w:t>Aumenta la dependencia</w:t>
      </w:r>
    </w:p>
    <w:p w:rsidR="00736F58" w:rsidRPr="00397338" w:rsidRDefault="00736F58" w:rsidP="00736F58">
      <w:pPr>
        <w:spacing w:line="240" w:lineRule="auto"/>
        <w:jc w:val="both"/>
        <w:rPr>
          <w:rFonts w:ascii="Times New Roman" w:hAnsi="Times New Roman" w:cs="Times New Roman"/>
          <w:sz w:val="24"/>
          <w:szCs w:val="24"/>
        </w:rPr>
      </w:pPr>
      <w:r w:rsidRPr="00397338">
        <w:rPr>
          <w:rFonts w:ascii="Times New Roman" w:hAnsi="Times New Roman" w:cs="Times New Roman"/>
          <w:sz w:val="24"/>
          <w:szCs w:val="24"/>
        </w:rPr>
        <w:t>Según los datos ofrecidos por el Ministerio, un 69% de los hogares beneficiarios del IMV (es decir, un total de 519.011) contaban con algún menor de edad entre sus miembros. Por tanto, vemos que la situación de dependencia afecta sobre todo a la vida de los menores. Además, de estos 519.011 hogares con menores, 129.655 eran monoparentales.</w:t>
      </w:r>
    </w:p>
    <w:p w:rsidR="00736F58" w:rsidRPr="00397338" w:rsidRDefault="00736F58" w:rsidP="00736F58">
      <w:pPr>
        <w:spacing w:line="240" w:lineRule="auto"/>
        <w:jc w:val="both"/>
        <w:rPr>
          <w:rFonts w:ascii="Times New Roman" w:hAnsi="Times New Roman" w:cs="Times New Roman"/>
          <w:sz w:val="24"/>
          <w:szCs w:val="24"/>
        </w:rPr>
      </w:pPr>
      <w:r w:rsidRPr="00397338">
        <w:rPr>
          <w:rFonts w:ascii="Times New Roman" w:hAnsi="Times New Roman" w:cs="Times New Roman"/>
          <w:sz w:val="24"/>
          <w:szCs w:val="24"/>
        </w:rPr>
        <w:t>En este sentido, el Ministerio explica también que 527.071 hogares recibieron el complemento de ayuda para la infancia, que forma</w:t>
      </w:r>
      <w:r w:rsidR="002B7B12">
        <w:rPr>
          <w:rFonts w:ascii="Times New Roman" w:hAnsi="Times New Roman" w:cs="Times New Roman"/>
          <w:sz w:val="24"/>
          <w:szCs w:val="24"/>
        </w:rPr>
        <w:t xml:space="preserve"> parte de esta prestación -</w:t>
      </w:r>
      <w:r w:rsidRPr="00397338">
        <w:rPr>
          <w:rFonts w:ascii="Times New Roman" w:hAnsi="Times New Roman" w:cs="Times New Roman"/>
          <w:sz w:val="24"/>
          <w:szCs w:val="24"/>
        </w:rPr>
        <w:t>aunque se puede conceder</w:t>
      </w:r>
      <w:r w:rsidR="002B7B12">
        <w:rPr>
          <w:rFonts w:ascii="Times New Roman" w:hAnsi="Times New Roman" w:cs="Times New Roman"/>
          <w:sz w:val="24"/>
          <w:szCs w:val="24"/>
        </w:rPr>
        <w:t xml:space="preserve"> también de forma independiente-</w:t>
      </w:r>
      <w:r w:rsidRPr="00397338">
        <w:rPr>
          <w:rFonts w:ascii="Times New Roman" w:hAnsi="Times New Roman" w:cs="Times New Roman"/>
          <w:sz w:val="24"/>
          <w:szCs w:val="24"/>
        </w:rPr>
        <w:t xml:space="preserve"> y consiste en una ayuda adicional de 115 euros por hogar al mes en el caso de niños de 0 a 3 años, de 80,5 euros al mes por cada niño entre 3 y 6 años, y de 57,5 euros al mes por cada menor de entre 6 y 18 años.</w:t>
      </w:r>
    </w:p>
    <w:p w:rsidR="00736F58" w:rsidRPr="00397338" w:rsidRDefault="00736F58" w:rsidP="00736F58">
      <w:pPr>
        <w:spacing w:line="240" w:lineRule="auto"/>
        <w:jc w:val="both"/>
        <w:rPr>
          <w:rFonts w:ascii="Times New Roman" w:hAnsi="Times New Roman" w:cs="Times New Roman"/>
          <w:sz w:val="24"/>
          <w:szCs w:val="24"/>
        </w:rPr>
      </w:pPr>
      <w:r w:rsidRPr="00397338">
        <w:rPr>
          <w:rFonts w:ascii="Times New Roman" w:hAnsi="Times New Roman" w:cs="Times New Roman"/>
          <w:sz w:val="24"/>
          <w:szCs w:val="24"/>
        </w:rPr>
        <w:t>Con todo, según el Ministerio, tras cinco años desde la creación de esta prestación social, la Seguridad Social ha destinado 16.204,7 millones de euros al pago del IMV. Así, esta ayuda ha llegado a 1,1 millones de hogares y 3,17 millones de personas, de los que 1,37 millones eran niños y adolescentes.</w:t>
      </w:r>
    </w:p>
    <w:p w:rsidR="00736F58" w:rsidRPr="00397338" w:rsidRDefault="00736F58" w:rsidP="00736F58">
      <w:pPr>
        <w:spacing w:line="240" w:lineRule="auto"/>
        <w:jc w:val="both"/>
        <w:rPr>
          <w:rFonts w:ascii="Times New Roman" w:hAnsi="Times New Roman" w:cs="Times New Roman"/>
          <w:sz w:val="24"/>
          <w:szCs w:val="24"/>
        </w:rPr>
      </w:pPr>
      <w:r w:rsidRPr="00397338">
        <w:rPr>
          <w:rFonts w:ascii="Times New Roman" w:hAnsi="Times New Roman" w:cs="Times New Roman"/>
          <w:sz w:val="24"/>
          <w:szCs w:val="24"/>
        </w:rPr>
        <w:t>El aumento de la dependencia implica que crece también la pobreza en España, algo por lo que cualquier Gobierno sentiría, cuando menos, preocupación. Sin embargo, desde el Ejecutivo sanchista parecen encantados con que suceda esto, puesto que son constante las felicitaciones a sí mismos por la cobertura de ayudas sociales y prestaciones que han elaborado.</w:t>
      </w:r>
    </w:p>
    <w:p w:rsidR="00736F58" w:rsidRPr="00397338" w:rsidRDefault="00736F58" w:rsidP="00736F58">
      <w:pPr>
        <w:spacing w:line="240" w:lineRule="auto"/>
        <w:jc w:val="both"/>
        <w:rPr>
          <w:rFonts w:ascii="Times New Roman" w:hAnsi="Times New Roman" w:cs="Times New Roman"/>
          <w:sz w:val="24"/>
          <w:szCs w:val="24"/>
        </w:rPr>
      </w:pPr>
      <w:r w:rsidRPr="00397338">
        <w:rPr>
          <w:rFonts w:ascii="Times New Roman" w:hAnsi="Times New Roman" w:cs="Times New Roman"/>
          <w:sz w:val="24"/>
          <w:szCs w:val="24"/>
        </w:rPr>
        <w:t>En esta ocasión ha sido la ministra de Inclusión, Seguridad Social y Migraciones, Elma S</w:t>
      </w:r>
      <w:r w:rsidR="002B7B12">
        <w:rPr>
          <w:rFonts w:ascii="Times New Roman" w:hAnsi="Times New Roman" w:cs="Times New Roman"/>
          <w:sz w:val="24"/>
          <w:szCs w:val="24"/>
        </w:rPr>
        <w:t>aiz, quien ha presumido de que “</w:t>
      </w:r>
      <w:r w:rsidRPr="00397338">
        <w:rPr>
          <w:rFonts w:ascii="Times New Roman" w:hAnsi="Times New Roman" w:cs="Times New Roman"/>
          <w:sz w:val="24"/>
          <w:szCs w:val="24"/>
        </w:rPr>
        <w:t>en estos cinco años de vigencia, el Ingreso Mínimo Vital ha demostrado ser una herramienta eficaz e imprescindible para reducir la pobreza extrema y la desigualdad, especialmente entre niños, niñas y ado</w:t>
      </w:r>
      <w:r w:rsidR="002B7B12">
        <w:rPr>
          <w:rFonts w:ascii="Times New Roman" w:hAnsi="Times New Roman" w:cs="Times New Roman"/>
          <w:sz w:val="24"/>
          <w:szCs w:val="24"/>
        </w:rPr>
        <w:t>lescentes”</w:t>
      </w:r>
      <w:r w:rsidRPr="00397338">
        <w:rPr>
          <w:rFonts w:ascii="Times New Roman" w:hAnsi="Times New Roman" w:cs="Times New Roman"/>
          <w:sz w:val="24"/>
          <w:szCs w:val="24"/>
        </w:rPr>
        <w:t>. Asim</w:t>
      </w:r>
      <w:r w:rsidR="002B7B12">
        <w:rPr>
          <w:rFonts w:ascii="Times New Roman" w:hAnsi="Times New Roman" w:cs="Times New Roman"/>
          <w:sz w:val="24"/>
          <w:szCs w:val="24"/>
        </w:rPr>
        <w:t>ismo, la ministra sostiene que “</w:t>
      </w:r>
      <w:r w:rsidRPr="00397338">
        <w:rPr>
          <w:rFonts w:ascii="Times New Roman" w:hAnsi="Times New Roman" w:cs="Times New Roman"/>
          <w:sz w:val="24"/>
          <w:szCs w:val="24"/>
        </w:rPr>
        <w:t>el IMV supone una palanca esencial en un momento difícil, cuando sostener sola una fam</w:t>
      </w:r>
      <w:r w:rsidR="002B7B12">
        <w:rPr>
          <w:rFonts w:ascii="Times New Roman" w:hAnsi="Times New Roman" w:cs="Times New Roman"/>
          <w:sz w:val="24"/>
          <w:szCs w:val="24"/>
        </w:rPr>
        <w:t>ilia implica un esfuerzo enorme”, enfatizando que “</w:t>
      </w:r>
      <w:r w:rsidRPr="00397338">
        <w:rPr>
          <w:rFonts w:ascii="Times New Roman" w:hAnsi="Times New Roman" w:cs="Times New Roman"/>
          <w:sz w:val="24"/>
          <w:szCs w:val="24"/>
        </w:rPr>
        <w:t>la prestación contribuye a dar estabilidad y seguridad a estas madres y</w:t>
      </w:r>
      <w:r w:rsidR="002B7B12">
        <w:rPr>
          <w:rFonts w:ascii="Times New Roman" w:hAnsi="Times New Roman" w:cs="Times New Roman"/>
          <w:sz w:val="24"/>
          <w:szCs w:val="24"/>
        </w:rPr>
        <w:t xml:space="preserve"> a sus hijos e hijas”</w:t>
      </w:r>
      <w:r w:rsidRPr="00397338">
        <w:rPr>
          <w:rFonts w:ascii="Times New Roman" w:hAnsi="Times New Roman" w:cs="Times New Roman"/>
          <w:sz w:val="24"/>
          <w:szCs w:val="24"/>
        </w:rPr>
        <w:t>.</w:t>
      </w:r>
    </w:p>
    <w:p w:rsidR="00736F58" w:rsidRPr="00397338" w:rsidRDefault="00736F58" w:rsidP="00736F58">
      <w:pPr>
        <w:spacing w:line="240" w:lineRule="auto"/>
        <w:jc w:val="both"/>
        <w:rPr>
          <w:rFonts w:ascii="Times New Roman" w:hAnsi="Times New Roman" w:cs="Times New Roman"/>
          <w:sz w:val="24"/>
          <w:szCs w:val="24"/>
        </w:rPr>
      </w:pPr>
      <w:r w:rsidRPr="00397338">
        <w:rPr>
          <w:rFonts w:ascii="Times New Roman" w:hAnsi="Times New Roman" w:cs="Times New Roman"/>
          <w:sz w:val="24"/>
          <w:szCs w:val="24"/>
        </w:rPr>
        <w:t>Una bomba de relojería</w:t>
      </w:r>
    </w:p>
    <w:p w:rsidR="00736F58" w:rsidRPr="00397338" w:rsidRDefault="00736F58" w:rsidP="00736F58">
      <w:pPr>
        <w:spacing w:line="240" w:lineRule="auto"/>
        <w:jc w:val="both"/>
        <w:rPr>
          <w:rFonts w:ascii="Times New Roman" w:hAnsi="Times New Roman" w:cs="Times New Roman"/>
          <w:sz w:val="24"/>
          <w:szCs w:val="24"/>
        </w:rPr>
      </w:pPr>
      <w:r w:rsidRPr="00397338">
        <w:rPr>
          <w:rFonts w:ascii="Times New Roman" w:hAnsi="Times New Roman" w:cs="Times New Roman"/>
          <w:sz w:val="24"/>
          <w:szCs w:val="24"/>
        </w:rPr>
        <w:t>Con su política económica, basada en el gasto público sin control, el Gobierno está armando una verdadera bomba de relojería que terminará por estallar en algún momento. Deuda pública, pensiones, servicios públicos, sueldos a los empleados por el Estado, prestaciones sociales, etc. Todos estos gastos socavan gravemente la economía productiva de nuestro país.</w:t>
      </w:r>
    </w:p>
    <w:p w:rsidR="00736F58" w:rsidRPr="00397338" w:rsidRDefault="00736F58" w:rsidP="00736F58">
      <w:pPr>
        <w:spacing w:line="240" w:lineRule="auto"/>
        <w:jc w:val="both"/>
        <w:rPr>
          <w:rFonts w:ascii="Times New Roman" w:hAnsi="Times New Roman" w:cs="Times New Roman"/>
          <w:sz w:val="24"/>
          <w:szCs w:val="24"/>
        </w:rPr>
      </w:pPr>
      <w:r w:rsidRPr="00397338">
        <w:rPr>
          <w:rFonts w:ascii="Times New Roman" w:hAnsi="Times New Roman" w:cs="Times New Roman"/>
          <w:sz w:val="24"/>
          <w:szCs w:val="24"/>
        </w:rPr>
        <w:t>En Libre Mercado informamos recientemente de que cada día España cuenta con 220 jubilados más, sumando un total de 6.473.360 en junio de 2025, que de media recibieron una pensión de 1.506 euros al mes. Además, como demuestran los datos del INE, actualmente hay más de 3,5 millones de empleados públicos.</w:t>
      </w:r>
    </w:p>
    <w:p w:rsidR="00736F58" w:rsidRPr="00470B83" w:rsidRDefault="00736F58" w:rsidP="00736F58">
      <w:pPr>
        <w:spacing w:line="240" w:lineRule="auto"/>
        <w:jc w:val="both"/>
        <w:rPr>
          <w:rFonts w:ascii="Times New Roman" w:hAnsi="Times New Roman" w:cs="Times New Roman"/>
          <w:color w:val="FF0000"/>
          <w:sz w:val="24"/>
          <w:szCs w:val="24"/>
          <w:shd w:val="clear" w:color="auto" w:fill="FFFFFF"/>
        </w:rPr>
      </w:pPr>
      <w:r w:rsidRPr="00470B83">
        <w:rPr>
          <w:rFonts w:ascii="Times New Roman" w:hAnsi="Times New Roman" w:cs="Times New Roman"/>
          <w:b/>
          <w:color w:val="FF0000"/>
          <w:sz w:val="24"/>
          <w:szCs w:val="24"/>
          <w:shd w:val="clear" w:color="auto" w:fill="FFFFFF"/>
        </w:rPr>
        <w:lastRenderedPageBreak/>
        <w:t>Nota</w:t>
      </w:r>
      <w:r w:rsidRPr="00470B83">
        <w:rPr>
          <w:rFonts w:ascii="Times New Roman" w:hAnsi="Times New Roman" w:cs="Times New Roman"/>
          <w:color w:val="FF0000"/>
          <w:sz w:val="24"/>
          <w:szCs w:val="24"/>
          <w:shd w:val="clear" w:color="auto" w:fill="FFFFFF"/>
        </w:rPr>
        <w:t>: En una sección anterior ya se propuso el cierre del SEPE, por ineficacia manifiesta, y su sustitución por las empresas temporales de empleo. Ahora, de lo que se trata es de comprometer (obligar) a la persona que está cobrando el subsidio por desempleo a aceptar una de las tres primeras ofertas de empleo que reciban. No se puede admitir el parado eterno.</w:t>
      </w:r>
    </w:p>
    <w:p w:rsidR="00736F58" w:rsidRDefault="00736F58" w:rsidP="00736F58">
      <w:pPr>
        <w:spacing w:line="240" w:lineRule="auto"/>
        <w:jc w:val="both"/>
        <w:rPr>
          <w:rFonts w:ascii="Times New Roman" w:hAnsi="Times New Roman" w:cs="Times New Roman"/>
          <w:color w:val="FF0000"/>
          <w:sz w:val="24"/>
          <w:szCs w:val="24"/>
          <w:shd w:val="clear" w:color="auto" w:fill="FFFFFF"/>
        </w:rPr>
      </w:pPr>
      <w:r w:rsidRPr="00967282">
        <w:rPr>
          <w:rFonts w:ascii="Times New Roman" w:hAnsi="Times New Roman" w:cs="Times New Roman"/>
          <w:color w:val="FF0000"/>
          <w:sz w:val="24"/>
          <w:szCs w:val="24"/>
          <w:shd w:val="clear" w:color="auto" w:fill="FFFFFF"/>
        </w:rPr>
        <w:t>- Las personas que cobren el ingreso mínimo vital estarán obligadas a  aceptar una oferta de empleo entre las tres primeras que reciban (o perderán la prestación)</w:t>
      </w:r>
    </w:p>
    <w:p w:rsidR="00736F58" w:rsidRPr="003B2C9A" w:rsidRDefault="00736F58" w:rsidP="00736F58">
      <w:pPr>
        <w:spacing w:line="240" w:lineRule="auto"/>
        <w:jc w:val="both"/>
        <w:rPr>
          <w:rFonts w:ascii="Times New Roman" w:hAnsi="Times New Roman" w:cs="Times New Roman"/>
          <w:sz w:val="24"/>
          <w:szCs w:val="24"/>
          <w:shd w:val="clear" w:color="auto" w:fill="FFFFFF"/>
        </w:rPr>
      </w:pPr>
      <w:r w:rsidRPr="003B2C9A">
        <w:rPr>
          <w:rFonts w:ascii="Times New Roman" w:hAnsi="Times New Roman" w:cs="Times New Roman"/>
          <w:sz w:val="24"/>
          <w:szCs w:val="24"/>
          <w:shd w:val="clear" w:color="auto" w:fill="FFFFFF"/>
        </w:rPr>
        <w:t>(Los</w:t>
      </w:r>
      <w:r>
        <w:rPr>
          <w:rFonts w:ascii="Times New Roman" w:hAnsi="Times New Roman" w:cs="Times New Roman"/>
          <w:sz w:val="24"/>
          <w:szCs w:val="24"/>
          <w:shd w:val="clear" w:color="auto" w:fill="FFFFFF"/>
        </w:rPr>
        <w:t xml:space="preserve"> antecedentes y cuantificación, ya </w:t>
      </w:r>
      <w:r w:rsidRPr="003B2C9A">
        <w:rPr>
          <w:rFonts w:ascii="Times New Roman" w:hAnsi="Times New Roman" w:cs="Times New Roman"/>
          <w:sz w:val="24"/>
          <w:szCs w:val="24"/>
          <w:shd w:val="clear" w:color="auto" w:fill="FFFFFF"/>
        </w:rPr>
        <w:t>fueron presentados en la sección anterior)</w:t>
      </w:r>
    </w:p>
    <w:p w:rsidR="00736F58" w:rsidRDefault="00736F58" w:rsidP="00736F58">
      <w:pPr>
        <w:spacing w:line="240" w:lineRule="auto"/>
        <w:jc w:val="both"/>
        <w:rPr>
          <w:rFonts w:ascii="Times New Roman" w:hAnsi="Times New Roman" w:cs="Times New Roman"/>
          <w:color w:val="FF0000"/>
          <w:sz w:val="24"/>
          <w:szCs w:val="24"/>
          <w:shd w:val="clear" w:color="auto" w:fill="FFFFFF"/>
        </w:rPr>
      </w:pPr>
      <w:r w:rsidRPr="00F76D9E">
        <w:rPr>
          <w:rFonts w:ascii="Times New Roman" w:hAnsi="Times New Roman" w:cs="Times New Roman"/>
          <w:color w:val="FF0000"/>
          <w:sz w:val="24"/>
          <w:szCs w:val="24"/>
          <w:shd w:val="clear" w:color="auto" w:fill="FFFFFF"/>
        </w:rPr>
        <w:t>- Renunciar a la Agenda 2030 en todos sus limitantes a las actividades productivas</w:t>
      </w:r>
    </w:p>
    <w:p w:rsidR="00736F58" w:rsidRPr="00F76D9E" w:rsidRDefault="00736F58" w:rsidP="00736F58">
      <w:pPr>
        <w:spacing w:line="240" w:lineRule="auto"/>
        <w:jc w:val="both"/>
        <w:rPr>
          <w:rFonts w:ascii="Times New Roman" w:hAnsi="Times New Roman" w:cs="Times New Roman"/>
          <w:sz w:val="24"/>
          <w:szCs w:val="24"/>
          <w:shd w:val="clear" w:color="auto" w:fill="FFFFFF"/>
        </w:rPr>
      </w:pPr>
      <w:r w:rsidRPr="00F76D9E">
        <w:rPr>
          <w:rFonts w:ascii="Times New Roman" w:hAnsi="Times New Roman" w:cs="Times New Roman"/>
          <w:sz w:val="24"/>
          <w:szCs w:val="24"/>
          <w:shd w:val="clear" w:color="auto" w:fill="FFFFFF"/>
        </w:rPr>
        <w:t xml:space="preserve">La Agenda 2030, a través de sus Objetivos de Desarrollo </w:t>
      </w:r>
      <w:r>
        <w:rPr>
          <w:rFonts w:ascii="Times New Roman" w:hAnsi="Times New Roman" w:cs="Times New Roman"/>
          <w:sz w:val="24"/>
          <w:szCs w:val="24"/>
          <w:shd w:val="clear" w:color="auto" w:fill="FFFFFF"/>
        </w:rPr>
        <w:t>Sostenible (ODS), ha tenido un impacto negativo</w:t>
      </w:r>
      <w:r w:rsidRPr="00F76D9E">
        <w:rPr>
          <w:rFonts w:ascii="Times New Roman" w:hAnsi="Times New Roman" w:cs="Times New Roman"/>
          <w:sz w:val="24"/>
          <w:szCs w:val="24"/>
          <w:shd w:val="clear" w:color="auto" w:fill="FFFFFF"/>
        </w:rPr>
        <w:t xml:space="preserve"> en</w:t>
      </w:r>
      <w:r>
        <w:rPr>
          <w:rFonts w:ascii="Times New Roman" w:hAnsi="Times New Roman" w:cs="Times New Roman"/>
          <w:sz w:val="24"/>
          <w:szCs w:val="24"/>
          <w:shd w:val="clear" w:color="auto" w:fill="FFFFFF"/>
        </w:rPr>
        <w:t xml:space="preserve"> el sector de la agricultura</w:t>
      </w:r>
      <w:r w:rsidRPr="00F76D9E">
        <w:rPr>
          <w:rFonts w:ascii="Times New Roman" w:hAnsi="Times New Roman" w:cs="Times New Roman"/>
          <w:sz w:val="24"/>
          <w:szCs w:val="24"/>
          <w:shd w:val="clear" w:color="auto" w:fill="FFFFFF"/>
        </w:rPr>
        <w:t>, generando preocupaciones y críticas por pa</w:t>
      </w:r>
      <w:r>
        <w:rPr>
          <w:rFonts w:ascii="Times New Roman" w:hAnsi="Times New Roman" w:cs="Times New Roman"/>
          <w:sz w:val="24"/>
          <w:szCs w:val="24"/>
          <w:shd w:val="clear" w:color="auto" w:fill="FFFFFF"/>
        </w:rPr>
        <w:t>rte de las principales organizaciones gremiales</w:t>
      </w:r>
      <w:r w:rsidRPr="00F76D9E">
        <w:rPr>
          <w:rFonts w:ascii="Times New Roman" w:hAnsi="Times New Roman" w:cs="Times New Roman"/>
          <w:sz w:val="24"/>
          <w:szCs w:val="24"/>
          <w:shd w:val="clear" w:color="auto" w:fill="FFFFFF"/>
        </w:rPr>
        <w:t xml:space="preserve">. Las principales preocupaciones se centran en las restricciones ambientales y las normativas, el aumento de costos, la pérdida de tierras de cultivo y el impacto en el empleo rural. </w:t>
      </w:r>
    </w:p>
    <w:p w:rsidR="00736F58" w:rsidRPr="00F76D9E" w:rsidRDefault="00736F58" w:rsidP="00736F58">
      <w:pPr>
        <w:spacing w:line="240" w:lineRule="auto"/>
        <w:jc w:val="both"/>
        <w:rPr>
          <w:rFonts w:ascii="Times New Roman" w:hAnsi="Times New Roman" w:cs="Times New Roman"/>
          <w:sz w:val="24"/>
          <w:szCs w:val="24"/>
          <w:shd w:val="clear" w:color="auto" w:fill="FFFFFF"/>
        </w:rPr>
      </w:pPr>
      <w:r w:rsidRPr="00F76D9E">
        <w:rPr>
          <w:rFonts w:ascii="Times New Roman" w:hAnsi="Times New Roman" w:cs="Times New Roman"/>
          <w:sz w:val="24"/>
          <w:szCs w:val="24"/>
          <w:shd w:val="clear" w:color="auto" w:fill="FFFFFF"/>
        </w:rPr>
        <w:t>Im</w:t>
      </w:r>
      <w:r>
        <w:rPr>
          <w:rFonts w:ascii="Times New Roman" w:hAnsi="Times New Roman" w:cs="Times New Roman"/>
          <w:sz w:val="24"/>
          <w:szCs w:val="24"/>
          <w:shd w:val="clear" w:color="auto" w:fill="FFFFFF"/>
        </w:rPr>
        <w:t>pactos negativos potenciales</w:t>
      </w:r>
    </w:p>
    <w:p w:rsidR="00736F58" w:rsidRPr="00F76D9E" w:rsidRDefault="00736F58" w:rsidP="00736F58">
      <w:pPr>
        <w:spacing w:line="240" w:lineRule="auto"/>
        <w:jc w:val="both"/>
        <w:rPr>
          <w:rFonts w:ascii="Times New Roman" w:hAnsi="Times New Roman" w:cs="Times New Roman"/>
          <w:sz w:val="24"/>
          <w:szCs w:val="24"/>
          <w:shd w:val="clear" w:color="auto" w:fill="FFFFFF"/>
        </w:rPr>
      </w:pPr>
      <w:r w:rsidRPr="00F76D9E">
        <w:rPr>
          <w:rFonts w:ascii="Times New Roman" w:hAnsi="Times New Roman" w:cs="Times New Roman"/>
          <w:sz w:val="24"/>
          <w:szCs w:val="24"/>
          <w:shd w:val="clear" w:color="auto" w:fill="FFFFFF"/>
        </w:rPr>
        <w:t>Restricc</w:t>
      </w:r>
      <w:r>
        <w:rPr>
          <w:rFonts w:ascii="Times New Roman" w:hAnsi="Times New Roman" w:cs="Times New Roman"/>
          <w:sz w:val="24"/>
          <w:szCs w:val="24"/>
          <w:shd w:val="clear" w:color="auto" w:fill="FFFFFF"/>
        </w:rPr>
        <w:t xml:space="preserve">iones ambientales y normativas: </w:t>
      </w:r>
      <w:r w:rsidRPr="00F76D9E">
        <w:rPr>
          <w:rFonts w:ascii="Times New Roman" w:hAnsi="Times New Roman" w:cs="Times New Roman"/>
          <w:sz w:val="24"/>
          <w:szCs w:val="24"/>
          <w:shd w:val="clear" w:color="auto" w:fill="FFFFFF"/>
        </w:rPr>
        <w:t>La implementación de políticas ambientales derivadas de la Agenda 2030 puede llevar a restricciones en el uso de insumos agrícolas, prácticas ganaderas tradicionales, y el uso de agua, lo que podría afectar la productividad y rentabilidad de las explotaciones.</w:t>
      </w:r>
    </w:p>
    <w:p w:rsidR="00736F58" w:rsidRPr="00F76D9E"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Aumento de costos: </w:t>
      </w:r>
      <w:r w:rsidRPr="00F76D9E">
        <w:rPr>
          <w:rFonts w:ascii="Times New Roman" w:hAnsi="Times New Roman" w:cs="Times New Roman"/>
          <w:sz w:val="24"/>
          <w:szCs w:val="24"/>
          <w:shd w:val="clear" w:color="auto" w:fill="FFFFFF"/>
        </w:rPr>
        <w:t>La adaptación a nuevas regulaciones ambientales puede requerir inversiones significativas en nuevas tecnologías y prácticas, lo que podría incrementar los costos de producción y reducir la competitividad frente a importaciones más económicas.</w:t>
      </w:r>
    </w:p>
    <w:p w:rsidR="00736F58" w:rsidRPr="00F76D9E"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Pérdida de tierras de cultivo: </w:t>
      </w:r>
      <w:r w:rsidRPr="00F76D9E">
        <w:rPr>
          <w:rFonts w:ascii="Times New Roman" w:hAnsi="Times New Roman" w:cs="Times New Roman"/>
          <w:sz w:val="24"/>
          <w:szCs w:val="24"/>
          <w:shd w:val="clear" w:color="auto" w:fill="FFFFFF"/>
        </w:rPr>
        <w:t>Las políticas de conservación y protección ambiental podrían llevar a la desafectación de áreas cultivables, limitando la superficie disponible para la producción agrícola.</w:t>
      </w:r>
    </w:p>
    <w:p w:rsidR="00736F58"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Impacto en el empleo rural: </w:t>
      </w:r>
      <w:r w:rsidRPr="00F76D9E">
        <w:rPr>
          <w:rFonts w:ascii="Times New Roman" w:hAnsi="Times New Roman" w:cs="Times New Roman"/>
          <w:sz w:val="24"/>
          <w:szCs w:val="24"/>
          <w:shd w:val="clear" w:color="auto" w:fill="FFFFFF"/>
        </w:rPr>
        <w:t xml:space="preserve">La agricultura y la ganadería son sectores importantes para el empleo rural, y los cambios en las prácticas agrícolas podrían afectar el empleo y la economía de estas zonas. </w:t>
      </w:r>
    </w:p>
    <w:p w:rsidR="00736F58" w:rsidRDefault="00736F58" w:rsidP="00736F5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Sobre el particular (Agenda 2030 y Pacto Verde Europeo), para no ser exhaustivo, sito algunas de mis publicaciones anteriores, como referencia, y mayor información:</w:t>
      </w:r>
    </w:p>
    <w:p w:rsidR="00736F58" w:rsidRPr="00397338" w:rsidRDefault="00736F58" w:rsidP="00736F58">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15-5-2022 - </w:t>
      </w:r>
      <w:r w:rsidRPr="00397338">
        <w:rPr>
          <w:rFonts w:ascii="Times New Roman" w:hAnsi="Times New Roman" w:cs="Times New Roman"/>
          <w:b/>
          <w:sz w:val="24"/>
          <w:szCs w:val="24"/>
          <w:shd w:val="clear" w:color="auto" w:fill="FFFFFF"/>
        </w:rPr>
        <w:t>Del "ecocidio" a la "ecoestupidez" (engordando la sinrazón) - Cambio climático: entre el postureo "progre", y la cruda realidad socioeconómica (donde unos "cacarean" -Unión Europea-, y otros "ponen el huevo" - China o EEUU)</w:t>
      </w:r>
    </w:p>
    <w:p w:rsidR="00736F58" w:rsidRPr="00397338" w:rsidRDefault="00736F58" w:rsidP="00736F58">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5-10-2022 - </w:t>
      </w:r>
      <w:r w:rsidRPr="00397338">
        <w:rPr>
          <w:rFonts w:ascii="Times New Roman" w:hAnsi="Times New Roman" w:cs="Times New Roman"/>
          <w:b/>
          <w:sz w:val="24"/>
          <w:szCs w:val="24"/>
          <w:shd w:val="clear" w:color="auto" w:fill="FFFFFF"/>
        </w:rPr>
        <w:t>Del European Green Dream, al European Black Nightmare (de Eco-friendly, a Eco-suicida) - Si la UE quiere sobrevivir, debe prepararse para lo peor (Partes I y II)</w:t>
      </w:r>
    </w:p>
    <w:p w:rsidR="00736F58" w:rsidRPr="00397338" w:rsidRDefault="00736F58" w:rsidP="00736F58">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15-12-2022 - </w:t>
      </w:r>
      <w:r w:rsidRPr="00397338">
        <w:rPr>
          <w:rFonts w:ascii="Times New Roman" w:hAnsi="Times New Roman" w:cs="Times New Roman"/>
          <w:b/>
          <w:sz w:val="24"/>
          <w:szCs w:val="24"/>
          <w:shd w:val="clear" w:color="auto" w:fill="FFFFFF"/>
        </w:rPr>
        <w:t>El día que a la Unión Europea se le terminaron todas las “mentiras confortables”</w:t>
      </w:r>
    </w:p>
    <w:p w:rsidR="00736F58" w:rsidRPr="00397338" w:rsidRDefault="00736F58" w:rsidP="00736F58">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15-3-2023 - </w:t>
      </w:r>
      <w:r w:rsidRPr="00397338">
        <w:rPr>
          <w:rFonts w:ascii="Times New Roman" w:hAnsi="Times New Roman" w:cs="Times New Roman"/>
          <w:b/>
          <w:sz w:val="24"/>
          <w:szCs w:val="24"/>
          <w:shd w:val="clear" w:color="auto" w:fill="FFFFFF"/>
        </w:rPr>
        <w:t>Oda al "pedo de la vaca" (y en contra de la Agenda 2030: un siniestro catálogo, de falsos alarmismos, y culpables posmodernos)</w:t>
      </w:r>
    </w:p>
    <w:p w:rsidR="00736F58" w:rsidRPr="00397338" w:rsidRDefault="00736F58" w:rsidP="00736F58">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lastRenderedPageBreak/>
        <w:t xml:space="preserve">15-10-2023 - </w:t>
      </w:r>
      <w:r w:rsidRPr="00397338">
        <w:rPr>
          <w:rFonts w:ascii="Times New Roman" w:hAnsi="Times New Roman" w:cs="Times New Roman"/>
          <w:b/>
          <w:sz w:val="24"/>
          <w:szCs w:val="24"/>
          <w:shd w:val="clear" w:color="auto" w:fill="FFFFFF"/>
        </w:rPr>
        <w:t>"Gestos idiotas": mientras Europa sacrifica su autonomía energética (y alimentaria), China continúa inaugurando plantas de carbón, y Estados Unidos se convierte en el principal proveedor de gas natural licuado de la región. El acatamiento "suicida" de la Unión Europea al paradigma del ecologismo radical (Agenda 2030)</w:t>
      </w:r>
    </w:p>
    <w:p w:rsidR="00736F58" w:rsidRPr="00397338" w:rsidRDefault="00736F58" w:rsidP="00736F58">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15-7-2025 - </w:t>
      </w:r>
      <w:r w:rsidRPr="00397338">
        <w:rPr>
          <w:rFonts w:ascii="Times New Roman" w:hAnsi="Times New Roman" w:cs="Times New Roman"/>
          <w:b/>
          <w:sz w:val="24"/>
          <w:szCs w:val="24"/>
          <w:shd w:val="clear" w:color="auto" w:fill="FFFFFF"/>
        </w:rPr>
        <w:t>Acuerdo Unión Europea - Mercosur (y los brócolis de la ira)</w:t>
      </w:r>
    </w:p>
    <w:p w:rsidR="00736F58" w:rsidRDefault="00736F58" w:rsidP="00736F58">
      <w:pPr>
        <w:spacing w:line="240" w:lineRule="auto"/>
        <w:jc w:val="both"/>
        <w:rPr>
          <w:rFonts w:ascii="Times New Roman" w:hAnsi="Times New Roman" w:cs="Times New Roman"/>
          <w:color w:val="FF0000"/>
          <w:sz w:val="24"/>
          <w:szCs w:val="24"/>
          <w:shd w:val="clear" w:color="auto" w:fill="FFFFFF"/>
        </w:rPr>
      </w:pPr>
      <w:r w:rsidRPr="008759E0">
        <w:rPr>
          <w:rFonts w:ascii="Times New Roman" w:hAnsi="Times New Roman" w:cs="Times New Roman"/>
          <w:b/>
          <w:color w:val="FF0000"/>
          <w:sz w:val="24"/>
          <w:szCs w:val="24"/>
          <w:shd w:val="clear" w:color="auto" w:fill="FFFFFF"/>
        </w:rPr>
        <w:t>Nota</w:t>
      </w:r>
      <w:r w:rsidRPr="008759E0">
        <w:rPr>
          <w:rFonts w:ascii="Times New Roman" w:hAnsi="Times New Roman" w:cs="Times New Roman"/>
          <w:color w:val="FF0000"/>
          <w:sz w:val="24"/>
          <w:szCs w:val="24"/>
          <w:shd w:val="clear" w:color="auto" w:fill="FFFFFF"/>
        </w:rPr>
        <w:t>: Si el objetivo es desregular la economía, optimizar su potencial de desarrollo, y maximizar su crecimiento y competitividad, es conveniente, y necesario, eliminar las restricciones que sobre las actividades productivas (agricultura, pesca, minería, energía, industria, comercio</w:t>
      </w:r>
      <w:r>
        <w:rPr>
          <w:rFonts w:ascii="Times New Roman" w:hAnsi="Times New Roman" w:cs="Times New Roman"/>
          <w:color w:val="FF0000"/>
          <w:sz w:val="24"/>
          <w:szCs w:val="24"/>
          <w:shd w:val="clear" w:color="auto" w:fill="FFFFFF"/>
        </w:rPr>
        <w:t>,</w:t>
      </w:r>
      <w:r w:rsidRPr="008759E0">
        <w:rPr>
          <w:rFonts w:ascii="Times New Roman" w:hAnsi="Times New Roman" w:cs="Times New Roman"/>
          <w:color w:val="FF0000"/>
          <w:sz w:val="24"/>
          <w:szCs w:val="24"/>
          <w:shd w:val="clear" w:color="auto" w:fill="FFFFFF"/>
        </w:rPr>
        <w:t xml:space="preserve"> y servicios) provoca la aplicación de la Agenda 2030 y el Pacto Verde. </w:t>
      </w:r>
    </w:p>
    <w:p w:rsidR="002B7B12" w:rsidRDefault="002B7B12" w:rsidP="002B7B12">
      <w:pPr>
        <w:spacing w:line="240" w:lineRule="auto"/>
        <w:jc w:val="both"/>
        <w:rPr>
          <w:rFonts w:ascii="Times New Roman" w:hAnsi="Times New Roman" w:cs="Times New Roman"/>
          <w:color w:val="FF0000"/>
          <w:sz w:val="24"/>
          <w:szCs w:val="24"/>
          <w:shd w:val="clear" w:color="auto" w:fill="FFFFFF"/>
        </w:rPr>
      </w:pPr>
      <w:r w:rsidRPr="00F5097A">
        <w:rPr>
          <w:rFonts w:ascii="Times New Roman" w:hAnsi="Times New Roman" w:cs="Times New Roman"/>
          <w:color w:val="FF0000"/>
          <w:sz w:val="24"/>
          <w:szCs w:val="24"/>
          <w:shd w:val="clear" w:color="auto" w:fill="FFFFFF"/>
        </w:rPr>
        <w:t>- Regreso a la energía nuclear y aceleración de nuevas inversiones</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 xml:space="preserve">- </w:t>
      </w:r>
      <w:r w:rsidRPr="008759E0">
        <w:rPr>
          <w:rFonts w:ascii="Times New Roman" w:hAnsi="Times New Roman" w:cs="Times New Roman"/>
          <w:sz w:val="24"/>
          <w:szCs w:val="24"/>
          <w:u w:val="single"/>
          <w:shd w:val="clear" w:color="auto" w:fill="FFFFFF"/>
        </w:rPr>
        <w:t>Por qué España renuncia al gran arma del despertar nuclear: así son los minirreactores que alumbrarán Europa</w:t>
      </w:r>
      <w:r>
        <w:rPr>
          <w:rFonts w:ascii="Times New Roman" w:hAnsi="Times New Roman" w:cs="Times New Roman"/>
          <w:sz w:val="24"/>
          <w:szCs w:val="24"/>
          <w:shd w:val="clear" w:color="auto" w:fill="FFFFFF"/>
        </w:rPr>
        <w:t xml:space="preserve"> (</w:t>
      </w:r>
      <w:r w:rsidRPr="00724819">
        <w:rPr>
          <w:rFonts w:ascii="Times New Roman" w:hAnsi="Times New Roman" w:cs="Times New Roman"/>
          <w:sz w:val="24"/>
          <w:szCs w:val="24"/>
          <w:shd w:val="clear" w:color="auto" w:fill="FFFFFF"/>
        </w:rPr>
        <w:t xml:space="preserve">El Economista - </w:t>
      </w:r>
      <w:r w:rsidRPr="00724819">
        <w:rPr>
          <w:rFonts w:ascii="Times New Roman" w:hAnsi="Times New Roman" w:cs="Times New Roman"/>
          <w:b/>
          <w:sz w:val="24"/>
          <w:szCs w:val="24"/>
          <w:shd w:val="clear" w:color="auto" w:fill="FFFFFF"/>
        </w:rPr>
        <w:t>23/10/24</w:t>
      </w:r>
      <w:r w:rsidRPr="00724819">
        <w:rPr>
          <w:rFonts w:ascii="Times New Roman" w:hAnsi="Times New Roman" w:cs="Times New Roman"/>
          <w:sz w:val="24"/>
          <w:szCs w:val="24"/>
          <w:shd w:val="clear" w:color="auto" w:fill="FFFFFF"/>
        </w:rPr>
        <w:t>)</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(Por Álvaro Moreno y Vicente Nieves)</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 xml:space="preserve">La Unión Europea ha puesto la energía nuclear en el centro de su estrategia de cara a su futuro eléctrico. Actualmente, la energía de fisión representa cerca del 22% del suministro del continente. A diferencia del gas y del petróleo, esta energía podría servir como complemento a la solar, fotovoltaica, hidrógeno verde… que son baratas y no contaminan pero que cuyo almacenamiento es un problema. En ese sentido desde la Comisión Europea, dieron a la </w:t>
      </w:r>
      <w:r>
        <w:rPr>
          <w:rFonts w:ascii="Times New Roman" w:hAnsi="Times New Roman" w:cs="Times New Roman"/>
          <w:sz w:val="24"/>
          <w:szCs w:val="24"/>
          <w:shd w:val="clear" w:color="auto" w:fill="FFFFFF"/>
        </w:rPr>
        <w:t>nuclear la etiqueta de energía “verde”</w:t>
      </w:r>
      <w:r w:rsidRPr="00724819">
        <w:rPr>
          <w:rFonts w:ascii="Times New Roman" w:hAnsi="Times New Roman" w:cs="Times New Roman"/>
          <w:sz w:val="24"/>
          <w:szCs w:val="24"/>
          <w:shd w:val="clear" w:color="auto" w:fill="FFFFFF"/>
        </w:rPr>
        <w:t xml:space="preserve"> por sus bajas emisiones. Además, las centrales nucleares ofrecen un suministro independiente de terceros países, algo que puede dotar una estabilidad que se ha echado de menos en situaciones como la guerra de Ucrania.</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724819">
        <w:rPr>
          <w:rFonts w:ascii="Times New Roman" w:hAnsi="Times New Roman" w:cs="Times New Roman"/>
          <w:sz w:val="24"/>
          <w:szCs w:val="24"/>
          <w:shd w:val="clear" w:color="auto" w:fill="FFFFFF"/>
        </w:rPr>
        <w:t>La energía nuclear es una alternativa li</w:t>
      </w:r>
      <w:r>
        <w:rPr>
          <w:rFonts w:ascii="Times New Roman" w:hAnsi="Times New Roman" w:cs="Times New Roman"/>
          <w:sz w:val="24"/>
          <w:szCs w:val="24"/>
          <w:shd w:val="clear" w:color="auto" w:fill="FFFFFF"/>
        </w:rPr>
        <w:t>mpia a los combustibles fósiles”</w:t>
      </w:r>
      <w:r w:rsidRPr="00724819">
        <w:rPr>
          <w:rFonts w:ascii="Times New Roman" w:hAnsi="Times New Roman" w:cs="Times New Roman"/>
          <w:sz w:val="24"/>
          <w:szCs w:val="24"/>
          <w:shd w:val="clear" w:color="auto" w:fill="FFFFFF"/>
        </w:rPr>
        <w:t xml:space="preserve"> comentaba en su último informe la CE. En ese sentido, el viejo continente ha entendido que la próxima batalla consiste en los Reactores Modulares Pequeños (MDR, por sus siglas en ing</w:t>
      </w:r>
      <w:r>
        <w:rPr>
          <w:rFonts w:ascii="Times New Roman" w:hAnsi="Times New Roman" w:cs="Times New Roman"/>
          <w:sz w:val="24"/>
          <w:szCs w:val="24"/>
          <w:shd w:val="clear" w:color="auto" w:fill="FFFFFF"/>
        </w:rPr>
        <w:t>lés). “</w:t>
      </w:r>
      <w:r w:rsidRPr="00724819">
        <w:rPr>
          <w:rFonts w:ascii="Times New Roman" w:hAnsi="Times New Roman" w:cs="Times New Roman"/>
          <w:sz w:val="24"/>
          <w:szCs w:val="24"/>
          <w:shd w:val="clear" w:color="auto" w:fill="FFFFFF"/>
        </w:rPr>
        <w:t>Los MDR están logrando avances significativos y tienen el potencial de desempeñar un papel importante en los sistemas energéticos integrados al proporcionar electricidad y/o calor con bajas emisiones d</w:t>
      </w:r>
      <w:r>
        <w:rPr>
          <w:rFonts w:ascii="Times New Roman" w:hAnsi="Times New Roman" w:cs="Times New Roman"/>
          <w:sz w:val="24"/>
          <w:szCs w:val="24"/>
          <w:shd w:val="clear" w:color="auto" w:fill="FFFFFF"/>
        </w:rPr>
        <w:t>e carbono y una huella limitada”</w:t>
      </w:r>
      <w:r w:rsidRPr="00724819">
        <w:rPr>
          <w:rFonts w:ascii="Times New Roman" w:hAnsi="Times New Roman" w:cs="Times New Roman"/>
          <w:sz w:val="24"/>
          <w:szCs w:val="24"/>
          <w:shd w:val="clear" w:color="auto" w:fill="FFFFFF"/>
        </w:rPr>
        <w:t xml:space="preserve"> comentan en el último escrito de la Comisión. Sin embargo, mientras otros países apuestan por estas pequeñas plantas como fórmula de futuro, España le ha dado, de momento, totalmente la espalda.</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En un mundo cada vez más preocupado por la transición energética y la descarbonización, la energía nuclear sigue siendo una de las tecnologías clave para lograr estos objetivos. Sin embargo, mientras que países como Francia, Polonia y Bélgica están apostando por los MDR o SMR (por sus siglas en inglés) como una solución eficaz para la producción de energía, España parece estar quedándose atrás en esta tendencia cada vez más extendida. Según revelan los expertos de Foro Nuclear en declaraciones a elEconomista, la apuesta por estos reactores modulares podría marcar la diferencia en la estabilidad y sostenibilidad del sistema eléctrico español.</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Uno de los puntos más destacados por los expertos es la naturaleza del diseño de los SMR, que se caracteriza por su mo</w:t>
      </w:r>
      <w:r>
        <w:rPr>
          <w:rFonts w:ascii="Times New Roman" w:hAnsi="Times New Roman" w:cs="Times New Roman"/>
          <w:sz w:val="24"/>
          <w:szCs w:val="24"/>
          <w:shd w:val="clear" w:color="auto" w:fill="FFFFFF"/>
        </w:rPr>
        <w:t>dularidad y su pequeño tamaño. “</w:t>
      </w:r>
      <w:r w:rsidRPr="00724819">
        <w:rPr>
          <w:rFonts w:ascii="Times New Roman" w:hAnsi="Times New Roman" w:cs="Times New Roman"/>
          <w:sz w:val="24"/>
          <w:szCs w:val="24"/>
          <w:shd w:val="clear" w:color="auto" w:fill="FFFFFF"/>
        </w:rPr>
        <w:t>Muchos de estos reactores pueden ensamblarse en fábrica y transportarse directamente al em</w:t>
      </w:r>
      <w:r>
        <w:rPr>
          <w:rFonts w:ascii="Times New Roman" w:hAnsi="Times New Roman" w:cs="Times New Roman"/>
          <w:sz w:val="24"/>
          <w:szCs w:val="24"/>
          <w:shd w:val="clear" w:color="auto" w:fill="FFFFFF"/>
        </w:rPr>
        <w:t>plazamiento para su instalación”</w:t>
      </w:r>
      <w:r w:rsidRPr="00724819">
        <w:rPr>
          <w:rFonts w:ascii="Times New Roman" w:hAnsi="Times New Roman" w:cs="Times New Roman"/>
          <w:sz w:val="24"/>
          <w:szCs w:val="24"/>
          <w:shd w:val="clear" w:color="auto" w:fill="FFFFFF"/>
        </w:rPr>
        <w:t>, señalan. Esto permite reducir significativamente los costos y los tiempos de construcción en comparación con las plantas nucleares tradicionales. Además, su diseño incluye características de seguridad avanzadas basadas en protecciones pasivas, lo que aumenta la confiabilidad y seguridad en su operación.</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lastRenderedPageBreak/>
        <w:t>Este es uno de los motivos por los que la Alianza Industrial Europea sobre Reactores Modulares (un nueva organización dependiente de la Comisión Europea para facilitar y agilizar la llegada de esta nueva fórmula), ya ha anunciado que está impulsando siete proyectos, con 22 solicitudes presentadas por la Comisión Europea para ir preparando lo que será un despliegue mucho más ambici</w:t>
      </w:r>
      <w:r>
        <w:rPr>
          <w:rFonts w:ascii="Times New Roman" w:hAnsi="Times New Roman" w:cs="Times New Roman"/>
          <w:sz w:val="24"/>
          <w:szCs w:val="24"/>
          <w:shd w:val="clear" w:color="auto" w:fill="FFFFFF"/>
        </w:rPr>
        <w:t>oso durante la década de 2030. “</w:t>
      </w:r>
      <w:r w:rsidRPr="00724819">
        <w:rPr>
          <w:rFonts w:ascii="Times New Roman" w:hAnsi="Times New Roman" w:cs="Times New Roman"/>
          <w:sz w:val="24"/>
          <w:szCs w:val="24"/>
          <w:shd w:val="clear" w:color="auto" w:fill="FFFFFF"/>
        </w:rPr>
        <w:t>Cada uno de estos proyectos tendrá la oportunidad de constituir un PWG que involucre a todos los socios interesado</w:t>
      </w:r>
      <w:r>
        <w:rPr>
          <w:rFonts w:ascii="Times New Roman" w:hAnsi="Times New Roman" w:cs="Times New Roman"/>
          <w:sz w:val="24"/>
          <w:szCs w:val="24"/>
          <w:shd w:val="clear" w:color="auto" w:fill="FFFFFF"/>
        </w:rPr>
        <w:t>s “en colaborar con el proyecto”</w:t>
      </w:r>
      <w:r w:rsidRPr="00724819">
        <w:rPr>
          <w:rFonts w:ascii="Times New Roman" w:hAnsi="Times New Roman" w:cs="Times New Roman"/>
          <w:sz w:val="24"/>
          <w:szCs w:val="24"/>
          <w:shd w:val="clear" w:color="auto" w:fill="FFFFFF"/>
        </w:rPr>
        <w:t xml:space="preserve"> comentaba la Comisión Europea. Estos proyectos en su mayoría se centrarán en Bélgica, Rumanía y Polonia. Este último ya ha aprobado la puesta en marcha de seis de estos minirreactores.</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Otra ventaja clave de los SMR es su versatilidad. No solo pueden generar electricidad de manera eficiente, sino que también pueden aplicarse a otros usos, como la producción de hidrógeno, la calefa</w:t>
      </w:r>
      <w:r>
        <w:rPr>
          <w:rFonts w:ascii="Times New Roman" w:hAnsi="Times New Roman" w:cs="Times New Roman"/>
          <w:sz w:val="24"/>
          <w:szCs w:val="24"/>
          <w:shd w:val="clear" w:color="auto" w:fill="FFFFFF"/>
        </w:rPr>
        <w:t>cción o la desalación de agua. “</w:t>
      </w:r>
      <w:r w:rsidRPr="00724819">
        <w:rPr>
          <w:rFonts w:ascii="Times New Roman" w:hAnsi="Times New Roman" w:cs="Times New Roman"/>
          <w:sz w:val="24"/>
          <w:szCs w:val="24"/>
          <w:shd w:val="clear" w:color="auto" w:fill="FFFFFF"/>
        </w:rPr>
        <w:t>Los reactores modulares pequeños tienen muchas aplicaciones más allá de la simple generación eléctrica, lo que los convierte en una tecnología flexible para adaptarse a di</w:t>
      </w:r>
      <w:r>
        <w:rPr>
          <w:rFonts w:ascii="Times New Roman" w:hAnsi="Times New Roman" w:cs="Times New Roman"/>
          <w:sz w:val="24"/>
          <w:szCs w:val="24"/>
          <w:shd w:val="clear" w:color="auto" w:fill="FFFFFF"/>
        </w:rPr>
        <w:t>versas necesidades energéticas”</w:t>
      </w:r>
      <w:r w:rsidRPr="00724819">
        <w:rPr>
          <w:rFonts w:ascii="Times New Roman" w:hAnsi="Times New Roman" w:cs="Times New Roman"/>
          <w:sz w:val="24"/>
          <w:szCs w:val="24"/>
          <w:shd w:val="clear" w:color="auto" w:fill="FFFFFF"/>
        </w:rPr>
        <w:t>, subrayan los expertos.</w:t>
      </w:r>
    </w:p>
    <w:p w:rsidR="002B7B12"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A nivel global, países como Estados Unidos y Canadá han realizado inversiones considerables en el desarrollo de SMR, con la esperanza de que estos reactores puedan desempeñar un papel fundamental en la lucha contra el cambio climático. Por ejemplo, Estados Unidos ha invertido más de 2.000 millones de dólares en proyectos de SMR para impulsar su despliegue comercial. En Canadá, la provincia de Ontario ha establecido una estrategia de desarrollo de SMR para cumplir con sus metas de reducción de emisiones.</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noProof/>
          <w:lang w:eastAsia="es-ES"/>
        </w:rPr>
        <w:drawing>
          <wp:inline distT="0" distB="0" distL="0" distR="0" wp14:anchorId="29EF77E1" wp14:editId="62D6C070">
            <wp:extent cx="5731510" cy="3126278"/>
            <wp:effectExtent l="0" t="0" r="2540" b="0"/>
            <wp:docPr id="290" name="Imagen 290" descr="Gráfico del Organismo Internacional de la Energía Atóm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 del Organismo Internacional de la Energía Atómica"/>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31510" cy="3126278"/>
                    </a:xfrm>
                    <a:prstGeom prst="rect">
                      <a:avLst/>
                    </a:prstGeom>
                    <a:noFill/>
                    <a:ln>
                      <a:noFill/>
                    </a:ln>
                  </pic:spPr>
                </pic:pic>
              </a:graphicData>
            </a:graphic>
          </wp:inline>
        </w:drawing>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Gráfico del Organismo Internacional de la Energía Atómica (OIEA)</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Sin embargo, España parece estar siguiendo una trayectoria diferente. Según el Plan Nacional Integrado de Energía y Clima (PNIEC) aprobado por el gobierno, el país comenzará a cerrar sus reactores nucleares en 2027, con el objetivo de eliminar completamente est</w:t>
      </w:r>
      <w:r>
        <w:rPr>
          <w:rFonts w:ascii="Times New Roman" w:hAnsi="Times New Roman" w:cs="Times New Roman"/>
          <w:sz w:val="24"/>
          <w:szCs w:val="24"/>
          <w:shd w:val="clear" w:color="auto" w:fill="FFFFFF"/>
        </w:rPr>
        <w:t>a fuente de energía para 2035. “</w:t>
      </w:r>
      <w:r w:rsidRPr="00724819">
        <w:rPr>
          <w:rFonts w:ascii="Times New Roman" w:hAnsi="Times New Roman" w:cs="Times New Roman"/>
          <w:sz w:val="24"/>
          <w:szCs w:val="24"/>
          <w:shd w:val="clear" w:color="auto" w:fill="FFFFFF"/>
        </w:rPr>
        <w:t xml:space="preserve">España se está quedando sola en su apuesta por el cierre nuclear, mientras que el resto del mundo, incluidos nuestros socios europeos, reconoce la importancia de contar con fuentes de electricidad </w:t>
      </w:r>
      <w:r>
        <w:rPr>
          <w:rFonts w:ascii="Times New Roman" w:hAnsi="Times New Roman" w:cs="Times New Roman"/>
          <w:sz w:val="24"/>
          <w:szCs w:val="24"/>
          <w:shd w:val="clear" w:color="auto" w:fill="FFFFFF"/>
        </w:rPr>
        <w:t>estables y sin emisiones de CO2”</w:t>
      </w:r>
      <w:r w:rsidRPr="00724819">
        <w:rPr>
          <w:rFonts w:ascii="Times New Roman" w:hAnsi="Times New Roman" w:cs="Times New Roman"/>
          <w:sz w:val="24"/>
          <w:szCs w:val="24"/>
          <w:shd w:val="clear" w:color="auto" w:fill="FFFFFF"/>
        </w:rPr>
        <w:t>, advierten desde Foro Nuclear.</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lastRenderedPageBreak/>
        <w:t>Emilio Minguez, presidente de Sociedad Nuclear Española, comenta en de</w:t>
      </w:r>
      <w:r>
        <w:rPr>
          <w:rFonts w:ascii="Times New Roman" w:hAnsi="Times New Roman" w:cs="Times New Roman"/>
          <w:sz w:val="24"/>
          <w:szCs w:val="24"/>
          <w:shd w:val="clear" w:color="auto" w:fill="FFFFFF"/>
        </w:rPr>
        <w:t>claraciones a elEconomista que “</w:t>
      </w:r>
      <w:r w:rsidRPr="00724819">
        <w:rPr>
          <w:rFonts w:ascii="Times New Roman" w:hAnsi="Times New Roman" w:cs="Times New Roman"/>
          <w:sz w:val="24"/>
          <w:szCs w:val="24"/>
          <w:shd w:val="clear" w:color="auto" w:fill="FFFFFF"/>
        </w:rPr>
        <w:t>España es el único país de Europa y del mundo que teniendo centrales nucleares en operación con un elevado rendimiento ha decidido prescindir de ellas y prescindir de la energía nuclear, y eso a pesar de ser una energía incl</w:t>
      </w:r>
      <w:r>
        <w:rPr>
          <w:rFonts w:ascii="Times New Roman" w:hAnsi="Times New Roman" w:cs="Times New Roman"/>
          <w:sz w:val="24"/>
          <w:szCs w:val="24"/>
          <w:shd w:val="clear" w:color="auto" w:fill="FFFFFF"/>
        </w:rPr>
        <w:t>uida entre las no contaminantes”</w:t>
      </w:r>
      <w:r w:rsidRPr="00724819">
        <w:rPr>
          <w:rFonts w:ascii="Times New Roman" w:hAnsi="Times New Roman" w:cs="Times New Roman"/>
          <w:sz w:val="24"/>
          <w:szCs w:val="24"/>
          <w:shd w:val="clear" w:color="auto" w:fill="FFFFFF"/>
        </w:rPr>
        <w:t>, señala con asombro.</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 xml:space="preserve">No obstante, este experto cree que más que invertir en los SMR quizá en el caso concreto de España </w:t>
      </w:r>
      <w:r>
        <w:rPr>
          <w:rFonts w:ascii="Times New Roman" w:hAnsi="Times New Roman" w:cs="Times New Roman"/>
          <w:sz w:val="24"/>
          <w:szCs w:val="24"/>
          <w:shd w:val="clear" w:color="auto" w:fill="FFFFFF"/>
        </w:rPr>
        <w:t>sería más razonable y rentable “</w:t>
      </w:r>
      <w:r w:rsidRPr="00724819">
        <w:rPr>
          <w:rFonts w:ascii="Times New Roman" w:hAnsi="Times New Roman" w:cs="Times New Roman"/>
          <w:sz w:val="24"/>
          <w:szCs w:val="24"/>
          <w:shd w:val="clear" w:color="auto" w:fill="FFFFFF"/>
        </w:rPr>
        <w:t>Seguir operando centrales hasta los 60 o los 80 años. Esta es la solución más viable en países como España, porque son centrales de alta tecnología en las que anualmente se realiza una inversión para mantenerlas en buen estado de operación. Prescindir de estas cen</w:t>
      </w:r>
      <w:r>
        <w:rPr>
          <w:rFonts w:ascii="Times New Roman" w:hAnsi="Times New Roman" w:cs="Times New Roman"/>
          <w:sz w:val="24"/>
          <w:szCs w:val="24"/>
          <w:shd w:val="clear" w:color="auto" w:fill="FFFFFF"/>
        </w:rPr>
        <w:t>trales no es una buena solución”</w:t>
      </w:r>
      <w:r w:rsidRPr="00724819">
        <w:rPr>
          <w:rFonts w:ascii="Times New Roman" w:hAnsi="Times New Roman" w:cs="Times New Roman"/>
          <w:sz w:val="24"/>
          <w:szCs w:val="24"/>
          <w:shd w:val="clear" w:color="auto" w:fill="FFFFFF"/>
        </w:rPr>
        <w:t>, sentencia.</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La Agencia Internacional de la Energía (A</w:t>
      </w:r>
      <w:r>
        <w:rPr>
          <w:rFonts w:ascii="Times New Roman" w:hAnsi="Times New Roman" w:cs="Times New Roman"/>
          <w:sz w:val="24"/>
          <w:szCs w:val="24"/>
          <w:shd w:val="clear" w:color="auto" w:fill="FFFFFF"/>
        </w:rPr>
        <w:t>IE) ha sido clara al respecto: “</w:t>
      </w:r>
      <w:r w:rsidRPr="00724819">
        <w:rPr>
          <w:rFonts w:ascii="Times New Roman" w:hAnsi="Times New Roman" w:cs="Times New Roman"/>
          <w:sz w:val="24"/>
          <w:szCs w:val="24"/>
          <w:shd w:val="clear" w:color="auto" w:fill="FFFFFF"/>
        </w:rPr>
        <w:t>Sin el apoyo de la energía nuclear, no tenemos ninguna posibilidad de alcanzar a tiemp</w:t>
      </w:r>
      <w:r>
        <w:rPr>
          <w:rFonts w:ascii="Times New Roman" w:hAnsi="Times New Roman" w:cs="Times New Roman"/>
          <w:sz w:val="24"/>
          <w:szCs w:val="24"/>
          <w:shd w:val="clear" w:color="auto" w:fill="FFFFFF"/>
        </w:rPr>
        <w:t>o nuestros objetivos climáticos”</w:t>
      </w:r>
      <w:r w:rsidRPr="00724819">
        <w:rPr>
          <w:rFonts w:ascii="Times New Roman" w:hAnsi="Times New Roman" w:cs="Times New Roman"/>
          <w:sz w:val="24"/>
          <w:szCs w:val="24"/>
          <w:shd w:val="clear" w:color="auto" w:fill="FFFFFF"/>
        </w:rPr>
        <w:t>, afirmó su director general, Fatih Birol. Esta opinión es compartida por numerosos organismos internacionales, incluido el Panel Intergubernamental de Cambio Climático y el Organismo Internacional de Energía Atómica, que subrayan el papel esencial de la nuclear en la descarbonización.</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En cuanto a la competitividad de las empresas españolas, los expertos alertan de los posibles efectos negativos de prescindir de la energía nucle</w:t>
      </w:r>
      <w:r>
        <w:rPr>
          <w:rFonts w:ascii="Times New Roman" w:hAnsi="Times New Roman" w:cs="Times New Roman"/>
          <w:sz w:val="24"/>
          <w:szCs w:val="24"/>
          <w:shd w:val="clear" w:color="auto" w:fill="FFFFFF"/>
        </w:rPr>
        <w:t>ar. “</w:t>
      </w:r>
      <w:r w:rsidRPr="00724819">
        <w:rPr>
          <w:rFonts w:ascii="Times New Roman" w:hAnsi="Times New Roman" w:cs="Times New Roman"/>
          <w:sz w:val="24"/>
          <w:szCs w:val="24"/>
          <w:shd w:val="clear" w:color="auto" w:fill="FFFFFF"/>
        </w:rPr>
        <w:t>La desaparición de esta tecnología haría que el precio del mercado mayorista de electricidad se incrementase, afectando directamente a los costes de producción de las empresas, especialmente a aquellas</w:t>
      </w:r>
      <w:r>
        <w:rPr>
          <w:rFonts w:ascii="Times New Roman" w:hAnsi="Times New Roman" w:cs="Times New Roman"/>
          <w:sz w:val="24"/>
          <w:szCs w:val="24"/>
          <w:shd w:val="clear" w:color="auto" w:fill="FFFFFF"/>
        </w:rPr>
        <w:t xml:space="preserve"> con procesos electrointensivos”</w:t>
      </w:r>
      <w:r w:rsidRPr="00724819">
        <w:rPr>
          <w:rFonts w:ascii="Times New Roman" w:hAnsi="Times New Roman" w:cs="Times New Roman"/>
          <w:sz w:val="24"/>
          <w:szCs w:val="24"/>
          <w:shd w:val="clear" w:color="auto" w:fill="FFFFFF"/>
        </w:rPr>
        <w:t>, explican. Con los SMR, España podría mantener una fuente de energía constante, fiable y económica que ayudaría a contener los precios de la electricidad.</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Energía para 500.000 hogares</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En definitiva, los reactores modulares pequeños representan una oportunidad que no debería pasarse por alto. Con una capacidad de hasta 300 MWe por unidad, un solo SMR puede proporcionar electricidad a unos 500.000 hogares, lo que demuestra su potencial para cubrir las necesidades energéticas de manera eficiente. Además, su menor tamaño conlleva una reducción en la cantidad de residuos radiactivos generados, lo que los convierte en una opción aún más atractiva desde el punto de vista ambiental.</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En un contexto internacional donde cada vez más países ven en los SMR una solución viable para el futuro energético, España se enfrenta al reto de decidir si seguirá cerrando puertas a esta tecnología o si, por el contrario, aprovechará la oportunidad para mantenerse a la vanguardia en la lucha contra el cambio climático y la sostenibilidad energética…</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 xml:space="preserve">Desde el Instituto de Economía y Análisis Financiero de la Energía (IEEFA, por su siglas en inglés), defendían en un informe </w:t>
      </w:r>
      <w:r>
        <w:rPr>
          <w:rFonts w:ascii="Times New Roman" w:hAnsi="Times New Roman" w:cs="Times New Roman"/>
          <w:sz w:val="24"/>
          <w:szCs w:val="24"/>
          <w:shd w:val="clear" w:color="auto" w:fill="FFFFFF"/>
        </w:rPr>
        <w:t>que los minirreactores suponen “</w:t>
      </w:r>
      <w:r w:rsidRPr="00724819">
        <w:rPr>
          <w:rFonts w:ascii="Times New Roman" w:hAnsi="Times New Roman" w:cs="Times New Roman"/>
          <w:sz w:val="24"/>
          <w:szCs w:val="24"/>
          <w:shd w:val="clear" w:color="auto" w:fill="FFFFFF"/>
        </w:rPr>
        <w:t xml:space="preserve">una plan muy caro, lento de construir y arriesgado para darle un papel relevante en la transición desde los combustibles </w:t>
      </w:r>
      <w:r>
        <w:rPr>
          <w:rFonts w:ascii="Times New Roman" w:hAnsi="Times New Roman" w:cs="Times New Roman"/>
          <w:sz w:val="24"/>
          <w:szCs w:val="24"/>
          <w:shd w:val="clear" w:color="auto" w:fill="FFFFFF"/>
        </w:rPr>
        <w:t>fósiles en la próxima década”</w:t>
      </w:r>
      <w:r w:rsidRPr="00724819">
        <w:rPr>
          <w:rFonts w:ascii="Times New Roman" w:hAnsi="Times New Roman" w:cs="Times New Roman"/>
          <w:sz w:val="24"/>
          <w:szCs w:val="24"/>
          <w:shd w:val="clear" w:color="auto" w:fill="FFFFFF"/>
        </w:rPr>
        <w:t>. De hecho, piden caut</w:t>
      </w:r>
      <w:r>
        <w:rPr>
          <w:rFonts w:ascii="Times New Roman" w:hAnsi="Times New Roman" w:cs="Times New Roman"/>
          <w:sz w:val="24"/>
          <w:szCs w:val="24"/>
          <w:shd w:val="clear" w:color="auto" w:fill="FFFFFF"/>
        </w:rPr>
        <w:t>ela ante estos problemas y que “</w:t>
      </w:r>
      <w:r w:rsidRPr="00724819">
        <w:rPr>
          <w:rFonts w:ascii="Times New Roman" w:hAnsi="Times New Roman" w:cs="Times New Roman"/>
          <w:sz w:val="24"/>
          <w:szCs w:val="24"/>
          <w:shd w:val="clear" w:color="auto" w:fill="FFFFFF"/>
        </w:rPr>
        <w:t>los inversores que estén sopesando cualquier propuesta de SMR deberían realizar cuidadosamente cualquier operación. Las cosas saldrán mal, poniendo en peligro las posibilidades de recuperación t</w:t>
      </w:r>
      <w:r>
        <w:rPr>
          <w:rFonts w:ascii="Times New Roman" w:hAnsi="Times New Roman" w:cs="Times New Roman"/>
          <w:sz w:val="24"/>
          <w:szCs w:val="24"/>
          <w:shd w:val="clear" w:color="auto" w:fill="FFFFFF"/>
        </w:rPr>
        <w:t>otal de los fondos invertidos”</w:t>
      </w:r>
      <w:r w:rsidRPr="00724819">
        <w:rPr>
          <w:rFonts w:ascii="Times New Roman" w:hAnsi="Times New Roman" w:cs="Times New Roman"/>
          <w:sz w:val="24"/>
          <w:szCs w:val="24"/>
          <w:shd w:val="clear" w:color="auto" w:fill="FFFFFF"/>
        </w:rPr>
        <w:t>.</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Según las proyecciones de sus estudio</w:t>
      </w:r>
      <w:r>
        <w:rPr>
          <w:rFonts w:ascii="Times New Roman" w:hAnsi="Times New Roman" w:cs="Times New Roman"/>
          <w:sz w:val="24"/>
          <w:szCs w:val="24"/>
          <w:shd w:val="clear" w:color="auto" w:fill="FFFFFF"/>
        </w:rPr>
        <w:t>s los proyectos han tenido una “subvaloración” en los costes hasta ahora. “</w:t>
      </w:r>
      <w:r w:rsidRPr="00724819">
        <w:rPr>
          <w:rFonts w:ascii="Times New Roman" w:hAnsi="Times New Roman" w:cs="Times New Roman"/>
          <w:sz w:val="24"/>
          <w:szCs w:val="24"/>
          <w:shd w:val="clear" w:color="auto" w:fill="FFFFFF"/>
        </w:rPr>
        <w:t>Los costes proyectados para los SMR rusos aumentaron más del 300% con respecto a las estimaciones inici</w:t>
      </w:r>
      <w:r>
        <w:rPr>
          <w:rFonts w:ascii="Times New Roman" w:hAnsi="Times New Roman" w:cs="Times New Roman"/>
          <w:sz w:val="24"/>
          <w:szCs w:val="24"/>
          <w:shd w:val="clear" w:color="auto" w:fill="FFFFFF"/>
        </w:rPr>
        <w:t>ales, un 600% en los argentinos”</w:t>
      </w:r>
      <w:r w:rsidRPr="00724819">
        <w:rPr>
          <w:rFonts w:ascii="Times New Roman" w:hAnsi="Times New Roman" w:cs="Times New Roman"/>
          <w:sz w:val="24"/>
          <w:szCs w:val="24"/>
          <w:shd w:val="clear" w:color="auto" w:fill="FFFFFF"/>
        </w:rPr>
        <w:t xml:space="preserve">. En ese sentido comentan que los proyectos de EEUU han tenido problemas similares y </w:t>
      </w:r>
      <w:r>
        <w:rPr>
          <w:rFonts w:ascii="Times New Roman" w:hAnsi="Times New Roman" w:cs="Times New Roman"/>
          <w:sz w:val="24"/>
          <w:szCs w:val="24"/>
          <w:shd w:val="clear" w:color="auto" w:fill="FFFFFF"/>
        </w:rPr>
        <w:t xml:space="preserve">destacan el caso de </w:t>
      </w:r>
      <w:r>
        <w:rPr>
          <w:rFonts w:ascii="Times New Roman" w:hAnsi="Times New Roman" w:cs="Times New Roman"/>
          <w:sz w:val="24"/>
          <w:szCs w:val="24"/>
          <w:shd w:val="clear" w:color="auto" w:fill="FFFFFF"/>
        </w:rPr>
        <w:lastRenderedPageBreak/>
        <w:t>NuScale 5. “</w:t>
      </w:r>
      <w:r w:rsidRPr="00724819">
        <w:rPr>
          <w:rFonts w:ascii="Times New Roman" w:hAnsi="Times New Roman" w:cs="Times New Roman"/>
          <w:sz w:val="24"/>
          <w:szCs w:val="24"/>
          <w:shd w:val="clear" w:color="auto" w:fill="FFFFFF"/>
        </w:rPr>
        <w:t>Los costes de los reactores han pasado de 9.964 dólares por kilo</w:t>
      </w:r>
      <w:r>
        <w:rPr>
          <w:rFonts w:ascii="Times New Roman" w:hAnsi="Times New Roman" w:cs="Times New Roman"/>
          <w:sz w:val="24"/>
          <w:szCs w:val="24"/>
          <w:shd w:val="clear" w:color="auto" w:fill="FFFFFF"/>
        </w:rPr>
        <w:t>vatio a cerca de 21.561 dólares”. La IEEFA cree que “</w:t>
      </w:r>
      <w:r w:rsidRPr="00724819">
        <w:rPr>
          <w:rFonts w:ascii="Times New Roman" w:hAnsi="Times New Roman" w:cs="Times New Roman"/>
          <w:sz w:val="24"/>
          <w:szCs w:val="24"/>
          <w:shd w:val="clear" w:color="auto" w:fill="FFFFFF"/>
        </w:rPr>
        <w:t>esto debería ser una señal de alerta para las empresas de servicios públicos, los reguladores y los inversores. Los costes, que ya son elevados, pro</w:t>
      </w:r>
      <w:r>
        <w:rPr>
          <w:rFonts w:ascii="Times New Roman" w:hAnsi="Times New Roman" w:cs="Times New Roman"/>
          <w:sz w:val="24"/>
          <w:szCs w:val="24"/>
          <w:shd w:val="clear" w:color="auto" w:fill="FFFFFF"/>
        </w:rPr>
        <w:t>bablemente aumentarán aún más”</w:t>
      </w:r>
      <w:r w:rsidRPr="00724819">
        <w:rPr>
          <w:rFonts w:ascii="Times New Roman" w:hAnsi="Times New Roman" w:cs="Times New Roman"/>
          <w:sz w:val="24"/>
          <w:szCs w:val="24"/>
          <w:shd w:val="clear" w:color="auto" w:fill="FFFFFF"/>
        </w:rPr>
        <w:t>.</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 xml:space="preserve">- </w:t>
      </w:r>
      <w:r w:rsidRPr="00724819">
        <w:rPr>
          <w:rFonts w:ascii="Times New Roman" w:hAnsi="Times New Roman" w:cs="Times New Roman"/>
          <w:sz w:val="24"/>
          <w:szCs w:val="24"/>
          <w:u w:val="single"/>
          <w:shd w:val="clear" w:color="auto" w:fill="FFFFFF"/>
        </w:rPr>
        <w:t>España a oscuras: el empecinamiento de Sánchez contra la energía nuclear</w:t>
      </w:r>
      <w:r w:rsidRPr="00724819">
        <w:rPr>
          <w:rFonts w:ascii="Times New Roman" w:hAnsi="Times New Roman" w:cs="Times New Roman"/>
          <w:sz w:val="24"/>
          <w:szCs w:val="24"/>
          <w:shd w:val="clear" w:color="auto" w:fill="FFFFFF"/>
        </w:rPr>
        <w:t xml:space="preserve"> (Fuente: asturiasliberal.es - </w:t>
      </w:r>
      <w:r w:rsidRPr="00724819">
        <w:rPr>
          <w:rFonts w:ascii="Times New Roman" w:hAnsi="Times New Roman" w:cs="Times New Roman"/>
          <w:b/>
          <w:sz w:val="24"/>
          <w:szCs w:val="24"/>
          <w:shd w:val="clear" w:color="auto" w:fill="FFFFFF"/>
        </w:rPr>
        <w:t>2/5/25</w:t>
      </w:r>
      <w:r w:rsidRPr="00724819">
        <w:rPr>
          <w:rFonts w:ascii="Times New Roman" w:hAnsi="Times New Roman" w:cs="Times New Roman"/>
          <w:sz w:val="24"/>
          <w:szCs w:val="24"/>
          <w:shd w:val="clear" w:color="auto" w:fill="FFFFFF"/>
        </w:rPr>
        <w:t>)</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(Por Camino Gutiérrez)</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El reciente apagón que nos dejó a millones de españoles sin suministro eléctrico durante horas no solo fue un episodio puntual de colapso energético, sino también el síntoma visible de una política energética profundamente equivocada.</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Ideología frente a realismo</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El gobierno de Pedro Sánchez, aferrado a una visión ideológica de la transición ecológica, ha optado por desmantelar progresivamente las centrales nucleares en España, cerrando la puerta a una de las fuentes más fiables, limpias y estables de generación de electricidad.</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El presidente Sánchez y su gabinete, particularmente influenciados por el ala más radical del ecologismo político, han promovido una transición energética que pretende prescindir de la energía nuclear bajo la premisa de avanzar hacia un modelo 100% renovable, lo que ha generado una vulnerabilidad técnica que ya estamos pagando.</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España ha sido pionera en energías renovables, y ese liderazgo debe celebrarse. Pero el error del actual gobierno ha sido confiar exclusivamente en ellas sin garantizar el respaldo necesario para momentos de alta demanda o de baja producción renovable. A diferencia de la solar o la eólica, que dependen del sol y del viento, la energía nuclear ofrece producción continua las 24 horas del día, los 365 días del año. Renunciar a esta estabilidad es como construir una casa sin cimientos.</w:t>
      </w:r>
      <w:r>
        <w:rPr>
          <w:rFonts w:ascii="Times New Roman" w:hAnsi="Times New Roman" w:cs="Times New Roman"/>
          <w:sz w:val="24"/>
          <w:szCs w:val="24"/>
          <w:shd w:val="clear" w:color="auto" w:fill="FFFFFF"/>
        </w:rPr>
        <w:t xml:space="preserve"> </w:t>
      </w:r>
      <w:r w:rsidRPr="00724819">
        <w:rPr>
          <w:rFonts w:ascii="Times New Roman" w:hAnsi="Times New Roman" w:cs="Times New Roman"/>
          <w:sz w:val="24"/>
          <w:szCs w:val="24"/>
          <w:shd w:val="clear" w:color="auto" w:fill="FFFFFF"/>
        </w:rPr>
        <w:t>Durante años, expertos del sector eléctrico han advertido sobre los riesgos de desmantelar el parque nuclear sin contar con una alternativa técnica realista.</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Pero el gobierno de Sánchez ha seguido adelante con su hoja de ruta, anunciando cierres escalonados de las centrales aún operativas: Almaraz, Ascó, Cofrentes, Vandellós y Trillo, todas con décadas de vida útil por delante y operando con altos est</w:t>
      </w:r>
      <w:r>
        <w:rPr>
          <w:rFonts w:ascii="Times New Roman" w:hAnsi="Times New Roman" w:cs="Times New Roman"/>
          <w:sz w:val="24"/>
          <w:szCs w:val="24"/>
          <w:shd w:val="clear" w:color="auto" w:fill="FFFFFF"/>
        </w:rPr>
        <w:t>ándares de seguridad.</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Los hechos</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El apagón de estos días debería ser una llamada de atención. No fue solo un fallo puntual: fue el aviso de que el sistema está llegando a su límite. Cuando las renovables no generan lo suficiente y no hay almacenamiento ni respaldo térmico suficiente, el resultado es un colapso. Y lo más preocupante es que este tipo de situaciones pueden repetirse con mayor frecuencia si se continúa eliminando capacidad firme de generación.</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Pedro Sánchez ha optado por cerrar las nucleares sin tener garantizado que las renovables puedan reemplazarlas en fiabilidad. Esto no es solo un error estratégico, es una temeridad. Porque cuando la luz se va, no se trata solo de incomodidad: se paraliza la economía, se ponen en riesgo vidas y se genera una dependencia energética que debilita al país.</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 xml:space="preserve">La paradoja es evidente. Mientras España cierra sus reactores, sigue importando electricidad de Francia, un país que genera cerca del 70% de su electricidad mediante energía nuclear. Es </w:t>
      </w:r>
      <w:r w:rsidRPr="00724819">
        <w:rPr>
          <w:rFonts w:ascii="Times New Roman" w:hAnsi="Times New Roman" w:cs="Times New Roman"/>
          <w:sz w:val="24"/>
          <w:szCs w:val="24"/>
          <w:shd w:val="clear" w:color="auto" w:fill="FFFFFF"/>
        </w:rPr>
        <w:lastRenderedPageBreak/>
        <w:t>decir, compramos a otros lo que podríamos producir nosotros mismos, con la misma o mayor seguridad, y generando empleos e inversión nacional.</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Además, importamos energía que muchas veces proviene de fuentes más contaminantes, como el gas, lo cual contradice los objetivos climáticos del propio gobierno.</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La demonización de lo nuclear no resiste un análisis serio.</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En términos de emisiones de CO₂, la energía nuclear es tan limpia y tan verde como las renovables y en Europa ya lo han reconocido así.</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En términos de seguridad, las centrales modernas son extremadamente seguras.</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Y en cuanto al coste, mantener las nucleares actuales resulta mucho más económico que depender de importaciones o construir almacenamiento masivo que aún no está maduro tecnológicamente.</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Ejemplos de otros Estados</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Países como Suecia, Finlandia o incluso el propio Estados Unidos están revalorizando la energía nuclear como parte esencial del mix energético del futuro. Francia ha anunciado la construcción de nuevos reactores.</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Alemania, que había apostado por suprimir las nucleares, está sufriendo las consecuencias de su decisión y ha tenido que volver a recurrir al carbón en algunos momentos. ¿Es este el modelo que quiere seguir España?</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El presidente Sánchez ha convertido la política energética en un campo de batalla ideológico, cuando debería ser un asunto de Estado. La seguridad energética no puede depender del viento o del sol. Tampoco puede sacrificarse en aras de una imagen política “verde” que se desmorona al primer fallo técnico. Lo verde también debe ser seguro, fiable y accesible.</w:t>
      </w:r>
    </w:p>
    <w:p w:rsidR="002B7B12" w:rsidRPr="00724819"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Conclusión</w:t>
      </w:r>
    </w:p>
    <w:p w:rsidR="002B7B12" w:rsidRDefault="002B7B12" w:rsidP="002B7B12">
      <w:pPr>
        <w:spacing w:line="240" w:lineRule="auto"/>
        <w:jc w:val="both"/>
        <w:rPr>
          <w:rFonts w:ascii="Times New Roman" w:hAnsi="Times New Roman" w:cs="Times New Roman"/>
          <w:sz w:val="24"/>
          <w:szCs w:val="24"/>
          <w:shd w:val="clear" w:color="auto" w:fill="FFFFFF"/>
        </w:rPr>
      </w:pPr>
      <w:r w:rsidRPr="00724819">
        <w:rPr>
          <w:rFonts w:ascii="Times New Roman" w:hAnsi="Times New Roman" w:cs="Times New Roman"/>
          <w:sz w:val="24"/>
          <w:szCs w:val="24"/>
          <w:shd w:val="clear" w:color="auto" w:fill="FFFFFF"/>
        </w:rPr>
        <w:t>La transición ecológica es necesaria, sí. Pero debe ser inteligente, progresiva y basada en datos, no en eslóganes. Y en esa transición, la energía nuclear no es un obstáculo, sino una aliada imprescindible para alcanzar la descarbonización sin renunciar a la seguridad y la soberanía energética. Si el gobierno de España (o debería llamarlo desgobierno) continúa su cruzada contra la energía nuclear, no solo estaremos renunciando a una fuente limpia y fiable, sino que estaremos hipotecando nuestra independencia energética, encareciendo la electricidad y poniendo en riesgo la estabilidad del sistema.</w:t>
      </w:r>
    </w:p>
    <w:p w:rsidR="002B7B12" w:rsidRPr="00470B83" w:rsidRDefault="002B7B12" w:rsidP="002B7B12">
      <w:pPr>
        <w:pStyle w:val="ecl-social-media-sharedescription"/>
        <w:jc w:val="both"/>
      </w:pPr>
      <w:r w:rsidRPr="00470B83">
        <w:t xml:space="preserve">- </w:t>
      </w:r>
      <w:r w:rsidRPr="00470B83">
        <w:rPr>
          <w:u w:val="single"/>
        </w:rPr>
        <w:t>Texas lidera la nueva revolución nuclear: energía limpia, barata… y lista en 60 días</w:t>
      </w:r>
      <w:r w:rsidRPr="00470B83">
        <w:t xml:space="preserve"> (Libertad Digital - </w:t>
      </w:r>
      <w:r w:rsidRPr="00470B83">
        <w:rPr>
          <w:b/>
        </w:rPr>
        <w:t>24/8/25</w:t>
      </w:r>
      <w:r w:rsidRPr="00470B83">
        <w:t>)</w:t>
      </w:r>
    </w:p>
    <w:p w:rsidR="002B7B12" w:rsidRPr="00470B83" w:rsidRDefault="002B7B12" w:rsidP="002B7B12">
      <w:pPr>
        <w:pStyle w:val="ecl-social-media-sharedescription"/>
        <w:jc w:val="both"/>
      </w:pPr>
      <w:r w:rsidRPr="00470B83">
        <w:t>Texas se ha convertido en el epicentro del renacer de la energía nuclear.</w:t>
      </w:r>
    </w:p>
    <w:p w:rsidR="002B7B12" w:rsidRPr="00470B83" w:rsidRDefault="002B7B12" w:rsidP="002B7B12">
      <w:pPr>
        <w:pStyle w:val="ecl-social-media-sharedescription"/>
        <w:jc w:val="both"/>
      </w:pPr>
      <w:r w:rsidRPr="00470B83">
        <w:t>(Por Diego Sánchez de la Cruz)</w:t>
      </w:r>
    </w:p>
    <w:p w:rsidR="002B7B12" w:rsidRPr="00470B83" w:rsidRDefault="002B7B12" w:rsidP="002B7B12">
      <w:pPr>
        <w:pStyle w:val="ecl-social-media-sharedescription"/>
        <w:jc w:val="both"/>
      </w:pPr>
      <w:r w:rsidRPr="00470B83">
        <w:t xml:space="preserve">¿Qué pasaría si, en el plazo de un año, pudiésemos tener energía limpia, abundante y barata, en cualquier rincón del planeta, desde hospitales y fábricas hasta centros de datos o puestos militares avanzados? No, no hablamos de ciencia ficción, sino del renacer de la energía </w:t>
      </w:r>
      <w:r w:rsidRPr="00470B83">
        <w:lastRenderedPageBreak/>
        <w:t>nuclear, de la mano de una nueva generación de reactores pequeños, seguros y fácilmente replicables. Y el epicentro de esta revolución tiene nombre: Texas.</w:t>
      </w:r>
    </w:p>
    <w:p w:rsidR="002B7B12" w:rsidRPr="00470B83" w:rsidRDefault="002B7B12" w:rsidP="002B7B12">
      <w:pPr>
        <w:pStyle w:val="ecl-social-media-sharedescription"/>
        <w:jc w:val="both"/>
      </w:pPr>
      <w:r w:rsidRPr="00470B83">
        <w:t>Durante décadas, la energía nuclear ha estado marcada por la imagen de megaproyectos mastodónticos que costaban decenas de miles de millones y tardaban más de una década en completarse. Pero esa era ha terminado. La nueva ola de innovación nos presenta reactores modulares y portátiles, capaces de instalarse en tan solo 60 días y de operar durante años sin necesidad de recarga.</w:t>
      </w:r>
    </w:p>
    <w:p w:rsidR="002B7B12" w:rsidRPr="00470B83" w:rsidRDefault="002B7B12" w:rsidP="002B7B12">
      <w:pPr>
        <w:pStyle w:val="ecl-social-media-sharedescription"/>
        <w:jc w:val="both"/>
      </w:pPr>
      <w:r>
        <w:t>Bienvenidos al “nuevo nuclear”</w:t>
      </w:r>
    </w:p>
    <w:p w:rsidR="002B7B12" w:rsidRPr="00470B83" w:rsidRDefault="002B7B12" w:rsidP="002B7B12">
      <w:pPr>
        <w:pStyle w:val="ecl-social-media-sharedescription"/>
        <w:jc w:val="both"/>
      </w:pPr>
      <w:r w:rsidRPr="00470B83">
        <w:t>Estos reactores no tienen nada que ver con los de los años 70. Mientras que las plantas tradicionales eran catedrales de hormigón diseñadas a medida, la nueva generación sigue el modelo de la industria automotriz: diseños estandarizados, producción en serie y despliegue rápido. Lo llaman new nuclear y promete transformar radicalmente el panorama energético global.</w:t>
      </w:r>
    </w:p>
    <w:p w:rsidR="002B7B12" w:rsidRPr="00470B83" w:rsidRDefault="002B7B12" w:rsidP="002B7B12">
      <w:pPr>
        <w:pStyle w:val="ecl-social-media-sharedescription"/>
        <w:jc w:val="both"/>
      </w:pPr>
      <w:r w:rsidRPr="00470B83">
        <w:t>Radiant Nuclear, por ejemplo, ha diseñado un reactor llamado Kaleidos que cabe en un contenedor y puede ser transportado en camión. Su aspecto futurista recuerda más a un estudio de videojuegos que a un centro de control soviético. Mientras tanto, Aalo Atomics ya ha presentado su prototipo de reactor compacto y prevé alimentar con él los centros de datos de inteligencia artificial de la Universidad Texas A&amp;M.</w:t>
      </w:r>
    </w:p>
    <w:p w:rsidR="002B7B12" w:rsidRPr="00470B83" w:rsidRDefault="002B7B12" w:rsidP="002B7B12">
      <w:pPr>
        <w:pStyle w:val="ecl-social-media-sharedescription"/>
        <w:jc w:val="both"/>
      </w:pPr>
      <w:r w:rsidRPr="00470B83">
        <w:t>El Silicon Valley de la energía atómica</w:t>
      </w:r>
    </w:p>
    <w:p w:rsidR="002B7B12" w:rsidRPr="00470B83" w:rsidRDefault="002B7B12" w:rsidP="002B7B12">
      <w:pPr>
        <w:pStyle w:val="ecl-social-media-sharedescription"/>
        <w:jc w:val="both"/>
      </w:pPr>
      <w:r w:rsidRPr="00470B83">
        <w:t>Texas se ha convertido en el polo de atracción de estas startups nucleares. Gracias a un entorno regulatorio favorable y una cultura empresarial enfocada en resultados, el estado s</w:t>
      </w:r>
      <w:r>
        <w:t>ureño lidera la carrera por el “nuevo nuclear”</w:t>
      </w:r>
      <w:r w:rsidRPr="00470B83">
        <w:t>. Firmas como Natura Resources, Kairos Power, Terrestrial Energy, Last Energy y X-Energy ya están desplegando proyectos que colocan al estado como la nueva capital nuclear de América.</w:t>
      </w:r>
    </w:p>
    <w:p w:rsidR="002B7B12" w:rsidRPr="00470B83" w:rsidRDefault="002B7B12" w:rsidP="002B7B12">
      <w:pPr>
        <w:pStyle w:val="ecl-social-media-sharedescription"/>
        <w:jc w:val="both"/>
      </w:pPr>
      <w:r w:rsidRPr="00470B83">
        <w:t>Además, la colaboración entre estas empresas y Texas A&amp;M University está creando un ecosistema de innovación similar al que Stanford supo generar para la industria tecnológica.</w:t>
      </w:r>
    </w:p>
    <w:p w:rsidR="002B7B12" w:rsidRPr="00470B83" w:rsidRDefault="002B7B12" w:rsidP="002B7B12">
      <w:pPr>
        <w:pStyle w:val="ecl-social-media-sharedescription"/>
        <w:jc w:val="both"/>
      </w:pPr>
      <w:r w:rsidRPr="00470B83">
        <w:t>Energía barata, limpia y abundante</w:t>
      </w:r>
    </w:p>
    <w:p w:rsidR="002B7B12" w:rsidRPr="00470B83" w:rsidRDefault="002B7B12" w:rsidP="002B7B12">
      <w:pPr>
        <w:pStyle w:val="ecl-social-media-sharedescription"/>
        <w:jc w:val="both"/>
      </w:pPr>
      <w:r w:rsidRPr="00470B83">
        <w:t>Uno de los grandes lastres de la energía nuclear tradicional era su coste. El 70% del gasto total en muchos proyectos históricos correspondía a intereses acumulados durante los largos años de construcción. El new nuclear, en cambio, reduce drásticamente los tiempos y permite amortizar rápidamente la inversión, rebajando el coste final de la electricidad a la mitad.</w:t>
      </w:r>
    </w:p>
    <w:p w:rsidR="002B7B12" w:rsidRDefault="002B7B12" w:rsidP="002B7B12">
      <w:pPr>
        <w:pStyle w:val="ecl-social-media-sharedescription"/>
        <w:jc w:val="both"/>
      </w:pPr>
      <w:r w:rsidRPr="00470B83">
        <w:t>Pero no solo es más barato. También es más seguro. Muchos de estos nuevos reactores incorporan sistemas que se apagan automáticamente si detectan sobrecalentamiento, y algunos incluso eliminan las piezas móviles del núcleo, reduciendo riesgos y necesidad de mantenimiento. Y en cuanto a los residuos, empresas como Deep Isolation ya han desarrollado soluciones de almacenamiento definitivo mediante perforaciones subterráneas que aseguran la contención durante milenios.</w:t>
      </w:r>
    </w:p>
    <w:p w:rsidR="002B7B12" w:rsidRPr="00470B83" w:rsidRDefault="002B7B12" w:rsidP="002B7B12">
      <w:pPr>
        <w:pStyle w:val="ecl-social-media-sharedescription"/>
        <w:jc w:val="both"/>
      </w:pPr>
    </w:p>
    <w:p w:rsidR="002B7B12" w:rsidRPr="00470B83" w:rsidRDefault="002B7B12" w:rsidP="002B7B12">
      <w:pPr>
        <w:pStyle w:val="ecl-social-media-sharedescription"/>
        <w:jc w:val="both"/>
      </w:pPr>
      <w:r w:rsidRPr="00470B83">
        <w:lastRenderedPageBreak/>
        <w:t>El cliente soñado: la Inteligencia Artificial</w:t>
      </w:r>
    </w:p>
    <w:p w:rsidR="002B7B12" w:rsidRPr="00470B83" w:rsidRDefault="002B7B12" w:rsidP="002B7B12">
      <w:pPr>
        <w:pStyle w:val="ecl-social-media-sharedescription"/>
        <w:jc w:val="both"/>
      </w:pPr>
      <w:r w:rsidRPr="00470B83">
        <w:t>El resurgir nuclear cuenta con un aliado inesperado: la explosión de la inteligencia artificial. Alimentar los nuevos centros de datos requiere una fuente estable, constante y limpia de electricidad, y ahí es donde entra el new nuclear. Las grandes tecnológicas están firmando contratos con estas startups, incluso pagando tres veces más que el precio de mercado a cambio de suministro garantizado. Este cambio de paradigma está acelerando el ritmo de despliegue.</w:t>
      </w:r>
    </w:p>
    <w:p w:rsidR="002B7B12" w:rsidRPr="00470B83" w:rsidRDefault="002B7B12" w:rsidP="002B7B12">
      <w:pPr>
        <w:pStyle w:val="ecl-social-media-sharedescription"/>
        <w:jc w:val="both"/>
      </w:pPr>
      <w:r w:rsidRPr="00470B83">
        <w:t>Una revolución con espíritu liberal</w:t>
      </w:r>
    </w:p>
    <w:p w:rsidR="002B7B12" w:rsidRPr="00470B83" w:rsidRDefault="002B7B12" w:rsidP="002B7B12">
      <w:pPr>
        <w:pStyle w:val="ecl-social-media-sharedescription"/>
        <w:jc w:val="both"/>
      </w:pPr>
      <w:r w:rsidRPr="00470B83">
        <w:t>Lo que estamos viendo es un fenómeno típicamente estadounidense: libertad para innovar, competencia entre modelos regulatorios y colaboración entre sector privado y academia. Mientras Vermont cierra plantas nucleares y prohíbe el fracking, Texas avanza hacia un futuro de energía abundante, resiliente y descentralizada.</w:t>
      </w:r>
    </w:p>
    <w:p w:rsidR="002B7B12" w:rsidRPr="00470B83" w:rsidRDefault="002B7B12" w:rsidP="002B7B12">
      <w:pPr>
        <w:pStyle w:val="ecl-social-media-sharedescription"/>
        <w:jc w:val="both"/>
      </w:pPr>
      <w:r w:rsidRPr="00470B83">
        <w:t xml:space="preserve">Porque, </w:t>
      </w:r>
      <w:r>
        <w:t>como recuerda Stephen McBride, “</w:t>
      </w:r>
      <w:r w:rsidRPr="00470B83">
        <w:t>no existe ningún país rico c</w:t>
      </w:r>
      <w:r>
        <w:t>on un escaso consumo energético”</w:t>
      </w:r>
      <w:r w:rsidRPr="00470B83">
        <w:t>. La abundancia energética es el pilar sobre el que se construye la prosperidad. Y si esa energía, además, es limpia, segura y competitiva, el beneficio es doble. El new nuclear representa el tipo de innovación que cambia el mundo. Con el liderazgo de Texas y el empuje del sector privado, la energía del futuro ya está aquí.</w:t>
      </w:r>
    </w:p>
    <w:p w:rsidR="002B7B12" w:rsidRPr="008759E0" w:rsidRDefault="002B7B12" w:rsidP="002B7B12">
      <w:pPr>
        <w:spacing w:line="240" w:lineRule="auto"/>
        <w:jc w:val="both"/>
        <w:rPr>
          <w:rFonts w:ascii="Times New Roman" w:hAnsi="Times New Roman" w:cs="Times New Roman"/>
          <w:color w:val="FF0000"/>
          <w:sz w:val="24"/>
          <w:szCs w:val="24"/>
          <w:shd w:val="clear" w:color="auto" w:fill="FFFFFF"/>
        </w:rPr>
      </w:pPr>
      <w:r w:rsidRPr="008759E0">
        <w:rPr>
          <w:rFonts w:ascii="Times New Roman" w:hAnsi="Times New Roman" w:cs="Times New Roman"/>
          <w:b/>
          <w:color w:val="FF0000"/>
          <w:sz w:val="24"/>
          <w:szCs w:val="24"/>
          <w:shd w:val="clear" w:color="auto" w:fill="FFFFFF"/>
        </w:rPr>
        <w:t>Nota</w:t>
      </w:r>
      <w:r w:rsidRPr="008759E0">
        <w:rPr>
          <w:rFonts w:ascii="Times New Roman" w:hAnsi="Times New Roman" w:cs="Times New Roman"/>
          <w:color w:val="FF0000"/>
          <w:sz w:val="24"/>
          <w:szCs w:val="24"/>
          <w:shd w:val="clear" w:color="auto" w:fill="FFFFFF"/>
        </w:rPr>
        <w:t>: El apagón ha sido un aviso. La pregunta es si el gobierno sabrá escucharlo antes de que sea demasiado tarde.</w:t>
      </w:r>
      <w:r>
        <w:rPr>
          <w:rFonts w:ascii="Times New Roman" w:hAnsi="Times New Roman" w:cs="Times New Roman"/>
          <w:color w:val="FF0000"/>
          <w:sz w:val="24"/>
          <w:szCs w:val="24"/>
          <w:shd w:val="clear" w:color="auto" w:fill="FFFFFF"/>
        </w:rPr>
        <w:t xml:space="preserve"> Y, ya de paso, otra pregunta (ésta, seguro que el gobierno no querrá escucharla, y muchos menos, responderla): ¿por qué en el plan de cierre de las centrales nucleares, se excluye la Central de Nuclear de </w:t>
      </w:r>
      <w:r w:rsidRPr="00B300ED">
        <w:rPr>
          <w:rFonts w:ascii="Times New Roman" w:hAnsi="Times New Roman" w:cs="Times New Roman"/>
          <w:color w:val="FF0000"/>
          <w:sz w:val="24"/>
          <w:szCs w:val="24"/>
          <w:shd w:val="clear" w:color="auto" w:fill="FFFFFF"/>
        </w:rPr>
        <w:t>As</w:t>
      </w:r>
      <w:r>
        <w:rPr>
          <w:rFonts w:ascii="Times New Roman" w:hAnsi="Times New Roman" w:cs="Times New Roman"/>
          <w:color w:val="FF0000"/>
          <w:sz w:val="24"/>
          <w:szCs w:val="24"/>
          <w:shd w:val="clear" w:color="auto" w:fill="FFFFFF"/>
        </w:rPr>
        <w:t xml:space="preserve">có I y II, y Vandellós II </w:t>
      </w:r>
      <w:r w:rsidRPr="00B300ED">
        <w:rPr>
          <w:rFonts w:ascii="Times New Roman" w:hAnsi="Times New Roman" w:cs="Times New Roman"/>
          <w:color w:val="FF0000"/>
          <w:sz w:val="24"/>
          <w:szCs w:val="24"/>
          <w:shd w:val="clear" w:color="auto" w:fill="FFFFFF"/>
        </w:rPr>
        <w:t>(Tarragona)</w:t>
      </w:r>
      <w:r>
        <w:rPr>
          <w:rFonts w:ascii="Times New Roman" w:hAnsi="Times New Roman" w:cs="Times New Roman"/>
          <w:color w:val="FF0000"/>
          <w:sz w:val="24"/>
          <w:szCs w:val="24"/>
          <w:shd w:val="clear" w:color="auto" w:fill="FFFFFF"/>
        </w:rPr>
        <w:t xml:space="preserve">? ¿será porque </w:t>
      </w:r>
      <w:r w:rsidRPr="00B300ED">
        <w:rPr>
          <w:rFonts w:ascii="Times New Roman" w:hAnsi="Times New Roman" w:cs="Times New Roman"/>
          <w:color w:val="FF0000"/>
          <w:sz w:val="24"/>
          <w:szCs w:val="24"/>
          <w:shd w:val="clear" w:color="auto" w:fill="FFFFFF"/>
        </w:rPr>
        <w:t>la energía nuclear supuso el 59,1% de la generación eléctrica de Cataluña</w:t>
      </w:r>
      <w:r>
        <w:rPr>
          <w:rFonts w:ascii="Times New Roman" w:hAnsi="Times New Roman" w:cs="Times New Roman"/>
          <w:color w:val="FF0000"/>
          <w:sz w:val="24"/>
          <w:szCs w:val="24"/>
          <w:shd w:val="clear" w:color="auto" w:fill="FFFFFF"/>
        </w:rPr>
        <w:t xml:space="preserve"> (2024)</w:t>
      </w:r>
      <w:r w:rsidRPr="00B300ED">
        <w:rPr>
          <w:rFonts w:ascii="Times New Roman" w:hAnsi="Times New Roman" w:cs="Times New Roman"/>
          <w:color w:val="FF0000"/>
          <w:sz w:val="24"/>
          <w:szCs w:val="24"/>
          <w:shd w:val="clear" w:color="auto" w:fill="FFFFFF"/>
        </w:rPr>
        <w:t>, según datos provision</w:t>
      </w:r>
      <w:r>
        <w:rPr>
          <w:rFonts w:ascii="Times New Roman" w:hAnsi="Times New Roman" w:cs="Times New Roman"/>
          <w:color w:val="FF0000"/>
          <w:sz w:val="24"/>
          <w:szCs w:val="24"/>
          <w:shd w:val="clear" w:color="auto" w:fill="FFFFFF"/>
        </w:rPr>
        <w:t xml:space="preserve">ales de Red Eléctrica de España? ¿será porque </w:t>
      </w:r>
      <w:r w:rsidRPr="006204A9">
        <w:rPr>
          <w:rFonts w:ascii="Times New Roman" w:hAnsi="Times New Roman" w:cs="Times New Roman"/>
          <w:color w:val="FF0000"/>
          <w:sz w:val="24"/>
          <w:szCs w:val="24"/>
          <w:shd w:val="clear" w:color="auto" w:fill="FFFFFF"/>
        </w:rPr>
        <w:t>los graves riesgos y la gestión de los desechos radiactivos a largo plazo</w:t>
      </w:r>
      <w:r>
        <w:rPr>
          <w:rFonts w:ascii="Times New Roman" w:hAnsi="Times New Roman" w:cs="Times New Roman"/>
          <w:color w:val="FF0000"/>
          <w:sz w:val="24"/>
          <w:szCs w:val="24"/>
          <w:shd w:val="clear" w:color="auto" w:fill="FFFFFF"/>
        </w:rPr>
        <w:t xml:space="preserve"> (que tanto preocupan a los ecologistas), son menores, o inexistentes, cuando se trata de Cataluña? ¿o será otro peaje del “sanchismo”? </w:t>
      </w:r>
      <w:r w:rsidRPr="00B300ED">
        <w:rPr>
          <w:rFonts w:ascii="Times New Roman" w:hAnsi="Times New Roman" w:cs="Times New Roman"/>
          <w:color w:val="FF0000"/>
          <w:sz w:val="24"/>
          <w:szCs w:val="24"/>
          <w:shd w:val="clear" w:color="auto" w:fill="FFFFFF"/>
        </w:rPr>
        <w:t xml:space="preserve"> </w:t>
      </w:r>
    </w:p>
    <w:p w:rsidR="002B7B12" w:rsidRDefault="002B7B12" w:rsidP="002B7B12">
      <w:pPr>
        <w:spacing w:line="240" w:lineRule="auto"/>
        <w:jc w:val="both"/>
        <w:rPr>
          <w:rFonts w:ascii="Times New Roman" w:hAnsi="Times New Roman" w:cs="Times New Roman"/>
          <w:color w:val="FF0000"/>
          <w:sz w:val="24"/>
          <w:szCs w:val="24"/>
          <w:shd w:val="clear" w:color="auto" w:fill="FFFFFF"/>
        </w:rPr>
      </w:pPr>
      <w:r w:rsidRPr="00724819">
        <w:rPr>
          <w:rFonts w:ascii="Times New Roman" w:hAnsi="Times New Roman" w:cs="Times New Roman"/>
          <w:color w:val="FF0000"/>
          <w:sz w:val="24"/>
          <w:szCs w:val="24"/>
          <w:shd w:val="clear" w:color="auto" w:fill="FFFFFF"/>
        </w:rPr>
        <w:t>- Puesta en explotación de todos los recursos económicos disponibles sin restricciones</w:t>
      </w:r>
    </w:p>
    <w:p w:rsidR="002B7B12" w:rsidRPr="008D1D84" w:rsidRDefault="002B7B12" w:rsidP="002B7B12">
      <w:pPr>
        <w:spacing w:line="240" w:lineRule="auto"/>
        <w:jc w:val="both"/>
        <w:rPr>
          <w:rFonts w:ascii="Times New Roman" w:hAnsi="Times New Roman" w:cs="Times New Roman"/>
          <w:color w:val="FF0000"/>
          <w:sz w:val="24"/>
          <w:szCs w:val="24"/>
          <w:shd w:val="clear" w:color="auto" w:fill="FFFFFF"/>
        </w:rPr>
      </w:pPr>
      <w:r w:rsidRPr="008D1D84">
        <w:rPr>
          <w:rFonts w:ascii="Times New Roman" w:hAnsi="Times New Roman" w:cs="Times New Roman"/>
          <w:color w:val="FF0000"/>
          <w:sz w:val="24"/>
          <w:szCs w:val="24"/>
          <w:shd w:val="clear" w:color="auto" w:fill="FFFFFF"/>
        </w:rPr>
        <w:t>La tela de araña burocrática, el entramado de intereses, la ideologización extrema de las decisiones gubernamentales, el sectarismo de las autoridades políticas, la incompetencia manifiesta de los gestores de la administración, el exceso de regulación, la interferencia permanente en las actividades económicas, la inseguridad jurídica, la corrupción, el clientelismo, la demagogia… (y así podría seguir, señalando “agravantes”), hacen muy difícil (cuando no, imposible) la puesta en explotación de todos los recursos productivos disponibles sin restricciones.</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La fullería se propaga en una sociedad donde se debilitan las instituciones y la autoestima</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Como decía Cesar Vidal: sin ánimo de ser exhaustivos, los hechos son los siguientes:</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10 razones de la “tanguedia” (*) española (vidas paralelas, y para-lelos)</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1 - Corrupción generalizada (del Rey para abajo, todos, y por su orden)</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 xml:space="preserve">2 - Narcotráfico (en vías de transformarse en un narcopaís) </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lastRenderedPageBreak/>
        <w:t>3 - Pre democrática (tensiones políticas constantes - fractura territorial - invasión de poderes - patrimonialización del Estado - nepotismo - politización de la justicia -  falta de transparencia - inmunidad - impunidad…)</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 xml:space="preserve">4 - Pre capitalista (un socialismo sin planificación, y un capitalismo sin mercado - no tiene suficiente capital propio para financiar un desarrollo autónomo) </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5 - Fracaso económico (signos de debilidad manifiesta: cuando los estornudos, presagian un cataclismo)</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6 - Burocracia sindical -  Patria contratista (empresarios cortesanos que dependen del Boletín Oficial del Estado -BOE-)</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7 - Poco seria (banalización del mal - ceguera voluntaria - saltimbanqui de la deuda - se dan de bruces con la realidad -)</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8 - Abolición de la meritocracia (política educativa orientada a igualar para abajo - aprobado general - fracaso en los exámenes PISA)</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9 - Nepotismo (familias políticas, y amiguetes)</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10 - Sectarismo, y superioridad moral (ocurrencias nocivas - progresismo woke - ecologismo radical - ideología de género - animalismo irracional - inmigración ilegal - pobrismo…)</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 xml:space="preserve">Nota: hay más, muchos más, pero para no hacer demasiado largo el discurso lo dejo solo en diez razones (alegaciones). Creo que para “alimentar la sospecha”, serán suficientes… </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 Tanguedia: mezcla de tango y tragedia. Pero podría haber puesto: sainete, ópera bufa…</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Aquellos interesados en ampliar detalles sobre el “vía crucis” de la decadencia, pueden darse una “passeggiata” por una de mis pub</w:t>
      </w:r>
      <w:r>
        <w:rPr>
          <w:rFonts w:ascii="Times New Roman" w:hAnsi="Times New Roman" w:cs="Times New Roman"/>
          <w:sz w:val="24"/>
          <w:szCs w:val="24"/>
          <w:shd w:val="clear" w:color="auto" w:fill="FFFFFF"/>
        </w:rPr>
        <w:t>licaciones anteriores:</w:t>
      </w:r>
      <w:r w:rsidRPr="0053269B">
        <w:rPr>
          <w:rFonts w:ascii="Times New Roman" w:hAnsi="Times New Roman" w:cs="Times New Roman"/>
          <w:sz w:val="24"/>
          <w:szCs w:val="24"/>
          <w:shd w:val="clear" w:color="auto" w:fill="FFFFFF"/>
        </w:rPr>
        <w:t xml:space="preserve"> </w:t>
      </w:r>
    </w:p>
    <w:p w:rsidR="002B7B12" w:rsidRPr="008759E0" w:rsidRDefault="002B7B12" w:rsidP="002B7B12">
      <w:pPr>
        <w:spacing w:line="240" w:lineRule="auto"/>
        <w:jc w:val="both"/>
        <w:rPr>
          <w:rFonts w:ascii="Times New Roman" w:hAnsi="Times New Roman" w:cs="Times New Roman"/>
          <w:b/>
          <w:sz w:val="24"/>
          <w:szCs w:val="24"/>
          <w:shd w:val="clear" w:color="auto" w:fill="FFFFFF"/>
        </w:rPr>
      </w:pPr>
      <w:r w:rsidRPr="0053269B">
        <w:rPr>
          <w:rFonts w:ascii="Times New Roman" w:hAnsi="Times New Roman" w:cs="Times New Roman"/>
          <w:sz w:val="24"/>
          <w:szCs w:val="24"/>
          <w:shd w:val="clear" w:color="auto" w:fill="FFFFFF"/>
        </w:rPr>
        <w:t xml:space="preserve">15-1-2025 - </w:t>
      </w:r>
      <w:r w:rsidRPr="008759E0">
        <w:rPr>
          <w:rFonts w:ascii="Times New Roman" w:hAnsi="Times New Roman" w:cs="Times New Roman"/>
          <w:b/>
          <w:sz w:val="24"/>
          <w:szCs w:val="24"/>
          <w:shd w:val="clear" w:color="auto" w:fill="FFFFFF"/>
        </w:rPr>
        <w:t>España solicita su ingreso en el Mercosur (y ya de paso, al Grupo de Puebla) - España, más cerca de América Latina que de Europa</w:t>
      </w:r>
    </w:p>
    <w:p w:rsidR="002B7B12" w:rsidRDefault="002B7B12" w:rsidP="002B7B12">
      <w:pPr>
        <w:spacing w:line="240" w:lineRule="auto"/>
        <w:jc w:val="both"/>
        <w:rPr>
          <w:rFonts w:ascii="Times New Roman" w:hAnsi="Times New Roman" w:cs="Times New Roman"/>
          <w:color w:val="FF0000"/>
          <w:sz w:val="24"/>
          <w:szCs w:val="24"/>
          <w:shd w:val="clear" w:color="auto" w:fill="FFFFFF"/>
        </w:rPr>
      </w:pPr>
      <w:r w:rsidRPr="0053269B">
        <w:rPr>
          <w:rFonts w:ascii="Times New Roman" w:hAnsi="Times New Roman" w:cs="Times New Roman"/>
          <w:color w:val="FF0000"/>
          <w:sz w:val="24"/>
          <w:szCs w:val="24"/>
          <w:shd w:val="clear" w:color="auto" w:fill="FFFFFF"/>
        </w:rPr>
        <w:t>- Aprovechamiento total sin restricciones regionales de los recursos hídricos (trasvases)</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w:t>
      </w:r>
      <w:r w:rsidRPr="0053269B">
        <w:rPr>
          <w:rFonts w:ascii="Times New Roman" w:hAnsi="Times New Roman" w:cs="Times New Roman"/>
          <w:sz w:val="24"/>
          <w:szCs w:val="24"/>
          <w:shd w:val="clear" w:color="auto" w:fill="FFFFFF"/>
        </w:rPr>
        <w:t>gran conflicto de los trasvases en</w:t>
      </w:r>
      <w:r>
        <w:rPr>
          <w:rFonts w:ascii="Times New Roman" w:hAnsi="Times New Roman" w:cs="Times New Roman"/>
          <w:sz w:val="24"/>
          <w:szCs w:val="24"/>
          <w:shd w:val="clear" w:color="auto" w:fill="FFFFFF"/>
        </w:rPr>
        <w:t xml:space="preserve"> España”</w:t>
      </w:r>
      <w:r w:rsidRPr="0053269B">
        <w:rPr>
          <w:rFonts w:ascii="Times New Roman" w:hAnsi="Times New Roman" w:cs="Times New Roman"/>
          <w:sz w:val="24"/>
          <w:szCs w:val="24"/>
          <w:shd w:val="clear" w:color="auto" w:fill="FFFFFF"/>
        </w:rPr>
        <w:t xml:space="preserve"> se refiere a la controversia y tensiones generadas por los trasvases de agua entre diferentes cuencas hidrográficas, especialmente el Trasvase Tajo-Segura. Este conflicto se centra en la distribución del agua, donde algunas regiones se benefician del trasvase mientras que otras lo consideran perjudicial para sus propios recursos hídricos y ecosistemas. </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Puntos clave del conflicto</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El Trasvase Tajo-Segura: </w:t>
      </w:r>
      <w:r w:rsidRPr="0053269B">
        <w:rPr>
          <w:rFonts w:ascii="Times New Roman" w:hAnsi="Times New Roman" w:cs="Times New Roman"/>
          <w:sz w:val="24"/>
          <w:szCs w:val="24"/>
          <w:shd w:val="clear" w:color="auto" w:fill="FFFFFF"/>
        </w:rPr>
        <w:t xml:space="preserve">Es el trasvase más emblemático y controvertido, que lleva agua del río Tajo a la región del Segura, beneficiando a Murcia y el Levante con agua para agricultura y turismo, pero afectando negativamente a Castilla-La Mancha, la región cedente. </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La per</w:t>
      </w:r>
      <w:r>
        <w:rPr>
          <w:rFonts w:ascii="Times New Roman" w:hAnsi="Times New Roman" w:cs="Times New Roman"/>
          <w:sz w:val="24"/>
          <w:szCs w:val="24"/>
          <w:shd w:val="clear" w:color="auto" w:fill="FFFFFF"/>
        </w:rPr>
        <w:t xml:space="preserve">spectiva de Castilla-La Mancha: </w:t>
      </w:r>
      <w:r w:rsidRPr="0053269B">
        <w:rPr>
          <w:rFonts w:ascii="Times New Roman" w:hAnsi="Times New Roman" w:cs="Times New Roman"/>
          <w:sz w:val="24"/>
          <w:szCs w:val="24"/>
          <w:shd w:val="clear" w:color="auto" w:fill="FFFFFF"/>
        </w:rPr>
        <w:t xml:space="preserve">Considera que el trasvase es una expoliación de sus recursos hídricos, causando daños ecológicos en el río Tajo y limitando su propio desarrollo económico. </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lastRenderedPageBreak/>
        <w:t>La pers</w:t>
      </w:r>
      <w:r>
        <w:rPr>
          <w:rFonts w:ascii="Times New Roman" w:hAnsi="Times New Roman" w:cs="Times New Roman"/>
          <w:sz w:val="24"/>
          <w:szCs w:val="24"/>
          <w:shd w:val="clear" w:color="auto" w:fill="FFFFFF"/>
        </w:rPr>
        <w:t xml:space="preserve">pectiva de Murcia y el Levante: </w:t>
      </w:r>
      <w:r w:rsidRPr="0053269B">
        <w:rPr>
          <w:rFonts w:ascii="Times New Roman" w:hAnsi="Times New Roman" w:cs="Times New Roman"/>
          <w:sz w:val="24"/>
          <w:szCs w:val="24"/>
          <w:shd w:val="clear" w:color="auto" w:fill="FFFFFF"/>
        </w:rPr>
        <w:t xml:space="preserve">Ven el trasvase como esencial para su agricultura intensiva y desarrollo turístico, con riesgo de desertificación y colapso económico si se reduce el suministro. </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La so</w:t>
      </w:r>
      <w:r>
        <w:rPr>
          <w:rFonts w:ascii="Times New Roman" w:hAnsi="Times New Roman" w:cs="Times New Roman"/>
          <w:sz w:val="24"/>
          <w:szCs w:val="24"/>
          <w:shd w:val="clear" w:color="auto" w:fill="FFFFFF"/>
        </w:rPr>
        <w:t xml:space="preserve">breexplotación de los recursos: </w:t>
      </w:r>
      <w:r w:rsidRPr="0053269B">
        <w:rPr>
          <w:rFonts w:ascii="Times New Roman" w:hAnsi="Times New Roman" w:cs="Times New Roman"/>
          <w:sz w:val="24"/>
          <w:szCs w:val="24"/>
          <w:shd w:val="clear" w:color="auto" w:fill="FFFFFF"/>
        </w:rPr>
        <w:t xml:space="preserve">Se critica la sobreexplotación de los recursos hídricos en general, incluyendo los acuíferos, y la falta de una gestión sostenible del agua. </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Impacto ambiental: </w:t>
      </w:r>
      <w:r w:rsidRPr="0053269B">
        <w:rPr>
          <w:rFonts w:ascii="Times New Roman" w:hAnsi="Times New Roman" w:cs="Times New Roman"/>
          <w:sz w:val="24"/>
          <w:szCs w:val="24"/>
          <w:shd w:val="clear" w:color="auto" w:fill="FFFFFF"/>
        </w:rPr>
        <w:t xml:space="preserve">Se denuncia el impacto negativo en los ríos, humedales y ecosistemas, así como la pérdida de biodiversidad y la contaminación de las aguas. </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Conflicto social y político: </w:t>
      </w:r>
      <w:r w:rsidRPr="0053269B">
        <w:rPr>
          <w:rFonts w:ascii="Times New Roman" w:hAnsi="Times New Roman" w:cs="Times New Roman"/>
          <w:sz w:val="24"/>
          <w:szCs w:val="24"/>
          <w:shd w:val="clear" w:color="auto" w:fill="FFFFFF"/>
        </w:rPr>
        <w:t xml:space="preserve">El conflicto se ha convertido en un problema político y social, con fuertes sentimientos de agravio y justicia en ambas partes. </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Otros trasvases:</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 xml:space="preserve">Además del Tajo-Segura, existen otros trasvases en España que también generan conflictos, como el Trasvase Júcar-Vinalopó, entre otros, y que afectan a otras comunidades autónomas. </w:t>
      </w:r>
    </w:p>
    <w:p w:rsidR="002B7B12"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En resumen, el conflicto de los trasvases en España refleja una disputa por los recursos hídricos, con fuertes tensiones entre regiones y una necesidad urgente de encontrar soluciones sostenibles que garanticen el equilibrio ecológico y el desarrollo económico de todas las zonas afectadas.</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02D56">
        <w:rPr>
          <w:rFonts w:ascii="Times New Roman" w:hAnsi="Times New Roman" w:cs="Times New Roman"/>
          <w:sz w:val="24"/>
          <w:szCs w:val="24"/>
          <w:u w:val="single"/>
          <w:shd w:val="clear" w:color="auto" w:fill="FFFFFF"/>
        </w:rPr>
        <w:t>La escasez de agua y la politización marcan los conflictos en trasvases como el del Tajo-Segura</w:t>
      </w:r>
      <w:r>
        <w:rPr>
          <w:rFonts w:ascii="Times New Roman" w:hAnsi="Times New Roman" w:cs="Times New Roman"/>
          <w:sz w:val="24"/>
          <w:szCs w:val="24"/>
          <w:shd w:val="clear" w:color="auto" w:fill="FFFFFF"/>
        </w:rPr>
        <w:t xml:space="preserve"> (Fuente: newtral.es - </w:t>
      </w:r>
      <w:r w:rsidRPr="00F02D56">
        <w:rPr>
          <w:rFonts w:ascii="Times New Roman" w:hAnsi="Times New Roman" w:cs="Times New Roman"/>
          <w:b/>
          <w:sz w:val="24"/>
          <w:szCs w:val="24"/>
          <w:shd w:val="clear" w:color="auto" w:fill="FFFFFF"/>
        </w:rPr>
        <w:t>4/1/23</w:t>
      </w:r>
      <w:r>
        <w:rPr>
          <w:rFonts w:ascii="Times New Roman" w:hAnsi="Times New Roman" w:cs="Times New Roman"/>
          <w:sz w:val="24"/>
          <w:szCs w:val="24"/>
          <w:shd w:val="clear" w:color="auto" w:fill="FFFFFF"/>
        </w:rPr>
        <w:t>)</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53269B">
        <w:rPr>
          <w:rFonts w:ascii="Times New Roman" w:hAnsi="Times New Roman" w:cs="Times New Roman"/>
          <w:sz w:val="24"/>
          <w:szCs w:val="24"/>
          <w:shd w:val="clear" w:color="auto" w:fill="FFFFFF"/>
        </w:rPr>
        <w:t>Por Cristina Alonso Pascual</w:t>
      </w:r>
      <w:r>
        <w:rPr>
          <w:rFonts w:ascii="Times New Roman" w:hAnsi="Times New Roman" w:cs="Times New Roman"/>
          <w:sz w:val="24"/>
          <w:szCs w:val="24"/>
          <w:shd w:val="clear" w:color="auto" w:fill="FFFFFF"/>
        </w:rPr>
        <w:t>)</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Los trasvases entre ríos generan conflictos, por ejemplo, a la hora de decidir cómo y cuánta cantidad de agua se t</w:t>
      </w:r>
      <w:r>
        <w:rPr>
          <w:rFonts w:ascii="Times New Roman" w:hAnsi="Times New Roman" w:cs="Times New Roman"/>
          <w:sz w:val="24"/>
          <w:szCs w:val="24"/>
          <w:shd w:val="clear" w:color="auto" w:fill="FFFFFF"/>
        </w:rPr>
        <w:t>ransporta de un cauce a otro</w:t>
      </w:r>
      <w:r w:rsidRPr="0053269B">
        <w:rPr>
          <w:rFonts w:ascii="Times New Roman" w:hAnsi="Times New Roman" w:cs="Times New Roman"/>
          <w:sz w:val="24"/>
          <w:szCs w:val="24"/>
          <w:shd w:val="clear" w:color="auto" w:fill="FFFFFF"/>
        </w:rPr>
        <w:t>. Una de las polémicas actuales gira en torno al trasvase Tajo-Segura, y su debate se remonta décadas, hasta 1979, año de su puesta en marcha, según el Ministerio para la Transición Ecológica y el Reto Demográfico (Miteco).</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El Tajo-Segura es un ejemplo de cuando el intercambio de agua entre ríos enfrenta a varias comunidades. De acuerdo con Andrés Molina Giménez, director del Instituto del Agua y de las Ciencias Ambientales de la Universidad de Alicante, la conversación alrededor de los tras</w:t>
      </w:r>
      <w:r>
        <w:rPr>
          <w:rFonts w:ascii="Times New Roman" w:hAnsi="Times New Roman" w:cs="Times New Roman"/>
          <w:sz w:val="24"/>
          <w:szCs w:val="24"/>
          <w:shd w:val="clear" w:color="auto" w:fill="FFFFFF"/>
        </w:rPr>
        <w:t>vases “se ha politizado mucho”.</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La polémica suele surgir con el anuncio de la construcción del tr</w:t>
      </w:r>
      <w:r>
        <w:rPr>
          <w:rFonts w:ascii="Times New Roman" w:hAnsi="Times New Roman" w:cs="Times New Roman"/>
          <w:sz w:val="24"/>
          <w:szCs w:val="24"/>
          <w:shd w:val="clear" w:color="auto" w:fill="FFFFFF"/>
        </w:rPr>
        <w:t>asvase y los primeros acuerdos -y desacuerdos-</w:t>
      </w:r>
      <w:r w:rsidRPr="0053269B">
        <w:rPr>
          <w:rFonts w:ascii="Times New Roman" w:hAnsi="Times New Roman" w:cs="Times New Roman"/>
          <w:sz w:val="24"/>
          <w:szCs w:val="24"/>
          <w:shd w:val="clear" w:color="auto" w:fill="FFFFFF"/>
        </w:rPr>
        <w:t xml:space="preserve"> o bien en épocas de escasez de lluvias o sequía. “Para que haya un trasvase que funcione tiene que haber agua”, aclara Antonio de Lucas, autor de la tesis doctoral Concepto, análisis histórico y determinación de excedentes de la cuenca del Tajo: aplicación al trasvase Tajo-Segura. Razón por la que este tipo de conflictos ocurren menos en territorios en los que se registran más precipitaci</w:t>
      </w:r>
      <w:r>
        <w:rPr>
          <w:rFonts w:ascii="Times New Roman" w:hAnsi="Times New Roman" w:cs="Times New Roman"/>
          <w:sz w:val="24"/>
          <w:szCs w:val="24"/>
          <w:shd w:val="clear" w:color="auto" w:fill="FFFFFF"/>
        </w:rPr>
        <w:t>ones, como el centro de Europa.</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Las épocas de escasez de agua aumentan la presión sobre los trasvases</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La escasez del agua es una de las razones por las que se cuestionan trasvases como el del Tajo-Segura. En funcionamiento desde 1979, esta transferencia se basa en dos embalses de la cabecera del Tajo, el de Entrepeñas y el de Buendía, que regulan el cauce del río y permiten trasladar su agua a otros cauces del sur peninsular, d</w:t>
      </w:r>
      <w:r>
        <w:rPr>
          <w:rFonts w:ascii="Times New Roman" w:hAnsi="Times New Roman" w:cs="Times New Roman"/>
          <w:sz w:val="24"/>
          <w:szCs w:val="24"/>
          <w:shd w:val="clear" w:color="auto" w:fill="FFFFFF"/>
        </w:rPr>
        <w:t>e acuerdo con el Miteco.</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 xml:space="preserve">Como todo trasvase, para evitar conflictos, tiene que garantizar el futuro del río del que se capta agua. De esta forma, como dice De Lucas, “no puede suponer nunca un perjuicio a la </w:t>
      </w:r>
      <w:r w:rsidRPr="0053269B">
        <w:rPr>
          <w:rFonts w:ascii="Times New Roman" w:hAnsi="Times New Roman" w:cs="Times New Roman"/>
          <w:sz w:val="24"/>
          <w:szCs w:val="24"/>
          <w:shd w:val="clear" w:color="auto" w:fill="FFFFFF"/>
        </w:rPr>
        <w:lastRenderedPageBreak/>
        <w:t>cuenca excedente”, por lo que se establecen las reglas de explotación, que limitan lo que se puede trasvasar. En el caso del Tajo-Segura son las siguientes, según</w:t>
      </w:r>
      <w:r>
        <w:rPr>
          <w:rFonts w:ascii="Times New Roman" w:hAnsi="Times New Roman" w:cs="Times New Roman"/>
          <w:sz w:val="24"/>
          <w:szCs w:val="24"/>
          <w:shd w:val="clear" w:color="auto" w:fill="FFFFFF"/>
        </w:rPr>
        <w:t xml:space="preserve"> el informe mensual del Miteco:</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Nivel 1: el de mayor abundancia, cuando las existencias en ambos embalses igualan o superan los 1.300 hectómetros cúbicos (hm3), y la Comisión Central de Explotación autoriza 60 hm3 al mes.</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Nivel 2: las existencias de los embalses disminuyen hasta valores inferiores a 1.300 hm3 sin llegar a los valores establecidos para el nivel 3. En este escenario, el trasvase es de 27 hm3/mes.</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Nivel 3: situación hidrológica excepcional, cuando los embalses no superan unas cantidades que varían entre los 586 y los 688 hm3 dependiendo del mes del año. En estos casos, la ministra decide “discrecionalmente y de forma motivada” si se realiza un trasvase de un máximo de 20 hm3 mensuales.</w:t>
      </w:r>
    </w:p>
    <w:p w:rsidR="002B7B12"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Nivel 4: las existencias conjuntas de Entrepeñas y Buendía son inferiores a 400 hm3 y no se puede realizar ningún trasvase.</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F02D56">
        <w:rPr>
          <w:rFonts w:ascii="Times New Roman" w:hAnsi="Times New Roman" w:cs="Times New Roman"/>
          <w:noProof/>
          <w:sz w:val="24"/>
          <w:szCs w:val="24"/>
          <w:shd w:val="clear" w:color="auto" w:fill="FFFFFF"/>
          <w:lang w:eastAsia="es-ES"/>
        </w:rPr>
        <w:drawing>
          <wp:inline distT="0" distB="0" distL="0" distR="0" wp14:anchorId="63A17063" wp14:editId="43616ECA">
            <wp:extent cx="5727700" cy="2597150"/>
            <wp:effectExtent l="0" t="0" r="635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731510" cy="2598878"/>
                    </a:xfrm>
                    <a:prstGeom prst="rect">
                      <a:avLst/>
                    </a:prstGeom>
                  </pic:spPr>
                </pic:pic>
              </a:graphicData>
            </a:graphic>
          </wp:inline>
        </w:drawing>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“El problema es que en el Tajo-Segura no hay agua, se vio que no había agua y se ha intentado solucionar”, manifiesta De Lucas, algo que incrementa las t</w:t>
      </w:r>
      <w:r>
        <w:rPr>
          <w:rFonts w:ascii="Times New Roman" w:hAnsi="Times New Roman" w:cs="Times New Roman"/>
          <w:sz w:val="24"/>
          <w:szCs w:val="24"/>
          <w:shd w:val="clear" w:color="auto" w:fill="FFFFFF"/>
        </w:rPr>
        <w:t>ensiones en períodos de sequía.</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El conflicto del trasvase Tajo-Segura, causado por el riesgo del regadío</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Aun así, los conflictos en los trasvases no suelen generarse cuando la finalidad del agua es el abastecimiento. Como matiza De Lucas, el consumo directo es prioritario a otros usos del recurso hídrico, como se recoge en el artículo 60 de la Ley de Aguas, lo que facilita la toma de decisiones sobre los trasvases. “En la práctica, [el destino del agua]</w:t>
      </w:r>
      <w:r>
        <w:rPr>
          <w:rFonts w:ascii="Times New Roman" w:hAnsi="Times New Roman" w:cs="Times New Roman"/>
          <w:sz w:val="24"/>
          <w:szCs w:val="24"/>
          <w:shd w:val="clear" w:color="auto" w:fill="FFFFFF"/>
        </w:rPr>
        <w:t xml:space="preserve"> los condiciona mucho”, indica.</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 xml:space="preserve">De hecho, la polémica actual respecto al trasvase Tajo-Segura depende en gran medida de los usos del agua. El origen del conflicto se encuentra en la propuesta de </w:t>
      </w:r>
      <w:r>
        <w:rPr>
          <w:rFonts w:ascii="Times New Roman" w:hAnsi="Times New Roman" w:cs="Times New Roman"/>
          <w:sz w:val="24"/>
          <w:szCs w:val="24"/>
          <w:shd w:val="clear" w:color="auto" w:fill="FFFFFF"/>
        </w:rPr>
        <w:t>elevar los caudales ecológicos -</w:t>
      </w:r>
      <w:r w:rsidRPr="0053269B">
        <w:rPr>
          <w:rFonts w:ascii="Times New Roman" w:hAnsi="Times New Roman" w:cs="Times New Roman"/>
          <w:sz w:val="24"/>
          <w:szCs w:val="24"/>
          <w:shd w:val="clear" w:color="auto" w:fill="FFFFFF"/>
        </w:rPr>
        <w:t>niveles mínimos del río para garantizar su vida y l</w:t>
      </w:r>
      <w:r>
        <w:rPr>
          <w:rFonts w:ascii="Times New Roman" w:hAnsi="Times New Roman" w:cs="Times New Roman"/>
          <w:sz w:val="24"/>
          <w:szCs w:val="24"/>
          <w:shd w:val="clear" w:color="auto" w:fill="FFFFFF"/>
        </w:rPr>
        <w:t>a del ecosistema a su alrededor-</w:t>
      </w:r>
      <w:r w:rsidRPr="0053269B">
        <w:rPr>
          <w:rFonts w:ascii="Times New Roman" w:hAnsi="Times New Roman" w:cs="Times New Roman"/>
          <w:sz w:val="24"/>
          <w:szCs w:val="24"/>
          <w:shd w:val="clear" w:color="auto" w:fill="FFFFFF"/>
        </w:rPr>
        <w:t xml:space="preserve"> del Tajo planteada en el contexto de creación de su nue</w:t>
      </w:r>
      <w:r>
        <w:rPr>
          <w:rFonts w:ascii="Times New Roman" w:hAnsi="Times New Roman" w:cs="Times New Roman"/>
          <w:sz w:val="24"/>
          <w:szCs w:val="24"/>
          <w:shd w:val="clear" w:color="auto" w:fill="FFFFFF"/>
        </w:rPr>
        <w:t>vo plan hidrológico hasta 2027.</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lastRenderedPageBreak/>
        <w:t>Esto conllevaría un aumento en los desembalses o vaciados parciales hacia el Tajo desde Entrepeñas y Buendía, como advertía la Confederación Hidrográfica del Tajo</w:t>
      </w:r>
      <w:r>
        <w:rPr>
          <w:rFonts w:ascii="Times New Roman" w:hAnsi="Times New Roman" w:cs="Times New Roman"/>
          <w:sz w:val="24"/>
          <w:szCs w:val="24"/>
          <w:shd w:val="clear" w:color="auto" w:fill="FFFFFF"/>
        </w:rPr>
        <w:t xml:space="preserve"> en un informe de 2020 (p. 82).</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Así, se pone en riesgo parte del trasvase hacia el Segura, que se destina a abastecimiento y regadío. Como el consumo directo de la población es prioritario, quienes se verán perjudicados son los regantes. “Para regadío prácticamente no va a haber caudal para trasvasar”, expone Molina. Desde su organización calculan que la reducción anual será de 110 hm3 de los en torno a 1</w:t>
      </w:r>
      <w:r>
        <w:rPr>
          <w:rFonts w:ascii="Times New Roman" w:hAnsi="Times New Roman" w:cs="Times New Roman"/>
          <w:sz w:val="24"/>
          <w:szCs w:val="24"/>
          <w:shd w:val="clear" w:color="auto" w:fill="FFFFFF"/>
        </w:rPr>
        <w:t>60 hm3 que llegan para regadío.</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“Eso supone el cierre de explotaciones, pérdida de empleo… Para la balanza de pagos española puede ser una situación bastante grave”, considera el director del Instituto de Aguas. Si bien Molina reconoce que existe la alternativa de usar agua desalada, su precio es mayor, por lo que el Sindicato Central de Regantes del Acueducto Tajo-Segura ha convocado manifestaciones en protesta, como la del miércoles 11 de enero de 2023 en Mad</w:t>
      </w:r>
      <w:r>
        <w:rPr>
          <w:rFonts w:ascii="Times New Roman" w:hAnsi="Times New Roman" w:cs="Times New Roman"/>
          <w:sz w:val="24"/>
          <w:szCs w:val="24"/>
          <w:shd w:val="clear" w:color="auto" w:fill="FFFFFF"/>
        </w:rPr>
        <w:t xml:space="preserve">rid. </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El problema de la politización de los conflictos sobre los trasvases</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A juicio de Molina, uno de los mayores problemas es que los conflictos alrededor de los trasvases se han politizado. “La defensa de los trasvases se ha situado en las cuencas receptoras y de manera más intensa los partidos de la derecha, mientras que las posturas en contra de los trasvases se han situado en el otro espectro político”, la izquierda, y en los lugares donde se</w:t>
      </w:r>
      <w:r>
        <w:rPr>
          <w:rFonts w:ascii="Times New Roman" w:hAnsi="Times New Roman" w:cs="Times New Roman"/>
          <w:sz w:val="24"/>
          <w:szCs w:val="24"/>
          <w:shd w:val="clear" w:color="auto" w:fill="FFFFFF"/>
        </w:rPr>
        <w:t xml:space="preserve"> capta el agua, destaca Molina.</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El experto lamenta la coyuntura actual. Bajo su punto de vista, el de los trasvases es un conflicto técnico y no político. “El mensaje sería intentar evitar la politización de este tema y basar las decisiones en criterios puramente técnicos, incluyendo los aspectos socioeconómicos”,</w:t>
      </w:r>
      <w:r>
        <w:rPr>
          <w:rFonts w:ascii="Times New Roman" w:hAnsi="Times New Roman" w:cs="Times New Roman"/>
          <w:sz w:val="24"/>
          <w:szCs w:val="24"/>
          <w:shd w:val="clear" w:color="auto" w:fill="FFFFFF"/>
        </w:rPr>
        <w:t xml:space="preserve"> sostiene.</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Otros conflictos por el agua más allá del trasvase Tajo-Segura</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Pese a que el conflicto del trasvase del Tajo-Segura es, según Molina, el más importante en la actualidad, hay otros ejemplos de polémicas alrededor del intercambio de agua. A nivel nacional, De Lucas menciona el del Negratín-Almanzora, que puede trasvasar 50 hm3 al año, según el experto, lejos de los 650 hm3 anuales del Tajo-Segura. En este trasvase se plantea un conflicto de intereses entre el regadío de la cuenca del Guadalquivir, donde se encuentra el Negratín, y el de la zona del Almanzora, que recibe el recurso hídrico. “Es un agua que los regantes potenciales que puede haber en el Guadalquivir (...) no perciben”, desarrolla.</w:t>
      </w:r>
    </w:p>
    <w:p w:rsidR="002B7B12" w:rsidRPr="0053269B"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Domingo Baeza Sanz, socio de la Fundación Nueva Cultura del Agua (FNCA) y profesor de Ecología en la Universidad Autónoma de Madrid, indica que casi todos los conflictos en trasvases "tienen la misma causa": cuencas cedentes en las que el trasvase produce un aumento del deterioro de su estado y de la calidad del agua. Por ejemplo, el del Júcar-Vinalopó, objeto de investigación por parte de la FNCA, donde el lugar en el que se capta el agua presenta regularmente escasez y, en su parte</w:t>
      </w:r>
      <w:r>
        <w:rPr>
          <w:rFonts w:ascii="Times New Roman" w:hAnsi="Times New Roman" w:cs="Times New Roman"/>
          <w:sz w:val="24"/>
          <w:szCs w:val="24"/>
          <w:shd w:val="clear" w:color="auto" w:fill="FFFFFF"/>
        </w:rPr>
        <w:t xml:space="preserve"> baja, un mal estado ecológico.</w:t>
      </w:r>
    </w:p>
    <w:p w:rsidR="002B7B12" w:rsidRDefault="002B7B12" w:rsidP="002B7B12">
      <w:pPr>
        <w:spacing w:line="240" w:lineRule="auto"/>
        <w:jc w:val="both"/>
        <w:rPr>
          <w:rFonts w:ascii="Times New Roman" w:hAnsi="Times New Roman" w:cs="Times New Roman"/>
          <w:sz w:val="24"/>
          <w:szCs w:val="24"/>
          <w:shd w:val="clear" w:color="auto" w:fill="FFFFFF"/>
        </w:rPr>
      </w:pPr>
      <w:r w:rsidRPr="0053269B">
        <w:rPr>
          <w:rFonts w:ascii="Times New Roman" w:hAnsi="Times New Roman" w:cs="Times New Roman"/>
          <w:sz w:val="24"/>
          <w:szCs w:val="24"/>
          <w:shd w:val="clear" w:color="auto" w:fill="FFFFFF"/>
        </w:rPr>
        <w:t>Incluso pueden alcanzar el ámbito internacional y de la geopolítica. Es el caso del trasvase de Ucrania a Crimea, que, como comenta el experto, comenzó con el cierre del canal por parte de Ucrania después de la invasión rusa de Crimea en 2014. De acuerdo con De Lucas, Rusia volvió a abrir este canal cuando ocupó militarmente la zona después de su invasión de Ucrania en 2022.</w:t>
      </w:r>
    </w:p>
    <w:p w:rsidR="002B7B12" w:rsidRDefault="002B7B12" w:rsidP="002B7B12">
      <w:pPr>
        <w:spacing w:line="240" w:lineRule="auto"/>
        <w:jc w:val="both"/>
        <w:rPr>
          <w:rFonts w:ascii="Times New Roman" w:hAnsi="Times New Roman" w:cs="Times New Roman"/>
          <w:sz w:val="24"/>
          <w:szCs w:val="24"/>
          <w:shd w:val="clear" w:color="auto" w:fill="FFFFFF"/>
        </w:rPr>
      </w:pPr>
    </w:p>
    <w:p w:rsidR="002B7B12"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El agua que España no aprovecha (aunque la necesita) y se va a parar al mar</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En España, se vierten al mar aproximadamente 40,000 hectómetros cúbicos de agua al año por encima de los caudales ecológicos de los ríos, según OkDiario. Esta cantidad repre</w:t>
      </w:r>
      <w:r>
        <w:rPr>
          <w:rFonts w:ascii="Times New Roman" w:hAnsi="Times New Roman" w:cs="Times New Roman"/>
          <w:sz w:val="24"/>
          <w:szCs w:val="24"/>
          <w:shd w:val="clear" w:color="auto" w:fill="FFFFFF"/>
        </w:rPr>
        <w:t>senta el agua que se considera “desperdiciada”</w:t>
      </w:r>
      <w:r w:rsidRPr="002D790C">
        <w:rPr>
          <w:rFonts w:ascii="Times New Roman" w:hAnsi="Times New Roman" w:cs="Times New Roman"/>
          <w:sz w:val="24"/>
          <w:szCs w:val="24"/>
          <w:shd w:val="clear" w:color="auto" w:fill="FFFFFF"/>
        </w:rPr>
        <w:t xml:space="preserve"> o que no se utiliza eficientemente, ya que excede lo necesario para mantener el equilibrio natural de los ríos, según OkDiario. </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 xml:space="preserve">El río Ebro, por ejemplo, vierte una cantidad considerable de agua al mar Mediterráneo. En un año hidrológico (octubre a septiembre), el Ebro puede llegar a verter más de 12,000 hm³ de agua, según Newtral. Incluso, en situaciones de crecida, el Ebro puede llegar a verter al mar alrededor de 70 hm³ diarios, según El Mundo. </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 xml:space="preserve">Además de los ríos, existen también vertidos de aguas residuales a través de emisarios submarinos. Por ejemplo, en la zona de Pinedo, se vierten más de 100 hm³ al mar a través de un emisario submarino, según El País. </w:t>
      </w:r>
    </w:p>
    <w:p w:rsidR="002B7B12"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Es importante mencionar que la reutilización de aguas residuales tratadas es una práctica que se está implementando para reducir la cantidad de agua que se vierte al mar y aprovechar mejor este recurso, según Valencia Plaza. Por ejemplo, en Alicante, se prevé reutilizar 20 hm³ de agua, según Valencia Plaza.</w:t>
      </w:r>
    </w:p>
    <w:p w:rsidR="002B7B12"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2D790C">
        <w:rPr>
          <w:rFonts w:ascii="Times New Roman" w:hAnsi="Times New Roman" w:cs="Times New Roman"/>
          <w:sz w:val="24"/>
          <w:szCs w:val="24"/>
          <w:shd w:val="clear" w:color="auto" w:fill="FFFFFF"/>
        </w:rPr>
        <w:t>¿</w:t>
      </w:r>
      <w:r w:rsidRPr="002D790C">
        <w:rPr>
          <w:rFonts w:ascii="Times New Roman" w:hAnsi="Times New Roman" w:cs="Times New Roman"/>
          <w:sz w:val="24"/>
          <w:szCs w:val="24"/>
          <w:u w:val="single"/>
          <w:shd w:val="clear" w:color="auto" w:fill="FFFFFF"/>
        </w:rPr>
        <w:t>Sobra agua en España</w:t>
      </w:r>
      <w:r w:rsidRPr="002D790C">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(OKDiario - </w:t>
      </w:r>
      <w:r w:rsidRPr="002D790C">
        <w:rPr>
          <w:rFonts w:ascii="Times New Roman" w:hAnsi="Times New Roman" w:cs="Times New Roman"/>
          <w:b/>
          <w:sz w:val="24"/>
          <w:szCs w:val="24"/>
          <w:shd w:val="clear" w:color="auto" w:fill="FFFFFF"/>
        </w:rPr>
        <w:t>4/8/24</w:t>
      </w:r>
      <w:r>
        <w:rPr>
          <w:rFonts w:ascii="Times New Roman" w:hAnsi="Times New Roman" w:cs="Times New Roman"/>
          <w:sz w:val="24"/>
          <w:szCs w:val="24"/>
          <w:shd w:val="clear" w:color="auto" w:fill="FFFFFF"/>
        </w:rPr>
        <w:t xml:space="preserve">)  </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La gestión del agua en España es llevada a cabo por distintas dependencias y admini</w:t>
      </w:r>
      <w:r>
        <w:rPr>
          <w:rFonts w:ascii="Times New Roman" w:hAnsi="Times New Roman" w:cs="Times New Roman"/>
          <w:sz w:val="24"/>
          <w:szCs w:val="24"/>
          <w:shd w:val="clear" w:color="auto" w:fill="FFFFFF"/>
        </w:rPr>
        <w:t>straciones públicas y privadas:</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1.- Administraciones Públicas: A nivel autonómico, local y central.</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2.- Organismos de cuenca: también</w:t>
      </w:r>
      <w:r>
        <w:rPr>
          <w:rFonts w:ascii="Times New Roman" w:hAnsi="Times New Roman" w:cs="Times New Roman"/>
          <w:sz w:val="24"/>
          <w:szCs w:val="24"/>
          <w:shd w:val="clear" w:color="auto" w:fill="FFFFFF"/>
        </w:rPr>
        <w:t xml:space="preserve"> conocidos como Confederaciones </w:t>
      </w:r>
      <w:r w:rsidRPr="002D790C">
        <w:rPr>
          <w:rFonts w:ascii="Times New Roman" w:hAnsi="Times New Roman" w:cs="Times New Roman"/>
          <w:sz w:val="24"/>
          <w:szCs w:val="24"/>
          <w:shd w:val="clear" w:color="auto" w:fill="FFFFFF"/>
        </w:rPr>
        <w:t>Hidrográficas, estos organismos son la</w:t>
      </w:r>
      <w:r>
        <w:rPr>
          <w:rFonts w:ascii="Times New Roman" w:hAnsi="Times New Roman" w:cs="Times New Roman"/>
          <w:sz w:val="24"/>
          <w:szCs w:val="24"/>
          <w:shd w:val="clear" w:color="auto" w:fill="FFFFFF"/>
        </w:rPr>
        <w:t xml:space="preserve"> máxima autoridad en la gestión </w:t>
      </w:r>
      <w:r w:rsidRPr="002D790C">
        <w:rPr>
          <w:rFonts w:ascii="Times New Roman" w:hAnsi="Times New Roman" w:cs="Times New Roman"/>
          <w:sz w:val="24"/>
          <w:szCs w:val="24"/>
          <w:shd w:val="clear" w:color="auto" w:fill="FFFFFF"/>
        </w:rPr>
        <w:t>de recursos hídricos a nivel de cuenca.</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3.- Empresas de agua: casi la mit</w:t>
      </w:r>
      <w:r>
        <w:rPr>
          <w:rFonts w:ascii="Times New Roman" w:hAnsi="Times New Roman" w:cs="Times New Roman"/>
          <w:sz w:val="24"/>
          <w:szCs w:val="24"/>
          <w:shd w:val="clear" w:color="auto" w:fill="FFFFFF"/>
        </w:rPr>
        <w:t xml:space="preserve">ad de la población en España es </w:t>
      </w:r>
      <w:r w:rsidRPr="002D790C">
        <w:rPr>
          <w:rFonts w:ascii="Times New Roman" w:hAnsi="Times New Roman" w:cs="Times New Roman"/>
          <w:sz w:val="24"/>
          <w:szCs w:val="24"/>
          <w:shd w:val="clear" w:color="auto" w:fill="FFFFFF"/>
        </w:rPr>
        <w:t>atendida por empresas de agua privada</w:t>
      </w:r>
      <w:r>
        <w:rPr>
          <w:rFonts w:ascii="Times New Roman" w:hAnsi="Times New Roman" w:cs="Times New Roman"/>
          <w:sz w:val="24"/>
          <w:szCs w:val="24"/>
          <w:shd w:val="clear" w:color="auto" w:fill="FFFFFF"/>
        </w:rPr>
        <w:t xml:space="preserve">s o mixtas público-privadas. La </w:t>
      </w:r>
      <w:r w:rsidRPr="002D790C">
        <w:rPr>
          <w:rFonts w:ascii="Times New Roman" w:hAnsi="Times New Roman" w:cs="Times New Roman"/>
          <w:sz w:val="24"/>
          <w:szCs w:val="24"/>
          <w:shd w:val="clear" w:color="auto" w:fill="FFFFFF"/>
        </w:rPr>
        <w:t xml:space="preserve">mayor empresa privada es Aguas de </w:t>
      </w:r>
      <w:r>
        <w:rPr>
          <w:rFonts w:ascii="Times New Roman" w:hAnsi="Times New Roman" w:cs="Times New Roman"/>
          <w:sz w:val="24"/>
          <w:szCs w:val="24"/>
          <w:shd w:val="clear" w:color="auto" w:fill="FFFFFF"/>
        </w:rPr>
        <w:t xml:space="preserve">Barcelona (Agbar), mientras que </w:t>
      </w:r>
      <w:r w:rsidRPr="002D790C">
        <w:rPr>
          <w:rFonts w:ascii="Times New Roman" w:hAnsi="Times New Roman" w:cs="Times New Roman"/>
          <w:sz w:val="24"/>
          <w:szCs w:val="24"/>
          <w:shd w:val="clear" w:color="auto" w:fill="FFFFFF"/>
        </w:rPr>
        <w:t>las grandes ciudades, excepto Barcelon</w:t>
      </w:r>
      <w:r>
        <w:rPr>
          <w:rFonts w:ascii="Times New Roman" w:hAnsi="Times New Roman" w:cs="Times New Roman"/>
          <w:sz w:val="24"/>
          <w:szCs w:val="24"/>
          <w:shd w:val="clear" w:color="auto" w:fill="FFFFFF"/>
        </w:rPr>
        <w:t xml:space="preserve">a y Valencia, son atendidas por </w:t>
      </w:r>
      <w:r w:rsidRPr="002D790C">
        <w:rPr>
          <w:rFonts w:ascii="Times New Roman" w:hAnsi="Times New Roman" w:cs="Times New Roman"/>
          <w:sz w:val="24"/>
          <w:szCs w:val="24"/>
          <w:shd w:val="clear" w:color="auto" w:fill="FFFFFF"/>
        </w:rPr>
        <w:t>empresas públicas.</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4.- Acceso al agua: el 98% de la población urbana y el 93% de la</w:t>
      </w:r>
      <w:r>
        <w:rPr>
          <w:rFonts w:ascii="Times New Roman" w:hAnsi="Times New Roman" w:cs="Times New Roman"/>
          <w:sz w:val="24"/>
          <w:szCs w:val="24"/>
          <w:shd w:val="clear" w:color="auto" w:fill="FFFFFF"/>
        </w:rPr>
        <w:t xml:space="preserve"> </w:t>
      </w:r>
      <w:r w:rsidRPr="002D790C">
        <w:rPr>
          <w:rFonts w:ascii="Times New Roman" w:hAnsi="Times New Roman" w:cs="Times New Roman"/>
          <w:sz w:val="24"/>
          <w:szCs w:val="24"/>
          <w:shd w:val="clear" w:color="auto" w:fill="FFFFFF"/>
        </w:rPr>
        <w:t>población rural están conectados a al</w:t>
      </w:r>
      <w:r>
        <w:rPr>
          <w:rFonts w:ascii="Times New Roman" w:hAnsi="Times New Roman" w:cs="Times New Roman"/>
          <w:sz w:val="24"/>
          <w:szCs w:val="24"/>
          <w:shd w:val="clear" w:color="auto" w:fill="FFFFFF"/>
        </w:rPr>
        <w:t xml:space="preserve">cantarillado. El agua del grifo </w:t>
      </w:r>
      <w:r w:rsidRPr="002D790C">
        <w:rPr>
          <w:rFonts w:ascii="Times New Roman" w:hAnsi="Times New Roman" w:cs="Times New Roman"/>
          <w:sz w:val="24"/>
          <w:szCs w:val="24"/>
          <w:shd w:val="clear" w:color="auto" w:fill="FFFFFF"/>
        </w:rPr>
        <w:t>público se considera potable en todo el país.</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Para tener una idea de cómo es esa gestión, vamos a revisar unas cifras espantosas. En España se pierden en el mar (por encima de los caudales ecológicos de los ríos), más de 40.000 Hm cúbicos al año. Si tenemos en cuenta que la Comunidad de Madrid utiliza cerca de 500 Hm cúbicos y el transvase Tajo-Segura es de 600 al año, podemos entender que lo que falta en España no es agua, sino ciencia</w:t>
      </w:r>
      <w:r>
        <w:rPr>
          <w:rFonts w:ascii="Times New Roman" w:hAnsi="Times New Roman" w:cs="Times New Roman"/>
          <w:sz w:val="24"/>
          <w:szCs w:val="24"/>
          <w:shd w:val="clear" w:color="auto" w:fill="FFFFFF"/>
        </w:rPr>
        <w:t>, planificación y conocimiento.</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Bastaría con que se salvara el 20% del agua que ahora se pierde en el mar, con el sistema que enunciaremos a continuación, evitando los múltiples inventos del Gobierno para ahorrar agua, como es la utilización de agua reciclada para la industria alimentaria, con el peligro higiénico que eso conlleva, o las desaladoras o los retretes secos, en vez de centrarse en no perder el agua en el mar, cuando en España hay agua suficiente.</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 xml:space="preserve">Las últimas crecidas del Ebro, con un pico de caudal de 1.600 m 3 /s. (cuando el caudal normal son 250 m 3 /s.) y las siguientes crecidas, nos ha recordado los constantes </w:t>
      </w:r>
      <w:r w:rsidRPr="002D790C">
        <w:rPr>
          <w:rFonts w:ascii="Times New Roman" w:hAnsi="Times New Roman" w:cs="Times New Roman"/>
          <w:sz w:val="24"/>
          <w:szCs w:val="24"/>
          <w:shd w:val="clear" w:color="auto" w:fill="FFFFFF"/>
        </w:rPr>
        <w:lastRenderedPageBreak/>
        <w:t xml:space="preserve">llamamientos de la presidenta de la Comunidad de Madrid, Isabel Díaz Ayuso, de la posible falta de agua para la </w:t>
      </w:r>
      <w:r>
        <w:rPr>
          <w:rFonts w:ascii="Times New Roman" w:hAnsi="Times New Roman" w:cs="Times New Roman"/>
          <w:sz w:val="24"/>
          <w:szCs w:val="24"/>
          <w:shd w:val="clear" w:color="auto" w:fill="FFFFFF"/>
        </w:rPr>
        <w:t>Comunidad en un futuro próximo.</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La solución es posible. El sistema Canta</w:t>
      </w:r>
      <w:r w:rsidR="008D1D84">
        <w:rPr>
          <w:rFonts w:ascii="Times New Roman" w:hAnsi="Times New Roman" w:cs="Times New Roman"/>
          <w:sz w:val="24"/>
          <w:szCs w:val="24"/>
          <w:shd w:val="clear" w:color="auto" w:fill="FFFFFF"/>
        </w:rPr>
        <w:t xml:space="preserve">mer (ver el artículo de OKDiario: </w:t>
      </w:r>
      <w:r w:rsidRPr="002D790C">
        <w:rPr>
          <w:rFonts w:ascii="Times New Roman" w:hAnsi="Times New Roman" w:cs="Times New Roman"/>
          <w:sz w:val="24"/>
          <w:szCs w:val="24"/>
          <w:shd w:val="clear" w:color="auto" w:fill="FFFFFF"/>
        </w:rPr>
        <w:t>El grave problema del agua en España) conseguiría aunar dos necesidades vitales, la necesidad de que el agua de las crecidas de los ríos no se vierta al mar y la necesidad de acumular la energía sobrante para evitar los vertidos de las energías renovables intermitentes con centrales hidroeléct</w:t>
      </w:r>
      <w:r>
        <w:rPr>
          <w:rFonts w:ascii="Times New Roman" w:hAnsi="Times New Roman" w:cs="Times New Roman"/>
          <w:sz w:val="24"/>
          <w:szCs w:val="24"/>
          <w:shd w:val="clear" w:color="auto" w:fill="FFFFFF"/>
        </w:rPr>
        <w:t>ricas de bombeo.</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Este sistema permitiría conectar el Ebro con el Tajo, aprovechando los pantanos existentes, desde el primero, que sería el pantano de Mequinenza (Zaragoza) hasta el último, el Mar de Castilla, que es el nombre que recibe el conjunto de embalses formado por Almoguera, Bolarque, Entrepeñas, Estremera y Zorita, situados en el Tajo medio, y el de Buendía, en el bajo Guadiela, en la Alcarria Baja, entre las prov</w:t>
      </w:r>
      <w:r>
        <w:rPr>
          <w:rFonts w:ascii="Times New Roman" w:hAnsi="Times New Roman" w:cs="Times New Roman"/>
          <w:sz w:val="24"/>
          <w:szCs w:val="24"/>
          <w:shd w:val="clear" w:color="auto" w:fill="FFFFFF"/>
        </w:rPr>
        <w:t>incias de Guadalajara y Cuenca.</w:t>
      </w:r>
    </w:p>
    <w:p w:rsidR="002B7B12" w:rsidRPr="002D790C"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Los pantanos se convertirían en depósito inferior o superiores de centrales hidroeléctricas de bombeo, subiendo y bajando montañas, empezando en el pantano de Mequinenza y siguiendo la trayectoria de los ríos Guadalope,</w:t>
      </w:r>
      <w:r>
        <w:rPr>
          <w:rFonts w:ascii="Times New Roman" w:hAnsi="Times New Roman" w:cs="Times New Roman"/>
          <w:sz w:val="24"/>
          <w:szCs w:val="24"/>
          <w:shd w:val="clear" w:color="auto" w:fill="FFFFFF"/>
        </w:rPr>
        <w:t xml:space="preserve"> </w:t>
      </w:r>
      <w:r w:rsidRPr="002D790C">
        <w:rPr>
          <w:rFonts w:ascii="Times New Roman" w:hAnsi="Times New Roman" w:cs="Times New Roman"/>
          <w:sz w:val="24"/>
          <w:szCs w:val="24"/>
          <w:shd w:val="clear" w:color="auto" w:fill="FFFFFF"/>
        </w:rPr>
        <w:t xml:space="preserve">Alfambre, Guadalviar y Guadiela, hasta llegar al pantano de </w:t>
      </w:r>
      <w:r w:rsidR="00FE562B" w:rsidRPr="002D790C">
        <w:rPr>
          <w:rFonts w:ascii="Times New Roman" w:hAnsi="Times New Roman" w:cs="Times New Roman"/>
          <w:sz w:val="24"/>
          <w:szCs w:val="24"/>
          <w:shd w:val="clear" w:color="auto" w:fill="FFFFFF"/>
        </w:rPr>
        <w:t>Buendía. Parece</w:t>
      </w:r>
      <w:r w:rsidRPr="002D790C">
        <w:rPr>
          <w:rFonts w:ascii="Times New Roman" w:hAnsi="Times New Roman" w:cs="Times New Roman"/>
          <w:sz w:val="24"/>
          <w:szCs w:val="24"/>
          <w:shd w:val="clear" w:color="auto" w:fill="FFFFFF"/>
        </w:rPr>
        <w:t xml:space="preserve"> el sistema más sencillo para aprovechar las crecidas del agua que el Ebro vierte al mar, ya que la conexión del Mar de Castilla o el Tajo con la red de agua de la Comunidad de Madrid se realizaría con l</w:t>
      </w:r>
      <w:r>
        <w:rPr>
          <w:rFonts w:ascii="Times New Roman" w:hAnsi="Times New Roman" w:cs="Times New Roman"/>
          <w:sz w:val="24"/>
          <w:szCs w:val="24"/>
          <w:shd w:val="clear" w:color="auto" w:fill="FFFFFF"/>
        </w:rPr>
        <w:t>as infraestructuras existentes.</w:t>
      </w:r>
    </w:p>
    <w:p w:rsidR="002B7B12" w:rsidRDefault="002B7B12" w:rsidP="002B7B12">
      <w:pPr>
        <w:spacing w:line="240" w:lineRule="auto"/>
        <w:jc w:val="both"/>
        <w:rPr>
          <w:rFonts w:ascii="Times New Roman" w:hAnsi="Times New Roman" w:cs="Times New Roman"/>
          <w:sz w:val="24"/>
          <w:szCs w:val="24"/>
          <w:shd w:val="clear" w:color="auto" w:fill="FFFFFF"/>
        </w:rPr>
      </w:pPr>
      <w:r w:rsidRPr="002D790C">
        <w:rPr>
          <w:rFonts w:ascii="Times New Roman" w:hAnsi="Times New Roman" w:cs="Times New Roman"/>
          <w:sz w:val="24"/>
          <w:szCs w:val="24"/>
          <w:shd w:val="clear" w:color="auto" w:fill="FFFFFF"/>
        </w:rPr>
        <w:t xml:space="preserve">El aprovechamiento de las crecidas del Ebro que se vierten al mar, no solamente resolvería la escasez hídrica del Tajo y del Segura, sino que se garantizarían necesidades futuras de agua para la Comunidad de Madrid, que al tener muy poca superficie de regadío (consumidora del 80% del agua) devolvería la mayor parte del agua, como en la actualidad, al </w:t>
      </w:r>
      <w:r w:rsidR="00FE562B" w:rsidRPr="002D790C">
        <w:rPr>
          <w:rFonts w:ascii="Times New Roman" w:hAnsi="Times New Roman" w:cs="Times New Roman"/>
          <w:sz w:val="24"/>
          <w:szCs w:val="24"/>
          <w:shd w:val="clear" w:color="auto" w:fill="FFFFFF"/>
        </w:rPr>
        <w:t>Tajo. Por</w:t>
      </w:r>
      <w:r w:rsidRPr="002D790C">
        <w:rPr>
          <w:rFonts w:ascii="Times New Roman" w:hAnsi="Times New Roman" w:cs="Times New Roman"/>
          <w:sz w:val="24"/>
          <w:szCs w:val="24"/>
          <w:shd w:val="clear" w:color="auto" w:fill="FFFFFF"/>
        </w:rPr>
        <w:t xml:space="preserve"> otra parte, los embalses, que son la parte más costosa, ya están construidos, de forma que la única inversión serían las tuberías de conexión y las nuevas centrales hidroeléctricas de bombeo de turbinas reversibles. Solución rentable y fácil de financiar</w:t>
      </w:r>
      <w:r>
        <w:rPr>
          <w:rFonts w:ascii="Times New Roman" w:hAnsi="Times New Roman" w:cs="Times New Roman"/>
          <w:sz w:val="24"/>
          <w:szCs w:val="24"/>
          <w:shd w:val="clear" w:color="auto" w:fill="FFFFFF"/>
        </w:rPr>
        <w:t>…</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 </w:t>
      </w:r>
      <w:r>
        <w:rPr>
          <w:rFonts w:ascii="Times New Roman" w:hAnsi="Times New Roman" w:cs="Times New Roman"/>
          <w:sz w:val="24"/>
          <w:szCs w:val="24"/>
          <w:u w:val="single"/>
        </w:rPr>
        <w:t>Luis del Rivero: “</w:t>
      </w:r>
      <w:r w:rsidRPr="001B5413">
        <w:rPr>
          <w:rFonts w:ascii="Times New Roman" w:hAnsi="Times New Roman" w:cs="Times New Roman"/>
          <w:sz w:val="24"/>
          <w:szCs w:val="24"/>
          <w:u w:val="single"/>
        </w:rPr>
        <w:t>En España hay agua para triplicar la superficie de regadío</w:t>
      </w:r>
      <w:r>
        <w:rPr>
          <w:rFonts w:ascii="Times New Roman" w:hAnsi="Times New Roman" w:cs="Times New Roman"/>
          <w:sz w:val="24"/>
          <w:szCs w:val="24"/>
        </w:rPr>
        <w:t>” (</w:t>
      </w:r>
      <w:r w:rsidRPr="001B5413">
        <w:rPr>
          <w:rFonts w:ascii="Times New Roman" w:hAnsi="Times New Roman" w:cs="Times New Roman"/>
          <w:sz w:val="24"/>
          <w:szCs w:val="24"/>
        </w:rPr>
        <w:t xml:space="preserve">The Objective - </w:t>
      </w:r>
      <w:r w:rsidRPr="001B5413">
        <w:rPr>
          <w:rFonts w:ascii="Times New Roman" w:hAnsi="Times New Roman" w:cs="Times New Roman"/>
          <w:b/>
          <w:sz w:val="24"/>
          <w:szCs w:val="24"/>
        </w:rPr>
        <w:t>12/8/25</w:t>
      </w:r>
      <w:r w:rsidRPr="001B5413">
        <w:rPr>
          <w:rFonts w:ascii="Times New Roman" w:hAnsi="Times New Roman" w:cs="Times New Roman"/>
          <w:sz w:val="24"/>
          <w:szCs w:val="24"/>
        </w:rPr>
        <w:t>)</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El ingeniero de caminos, canales y puertos conversa con Esperanza Aguirre sobre la infraestructura energética española</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(Por Esperanza Aguirre)</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Luis del Rivero (Murcia, 1949) ha vivido la empresa desde el hormigón de las obras hasta el vértigo de las grandes operaciones corporativas. Ingeniero de Caminos y cofundador de Sacyr, presidió el grupo en su etapa de mayor expansión, con adquisiciones como la de Vallehermoso o la entrada en Repsol, y también en sus capítulos más controvertidos: la pugna por el BBVA, el asalto a la francesa Eiffage o la fallida alianza con Pemex. En esta conversación con Esperanza Aguirre, el exdirectivo del Real Madrid desgrana sus propuestas para convertir a España en una potencia agrícola, energética e industrial; denuncia la falta de seriedad de las instituciones y el impacto de la Agenda 2030; y reivindica el papel del país como líder natural de una comunidad hispanoportuguesa de 900 millones de personas…</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EA.- Luis, muchísimas gracias por haber venido al Rincón de Espe, porque yo procuro traer aquí a personas cuyas vidas y cuyas actividades interesan a todos los españoles, no solamente a algunos españoles. A todos. Y creo que tú eres un ejemplo de eso. Como buen ingeniero de caminos, canales y puertos pata negra que eres, has tenido una vida empresarial importantísima. Y como tal, pues has sido objeto de varias envidias y de varias jugadas, pero </w:t>
      </w:r>
      <w:r w:rsidRPr="001B5413">
        <w:rPr>
          <w:rFonts w:ascii="Times New Roman" w:hAnsi="Times New Roman" w:cs="Times New Roman"/>
          <w:sz w:val="24"/>
          <w:szCs w:val="24"/>
        </w:rPr>
        <w:lastRenderedPageBreak/>
        <w:t xml:space="preserve">en este momento estás fenomenal. O sea, que a tus no sé si llamarles enemigos o adversarios no les ha salido muy bien la jugada. Pero todo el mundo me dice, Luis, que tú, por España, lo que tienes que hacer es hablar del agua. Que te pregunte por el agua. Y es verdad, que yo lo sé, que tú piensas que tendríamos que tener agua más que de sobra en España para poder duplicar los regadíos y que no faltara nunca agua para la utilización de las zonas urbanas.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LdR.- Pues efectivamente. Bueno, primero gracias por haberte acordado de mí, que estoy en el cuasi-ostracismo. Y efectivamente, lo que la gente no sabe es que España es el segundo país de Europa que más agua recoge, pero que por ahora…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EA.- ¿Cómo?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LdR.- El segundo país que más agua recoge de lluvia de Europa. O sea, más que Alemania, más que Italia…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EA.- ¿Quieres decir que va a los pantanos?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LdR.- No, que más agua cae sobre ellos. Sobre España caen unos 326.000 hectómetros cúbicos, que es una cantidad muy importante. De eso se recogen 110.000 en los ríos.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EA.- ¿Y a los acuíferos cuánto va?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LdR.- A los acuíferos van como unos 15.000. El resto se evapora. Bueno, los 110.000 son los que van al mar, todos al mar</w:t>
      </w:r>
      <w:r w:rsidR="00640179">
        <w:rPr>
          <w:rFonts w:ascii="Times New Roman" w:hAnsi="Times New Roman" w:cs="Times New Roman"/>
          <w:sz w:val="24"/>
          <w:szCs w:val="24"/>
        </w:rPr>
        <w:t xml:space="preserve">. Se consumen unos 15.400 en </w:t>
      </w:r>
      <w:r w:rsidRPr="001B5413">
        <w:rPr>
          <w:rFonts w:ascii="Times New Roman" w:hAnsi="Times New Roman" w:cs="Times New Roman"/>
          <w:sz w:val="24"/>
          <w:szCs w:val="24"/>
        </w:rPr>
        <w:t xml:space="preserve">agricultura, unos 5.000 en abastecimiento y unos 1.600 en industria. Entonces ya se ve claramente que la suma de 15.000 más 5.000 más 1.600 son 21, y está muy lejos de los 110.000 que recogen los ríos. O sea, por supuesto eso se recoge de una forma más o menos irregular y tal, pero para eso tenemos 56.000 hectómetros de reservas, de embalses hechos. Y si nosotros medimos el agua que cae en España por habitante, cae mucha más que en Alemania o mucha más que en Italia, y más o menos la misma que en Francia. Y si lo medimos por hectáreas útiles… Hectáreas útiles España tiene 500.000 kilómetros cuadrados, que son 50 millones de hectáreas. Francia tiene un poquito más de superficie y tiene unos 29 millones de hectáreas útiles. Alemania tiene.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EA.- ¿Nosotros cuántos millones?</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LdR.- De hectáreas útiles tiene 17, 16,9 millones de hectáreas. Francia tiene más. Francia tiene unos 27 millones de hectáreas útiles. Y Alemania tiene como España, unos 17 millones de hectáreas útiles. Italia menos.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EA.- Porque nosotros tenemos muchas montañas, que no se consideran útiles.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LdR.- Muchas montañas, que no son útiles.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EA.- Y Francia, en cambio, no.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LdR.- Y Francia también tiene montañas, pero el número de agua por habitante y por metro por hectárea útiles es el máximo en España. Pero el máximo, que es el doble que en Alemania, el doble que en Italia.</w:t>
      </w:r>
      <w:r w:rsidR="00640179">
        <w:rPr>
          <w:rFonts w:ascii="Times New Roman" w:hAnsi="Times New Roman" w:cs="Times New Roman"/>
          <w:sz w:val="24"/>
          <w:szCs w:val="24"/>
        </w:rPr>
        <w:t xml:space="preserve"> Y luego, además, tiene una </w:t>
      </w:r>
      <w:r w:rsidRPr="001B5413">
        <w:rPr>
          <w:rFonts w:ascii="Times New Roman" w:hAnsi="Times New Roman" w:cs="Times New Roman"/>
          <w:sz w:val="24"/>
          <w:szCs w:val="24"/>
        </w:rPr>
        <w:t xml:space="preserve">ventaja que es que tiene una orografía con diferentes cotas que le permiten utilizar ese agua para las cosas que es imprescindible. El agua es imprescindible para tres cosas, y las tres empiezan por A: para la alimentación, que es el regadío; abastecimiento, que es beberla; y luego la nueva es la acumulación de energía eléctrica, porque el agua es la forma de acumular la energía cuando nos puede sobrar por exceso de viento, por exceso de sol, pues se puede bombear hacia arriba </w:t>
      </w:r>
      <w:r w:rsidRPr="001B5413">
        <w:rPr>
          <w:rFonts w:ascii="Times New Roman" w:hAnsi="Times New Roman" w:cs="Times New Roman"/>
          <w:sz w:val="24"/>
          <w:szCs w:val="24"/>
        </w:rPr>
        <w:lastRenderedPageBreak/>
        <w:t xml:space="preserve">en los embalses que </w:t>
      </w:r>
      <w:r w:rsidR="00640179">
        <w:rPr>
          <w:rFonts w:ascii="Times New Roman" w:hAnsi="Times New Roman" w:cs="Times New Roman"/>
          <w:sz w:val="24"/>
          <w:szCs w:val="24"/>
        </w:rPr>
        <w:t>puedan tener balsas auxiliares -</w:t>
      </w:r>
      <w:r w:rsidRPr="001B5413">
        <w:rPr>
          <w:rFonts w:ascii="Times New Roman" w:hAnsi="Times New Roman" w:cs="Times New Roman"/>
          <w:sz w:val="24"/>
          <w:szCs w:val="24"/>
        </w:rPr>
        <w:t>que ya existen en Cortes de Pallars, en Aguayo, en fin, existen en varios sitios en España como consecue</w:t>
      </w:r>
      <w:r w:rsidR="00640179">
        <w:rPr>
          <w:rFonts w:ascii="Times New Roman" w:hAnsi="Times New Roman" w:cs="Times New Roman"/>
          <w:sz w:val="24"/>
          <w:szCs w:val="24"/>
        </w:rPr>
        <w:t>ncia de las centrales nucleares-</w:t>
      </w:r>
      <w:r w:rsidRPr="001B5413">
        <w:rPr>
          <w:rFonts w:ascii="Times New Roman" w:hAnsi="Times New Roman" w:cs="Times New Roman"/>
          <w:sz w:val="24"/>
          <w:szCs w:val="24"/>
        </w:rPr>
        <w:t xml:space="preserve">, y entonces eso luego podrás utilizar turbinándola. Entonces, en España hay agua para para todos, no solo para duplicar la superficie de regadío, sino para más, para triplicarla, para poder conseguir que prácticamente toda España estuviera en regadío, con lo cual…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EA.- O sea que energía, que es un problema que tenemos y que vamos a tener más, porque ahora estos centros de… ¿Cómo llaman a los centros de tecnología de internet y todo esto? Por lo visto consumen una barbaridad de energía.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LdR.- Sí, bueno, pero aparte de eso, históricamente la felicidad de los pueblos tiene como base tener energía propia, abundante y barata.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EA.- Exacto.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LdR.- Y eso</w:t>
      </w:r>
      <w:r>
        <w:rPr>
          <w:rFonts w:ascii="Times New Roman" w:hAnsi="Times New Roman" w:cs="Times New Roman"/>
          <w:sz w:val="24"/>
          <w:szCs w:val="24"/>
        </w:rPr>
        <w:t xml:space="preserve"> </w:t>
      </w:r>
      <w:r w:rsidRPr="001B5413">
        <w:rPr>
          <w:rFonts w:ascii="Times New Roman" w:hAnsi="Times New Roman" w:cs="Times New Roman"/>
          <w:sz w:val="24"/>
          <w:szCs w:val="24"/>
        </w:rPr>
        <w:t xml:space="preserve">lo tiene España.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EA.- Y limpia. </w:t>
      </w:r>
    </w:p>
    <w:p w:rsidR="002B7B12" w:rsidRPr="001B5413"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LdR.- Bueno, limpia… </w:t>
      </w:r>
    </w:p>
    <w:p w:rsidR="002B7B12" w:rsidRDefault="002B7B12" w:rsidP="002B7B12">
      <w:pPr>
        <w:spacing w:line="240" w:lineRule="auto"/>
        <w:jc w:val="both"/>
        <w:rPr>
          <w:rFonts w:ascii="Times New Roman" w:hAnsi="Times New Roman" w:cs="Times New Roman"/>
          <w:sz w:val="24"/>
          <w:szCs w:val="24"/>
        </w:rPr>
      </w:pPr>
      <w:r w:rsidRPr="001B5413">
        <w:rPr>
          <w:rFonts w:ascii="Times New Roman" w:hAnsi="Times New Roman" w:cs="Times New Roman"/>
          <w:sz w:val="24"/>
          <w:szCs w:val="24"/>
        </w:rPr>
        <w:t xml:space="preserve">EA.- Limpia, abundante y barata. La energía procedente de los saltos de agua no puede ser más limpia. </w:t>
      </w:r>
    </w:p>
    <w:p w:rsidR="002B7B12" w:rsidRDefault="002B7B12" w:rsidP="002B7B12">
      <w:pPr>
        <w:spacing w:line="240" w:lineRule="auto"/>
        <w:jc w:val="both"/>
        <w:rPr>
          <w:rFonts w:ascii="Times New Roman" w:hAnsi="Times New Roman" w:cs="Times New Roman"/>
          <w:color w:val="FF0000"/>
          <w:sz w:val="24"/>
          <w:szCs w:val="24"/>
        </w:rPr>
      </w:pPr>
      <w:r w:rsidRPr="002921EE">
        <w:rPr>
          <w:rFonts w:ascii="Times New Roman" w:hAnsi="Times New Roman" w:cs="Times New Roman"/>
          <w:b/>
          <w:color w:val="FF0000"/>
          <w:sz w:val="24"/>
          <w:szCs w:val="24"/>
        </w:rPr>
        <w:t>Nota</w:t>
      </w:r>
      <w:r>
        <w:rPr>
          <w:rFonts w:ascii="Times New Roman" w:hAnsi="Times New Roman" w:cs="Times New Roman"/>
          <w:b/>
          <w:color w:val="FF0000"/>
          <w:sz w:val="24"/>
          <w:szCs w:val="24"/>
        </w:rPr>
        <w:t xml:space="preserve"> I</w:t>
      </w:r>
      <w:r w:rsidRPr="002921EE">
        <w:rPr>
          <w:rFonts w:ascii="Times New Roman" w:hAnsi="Times New Roman" w:cs="Times New Roman"/>
          <w:color w:val="FF0000"/>
          <w:sz w:val="24"/>
          <w:szCs w:val="24"/>
        </w:rPr>
        <w:t xml:space="preserve">: España ha vertido al mar en el mes de marzo (2025) toda el agua que consume la población en un año por no ejecutar el Plan Hidrológico. El centenar de embalses y presas previstos en el PHN de 2001 habría permitido almacenar 6.000 hectómetros cúbicos de agua en el marzo más lluvioso de los últimos siete años. El Ministerio de Transición Ecológica mantiene 29 de estos proyectos, pero el resto han quedado descartados. (Fuente: caleyandoporvaldes.wordpress.com - </w:t>
      </w:r>
      <w:r w:rsidRPr="002921EE">
        <w:rPr>
          <w:rFonts w:ascii="Times New Roman" w:hAnsi="Times New Roman" w:cs="Times New Roman"/>
          <w:b/>
          <w:color w:val="FF0000"/>
          <w:sz w:val="24"/>
          <w:szCs w:val="24"/>
        </w:rPr>
        <w:t>31/3/25</w:t>
      </w:r>
      <w:r>
        <w:rPr>
          <w:rFonts w:ascii="Times New Roman" w:hAnsi="Times New Roman" w:cs="Times New Roman"/>
          <w:color w:val="FF0000"/>
          <w:sz w:val="24"/>
          <w:szCs w:val="24"/>
        </w:rPr>
        <w:t>)</w:t>
      </w:r>
    </w:p>
    <w:p w:rsidR="002B7B12" w:rsidRDefault="002B7B12" w:rsidP="002B7B12">
      <w:pPr>
        <w:spacing w:line="240" w:lineRule="auto"/>
        <w:jc w:val="both"/>
        <w:rPr>
          <w:rFonts w:ascii="Times New Roman" w:hAnsi="Times New Roman" w:cs="Times New Roman"/>
          <w:color w:val="FF0000"/>
          <w:sz w:val="24"/>
          <w:szCs w:val="24"/>
        </w:rPr>
      </w:pPr>
      <w:r w:rsidRPr="00F42BC0">
        <w:rPr>
          <w:rFonts w:ascii="Times New Roman" w:hAnsi="Times New Roman" w:cs="Times New Roman"/>
          <w:b/>
          <w:color w:val="FF0000"/>
          <w:sz w:val="24"/>
          <w:szCs w:val="24"/>
        </w:rPr>
        <w:t xml:space="preserve">Nota II: </w:t>
      </w:r>
      <w:r w:rsidR="00640179">
        <w:rPr>
          <w:rFonts w:ascii="Times New Roman" w:hAnsi="Times New Roman" w:cs="Times New Roman"/>
          <w:color w:val="FF0000"/>
          <w:sz w:val="24"/>
          <w:szCs w:val="24"/>
        </w:rPr>
        <w:t>P</w:t>
      </w:r>
      <w:r w:rsidRPr="00640179">
        <w:rPr>
          <w:rFonts w:ascii="Times New Roman" w:hAnsi="Times New Roman" w:cs="Times New Roman"/>
          <w:color w:val="FF0000"/>
          <w:sz w:val="24"/>
          <w:szCs w:val="24"/>
        </w:rPr>
        <w:t>ero la necedad, estupidez, o ignorancia, vienen de lejos</w:t>
      </w:r>
      <w:r>
        <w:rPr>
          <w:rFonts w:ascii="Times New Roman" w:hAnsi="Times New Roman" w:cs="Times New Roman"/>
          <w:color w:val="FF0000"/>
          <w:sz w:val="24"/>
          <w:szCs w:val="24"/>
        </w:rPr>
        <w:t>… España desaprovecha el 45% del agua de lluvia que va a los ríos: un 17% de toda</w:t>
      </w:r>
      <w:r w:rsidRPr="00F42BC0">
        <w:rPr>
          <w:rFonts w:ascii="Times New Roman" w:hAnsi="Times New Roman" w:cs="Times New Roman"/>
          <w:color w:val="FF0000"/>
          <w:sz w:val="24"/>
          <w:szCs w:val="24"/>
        </w:rPr>
        <w:t xml:space="preserve"> el agua que </w:t>
      </w:r>
      <w:r>
        <w:rPr>
          <w:rFonts w:ascii="Times New Roman" w:hAnsi="Times New Roman" w:cs="Times New Roman"/>
          <w:color w:val="FF0000"/>
          <w:sz w:val="24"/>
          <w:szCs w:val="24"/>
        </w:rPr>
        <w:t>cae del cielo acaba en el mar, d</w:t>
      </w:r>
      <w:r w:rsidRPr="00F42BC0">
        <w:rPr>
          <w:rFonts w:ascii="Times New Roman" w:hAnsi="Times New Roman" w:cs="Times New Roman"/>
          <w:color w:val="FF0000"/>
          <w:sz w:val="24"/>
          <w:szCs w:val="24"/>
        </w:rPr>
        <w:t>e la parte que va a los ríos, un 45% de media</w:t>
      </w:r>
      <w:r>
        <w:rPr>
          <w:rFonts w:ascii="Times New Roman" w:hAnsi="Times New Roman" w:cs="Times New Roman"/>
          <w:color w:val="FF0000"/>
          <w:sz w:val="24"/>
          <w:szCs w:val="24"/>
        </w:rPr>
        <w:t xml:space="preserve"> se va al mar</w:t>
      </w:r>
      <w:r w:rsidRPr="00F42BC0">
        <w:rPr>
          <w:rFonts w:ascii="Times New Roman" w:hAnsi="Times New Roman" w:cs="Times New Roman"/>
          <w:color w:val="FF0000"/>
          <w:sz w:val="24"/>
          <w:szCs w:val="24"/>
        </w:rPr>
        <w:t>. El invierno de 2010 se ha posicionado como el tercero más lluvioso desde 1947. Las barreras de los ríos no han sido suficient</w:t>
      </w:r>
      <w:r>
        <w:rPr>
          <w:rFonts w:ascii="Times New Roman" w:hAnsi="Times New Roman" w:cs="Times New Roman"/>
          <w:color w:val="FF0000"/>
          <w:sz w:val="24"/>
          <w:szCs w:val="24"/>
        </w:rPr>
        <w:t>es para embalsar toda</w:t>
      </w:r>
      <w:r w:rsidRPr="00F42BC0">
        <w:rPr>
          <w:rFonts w:ascii="Times New Roman" w:hAnsi="Times New Roman" w:cs="Times New Roman"/>
          <w:color w:val="FF0000"/>
          <w:sz w:val="24"/>
          <w:szCs w:val="24"/>
        </w:rPr>
        <w:t xml:space="preserve"> el agua caída. En algunos casos se han tenid</w:t>
      </w:r>
      <w:r w:rsidR="00640179">
        <w:rPr>
          <w:rFonts w:ascii="Times New Roman" w:hAnsi="Times New Roman" w:cs="Times New Roman"/>
          <w:color w:val="FF0000"/>
          <w:sz w:val="24"/>
          <w:szCs w:val="24"/>
        </w:rPr>
        <w:t>o que abrir compuertas y dejar “escapar”</w:t>
      </w:r>
      <w:r w:rsidRPr="00F42BC0">
        <w:rPr>
          <w:rFonts w:ascii="Times New Roman" w:hAnsi="Times New Roman" w:cs="Times New Roman"/>
          <w:color w:val="FF0000"/>
          <w:sz w:val="24"/>
          <w:szCs w:val="24"/>
        </w:rPr>
        <w:t xml:space="preserve"> un recurso tan codiciado en otros tiempos. En el siglo XXI, ¿hay que hacer más presas o hay que invertir en mantenerlas, reciclar el agua, ahorrar y eliminar las filtraciones?</w:t>
      </w:r>
      <w:r>
        <w:rPr>
          <w:rFonts w:ascii="Times New Roman" w:hAnsi="Times New Roman" w:cs="Times New Roman"/>
          <w:color w:val="FF0000"/>
          <w:sz w:val="24"/>
          <w:szCs w:val="24"/>
        </w:rPr>
        <w:t xml:space="preserve"> (Fuente: Comité Nacional Español de Grandes Presas - </w:t>
      </w:r>
      <w:r w:rsidRPr="00F42BC0">
        <w:rPr>
          <w:rFonts w:ascii="Times New Roman" w:hAnsi="Times New Roman" w:cs="Times New Roman"/>
          <w:b/>
          <w:color w:val="FF0000"/>
          <w:sz w:val="24"/>
          <w:szCs w:val="24"/>
        </w:rPr>
        <w:t>21/3/2010</w:t>
      </w:r>
      <w:r>
        <w:rPr>
          <w:rFonts w:ascii="Times New Roman" w:hAnsi="Times New Roman" w:cs="Times New Roman"/>
          <w:color w:val="FF0000"/>
          <w:sz w:val="24"/>
          <w:szCs w:val="24"/>
        </w:rPr>
        <w:t xml:space="preserve">) </w:t>
      </w:r>
    </w:p>
    <w:p w:rsidR="002B7B12" w:rsidRDefault="002B7B12" w:rsidP="002B7B12">
      <w:pPr>
        <w:spacing w:line="240" w:lineRule="auto"/>
        <w:jc w:val="both"/>
        <w:rPr>
          <w:rFonts w:ascii="Times New Roman" w:hAnsi="Times New Roman" w:cs="Times New Roman"/>
          <w:color w:val="FF0000"/>
          <w:sz w:val="24"/>
          <w:szCs w:val="24"/>
          <w:shd w:val="clear" w:color="auto" w:fill="FFFFFF"/>
        </w:rPr>
      </w:pPr>
      <w:r w:rsidRPr="00AA422B">
        <w:rPr>
          <w:rFonts w:ascii="Times New Roman" w:hAnsi="Times New Roman" w:cs="Times New Roman"/>
          <w:color w:val="FF0000"/>
          <w:sz w:val="24"/>
          <w:szCs w:val="24"/>
          <w:shd w:val="clear" w:color="auto" w:fill="FFFFFF"/>
        </w:rPr>
        <w:t>- Construir nuevos embalses donde sean necesarios para riego, o control de correnteras</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t xml:space="preserve">En España, la destrucción de pantanos (o la demolición de presas y azudes) se debe principalmente a la recuperación del curso natural de los ríos y a la eliminación de barreras obsoletas que afectan la fauna fluvial. Estas estructuras, aunque en algunos casos cumplen funciones como el abastecimiento de agua o la generación de energía, también pueden causar problemas ambientales y de seguridad. </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t>Razones principales para la destrucción de pan</w:t>
      </w:r>
      <w:r>
        <w:rPr>
          <w:rFonts w:ascii="Times New Roman" w:hAnsi="Times New Roman" w:cs="Times New Roman"/>
          <w:sz w:val="24"/>
          <w:szCs w:val="24"/>
          <w:shd w:val="clear" w:color="auto" w:fill="FFFFFF"/>
        </w:rPr>
        <w:t>tanos</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t>Re</w:t>
      </w:r>
      <w:r>
        <w:rPr>
          <w:rFonts w:ascii="Times New Roman" w:hAnsi="Times New Roman" w:cs="Times New Roman"/>
          <w:sz w:val="24"/>
          <w:szCs w:val="24"/>
          <w:shd w:val="clear" w:color="auto" w:fill="FFFFFF"/>
        </w:rPr>
        <w:t xml:space="preserve">cuperación del hábitat fluvial: </w:t>
      </w:r>
      <w:r w:rsidRPr="00AA422B">
        <w:rPr>
          <w:rFonts w:ascii="Times New Roman" w:hAnsi="Times New Roman" w:cs="Times New Roman"/>
          <w:sz w:val="24"/>
          <w:szCs w:val="24"/>
          <w:shd w:val="clear" w:color="auto" w:fill="FFFFFF"/>
        </w:rPr>
        <w:t xml:space="preserve">La eliminación de presas y azudes permite que los ríos recuperen su flujo natural, beneficiando a la fauna acuática y a los ecosistemas ribereños. </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lastRenderedPageBreak/>
        <w:t>Elimin</w:t>
      </w:r>
      <w:r>
        <w:rPr>
          <w:rFonts w:ascii="Times New Roman" w:hAnsi="Times New Roman" w:cs="Times New Roman"/>
          <w:sz w:val="24"/>
          <w:szCs w:val="24"/>
          <w:shd w:val="clear" w:color="auto" w:fill="FFFFFF"/>
        </w:rPr>
        <w:t xml:space="preserve">ación de estructuras obsoletas: </w:t>
      </w:r>
      <w:r w:rsidRPr="00AA422B">
        <w:rPr>
          <w:rFonts w:ascii="Times New Roman" w:hAnsi="Times New Roman" w:cs="Times New Roman"/>
          <w:sz w:val="24"/>
          <w:szCs w:val="24"/>
          <w:shd w:val="clear" w:color="auto" w:fill="FFFFFF"/>
        </w:rPr>
        <w:t xml:space="preserve">Muchos de los pantanos y azudes que se están retirando están en desuso, son ilegales o presentan problemas de seguridad. </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Cumplimiento de la legislación: </w:t>
      </w:r>
      <w:r w:rsidRPr="00AA422B">
        <w:rPr>
          <w:rFonts w:ascii="Times New Roman" w:hAnsi="Times New Roman" w:cs="Times New Roman"/>
          <w:sz w:val="24"/>
          <w:szCs w:val="24"/>
          <w:shd w:val="clear" w:color="auto" w:fill="FFFFFF"/>
        </w:rPr>
        <w:t xml:space="preserve">Las concesiones para la explotación de algunas presas caducan, y su renovación no siempre es viable, lo que lleva a su demolición. </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Mejora de la seguridad: </w:t>
      </w:r>
      <w:r w:rsidRPr="00AA422B">
        <w:rPr>
          <w:rFonts w:ascii="Times New Roman" w:hAnsi="Times New Roman" w:cs="Times New Roman"/>
          <w:sz w:val="24"/>
          <w:szCs w:val="24"/>
          <w:shd w:val="clear" w:color="auto" w:fill="FFFFFF"/>
        </w:rPr>
        <w:t xml:space="preserve">Algunas presas pueden presentar riesgos de seguridad debido a su antigüedad o deterioro, y su demolición se considera una medida preventiva. </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Cambio de enfoque: </w:t>
      </w:r>
      <w:r w:rsidRPr="00AA422B">
        <w:rPr>
          <w:rFonts w:ascii="Times New Roman" w:hAnsi="Times New Roman" w:cs="Times New Roman"/>
          <w:sz w:val="24"/>
          <w:szCs w:val="24"/>
          <w:shd w:val="clear" w:color="auto" w:fill="FFFFFF"/>
        </w:rPr>
        <w:t xml:space="preserve">Existe un debate sobre el papel de las presas en la gestión del agua, y algunos abogan por un enfoque más natural y menos intervencionista en los ríos. </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Controversias: </w:t>
      </w:r>
      <w:r w:rsidRPr="00AA422B">
        <w:rPr>
          <w:rFonts w:ascii="Times New Roman" w:hAnsi="Times New Roman" w:cs="Times New Roman"/>
          <w:sz w:val="24"/>
          <w:szCs w:val="24"/>
          <w:shd w:val="clear" w:color="auto" w:fill="FFFFFF"/>
        </w:rPr>
        <w:t xml:space="preserve">Si bien la recuperación del cauce natural de los ríos es un objetivo deseable, la demolición de presas, especialmente aquellas con funciones importantes, puede generar controversia. </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t>Impact</w:t>
      </w:r>
      <w:r>
        <w:rPr>
          <w:rFonts w:ascii="Times New Roman" w:hAnsi="Times New Roman" w:cs="Times New Roman"/>
          <w:sz w:val="24"/>
          <w:szCs w:val="24"/>
          <w:shd w:val="clear" w:color="auto" w:fill="FFFFFF"/>
        </w:rPr>
        <w:t xml:space="preserve">o en el abastecimiento de agua: </w:t>
      </w:r>
      <w:r w:rsidRPr="00AA422B">
        <w:rPr>
          <w:rFonts w:ascii="Times New Roman" w:hAnsi="Times New Roman" w:cs="Times New Roman"/>
          <w:sz w:val="24"/>
          <w:szCs w:val="24"/>
          <w:shd w:val="clear" w:color="auto" w:fill="FFFFFF"/>
        </w:rPr>
        <w:t xml:space="preserve">La eliminación de presas puede afectar el suministro de agua para consumo humano, riego y actividades económicas. </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t>Impac</w:t>
      </w:r>
      <w:r>
        <w:rPr>
          <w:rFonts w:ascii="Times New Roman" w:hAnsi="Times New Roman" w:cs="Times New Roman"/>
          <w:sz w:val="24"/>
          <w:szCs w:val="24"/>
          <w:shd w:val="clear" w:color="auto" w:fill="FFFFFF"/>
        </w:rPr>
        <w:t xml:space="preserve">to en la generación de energía: </w:t>
      </w:r>
      <w:r w:rsidRPr="00AA422B">
        <w:rPr>
          <w:rFonts w:ascii="Times New Roman" w:hAnsi="Times New Roman" w:cs="Times New Roman"/>
          <w:sz w:val="24"/>
          <w:szCs w:val="24"/>
          <w:shd w:val="clear" w:color="auto" w:fill="FFFFFF"/>
        </w:rPr>
        <w:t xml:space="preserve">Algunas presas se utilizan para generar energía hidroeléctrica, y su eliminación puede reducir la capacidad de producción de energía limpia. </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Impacto en el paisaje: </w:t>
      </w:r>
      <w:r w:rsidRPr="00AA422B">
        <w:rPr>
          <w:rFonts w:ascii="Times New Roman" w:hAnsi="Times New Roman" w:cs="Times New Roman"/>
          <w:sz w:val="24"/>
          <w:szCs w:val="24"/>
          <w:shd w:val="clear" w:color="auto" w:fill="FFFFFF"/>
        </w:rPr>
        <w:t xml:space="preserve">La eliminación de grandes presas puede alterar significativamente el paisaje y generar impacto visual. </w:t>
      </w:r>
    </w:p>
    <w:p w:rsidR="002B7B12"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t>En resumen, la destrucción de pantanos en España es un proceso complejo con múltiples factores en juego. Si bien la recuperación de los ríos y la eliminación de estructuras obsoletas son beneficiosas, también es importante evaluar cuidadosamente el impacto de estas acciones en el abastecimiento de agua, la generación de energía y el paisaje.</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AA422B">
        <w:rPr>
          <w:rFonts w:ascii="Times New Roman" w:hAnsi="Times New Roman" w:cs="Times New Roman"/>
          <w:sz w:val="24"/>
          <w:szCs w:val="24"/>
          <w:u w:val="single"/>
          <w:shd w:val="clear" w:color="auto" w:fill="FFFFFF"/>
        </w:rPr>
        <w:t>España es líder europeo en la destrucción de presas (y no tiene nada que ver con la sequía)</w:t>
      </w:r>
      <w:r>
        <w:rPr>
          <w:rFonts w:ascii="Times New Roman" w:hAnsi="Times New Roman" w:cs="Times New Roman"/>
          <w:sz w:val="24"/>
          <w:szCs w:val="24"/>
          <w:shd w:val="clear" w:color="auto" w:fill="FFFFFF"/>
        </w:rPr>
        <w:t xml:space="preserve"> (Fuente: elindependiente.com - </w:t>
      </w:r>
      <w:r w:rsidRPr="00AA422B">
        <w:rPr>
          <w:rFonts w:ascii="Times New Roman" w:hAnsi="Times New Roman" w:cs="Times New Roman"/>
          <w:b/>
          <w:sz w:val="24"/>
          <w:szCs w:val="24"/>
          <w:shd w:val="clear" w:color="auto" w:fill="FFFFFF"/>
        </w:rPr>
        <w:t>21/4/23</w:t>
      </w:r>
      <w:r>
        <w:rPr>
          <w:rFonts w:ascii="Times New Roman" w:hAnsi="Times New Roman" w:cs="Times New Roman"/>
          <w:sz w:val="24"/>
          <w:szCs w:val="24"/>
          <w:shd w:val="clear" w:color="auto" w:fill="FFFFFF"/>
        </w:rPr>
        <w:t>)</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AA422B">
        <w:rPr>
          <w:rFonts w:ascii="Times New Roman" w:hAnsi="Times New Roman" w:cs="Times New Roman"/>
          <w:sz w:val="24"/>
          <w:szCs w:val="24"/>
          <w:shd w:val="clear" w:color="auto" w:fill="FFFFFF"/>
        </w:rPr>
        <w:t>Nacho Martín</w:t>
      </w:r>
      <w:r>
        <w:rPr>
          <w:rFonts w:ascii="Times New Roman" w:hAnsi="Times New Roman" w:cs="Times New Roman"/>
          <w:sz w:val="24"/>
          <w:szCs w:val="24"/>
          <w:shd w:val="clear" w:color="auto" w:fill="FFFFFF"/>
        </w:rPr>
        <w:t>)</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t>El contexto de la grave sequía que atraviesa nuestro país ha provocado que las noticias que tratan de ahondar en sus causas y consecuencias se multipliquen. Una de las cosas que se han comentado es que el Gobierno español se ha convertido en el líder a nivel continental en el derribo de presas, algo que supuestamente contribuiría a agravar aún más la situación. Pero eso es sólo verdad a medias.</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t>Por partes. Es cierto que un informe de Dam Removal Progress de 2021 contabilizó que nuestro país destruyó ese año 108 barreras fluviales (como presas, azudes o rampas), casi la mitad del total de 239 que se desmantelaron en toda Europa. Pero la coordinadora del estudio, Pao Fernández</w:t>
      </w:r>
      <w:r>
        <w:rPr>
          <w:rFonts w:ascii="Times New Roman" w:hAnsi="Times New Roman" w:cs="Times New Roman"/>
          <w:sz w:val="24"/>
          <w:szCs w:val="24"/>
          <w:shd w:val="clear" w:color="auto" w:fill="FFFFFF"/>
        </w:rPr>
        <w:t xml:space="preserve"> Garrido, ya explicó a EFE que “no existe”</w:t>
      </w:r>
      <w:r w:rsidRPr="00AA422B">
        <w:rPr>
          <w:rFonts w:ascii="Times New Roman" w:hAnsi="Times New Roman" w:cs="Times New Roman"/>
          <w:sz w:val="24"/>
          <w:szCs w:val="24"/>
          <w:shd w:val="clear" w:color="auto" w:fill="FFFFFF"/>
        </w:rPr>
        <w:t xml:space="preserve"> relación entre el derrumbe de una barrera y la sequía o escasez de energía.</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AA422B">
        <w:rPr>
          <w:rFonts w:ascii="Times New Roman" w:hAnsi="Times New Roman" w:cs="Times New Roman"/>
          <w:sz w:val="24"/>
          <w:szCs w:val="24"/>
          <w:shd w:val="clear" w:color="auto" w:fill="FFFFFF"/>
        </w:rPr>
        <w:t>La decisión del desmantelamiento de presas en España cor</w:t>
      </w:r>
      <w:r>
        <w:rPr>
          <w:rFonts w:ascii="Times New Roman" w:hAnsi="Times New Roman" w:cs="Times New Roman"/>
          <w:sz w:val="24"/>
          <w:szCs w:val="24"/>
          <w:shd w:val="clear" w:color="auto" w:fill="FFFFFF"/>
        </w:rPr>
        <w:t xml:space="preserve">responde a las </w:t>
      </w:r>
      <w:r w:rsidRPr="00AA422B">
        <w:rPr>
          <w:rFonts w:ascii="Times New Roman" w:hAnsi="Times New Roman" w:cs="Times New Roman"/>
          <w:sz w:val="24"/>
          <w:szCs w:val="24"/>
          <w:shd w:val="clear" w:color="auto" w:fill="FFFFFF"/>
        </w:rPr>
        <w:t>administraciones competentes. En la actualidad se están produciendo desmantelamientos en infraestructuras que ya se encontraban fuera de uso y en instalaciones que, una vez llegado al final del periodo concesional, la administración considera que por motivos ambientales o económi</w:t>
      </w:r>
      <w:r>
        <w:rPr>
          <w:rFonts w:ascii="Times New Roman" w:hAnsi="Times New Roman" w:cs="Times New Roman"/>
          <w:sz w:val="24"/>
          <w:szCs w:val="24"/>
          <w:shd w:val="clear" w:color="auto" w:fill="FFFFFF"/>
        </w:rPr>
        <w:t>cos no es viable su continuidad”</w:t>
      </w:r>
      <w:r w:rsidRPr="00AA422B">
        <w:rPr>
          <w:rFonts w:ascii="Times New Roman" w:hAnsi="Times New Roman" w:cs="Times New Roman"/>
          <w:sz w:val="24"/>
          <w:szCs w:val="24"/>
          <w:shd w:val="clear" w:color="auto" w:fill="FFFFFF"/>
        </w:rPr>
        <w:t>, explica Eduardo Rojo, responsable de mantenimiento de presas de Iberdrola, a El Independiente.</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lastRenderedPageBreak/>
        <w:t>Otro estudio del Fondo Mundial para la Naturaleza de 2021 asegura que, lejos de contribuir a empeorar la sequía, el derribo de barreras fluviales tiene un i</w:t>
      </w:r>
      <w:r>
        <w:rPr>
          <w:rFonts w:ascii="Times New Roman" w:hAnsi="Times New Roman" w:cs="Times New Roman"/>
          <w:sz w:val="24"/>
          <w:szCs w:val="24"/>
          <w:shd w:val="clear" w:color="auto" w:fill="FFFFFF"/>
        </w:rPr>
        <w:t>mpacto ambiental muy positivo: “</w:t>
      </w:r>
      <w:r w:rsidRPr="00AA422B">
        <w:rPr>
          <w:rFonts w:ascii="Times New Roman" w:hAnsi="Times New Roman" w:cs="Times New Roman"/>
          <w:sz w:val="24"/>
          <w:szCs w:val="24"/>
          <w:shd w:val="clear" w:color="auto" w:fill="FFFFFF"/>
        </w:rPr>
        <w:t>Es la medida más rápida, fácil y barata para restaurar un río. En pocos meses recupera su territorio, la calidad del agua mejora, los bosques vuelven a cobrar vida, el número de especies -acuáticas y terrestres- se dispara y vuelven a funcionar los servicios ecosistémicos que un río en bu</w:t>
      </w:r>
      <w:r>
        <w:rPr>
          <w:rFonts w:ascii="Times New Roman" w:hAnsi="Times New Roman" w:cs="Times New Roman"/>
          <w:sz w:val="24"/>
          <w:szCs w:val="24"/>
          <w:shd w:val="clear" w:color="auto" w:fill="FFFFFF"/>
        </w:rPr>
        <w:t xml:space="preserve">en estado ecológico proporciona”. </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t>Ese objetivo medioambiental es lo que explica que el 76% de las barreras fluviales eliminadas en 2021 en toda Europa fueran pequeñas estructuras de menos de dos metros de alto, según Dam Removal Progress. Y también es la razón de que nuestro pa</w:t>
      </w:r>
      <w:r w:rsidR="00640179">
        <w:rPr>
          <w:rFonts w:ascii="Times New Roman" w:hAnsi="Times New Roman" w:cs="Times New Roman"/>
          <w:sz w:val="24"/>
          <w:szCs w:val="24"/>
          <w:shd w:val="clear" w:color="auto" w:fill="FFFFFF"/>
        </w:rPr>
        <w:t>ís fuera el que más derribara. “</w:t>
      </w:r>
      <w:r w:rsidRPr="00AA422B">
        <w:rPr>
          <w:rFonts w:ascii="Times New Roman" w:hAnsi="Times New Roman" w:cs="Times New Roman"/>
          <w:sz w:val="24"/>
          <w:szCs w:val="24"/>
          <w:shd w:val="clear" w:color="auto" w:fill="FFFFFF"/>
        </w:rPr>
        <w:t>España es uno de los países europeos con más barreras. Hemos identificado 5.400 obstáculos prioritarios para la demolición por su alto potencial para reconectar los ríos, cuya desaparición permitiría liberar más de 17.0</w:t>
      </w:r>
      <w:r w:rsidR="00640179">
        <w:rPr>
          <w:rFonts w:ascii="Times New Roman" w:hAnsi="Times New Roman" w:cs="Times New Roman"/>
          <w:sz w:val="24"/>
          <w:szCs w:val="24"/>
          <w:shd w:val="clear" w:color="auto" w:fill="FFFFFF"/>
        </w:rPr>
        <w:t>00 kilómetros de ríos en España”</w:t>
      </w:r>
      <w:r w:rsidRPr="00AA422B">
        <w:rPr>
          <w:rFonts w:ascii="Times New Roman" w:hAnsi="Times New Roman" w:cs="Times New Roman"/>
          <w:sz w:val="24"/>
          <w:szCs w:val="24"/>
          <w:shd w:val="clear" w:color="auto" w:fill="FFFFFF"/>
        </w:rPr>
        <w:t>, se leía en el informe del Fo</w:t>
      </w:r>
      <w:r>
        <w:rPr>
          <w:rFonts w:ascii="Times New Roman" w:hAnsi="Times New Roman" w:cs="Times New Roman"/>
          <w:sz w:val="24"/>
          <w:szCs w:val="24"/>
          <w:shd w:val="clear" w:color="auto" w:fill="FFFFFF"/>
        </w:rPr>
        <w:t>ndo Mundial para la naturaleza.</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t>A pesar del elevado número de demoliciones, cabe mencionar que España sigue siendo uno de los países que más barreras fluviales tiene. En 2020, según datos de la revista científica Nature, éramos los terceros de Europa con un total de 171.203, sólo por</w:t>
      </w:r>
      <w:r>
        <w:rPr>
          <w:rFonts w:ascii="Times New Roman" w:hAnsi="Times New Roman" w:cs="Times New Roman"/>
          <w:sz w:val="24"/>
          <w:szCs w:val="24"/>
          <w:shd w:val="clear" w:color="auto" w:fill="FFFFFF"/>
        </w:rPr>
        <w:t xml:space="preserve"> detrás de Alemania y de Suiza.</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t>Presas</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t>Dentro de los distintos tipos de barreras fluviales destacan las presas. En su inventario, el Ministerio para la Transición Ecológica y el Reto Demográfico tiene contabilizadas más de 2.000 repartidas por todo el país. Rojo explica que sus usos principales son el abastecimiento humano, el regadío, la producción hidroeléctrica y los usos industriales, y que en los últimos años se utilizan también con objetivos recrea</w:t>
      </w:r>
      <w:r>
        <w:rPr>
          <w:rFonts w:ascii="Times New Roman" w:hAnsi="Times New Roman" w:cs="Times New Roman"/>
          <w:sz w:val="24"/>
          <w:szCs w:val="24"/>
          <w:shd w:val="clear" w:color="auto" w:fill="FFFFFF"/>
        </w:rPr>
        <w:t>tivos y ambientales.</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El </w:t>
      </w:r>
      <w:r w:rsidRPr="00AA422B">
        <w:rPr>
          <w:rFonts w:ascii="Times New Roman" w:hAnsi="Times New Roman" w:cs="Times New Roman"/>
          <w:sz w:val="24"/>
          <w:szCs w:val="24"/>
          <w:shd w:val="clear" w:color="auto" w:fill="FFFFFF"/>
        </w:rPr>
        <w:t>responsable de mantenimiento de Iberdrola explica por qué ju</w:t>
      </w:r>
      <w:r>
        <w:rPr>
          <w:rFonts w:ascii="Times New Roman" w:hAnsi="Times New Roman" w:cs="Times New Roman"/>
          <w:sz w:val="24"/>
          <w:szCs w:val="24"/>
          <w:shd w:val="clear" w:color="auto" w:fill="FFFFFF"/>
        </w:rPr>
        <w:t>egan un papel clave en España: “</w:t>
      </w:r>
      <w:r w:rsidRPr="00AA422B">
        <w:rPr>
          <w:rFonts w:ascii="Times New Roman" w:hAnsi="Times New Roman" w:cs="Times New Roman"/>
          <w:sz w:val="24"/>
          <w:szCs w:val="24"/>
          <w:shd w:val="clear" w:color="auto" w:fill="FFFFFF"/>
        </w:rPr>
        <w:t>El motivo es la irregularidad del régimen de precipitaciones en nuestro país. Las necesitamos por la mayor necesidad de regulación de los recursos hídricos debido a la importante variación de los caudales que circulan por los ríos entre las épocas del año más</w:t>
      </w:r>
      <w:r>
        <w:rPr>
          <w:rFonts w:ascii="Times New Roman" w:hAnsi="Times New Roman" w:cs="Times New Roman"/>
          <w:sz w:val="24"/>
          <w:szCs w:val="24"/>
          <w:shd w:val="clear" w:color="auto" w:fill="FFFFFF"/>
        </w:rPr>
        <w:t xml:space="preserve"> húmedas frente a las más secas”</w:t>
      </w:r>
      <w:r w:rsidRPr="00AA422B">
        <w:rPr>
          <w:rFonts w:ascii="Times New Roman" w:hAnsi="Times New Roman" w:cs="Times New Roman"/>
          <w:sz w:val="24"/>
          <w:szCs w:val="24"/>
          <w:shd w:val="clear" w:color="auto" w:fill="FFFFFF"/>
        </w:rPr>
        <w:t>. Además, el experto también detalla la importancia que tienen los embalses creados por grandes presas, qu</w:t>
      </w:r>
      <w:r>
        <w:rPr>
          <w:rFonts w:ascii="Times New Roman" w:hAnsi="Times New Roman" w:cs="Times New Roman"/>
          <w:sz w:val="24"/>
          <w:szCs w:val="24"/>
          <w:shd w:val="clear" w:color="auto" w:fill="FFFFFF"/>
        </w:rPr>
        <w:t>e cuando los ríos se desbordan “laminan”</w:t>
      </w:r>
      <w:r w:rsidRPr="00AA422B">
        <w:rPr>
          <w:rFonts w:ascii="Times New Roman" w:hAnsi="Times New Roman" w:cs="Times New Roman"/>
          <w:sz w:val="24"/>
          <w:szCs w:val="24"/>
          <w:shd w:val="clear" w:color="auto" w:fill="FFFFFF"/>
        </w:rPr>
        <w:t xml:space="preserve"> las aveni</w:t>
      </w:r>
      <w:r>
        <w:rPr>
          <w:rFonts w:ascii="Times New Roman" w:hAnsi="Times New Roman" w:cs="Times New Roman"/>
          <w:sz w:val="24"/>
          <w:szCs w:val="24"/>
          <w:shd w:val="clear" w:color="auto" w:fill="FFFFFF"/>
        </w:rPr>
        <w:t>das, evitando así inundaciones.</w:t>
      </w:r>
    </w:p>
    <w:p w:rsidR="002B7B12" w:rsidRPr="00AA422B" w:rsidRDefault="002B7B12" w:rsidP="002B7B12">
      <w:pPr>
        <w:spacing w:line="240" w:lineRule="auto"/>
        <w:jc w:val="both"/>
        <w:rPr>
          <w:rFonts w:ascii="Times New Roman" w:hAnsi="Times New Roman" w:cs="Times New Roman"/>
          <w:sz w:val="24"/>
          <w:szCs w:val="24"/>
          <w:shd w:val="clear" w:color="auto" w:fill="FFFFFF"/>
        </w:rPr>
      </w:pPr>
      <w:r w:rsidRPr="00AA422B">
        <w:rPr>
          <w:rFonts w:ascii="Times New Roman" w:hAnsi="Times New Roman" w:cs="Times New Roman"/>
          <w:sz w:val="24"/>
          <w:szCs w:val="24"/>
          <w:shd w:val="clear" w:color="auto" w:fill="FFFFFF"/>
        </w:rPr>
        <w:t xml:space="preserve">Más del 50% de las presas españolas tienen una altura inferior a 15 metros. Las tipologías más comunes son las de gravedad de hormigón y las de tierras homogéneas, con un porcentaje de un 30% cada una respecto al total. Y su edad media, según Rojo, ronda los 55 años. Pero eso no significa, en ningún caso, </w:t>
      </w:r>
      <w:r>
        <w:rPr>
          <w:rFonts w:ascii="Times New Roman" w:hAnsi="Times New Roman" w:cs="Times New Roman"/>
          <w:sz w:val="24"/>
          <w:szCs w:val="24"/>
          <w:shd w:val="clear" w:color="auto" w:fill="FFFFFF"/>
        </w:rPr>
        <w:t>que se hayan quedado obsoletas:</w:t>
      </w:r>
    </w:p>
    <w:p w:rsidR="002B7B12"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AA422B">
        <w:rPr>
          <w:rFonts w:ascii="Times New Roman" w:hAnsi="Times New Roman" w:cs="Times New Roman"/>
          <w:sz w:val="24"/>
          <w:szCs w:val="24"/>
          <w:shd w:val="clear" w:color="auto" w:fill="FFFFFF"/>
        </w:rPr>
        <w:t>Si por obsoleto se entiende que se han dejado de usar, nada más lejos de la realidad o que haya quedado anticuadas o inadecuados las necesidades actuales, tampoco es así, cada vez son más necesarias por su función de regulación del agua, si bien gran parte de la población sólo se acuerd</w:t>
      </w:r>
      <w:r>
        <w:rPr>
          <w:rFonts w:ascii="Times New Roman" w:hAnsi="Times New Roman" w:cs="Times New Roman"/>
          <w:sz w:val="24"/>
          <w:szCs w:val="24"/>
          <w:shd w:val="clear" w:color="auto" w:fill="FFFFFF"/>
        </w:rPr>
        <w:t>a de ellas en épocas de sequías”</w:t>
      </w:r>
      <w:r w:rsidRPr="00AA422B">
        <w:rPr>
          <w:rFonts w:ascii="Times New Roman" w:hAnsi="Times New Roman" w:cs="Times New Roman"/>
          <w:sz w:val="24"/>
          <w:szCs w:val="24"/>
          <w:shd w:val="clear" w:color="auto" w:fill="FFFFFF"/>
        </w:rPr>
        <w:t>, concluye el experto.</w:t>
      </w:r>
    </w:p>
    <w:p w:rsidR="002B7B12" w:rsidRPr="002B6946"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2B6946">
        <w:rPr>
          <w:rFonts w:ascii="Times New Roman" w:hAnsi="Times New Roman" w:cs="Times New Roman"/>
          <w:sz w:val="24"/>
          <w:szCs w:val="24"/>
          <w:u w:val="single"/>
          <w:shd w:val="clear" w:color="auto" w:fill="FFFFFF"/>
        </w:rPr>
        <w:t>Estas son las presas derribadas en España en los últimos años</w:t>
      </w:r>
      <w:r>
        <w:rPr>
          <w:rFonts w:ascii="Times New Roman" w:hAnsi="Times New Roman" w:cs="Times New Roman"/>
          <w:sz w:val="24"/>
          <w:szCs w:val="24"/>
          <w:shd w:val="clear" w:color="auto" w:fill="FFFFFF"/>
        </w:rPr>
        <w:t xml:space="preserve"> (Fuente: sport.es - </w:t>
      </w:r>
      <w:r w:rsidRPr="002B6946">
        <w:rPr>
          <w:rFonts w:ascii="Times New Roman" w:hAnsi="Times New Roman" w:cs="Times New Roman"/>
          <w:b/>
          <w:sz w:val="24"/>
          <w:szCs w:val="24"/>
          <w:shd w:val="clear" w:color="auto" w:fill="FFFFFF"/>
        </w:rPr>
        <w:t>1/11/24</w:t>
      </w:r>
      <w:r>
        <w:rPr>
          <w:rFonts w:ascii="Times New Roman" w:hAnsi="Times New Roman" w:cs="Times New Roman"/>
          <w:sz w:val="24"/>
          <w:szCs w:val="24"/>
          <w:shd w:val="clear" w:color="auto" w:fill="FFFFFF"/>
        </w:rPr>
        <w:t>)</w:t>
      </w:r>
    </w:p>
    <w:p w:rsidR="002B7B12" w:rsidRPr="002B6946" w:rsidRDefault="002B7B12" w:rsidP="002B7B12">
      <w:pPr>
        <w:spacing w:line="240" w:lineRule="auto"/>
        <w:jc w:val="both"/>
        <w:rPr>
          <w:rFonts w:ascii="Times New Roman" w:hAnsi="Times New Roman" w:cs="Times New Roman"/>
          <w:sz w:val="24"/>
          <w:szCs w:val="24"/>
          <w:shd w:val="clear" w:color="auto" w:fill="FFFFFF"/>
        </w:rPr>
      </w:pPr>
      <w:r w:rsidRPr="002B6946">
        <w:rPr>
          <w:rFonts w:ascii="Times New Roman" w:hAnsi="Times New Roman" w:cs="Times New Roman"/>
          <w:sz w:val="24"/>
          <w:szCs w:val="24"/>
          <w:shd w:val="clear" w:color="auto" w:fill="FFFFFF"/>
        </w:rPr>
        <w:t>La participación humana en el transcurso de los ríos se ha convertido en una partida política entre quienes defienden su cauce natural y aquellos que ven la necesidad de intervenir</w:t>
      </w:r>
    </w:p>
    <w:p w:rsidR="002B7B12" w:rsidRPr="002B6946" w:rsidRDefault="002B7B12" w:rsidP="002B7B1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2B6946">
        <w:rPr>
          <w:rFonts w:ascii="Times New Roman" w:hAnsi="Times New Roman" w:cs="Times New Roman"/>
          <w:sz w:val="24"/>
          <w:szCs w:val="24"/>
          <w:shd w:val="clear" w:color="auto" w:fill="FFFFFF"/>
        </w:rPr>
        <w:t>Pol Langa</w:t>
      </w:r>
      <w:r>
        <w:rPr>
          <w:rFonts w:ascii="Times New Roman" w:hAnsi="Times New Roman" w:cs="Times New Roman"/>
          <w:sz w:val="24"/>
          <w:szCs w:val="24"/>
          <w:shd w:val="clear" w:color="auto" w:fill="FFFFFF"/>
        </w:rPr>
        <w:t>)</w:t>
      </w:r>
    </w:p>
    <w:p w:rsidR="002B7B12" w:rsidRPr="002B6946" w:rsidRDefault="002B7B12" w:rsidP="002B7B12">
      <w:pPr>
        <w:spacing w:line="240" w:lineRule="auto"/>
        <w:jc w:val="both"/>
        <w:rPr>
          <w:rFonts w:ascii="Times New Roman" w:hAnsi="Times New Roman" w:cs="Times New Roman"/>
          <w:sz w:val="24"/>
          <w:szCs w:val="24"/>
          <w:shd w:val="clear" w:color="auto" w:fill="FFFFFF"/>
        </w:rPr>
      </w:pPr>
      <w:r w:rsidRPr="002B6946">
        <w:rPr>
          <w:rFonts w:ascii="Times New Roman" w:hAnsi="Times New Roman" w:cs="Times New Roman"/>
          <w:sz w:val="24"/>
          <w:szCs w:val="24"/>
          <w:shd w:val="clear" w:color="auto" w:fill="FFFFFF"/>
        </w:rPr>
        <w:lastRenderedPageBreak/>
        <w:t>Ante los efectos devastadores de la gota fría en Valencia son muchos los que se preguntan si la demolición de muchas de las presas existentes hace algunos años podría haber contribuido a generar las grandes riadas que se han podido ver durante esta semana.</w:t>
      </w:r>
    </w:p>
    <w:p w:rsidR="002B7B12" w:rsidRPr="002B6946" w:rsidRDefault="002B7B12" w:rsidP="002B7B12">
      <w:pPr>
        <w:spacing w:line="240" w:lineRule="auto"/>
        <w:jc w:val="both"/>
        <w:rPr>
          <w:rFonts w:ascii="Times New Roman" w:hAnsi="Times New Roman" w:cs="Times New Roman"/>
          <w:sz w:val="24"/>
          <w:szCs w:val="24"/>
          <w:shd w:val="clear" w:color="auto" w:fill="FFFFFF"/>
        </w:rPr>
      </w:pPr>
      <w:r w:rsidRPr="002B6946">
        <w:rPr>
          <w:rFonts w:ascii="Times New Roman" w:hAnsi="Times New Roman" w:cs="Times New Roman"/>
          <w:sz w:val="24"/>
          <w:szCs w:val="24"/>
          <w:shd w:val="clear" w:color="auto" w:fill="FFFFFF"/>
        </w:rPr>
        <w:t>La duda es comprensible, pues el embalse de Forata, construido en 1969 y situado en el río Magre, un afluente del Xúquer, pudo detener un caudal de más de 1.100 metros cúbicos. Sin embargo, la realidad es que España lidera la lista de países donde más embalses y presas se han derribado en los últimos años, aunque también es de los países europeos con más ba</w:t>
      </w:r>
      <w:r>
        <w:rPr>
          <w:rFonts w:ascii="Times New Roman" w:hAnsi="Times New Roman" w:cs="Times New Roman"/>
          <w:sz w:val="24"/>
          <w:szCs w:val="24"/>
          <w:shd w:val="clear" w:color="auto" w:fill="FFFFFF"/>
        </w:rPr>
        <w:t>rreras en los cauces fluviales.</w:t>
      </w:r>
    </w:p>
    <w:p w:rsidR="002B7B12" w:rsidRPr="002B6946" w:rsidRDefault="002B7B12" w:rsidP="002B7B12">
      <w:pPr>
        <w:spacing w:line="240" w:lineRule="auto"/>
        <w:jc w:val="both"/>
        <w:rPr>
          <w:rFonts w:ascii="Times New Roman" w:hAnsi="Times New Roman" w:cs="Times New Roman"/>
          <w:sz w:val="24"/>
          <w:szCs w:val="24"/>
          <w:shd w:val="clear" w:color="auto" w:fill="FFFFFF"/>
        </w:rPr>
      </w:pPr>
      <w:r w:rsidRPr="002B6946">
        <w:rPr>
          <w:rFonts w:ascii="Times New Roman" w:hAnsi="Times New Roman" w:cs="Times New Roman"/>
          <w:sz w:val="24"/>
          <w:szCs w:val="24"/>
          <w:shd w:val="clear" w:color="auto" w:fill="FFFFFF"/>
        </w:rPr>
        <w:t>Concretamente, la cifra muestra que 560 infraestructuras han sido demolidas durante las últimas dos décadas. Además, el gobierno anunció que destinaría 2.500 millones de euros en el derribo de presas hasta 2030, aunque se asegura que se trata de retirar las estructuras obsoletas y</w:t>
      </w:r>
      <w:r>
        <w:rPr>
          <w:rFonts w:ascii="Times New Roman" w:hAnsi="Times New Roman" w:cs="Times New Roman"/>
          <w:sz w:val="24"/>
          <w:szCs w:val="24"/>
          <w:shd w:val="clear" w:color="auto" w:fill="FFFFFF"/>
        </w:rPr>
        <w:t xml:space="preserve"> no las grandes construcciones.</w:t>
      </w:r>
    </w:p>
    <w:p w:rsidR="002B7B12" w:rsidRPr="002B6946" w:rsidRDefault="002B7B12" w:rsidP="002B7B12">
      <w:pPr>
        <w:spacing w:line="240" w:lineRule="auto"/>
        <w:jc w:val="both"/>
        <w:rPr>
          <w:rFonts w:ascii="Times New Roman" w:hAnsi="Times New Roman" w:cs="Times New Roman"/>
          <w:sz w:val="24"/>
          <w:szCs w:val="24"/>
          <w:shd w:val="clear" w:color="auto" w:fill="FFFFFF"/>
        </w:rPr>
      </w:pPr>
      <w:r w:rsidRPr="002B6946">
        <w:rPr>
          <w:rFonts w:ascii="Times New Roman" w:hAnsi="Times New Roman" w:cs="Times New Roman"/>
          <w:sz w:val="24"/>
          <w:szCs w:val="24"/>
          <w:shd w:val="clear" w:color="auto" w:fill="FFFFFF"/>
        </w:rPr>
        <w:t xml:space="preserve">Este tema, que ahora ha vuelto a salir a la luz por razones obvias, genera debate entre aquellos que apuestan por mantener los ríos intactos y consideran cualquier acción humana como una afrenta a la naturaleza y aquellos que prefieren participar activamente en el </w:t>
      </w:r>
      <w:r>
        <w:rPr>
          <w:rFonts w:ascii="Times New Roman" w:hAnsi="Times New Roman" w:cs="Times New Roman"/>
          <w:sz w:val="24"/>
          <w:szCs w:val="24"/>
          <w:shd w:val="clear" w:color="auto" w:fill="FFFFFF"/>
        </w:rPr>
        <w:t>transcurso natural de los ríos.</w:t>
      </w:r>
    </w:p>
    <w:p w:rsidR="002B7B12" w:rsidRPr="002B6946" w:rsidRDefault="002B7B12" w:rsidP="002B7B12">
      <w:pPr>
        <w:spacing w:line="240" w:lineRule="auto"/>
        <w:jc w:val="both"/>
        <w:rPr>
          <w:rFonts w:ascii="Times New Roman" w:hAnsi="Times New Roman" w:cs="Times New Roman"/>
          <w:sz w:val="24"/>
          <w:szCs w:val="24"/>
          <w:shd w:val="clear" w:color="auto" w:fill="FFFFFF"/>
        </w:rPr>
      </w:pPr>
      <w:r w:rsidRPr="002B6946">
        <w:rPr>
          <w:rFonts w:ascii="Times New Roman" w:hAnsi="Times New Roman" w:cs="Times New Roman"/>
          <w:sz w:val="24"/>
          <w:szCs w:val="24"/>
          <w:shd w:val="clear" w:color="auto" w:fill="FFFFFF"/>
        </w:rPr>
        <w:t>Presas demolidas en España en los últimos años</w:t>
      </w:r>
    </w:p>
    <w:p w:rsidR="002B7B12" w:rsidRPr="002B6946" w:rsidRDefault="002B7B12" w:rsidP="002B7B12">
      <w:pPr>
        <w:spacing w:line="240" w:lineRule="auto"/>
        <w:jc w:val="both"/>
        <w:rPr>
          <w:rFonts w:ascii="Times New Roman" w:hAnsi="Times New Roman" w:cs="Times New Roman"/>
          <w:sz w:val="24"/>
          <w:szCs w:val="24"/>
          <w:shd w:val="clear" w:color="auto" w:fill="FFFFFF"/>
        </w:rPr>
      </w:pPr>
      <w:r w:rsidRPr="002B6946">
        <w:rPr>
          <w:rFonts w:ascii="Times New Roman" w:hAnsi="Times New Roman" w:cs="Times New Roman"/>
          <w:sz w:val="24"/>
          <w:szCs w:val="24"/>
          <w:shd w:val="clear" w:color="auto" w:fill="FFFFFF"/>
        </w:rPr>
        <w:t>A lo largo de las últimas décadas España ha derribado algunas presas. En 2013 se demolió la presa de Retuerta, en Ávila. En 2014 se hizo lo mismo con la presa de Robledo de Chavela, en la Comunidad de Madrid, mientras que se iniciaron las obras para retirar de la presa de Inturia, en Guipúzcoa.</w:t>
      </w:r>
    </w:p>
    <w:p w:rsidR="002B7B12" w:rsidRPr="002B6946" w:rsidRDefault="002B7B12" w:rsidP="002B7B12">
      <w:pPr>
        <w:spacing w:line="240" w:lineRule="auto"/>
        <w:jc w:val="both"/>
        <w:rPr>
          <w:rFonts w:ascii="Times New Roman" w:hAnsi="Times New Roman" w:cs="Times New Roman"/>
          <w:sz w:val="24"/>
          <w:szCs w:val="24"/>
          <w:shd w:val="clear" w:color="auto" w:fill="FFFFFF"/>
        </w:rPr>
      </w:pPr>
      <w:r w:rsidRPr="002B6946">
        <w:rPr>
          <w:rFonts w:ascii="Times New Roman" w:hAnsi="Times New Roman" w:cs="Times New Roman"/>
          <w:sz w:val="24"/>
          <w:szCs w:val="24"/>
          <w:shd w:val="clear" w:color="auto" w:fill="FFFFFF"/>
        </w:rPr>
        <w:t>En 2018, empezaron las obras en la presa de Yecla de Yeltes, en Salamanca. En 2019 se iniciaron los procesos para retirar la presa de San Facundo, en León, y se ordenó la demolición de la presa Hozseca, en Guadalajara, mientras que ya en 2020 se hizo lo propio en la presa de La Alberca, en Madrid.</w:t>
      </w:r>
    </w:p>
    <w:p w:rsidR="002B7B12" w:rsidRDefault="002B7B12" w:rsidP="002B7B12">
      <w:pPr>
        <w:spacing w:line="240" w:lineRule="auto"/>
        <w:jc w:val="both"/>
        <w:rPr>
          <w:rFonts w:ascii="Times New Roman" w:hAnsi="Times New Roman" w:cs="Times New Roman"/>
          <w:sz w:val="24"/>
          <w:szCs w:val="24"/>
          <w:shd w:val="clear" w:color="auto" w:fill="FFFFFF"/>
        </w:rPr>
      </w:pPr>
      <w:r w:rsidRPr="002B6946">
        <w:rPr>
          <w:rFonts w:ascii="Times New Roman" w:hAnsi="Times New Roman" w:cs="Times New Roman"/>
          <w:sz w:val="24"/>
          <w:szCs w:val="24"/>
          <w:shd w:val="clear" w:color="auto" w:fill="FFFFFF"/>
        </w:rPr>
        <w:t>En 2021 se echaron abajo las barreras fluviales de los ríos Pámanes, en Cantabria, y Oria, en el País Vasco. Catalunya también ha visto cómo últimamente se han retirado algunas presas u obstáculos en sus ríos. También en 2021 se demolió el azud de Matabosch, situado en el río Ter a su pasó por la localidad de Torelló. Entre 2021 y 2022 se derribaron un total de 256 presas en España, cifra que supone el 50% de las obras de toda Europa.</w:t>
      </w:r>
    </w:p>
    <w:p w:rsidR="002B7B12" w:rsidRDefault="002B7B12" w:rsidP="002B7B12">
      <w:pPr>
        <w:spacing w:line="240" w:lineRule="auto"/>
        <w:jc w:val="both"/>
        <w:rPr>
          <w:rFonts w:ascii="Times New Roman" w:hAnsi="Times New Roman" w:cs="Times New Roman"/>
          <w:sz w:val="24"/>
          <w:szCs w:val="24"/>
          <w:u w:val="single"/>
          <w:shd w:val="clear" w:color="auto" w:fill="FFFFFF"/>
        </w:rPr>
      </w:pPr>
      <w:r w:rsidRPr="002B6946">
        <w:rPr>
          <w:rFonts w:ascii="Times New Roman" w:hAnsi="Times New Roman" w:cs="Times New Roman"/>
          <w:sz w:val="24"/>
          <w:szCs w:val="24"/>
          <w:u w:val="single"/>
          <w:shd w:val="clear" w:color="auto" w:fill="FFFFFF"/>
        </w:rPr>
        <w:t>Y mientras tanto… el campo si regar</w:t>
      </w:r>
    </w:p>
    <w:p w:rsidR="00640179" w:rsidRPr="002B6946" w:rsidRDefault="00640179" w:rsidP="00640179">
      <w:pPr>
        <w:spacing w:line="240" w:lineRule="auto"/>
        <w:jc w:val="both"/>
        <w:rPr>
          <w:rFonts w:ascii="Times New Roman" w:hAnsi="Times New Roman" w:cs="Times New Roman"/>
          <w:sz w:val="24"/>
          <w:szCs w:val="24"/>
          <w:shd w:val="clear" w:color="auto" w:fill="FFFFFF"/>
        </w:rPr>
      </w:pPr>
      <w:r w:rsidRPr="002B6946">
        <w:rPr>
          <w:rFonts w:ascii="Times New Roman" w:hAnsi="Times New Roman" w:cs="Times New Roman"/>
          <w:sz w:val="24"/>
          <w:szCs w:val="24"/>
          <w:shd w:val="clear" w:color="auto" w:fill="FFFFFF"/>
        </w:rPr>
        <w:t xml:space="preserve">En España, aproximadamente el 23% de la superficie cultivada se riega artificialmente. Este porcentaje representa alrededor de 4 millones de hectáreas de regadío, frente a los 17 millones de hectáreas de cultivo total en España. Además, se estima que el 79% de la superficie regada en España utiliza sistemas de riego eficientes, como el riego localizado. </w:t>
      </w:r>
    </w:p>
    <w:p w:rsidR="00640179" w:rsidRPr="002B6946" w:rsidRDefault="00640179" w:rsidP="00640179">
      <w:pPr>
        <w:spacing w:line="240" w:lineRule="auto"/>
        <w:jc w:val="both"/>
        <w:rPr>
          <w:rFonts w:ascii="Times New Roman" w:hAnsi="Times New Roman" w:cs="Times New Roman"/>
          <w:sz w:val="24"/>
          <w:szCs w:val="24"/>
          <w:shd w:val="clear" w:color="auto" w:fill="FFFFFF"/>
        </w:rPr>
      </w:pPr>
      <w:r w:rsidRPr="002B6946">
        <w:rPr>
          <w:rFonts w:ascii="Times New Roman" w:hAnsi="Times New Roman" w:cs="Times New Roman"/>
          <w:sz w:val="24"/>
          <w:szCs w:val="24"/>
          <w:shd w:val="clear" w:color="auto" w:fill="FFFFFF"/>
        </w:rPr>
        <w:t>El regadío en España:</w:t>
      </w:r>
      <w:r>
        <w:rPr>
          <w:rFonts w:ascii="Times New Roman" w:hAnsi="Times New Roman" w:cs="Times New Roman"/>
          <w:sz w:val="24"/>
          <w:szCs w:val="24"/>
          <w:shd w:val="clear" w:color="auto" w:fill="FFFFFF"/>
        </w:rPr>
        <w:t xml:space="preserve"> </w:t>
      </w:r>
      <w:r w:rsidRPr="002B6946">
        <w:rPr>
          <w:rFonts w:ascii="Times New Roman" w:hAnsi="Times New Roman" w:cs="Times New Roman"/>
          <w:sz w:val="24"/>
          <w:szCs w:val="24"/>
          <w:shd w:val="clear" w:color="auto" w:fill="FFFFFF"/>
        </w:rPr>
        <w:t xml:space="preserve">El cultivo de regadío es crucial para la agricultura española, ya que permite controlar un factor clave como el riego y obtener mayores rendimientos. </w:t>
      </w:r>
    </w:p>
    <w:p w:rsidR="00640179" w:rsidRPr="002B6946" w:rsidRDefault="00640179" w:rsidP="0064017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Consumo de agua: </w:t>
      </w:r>
      <w:r w:rsidRPr="002B6946">
        <w:rPr>
          <w:rFonts w:ascii="Times New Roman" w:hAnsi="Times New Roman" w:cs="Times New Roman"/>
          <w:sz w:val="24"/>
          <w:szCs w:val="24"/>
          <w:shd w:val="clear" w:color="auto" w:fill="FFFFFF"/>
        </w:rPr>
        <w:t>El sector agrario consume aproximadamente el 80% del agua disponible en España, principalmente para riego.</w:t>
      </w:r>
    </w:p>
    <w:p w:rsidR="00640179" w:rsidRDefault="00640179" w:rsidP="002B7B12">
      <w:pPr>
        <w:spacing w:line="240" w:lineRule="auto"/>
        <w:jc w:val="both"/>
        <w:rPr>
          <w:rFonts w:ascii="Times New Roman" w:hAnsi="Times New Roman" w:cs="Times New Roman"/>
          <w:sz w:val="24"/>
          <w:szCs w:val="24"/>
          <w:u w:val="single"/>
          <w:shd w:val="clear" w:color="auto" w:fill="FFFFFF"/>
        </w:rPr>
      </w:pPr>
    </w:p>
    <w:p w:rsidR="002B7B12" w:rsidRDefault="002B7B12" w:rsidP="002B7B12">
      <w:pPr>
        <w:spacing w:line="240" w:lineRule="auto"/>
        <w:jc w:val="both"/>
        <w:rPr>
          <w:rFonts w:ascii="Times New Roman" w:hAnsi="Times New Roman" w:cs="Times New Roman"/>
          <w:sz w:val="24"/>
          <w:szCs w:val="24"/>
          <w:u w:val="single"/>
          <w:shd w:val="clear" w:color="auto" w:fill="FFFFFF"/>
        </w:rPr>
      </w:pPr>
      <w:r w:rsidRPr="008E54FC">
        <w:rPr>
          <w:rFonts w:ascii="Times New Roman" w:hAnsi="Times New Roman" w:cs="Times New Roman"/>
          <w:noProof/>
          <w:sz w:val="24"/>
          <w:szCs w:val="24"/>
          <w:shd w:val="clear" w:color="auto" w:fill="FFFFFF"/>
          <w:lang w:eastAsia="es-ES"/>
        </w:rPr>
        <w:lastRenderedPageBreak/>
        <w:drawing>
          <wp:inline distT="0" distB="0" distL="0" distR="0" wp14:anchorId="0BE419A5" wp14:editId="48B895C0">
            <wp:extent cx="5728771" cy="4584700"/>
            <wp:effectExtent l="0" t="0" r="5715" b="6350"/>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731510" cy="4586892"/>
                    </a:xfrm>
                    <a:prstGeom prst="rect">
                      <a:avLst/>
                    </a:prstGeom>
                  </pic:spPr>
                </pic:pic>
              </a:graphicData>
            </a:graphic>
          </wp:inline>
        </w:drawing>
      </w:r>
    </w:p>
    <w:p w:rsidR="002B7B12" w:rsidRDefault="002B7B12" w:rsidP="002B7B12">
      <w:pPr>
        <w:spacing w:line="240" w:lineRule="auto"/>
        <w:jc w:val="both"/>
        <w:rPr>
          <w:rFonts w:ascii="Times New Roman" w:hAnsi="Times New Roman" w:cs="Times New Roman"/>
          <w:color w:val="FF0000"/>
          <w:sz w:val="24"/>
          <w:szCs w:val="24"/>
          <w:shd w:val="clear" w:color="auto" w:fill="FFFFFF"/>
        </w:rPr>
      </w:pPr>
      <w:r w:rsidRPr="00F42BC0">
        <w:rPr>
          <w:rFonts w:ascii="Times New Roman" w:hAnsi="Times New Roman" w:cs="Times New Roman"/>
          <w:b/>
          <w:color w:val="FF0000"/>
          <w:sz w:val="24"/>
          <w:szCs w:val="24"/>
          <w:shd w:val="clear" w:color="auto" w:fill="FFFFFF"/>
        </w:rPr>
        <w:t>Nota</w:t>
      </w:r>
      <w:r>
        <w:rPr>
          <w:rFonts w:ascii="Times New Roman" w:hAnsi="Times New Roman" w:cs="Times New Roman"/>
          <w:b/>
          <w:color w:val="FF0000"/>
          <w:sz w:val="24"/>
          <w:szCs w:val="24"/>
          <w:shd w:val="clear" w:color="auto" w:fill="FFFFFF"/>
        </w:rPr>
        <w:t xml:space="preserve"> I</w:t>
      </w:r>
      <w:r w:rsidRPr="00F42BC0">
        <w:rPr>
          <w:rFonts w:ascii="Times New Roman" w:hAnsi="Times New Roman" w:cs="Times New Roman"/>
          <w:b/>
          <w:color w:val="FF0000"/>
          <w:sz w:val="24"/>
          <w:szCs w:val="24"/>
          <w:shd w:val="clear" w:color="auto" w:fill="FFFFFF"/>
        </w:rPr>
        <w:t>:</w:t>
      </w:r>
      <w:r w:rsidRPr="00F42BC0">
        <w:rPr>
          <w:rFonts w:ascii="Times New Roman" w:hAnsi="Times New Roman" w:cs="Times New Roman"/>
          <w:b/>
          <w:sz w:val="24"/>
          <w:szCs w:val="24"/>
          <w:shd w:val="clear" w:color="auto" w:fill="FFFFFF"/>
        </w:rPr>
        <w:t xml:space="preserve"> </w:t>
      </w:r>
      <w:r w:rsidRPr="00AA7742">
        <w:rPr>
          <w:rFonts w:ascii="Times New Roman" w:hAnsi="Times New Roman" w:cs="Times New Roman"/>
          <w:color w:val="FF0000"/>
          <w:sz w:val="24"/>
          <w:szCs w:val="24"/>
          <w:shd w:val="clear" w:color="auto" w:fill="FFFFFF"/>
        </w:rPr>
        <w:t>solo el sectarismo intransigente, el fanatismo ecologista, la irracionalidad manifiesta, o la ignorancia supina, puede justificar, admitir, tolerar, que se destruyan presas existentes, o no se construyan nuevas, allí donde resulte</w:t>
      </w:r>
      <w:r>
        <w:rPr>
          <w:rFonts w:ascii="Times New Roman" w:hAnsi="Times New Roman" w:cs="Times New Roman"/>
          <w:color w:val="FF0000"/>
          <w:sz w:val="24"/>
          <w:szCs w:val="24"/>
          <w:shd w:val="clear" w:color="auto" w:fill="FFFFFF"/>
        </w:rPr>
        <w:t xml:space="preserve"> conveniente y necesario, para consumo o protección.</w:t>
      </w:r>
    </w:p>
    <w:p w:rsidR="002B7B12" w:rsidRPr="00AA7742" w:rsidRDefault="002B7B12" w:rsidP="002B7B12">
      <w:pPr>
        <w:spacing w:line="240" w:lineRule="auto"/>
        <w:jc w:val="both"/>
        <w:rPr>
          <w:rFonts w:ascii="Times New Roman" w:hAnsi="Times New Roman" w:cs="Times New Roman"/>
          <w:color w:val="FF0000"/>
          <w:sz w:val="24"/>
          <w:szCs w:val="24"/>
          <w:shd w:val="clear" w:color="auto" w:fill="FFFFFF"/>
        </w:rPr>
      </w:pPr>
      <w:r w:rsidRPr="00691966">
        <w:rPr>
          <w:rFonts w:ascii="Times New Roman" w:hAnsi="Times New Roman" w:cs="Times New Roman"/>
          <w:b/>
          <w:color w:val="FF0000"/>
          <w:sz w:val="24"/>
          <w:szCs w:val="24"/>
          <w:shd w:val="clear" w:color="auto" w:fill="FFFFFF"/>
        </w:rPr>
        <w:t>Nota II</w:t>
      </w:r>
      <w:r>
        <w:rPr>
          <w:rFonts w:ascii="Times New Roman" w:hAnsi="Times New Roman" w:cs="Times New Roman"/>
          <w:color w:val="FF0000"/>
          <w:sz w:val="24"/>
          <w:szCs w:val="24"/>
          <w:shd w:val="clear" w:color="auto" w:fill="FFFFFF"/>
        </w:rPr>
        <w:t xml:space="preserve">: </w:t>
      </w:r>
      <w:r w:rsidRPr="00640179">
        <w:rPr>
          <w:rFonts w:ascii="Times New Roman" w:hAnsi="Times New Roman" w:cs="Times New Roman"/>
          <w:color w:val="FF0000"/>
          <w:sz w:val="24"/>
          <w:szCs w:val="24"/>
          <w:shd w:val="clear" w:color="auto" w:fill="FFFFFF"/>
        </w:rPr>
        <w:t>“El que quiera entender que entienda”.</w:t>
      </w:r>
      <w:r>
        <w:rPr>
          <w:rFonts w:ascii="Times New Roman" w:hAnsi="Times New Roman" w:cs="Times New Roman"/>
          <w:color w:val="FF0000"/>
          <w:sz w:val="24"/>
          <w:szCs w:val="24"/>
          <w:shd w:val="clear" w:color="auto" w:fill="FFFFFF"/>
        </w:rPr>
        <w:t xml:space="preserve"> </w:t>
      </w:r>
      <w:r w:rsidRPr="00691966">
        <w:rPr>
          <w:rFonts w:ascii="Times New Roman" w:hAnsi="Times New Roman" w:cs="Times New Roman"/>
          <w:color w:val="FF0000"/>
          <w:sz w:val="24"/>
          <w:szCs w:val="24"/>
          <w:shd w:val="clear" w:color="auto" w:fill="FFFFFF"/>
        </w:rPr>
        <w:t>Los ríos español</w:t>
      </w:r>
      <w:r>
        <w:rPr>
          <w:rFonts w:ascii="Times New Roman" w:hAnsi="Times New Roman" w:cs="Times New Roman"/>
          <w:color w:val="FF0000"/>
          <w:sz w:val="24"/>
          <w:szCs w:val="24"/>
          <w:shd w:val="clear" w:color="auto" w:fill="FFFFFF"/>
        </w:rPr>
        <w:t>es han vertido en el mes de marzo de 2025</w:t>
      </w:r>
      <w:r w:rsidRPr="00691966">
        <w:rPr>
          <w:rFonts w:ascii="Times New Roman" w:hAnsi="Times New Roman" w:cs="Times New Roman"/>
          <w:color w:val="FF0000"/>
          <w:sz w:val="24"/>
          <w:szCs w:val="24"/>
          <w:shd w:val="clear" w:color="auto" w:fill="FFFFFF"/>
        </w:rPr>
        <w:t xml:space="preserve"> el agua que consume la población en un año por la falta de un Plan Hidrológico Nacional</w:t>
      </w:r>
      <w:r>
        <w:rPr>
          <w:rFonts w:ascii="Times New Roman" w:hAnsi="Times New Roman" w:cs="Times New Roman"/>
          <w:color w:val="FF0000"/>
          <w:sz w:val="24"/>
          <w:szCs w:val="24"/>
          <w:shd w:val="clear" w:color="auto" w:fill="FFFFFF"/>
        </w:rPr>
        <w:t xml:space="preserve">. </w:t>
      </w:r>
      <w:r w:rsidRPr="00691966">
        <w:rPr>
          <w:rFonts w:ascii="Times New Roman" w:hAnsi="Times New Roman" w:cs="Times New Roman"/>
          <w:color w:val="FF0000"/>
          <w:sz w:val="24"/>
          <w:szCs w:val="24"/>
          <w:shd w:val="clear" w:color="auto" w:fill="FFFFFF"/>
        </w:rPr>
        <w:t>Las intensas lluvias caídas este mes de marzo en toda España habrían permitido almacenar más de 6.000 hectómetros cúbicos de agua si se hubieran ejecutado las más de cien presas y embalses previstas en el Plan Hidrológico Nacional (PHN) aprobado en 2001, un volumen suficiente para cubrir el consumo anual de agua de toda la población del país. Sin embargo, ese caudal se ha perdido en su mayor parte en el mar por la falta de infraestructuras que hubieran permitido aprove</w:t>
      </w:r>
      <w:r>
        <w:rPr>
          <w:rFonts w:ascii="Times New Roman" w:hAnsi="Times New Roman" w:cs="Times New Roman"/>
          <w:color w:val="FF0000"/>
          <w:sz w:val="24"/>
          <w:szCs w:val="24"/>
          <w:shd w:val="clear" w:color="auto" w:fill="FFFFFF"/>
        </w:rPr>
        <w:t>charlo, según avanza El Español (</w:t>
      </w:r>
      <w:r w:rsidRPr="008D1D84">
        <w:rPr>
          <w:rFonts w:ascii="Times New Roman" w:hAnsi="Times New Roman" w:cs="Times New Roman"/>
          <w:b/>
          <w:color w:val="FF0000"/>
          <w:sz w:val="24"/>
          <w:szCs w:val="24"/>
          <w:shd w:val="clear" w:color="auto" w:fill="FFFFFF"/>
        </w:rPr>
        <w:t>30/3/25</w:t>
      </w:r>
      <w:r>
        <w:rPr>
          <w:rFonts w:ascii="Times New Roman" w:hAnsi="Times New Roman" w:cs="Times New Roman"/>
          <w:color w:val="FF0000"/>
          <w:sz w:val="24"/>
          <w:szCs w:val="24"/>
          <w:shd w:val="clear" w:color="auto" w:fill="FFFFFF"/>
        </w:rPr>
        <w:t>).</w:t>
      </w:r>
    </w:p>
    <w:p w:rsidR="00640179" w:rsidRPr="006C5A23" w:rsidRDefault="00640179" w:rsidP="00640179">
      <w:pPr>
        <w:spacing w:line="240" w:lineRule="auto"/>
        <w:jc w:val="both"/>
        <w:rPr>
          <w:rFonts w:ascii="Times New Roman" w:hAnsi="Times New Roman" w:cs="Times New Roman"/>
          <w:color w:val="FF0000"/>
          <w:sz w:val="24"/>
          <w:szCs w:val="24"/>
          <w:shd w:val="clear" w:color="auto" w:fill="FFFFFF"/>
        </w:rPr>
      </w:pPr>
      <w:r w:rsidRPr="006C5A23">
        <w:rPr>
          <w:rFonts w:ascii="Times New Roman" w:hAnsi="Times New Roman" w:cs="Times New Roman"/>
          <w:color w:val="FF0000"/>
          <w:sz w:val="24"/>
          <w:szCs w:val="24"/>
          <w:shd w:val="clear" w:color="auto" w:fill="FFFFFF"/>
        </w:rPr>
        <w:t>- Reducir lo</w:t>
      </w:r>
      <w:r>
        <w:rPr>
          <w:rFonts w:ascii="Times New Roman" w:hAnsi="Times New Roman" w:cs="Times New Roman"/>
          <w:color w:val="FF0000"/>
          <w:sz w:val="24"/>
          <w:szCs w:val="24"/>
          <w:shd w:val="clear" w:color="auto" w:fill="FFFFFF"/>
        </w:rPr>
        <w:t xml:space="preserve">s impuestos directos </w:t>
      </w:r>
      <w:r w:rsidRPr="006C5A23">
        <w:rPr>
          <w:rFonts w:ascii="Times New Roman" w:hAnsi="Times New Roman" w:cs="Times New Roman"/>
          <w:color w:val="FF0000"/>
          <w:sz w:val="24"/>
          <w:szCs w:val="24"/>
          <w:shd w:val="clear" w:color="auto" w:fill="FFFFFF"/>
        </w:rPr>
        <w:t>hasta alcanzar la media de la</w:t>
      </w:r>
      <w:r>
        <w:rPr>
          <w:rFonts w:ascii="Times New Roman" w:hAnsi="Times New Roman" w:cs="Times New Roman"/>
          <w:color w:val="FF0000"/>
          <w:sz w:val="24"/>
          <w:szCs w:val="24"/>
          <w:shd w:val="clear" w:color="auto" w:fill="FFFFFF"/>
        </w:rPr>
        <w:t xml:space="preserve"> UE u OCDE</w:t>
      </w:r>
    </w:p>
    <w:p w:rsidR="00640179" w:rsidRPr="008E54FC" w:rsidRDefault="00640179" w:rsidP="00640179">
      <w:pPr>
        <w:spacing w:line="240" w:lineRule="auto"/>
        <w:jc w:val="both"/>
        <w:rPr>
          <w:rFonts w:ascii="Times New Roman" w:hAnsi="Times New Roman" w:cs="Times New Roman"/>
          <w:color w:val="000000"/>
          <w:sz w:val="24"/>
          <w:szCs w:val="24"/>
          <w:shd w:val="clear" w:color="auto" w:fill="FFFFFF"/>
        </w:rPr>
      </w:pPr>
      <w:r w:rsidRPr="008E54FC">
        <w:rPr>
          <w:rFonts w:ascii="Times New Roman" w:hAnsi="Times New Roman" w:cs="Times New Roman"/>
          <w:color w:val="000000"/>
          <w:sz w:val="24"/>
          <w:szCs w:val="24"/>
          <w:shd w:val="clear" w:color="auto" w:fill="FFFFFF"/>
        </w:rPr>
        <w:t>¿Cuáles son los tipos de impuestos directos?</w:t>
      </w:r>
    </w:p>
    <w:p w:rsidR="00640179" w:rsidRPr="008E54FC" w:rsidRDefault="00640179" w:rsidP="00640179">
      <w:pPr>
        <w:spacing w:line="240" w:lineRule="auto"/>
        <w:jc w:val="both"/>
        <w:rPr>
          <w:rFonts w:ascii="Times New Roman" w:hAnsi="Times New Roman" w:cs="Times New Roman"/>
          <w:color w:val="000000"/>
          <w:sz w:val="24"/>
          <w:szCs w:val="24"/>
          <w:shd w:val="clear" w:color="auto" w:fill="FFFFFF"/>
        </w:rPr>
      </w:pPr>
      <w:r w:rsidRPr="008E54FC">
        <w:rPr>
          <w:rFonts w:ascii="Times New Roman" w:hAnsi="Times New Roman" w:cs="Times New Roman"/>
          <w:color w:val="000000"/>
          <w:sz w:val="24"/>
          <w:szCs w:val="24"/>
          <w:shd w:val="clear" w:color="auto" w:fill="FFFFFF"/>
        </w:rPr>
        <w:t>Impuestos directos</w:t>
      </w:r>
    </w:p>
    <w:p w:rsidR="00640179" w:rsidRPr="008E54FC" w:rsidRDefault="00640179" w:rsidP="00640179">
      <w:pPr>
        <w:spacing w:line="240" w:lineRule="auto"/>
        <w:jc w:val="both"/>
        <w:rPr>
          <w:rFonts w:ascii="Times New Roman" w:hAnsi="Times New Roman" w:cs="Times New Roman"/>
          <w:color w:val="000000"/>
          <w:sz w:val="24"/>
          <w:szCs w:val="24"/>
          <w:shd w:val="clear" w:color="auto" w:fill="FFFFFF"/>
        </w:rPr>
      </w:pPr>
      <w:r w:rsidRPr="008E54FC">
        <w:rPr>
          <w:rFonts w:ascii="Times New Roman" w:hAnsi="Times New Roman" w:cs="Times New Roman"/>
          <w:color w:val="000000"/>
          <w:sz w:val="24"/>
          <w:szCs w:val="24"/>
          <w:shd w:val="clear" w:color="auto" w:fill="FFFFFF"/>
        </w:rPr>
        <w:t>Impuesto sobre la Renta de las Personas Físicas (IRPF)</w:t>
      </w:r>
    </w:p>
    <w:p w:rsidR="00640179" w:rsidRPr="008E54FC" w:rsidRDefault="00640179" w:rsidP="00640179">
      <w:pPr>
        <w:spacing w:line="240" w:lineRule="auto"/>
        <w:jc w:val="both"/>
        <w:rPr>
          <w:rFonts w:ascii="Times New Roman" w:hAnsi="Times New Roman" w:cs="Times New Roman"/>
          <w:color w:val="000000"/>
          <w:sz w:val="24"/>
          <w:szCs w:val="24"/>
          <w:shd w:val="clear" w:color="auto" w:fill="FFFFFF"/>
        </w:rPr>
      </w:pPr>
      <w:r w:rsidRPr="008E54FC">
        <w:rPr>
          <w:rFonts w:ascii="Times New Roman" w:hAnsi="Times New Roman" w:cs="Times New Roman"/>
          <w:color w:val="000000"/>
          <w:sz w:val="24"/>
          <w:szCs w:val="24"/>
          <w:shd w:val="clear" w:color="auto" w:fill="FFFFFF"/>
        </w:rPr>
        <w:t>Impuesto sobre Sociedades (IS)</w:t>
      </w:r>
    </w:p>
    <w:p w:rsidR="00640179" w:rsidRPr="008E54FC" w:rsidRDefault="00640179" w:rsidP="00640179">
      <w:pPr>
        <w:spacing w:line="240" w:lineRule="auto"/>
        <w:jc w:val="both"/>
        <w:rPr>
          <w:rFonts w:ascii="Times New Roman" w:hAnsi="Times New Roman" w:cs="Times New Roman"/>
          <w:color w:val="000000"/>
          <w:sz w:val="24"/>
          <w:szCs w:val="24"/>
          <w:shd w:val="clear" w:color="auto" w:fill="FFFFFF"/>
        </w:rPr>
      </w:pPr>
      <w:r w:rsidRPr="008E54FC">
        <w:rPr>
          <w:rFonts w:ascii="Times New Roman" w:hAnsi="Times New Roman" w:cs="Times New Roman"/>
          <w:color w:val="000000"/>
          <w:sz w:val="24"/>
          <w:szCs w:val="24"/>
          <w:shd w:val="clear" w:color="auto" w:fill="FFFFFF"/>
        </w:rPr>
        <w:t>Impuesto de Bienes Inmuebles (IBI)</w:t>
      </w:r>
    </w:p>
    <w:p w:rsidR="00640179" w:rsidRPr="008E54FC" w:rsidRDefault="00640179" w:rsidP="00640179">
      <w:pPr>
        <w:spacing w:line="240" w:lineRule="auto"/>
        <w:jc w:val="both"/>
        <w:rPr>
          <w:rFonts w:ascii="Times New Roman" w:hAnsi="Times New Roman" w:cs="Times New Roman"/>
          <w:color w:val="000000"/>
          <w:sz w:val="24"/>
          <w:szCs w:val="24"/>
          <w:shd w:val="clear" w:color="auto" w:fill="FFFFFF"/>
        </w:rPr>
      </w:pPr>
      <w:r w:rsidRPr="008E54FC">
        <w:rPr>
          <w:rFonts w:ascii="Times New Roman" w:hAnsi="Times New Roman" w:cs="Times New Roman"/>
          <w:color w:val="000000"/>
          <w:sz w:val="24"/>
          <w:szCs w:val="24"/>
          <w:shd w:val="clear" w:color="auto" w:fill="FFFFFF"/>
        </w:rPr>
        <w:lastRenderedPageBreak/>
        <w:t>Impuesto sobre Sucesiones y Donaciones (ISD)</w:t>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8E54FC">
        <w:rPr>
          <w:rFonts w:ascii="Times New Roman" w:hAnsi="Times New Roman" w:cs="Times New Roman"/>
          <w:color w:val="000000"/>
          <w:sz w:val="24"/>
          <w:szCs w:val="24"/>
          <w:shd w:val="clear" w:color="auto" w:fill="FFFFFF"/>
        </w:rPr>
        <w:t>Impuesto sobre el Patrimonio (IP)</w:t>
      </w:r>
    </w:p>
    <w:p w:rsidR="00640179" w:rsidRDefault="00640179" w:rsidP="00640179">
      <w:pPr>
        <w:spacing w:line="240" w:lineRule="auto"/>
        <w:jc w:val="both"/>
        <w:rPr>
          <w:rFonts w:ascii="Times New Roman" w:hAnsi="Times New Roman" w:cs="Times New Roman"/>
          <w:sz w:val="24"/>
          <w:szCs w:val="24"/>
        </w:rPr>
      </w:pPr>
      <w:r w:rsidRPr="008E54FC">
        <w:rPr>
          <w:rFonts w:ascii="Times New Roman" w:hAnsi="Times New Roman" w:cs="Times New Roman"/>
          <w:sz w:val="24"/>
          <w:szCs w:val="24"/>
        </w:rPr>
        <w:t>A través de su Global Revenue Statist</w:t>
      </w:r>
      <w:r>
        <w:rPr>
          <w:rFonts w:ascii="Times New Roman" w:hAnsi="Times New Roman" w:cs="Times New Roman"/>
          <w:sz w:val="24"/>
          <w:szCs w:val="24"/>
        </w:rPr>
        <w:t>ics Database (OECD, 2023</w:t>
      </w:r>
      <w:r w:rsidRPr="008E54FC">
        <w:rPr>
          <w:rFonts w:ascii="Times New Roman" w:hAnsi="Times New Roman" w:cs="Times New Roman"/>
          <w:sz w:val="24"/>
          <w:szCs w:val="24"/>
        </w:rPr>
        <w:t>), la OCDE trata de publicar datos comparables a escala internacional sobre los ingresos fiscales de sus miembros, así como de otras jurisdicciones para todos los niveles de gobierno. Dado que la información que contiene dicha base de datos recoge información a nivel de la jurisdicción y no de la administración, en la encuesta ISORA se pidió a las administraciones tributarias que aportaran determinada información sobre su actividad recaudatoria. Esta información demuestra claramente la importancia de las administraciones tributarias en sus respectivas economías. Los ingresos netos recaudados por las administraciones tributarias participantes en este informe, en porcentaje del producto interior bruto (PIB) en 2022, oscilan entre menos del 10 % y un máximo del 40 % en el caso de Dinamarca y Suecia. El promedio de ingresos netos recaudados por las administraciones en este informe es del 22 % del PIB (véase el Gráfico 2.1.).</w:t>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BC11ED">
        <w:rPr>
          <w:rFonts w:ascii="Times New Roman" w:hAnsi="Times New Roman" w:cs="Times New Roman"/>
          <w:noProof/>
          <w:color w:val="000000"/>
          <w:sz w:val="24"/>
          <w:szCs w:val="24"/>
          <w:shd w:val="clear" w:color="auto" w:fill="FFFFFF"/>
          <w:lang w:eastAsia="es-ES"/>
        </w:rPr>
        <w:drawing>
          <wp:inline distT="0" distB="0" distL="0" distR="0" wp14:anchorId="34E4E218" wp14:editId="4BC27DB9">
            <wp:extent cx="5727186" cy="2781300"/>
            <wp:effectExtent l="0" t="0" r="6985"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731510" cy="2783400"/>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BC11ED">
        <w:rPr>
          <w:rFonts w:ascii="Times New Roman" w:hAnsi="Times New Roman" w:cs="Times New Roman"/>
          <w:noProof/>
          <w:color w:val="000000"/>
          <w:sz w:val="24"/>
          <w:szCs w:val="24"/>
          <w:shd w:val="clear" w:color="auto" w:fill="FFFFFF"/>
          <w:lang w:eastAsia="es-ES"/>
        </w:rPr>
        <w:drawing>
          <wp:inline distT="0" distB="0" distL="0" distR="0" wp14:anchorId="7F5DF539" wp14:editId="529595CD">
            <wp:extent cx="5727700" cy="2692400"/>
            <wp:effectExtent l="0" t="0" r="635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731510" cy="2694191"/>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7A4D3D">
        <w:rPr>
          <w:rFonts w:ascii="Times New Roman" w:hAnsi="Times New Roman" w:cs="Times New Roman"/>
          <w:noProof/>
          <w:color w:val="000000"/>
          <w:sz w:val="24"/>
          <w:szCs w:val="24"/>
          <w:shd w:val="clear" w:color="auto" w:fill="FFFFFF"/>
          <w:lang w:eastAsia="es-ES"/>
        </w:rPr>
        <w:lastRenderedPageBreak/>
        <w:drawing>
          <wp:inline distT="0" distB="0" distL="0" distR="0" wp14:anchorId="4FA0AA52" wp14:editId="61B2E540">
            <wp:extent cx="5734050" cy="294005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731510" cy="2938748"/>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7A4D3D">
        <w:rPr>
          <w:rFonts w:ascii="Times New Roman" w:hAnsi="Times New Roman" w:cs="Times New Roman"/>
          <w:noProof/>
          <w:color w:val="000000"/>
          <w:sz w:val="24"/>
          <w:szCs w:val="24"/>
          <w:shd w:val="clear" w:color="auto" w:fill="FFFFFF"/>
          <w:lang w:eastAsia="es-ES"/>
        </w:rPr>
        <w:drawing>
          <wp:inline distT="0" distB="0" distL="0" distR="0" wp14:anchorId="2711C3CF" wp14:editId="6F91A3D4">
            <wp:extent cx="5733349" cy="2762250"/>
            <wp:effectExtent l="0" t="0" r="127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731510" cy="2761364"/>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7A4D3D">
        <w:rPr>
          <w:rFonts w:ascii="Times New Roman" w:hAnsi="Times New Roman" w:cs="Times New Roman"/>
          <w:noProof/>
          <w:color w:val="000000"/>
          <w:sz w:val="24"/>
          <w:szCs w:val="24"/>
          <w:shd w:val="clear" w:color="auto" w:fill="FFFFFF"/>
          <w:lang w:eastAsia="es-ES"/>
        </w:rPr>
        <w:drawing>
          <wp:inline distT="0" distB="0" distL="0" distR="0" wp14:anchorId="4146EEBB" wp14:editId="5941595E">
            <wp:extent cx="5727700" cy="2724150"/>
            <wp:effectExtent l="0" t="0" r="635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731510" cy="2725962"/>
                    </a:xfrm>
                    <a:prstGeom prst="rect">
                      <a:avLst/>
                    </a:prstGeom>
                  </pic:spPr>
                </pic:pic>
              </a:graphicData>
            </a:graphic>
          </wp:inline>
        </w:drawing>
      </w:r>
    </w:p>
    <w:p w:rsidR="00640179" w:rsidRPr="00D901AC" w:rsidRDefault="00640179" w:rsidP="00640179">
      <w:pPr>
        <w:pStyle w:val="NormalWeb"/>
        <w:shd w:val="clear" w:color="auto" w:fill="FFFFFF"/>
        <w:spacing w:before="0" w:beforeAutospacing="0" w:after="0" w:afterAutospacing="0"/>
        <w:jc w:val="both"/>
        <w:textAlignment w:val="baseline"/>
        <w:rPr>
          <w:spacing w:val="-8"/>
        </w:rPr>
      </w:pPr>
      <w:r w:rsidRPr="007A4D3D">
        <w:rPr>
          <w:color w:val="000000"/>
          <w:shd w:val="clear" w:color="auto" w:fill="FFFFFF"/>
          <w:lang w:val="en-GB"/>
        </w:rPr>
        <w:lastRenderedPageBreak/>
        <w:t>Tax revenue is the compulsory unrequited payments to the general government or</w:t>
      </w:r>
      <w:r>
        <w:rPr>
          <w:color w:val="000000"/>
          <w:shd w:val="clear" w:color="auto" w:fill="FFFFFF"/>
          <w:lang w:val="en-GB"/>
        </w:rPr>
        <w:t xml:space="preserve"> to a supranational authority. </w:t>
      </w:r>
      <w:r w:rsidRPr="007A4D3D">
        <w:rPr>
          <w:color w:val="000000"/>
          <w:shd w:val="clear" w:color="auto" w:fill="FFFFFF"/>
          <w:lang w:val="en-GB"/>
        </w:rPr>
        <w:t>Taxes are unrequited in the sense that benefits provided by government to taxpayers are not normally in</w:t>
      </w:r>
      <w:r>
        <w:rPr>
          <w:color w:val="000000"/>
          <w:shd w:val="clear" w:color="auto" w:fill="FFFFFF"/>
          <w:lang w:val="en-GB"/>
        </w:rPr>
        <w:t xml:space="preserve"> proportion to their payments. </w:t>
      </w:r>
      <w:r>
        <w:rPr>
          <w:spacing w:val="-8"/>
        </w:rPr>
        <w:t>(Fuente: OCDE)</w:t>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ED06B2">
        <w:rPr>
          <w:rFonts w:ascii="Times New Roman" w:hAnsi="Times New Roman" w:cs="Times New Roman"/>
          <w:noProof/>
          <w:color w:val="000000"/>
          <w:sz w:val="24"/>
          <w:szCs w:val="24"/>
          <w:shd w:val="clear" w:color="auto" w:fill="FFFFFF"/>
          <w:lang w:eastAsia="es-ES"/>
        </w:rPr>
        <w:drawing>
          <wp:inline distT="0" distB="0" distL="0" distR="0" wp14:anchorId="3B0E5865" wp14:editId="3061EE16">
            <wp:extent cx="5727700" cy="2552700"/>
            <wp:effectExtent l="0" t="0" r="635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731510" cy="2554398"/>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7A4D3D">
        <w:rPr>
          <w:rFonts w:ascii="Times New Roman" w:hAnsi="Times New Roman" w:cs="Times New Roman"/>
          <w:noProof/>
          <w:color w:val="000000"/>
          <w:sz w:val="24"/>
          <w:szCs w:val="24"/>
          <w:shd w:val="clear" w:color="auto" w:fill="FFFFFF"/>
          <w:lang w:eastAsia="es-ES"/>
        </w:rPr>
        <w:drawing>
          <wp:inline distT="0" distB="0" distL="0" distR="0" wp14:anchorId="37F7A233" wp14:editId="3216610F">
            <wp:extent cx="5727378" cy="2698750"/>
            <wp:effectExtent l="0" t="0" r="6985" b="635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2700697"/>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A072B2">
        <w:rPr>
          <w:rFonts w:ascii="Times New Roman" w:hAnsi="Times New Roman" w:cs="Times New Roman"/>
          <w:noProof/>
          <w:color w:val="000000"/>
          <w:sz w:val="24"/>
          <w:szCs w:val="24"/>
          <w:shd w:val="clear" w:color="auto" w:fill="FFFFFF"/>
          <w:lang w:eastAsia="es-ES"/>
        </w:rPr>
        <w:drawing>
          <wp:inline distT="0" distB="0" distL="0" distR="0" wp14:anchorId="1F9650D2" wp14:editId="64A74FFE">
            <wp:extent cx="5732091" cy="2635250"/>
            <wp:effectExtent l="0" t="0" r="254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31510" cy="2634983"/>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A072B2">
        <w:rPr>
          <w:rFonts w:ascii="Times New Roman" w:hAnsi="Times New Roman" w:cs="Times New Roman"/>
          <w:noProof/>
          <w:color w:val="000000"/>
          <w:sz w:val="24"/>
          <w:szCs w:val="24"/>
          <w:shd w:val="clear" w:color="auto" w:fill="FFFFFF"/>
          <w:lang w:eastAsia="es-ES"/>
        </w:rPr>
        <w:lastRenderedPageBreak/>
        <w:drawing>
          <wp:inline distT="0" distB="0" distL="0" distR="0" wp14:anchorId="01B4BCF6" wp14:editId="0DC1DC3F">
            <wp:extent cx="5734050" cy="255905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731510" cy="2557917"/>
                    </a:xfrm>
                    <a:prstGeom prst="rect">
                      <a:avLst/>
                    </a:prstGeom>
                  </pic:spPr>
                </pic:pic>
              </a:graphicData>
            </a:graphic>
          </wp:inline>
        </w:drawing>
      </w:r>
    </w:p>
    <w:p w:rsidR="00640179" w:rsidRDefault="00640179" w:rsidP="00640179">
      <w:pPr>
        <w:pStyle w:val="NormalWeb"/>
        <w:shd w:val="clear" w:color="auto" w:fill="FFFFFF"/>
        <w:spacing w:before="0" w:beforeAutospacing="0" w:after="0" w:afterAutospacing="0"/>
        <w:jc w:val="both"/>
        <w:textAlignment w:val="baseline"/>
        <w:rPr>
          <w:spacing w:val="-8"/>
        </w:rPr>
      </w:pPr>
      <w:r w:rsidRPr="00B22119">
        <w:rPr>
          <w:spacing w:val="-8"/>
        </w:rPr>
        <w:t>La cuña fiscal es la relación entre la cantidad de impuestos que paga un trabajador asalariado promedio (una persona soltera que gana el 100% del salario promedio) sin hijos y los costos laborales totales que representa para su empleador.</w:t>
      </w:r>
      <w:r>
        <w:rPr>
          <w:spacing w:val="-8"/>
        </w:rPr>
        <w:t xml:space="preserve"> </w:t>
      </w:r>
      <w:r w:rsidRPr="00B22119">
        <w:rPr>
          <w:spacing w:val="-8"/>
        </w:rPr>
        <w:t>La cuña fiscal promedio nos permite evaluar el alcance del efecto disuasorio del impuesto sobre la renta del trabajo sobre el empleo.</w:t>
      </w:r>
      <w:r>
        <w:rPr>
          <w:spacing w:val="-8"/>
        </w:rPr>
        <w:t xml:space="preserve"> </w:t>
      </w:r>
      <w:r w:rsidRPr="00B22119">
        <w:rPr>
          <w:spacing w:val="-8"/>
        </w:rPr>
        <w:t>Este indicador se mide como un porcentaje del costo laboral.</w:t>
      </w:r>
      <w:r>
        <w:rPr>
          <w:spacing w:val="-8"/>
        </w:rPr>
        <w:t xml:space="preserve">  (Fuente: OCDE)</w:t>
      </w:r>
    </w:p>
    <w:p w:rsidR="00640179" w:rsidRDefault="00640179" w:rsidP="00640179">
      <w:pPr>
        <w:pStyle w:val="NormalWeb"/>
        <w:shd w:val="clear" w:color="auto" w:fill="FFFFFF"/>
        <w:spacing w:before="0" w:beforeAutospacing="0" w:after="0" w:afterAutospacing="0"/>
        <w:jc w:val="both"/>
        <w:textAlignment w:val="baseline"/>
        <w:rPr>
          <w:spacing w:val="-8"/>
        </w:rPr>
      </w:pPr>
    </w:p>
    <w:p w:rsidR="00640179" w:rsidRDefault="00640179" w:rsidP="00640179">
      <w:pPr>
        <w:pStyle w:val="NormalWeb"/>
        <w:shd w:val="clear" w:color="auto" w:fill="FFFFFF"/>
        <w:spacing w:before="0" w:beforeAutospacing="0" w:after="0" w:afterAutospacing="0"/>
        <w:jc w:val="both"/>
        <w:textAlignment w:val="baseline"/>
        <w:rPr>
          <w:spacing w:val="-8"/>
        </w:rPr>
      </w:pPr>
      <w:r w:rsidRPr="00A072B2">
        <w:rPr>
          <w:noProof/>
          <w:color w:val="000000"/>
          <w:shd w:val="clear" w:color="auto" w:fill="FFFFFF"/>
        </w:rPr>
        <w:drawing>
          <wp:inline distT="0" distB="0" distL="0" distR="0" wp14:anchorId="6BD8C80E" wp14:editId="767FB526">
            <wp:extent cx="5727700" cy="4051300"/>
            <wp:effectExtent l="0" t="0" r="6350" b="635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731510" cy="4053995"/>
                    </a:xfrm>
                    <a:prstGeom prst="rect">
                      <a:avLst/>
                    </a:prstGeom>
                  </pic:spPr>
                </pic:pic>
              </a:graphicData>
            </a:graphic>
          </wp:inline>
        </w:drawing>
      </w:r>
    </w:p>
    <w:p w:rsidR="00640179" w:rsidRPr="00691966" w:rsidRDefault="00640179" w:rsidP="00640179">
      <w:pPr>
        <w:pStyle w:val="NormalWeb"/>
        <w:shd w:val="clear" w:color="auto" w:fill="FFFFFF"/>
        <w:spacing w:before="0" w:beforeAutospacing="0" w:after="0" w:afterAutospacing="0"/>
        <w:jc w:val="both"/>
        <w:textAlignment w:val="baseline"/>
        <w:rPr>
          <w:spacing w:val="-8"/>
        </w:rPr>
      </w:pPr>
    </w:p>
    <w:p w:rsidR="00640179" w:rsidRPr="00691966" w:rsidRDefault="00640179" w:rsidP="00640179">
      <w:pPr>
        <w:spacing w:line="240" w:lineRule="auto"/>
        <w:jc w:val="both"/>
        <w:rPr>
          <w:rFonts w:ascii="Times New Roman" w:hAnsi="Times New Roman" w:cs="Times New Roman"/>
          <w:color w:val="000000"/>
          <w:sz w:val="24"/>
          <w:szCs w:val="24"/>
          <w:shd w:val="clear" w:color="auto" w:fill="FFFFFF"/>
        </w:rPr>
      </w:pPr>
      <w:r w:rsidRPr="00A072B2">
        <w:rPr>
          <w:rFonts w:ascii="Times New Roman" w:hAnsi="Times New Roman" w:cs="Times New Roman"/>
          <w:noProof/>
          <w:color w:val="000000"/>
          <w:sz w:val="24"/>
          <w:szCs w:val="24"/>
          <w:shd w:val="clear" w:color="auto" w:fill="FFFFFF"/>
          <w:lang w:eastAsia="es-ES"/>
        </w:rPr>
        <w:lastRenderedPageBreak/>
        <w:drawing>
          <wp:inline distT="0" distB="0" distL="0" distR="0" wp14:anchorId="1E97427F" wp14:editId="2BDEC486">
            <wp:extent cx="5733545" cy="3956050"/>
            <wp:effectExtent l="0" t="0" r="635" b="635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731510" cy="3954646"/>
                    </a:xfrm>
                    <a:prstGeom prst="rect">
                      <a:avLst/>
                    </a:prstGeom>
                  </pic:spPr>
                </pic:pic>
              </a:graphicData>
            </a:graphic>
          </wp:inline>
        </w:drawing>
      </w:r>
    </w:p>
    <w:p w:rsidR="00640179" w:rsidRDefault="00640179" w:rsidP="00640179">
      <w:pPr>
        <w:pStyle w:val="NormalWeb"/>
        <w:shd w:val="clear" w:color="auto" w:fill="FFFFFF"/>
        <w:spacing w:before="0" w:beforeAutospacing="0" w:after="0" w:afterAutospacing="0"/>
        <w:jc w:val="both"/>
        <w:textAlignment w:val="baseline"/>
        <w:rPr>
          <w:spacing w:val="-8"/>
        </w:rPr>
      </w:pPr>
      <w:r>
        <w:rPr>
          <w:spacing w:val="-8"/>
        </w:rPr>
        <w:t xml:space="preserve">        </w:t>
      </w:r>
      <w:r w:rsidRPr="00145B2C">
        <w:rPr>
          <w:noProof/>
          <w:spacing w:val="-8"/>
        </w:rPr>
        <w:drawing>
          <wp:inline distT="0" distB="0" distL="0" distR="0" wp14:anchorId="1C261FF9" wp14:editId="7DA55E62">
            <wp:extent cx="5155490" cy="4679950"/>
            <wp:effectExtent l="0" t="0" r="7620"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155490" cy="4679950"/>
                    </a:xfrm>
                    <a:prstGeom prst="rect">
                      <a:avLst/>
                    </a:prstGeom>
                  </pic:spPr>
                </pic:pic>
              </a:graphicData>
            </a:graphic>
          </wp:inline>
        </w:drawing>
      </w:r>
    </w:p>
    <w:p w:rsidR="00640179" w:rsidRDefault="00640179" w:rsidP="00640179">
      <w:pPr>
        <w:pStyle w:val="NormalWeb"/>
        <w:shd w:val="clear" w:color="auto" w:fill="FFFFFF"/>
        <w:spacing w:before="0" w:beforeAutospacing="0" w:after="0" w:afterAutospacing="0"/>
        <w:jc w:val="both"/>
        <w:textAlignment w:val="baseline"/>
        <w:rPr>
          <w:spacing w:val="-8"/>
        </w:rPr>
      </w:pPr>
      <w:r w:rsidRPr="00145B2C">
        <w:rPr>
          <w:noProof/>
          <w:spacing w:val="-8"/>
        </w:rPr>
        <w:lastRenderedPageBreak/>
        <w:drawing>
          <wp:inline distT="0" distB="0" distL="0" distR="0" wp14:anchorId="4C22C804" wp14:editId="6D602960">
            <wp:extent cx="5732951" cy="4419600"/>
            <wp:effectExtent l="0" t="0" r="127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731510" cy="4418489"/>
                    </a:xfrm>
                    <a:prstGeom prst="rect">
                      <a:avLst/>
                    </a:prstGeom>
                  </pic:spPr>
                </pic:pic>
              </a:graphicData>
            </a:graphic>
          </wp:inline>
        </w:drawing>
      </w:r>
    </w:p>
    <w:p w:rsidR="00640179" w:rsidRPr="00145B2C" w:rsidRDefault="00640179" w:rsidP="00640179">
      <w:pPr>
        <w:pStyle w:val="NormalWeb"/>
        <w:shd w:val="clear" w:color="auto" w:fill="FFFFFF"/>
        <w:spacing w:after="0"/>
        <w:jc w:val="both"/>
        <w:textAlignment w:val="baseline"/>
        <w:rPr>
          <w:spacing w:val="-8"/>
        </w:rPr>
      </w:pPr>
      <w:r>
        <w:rPr>
          <w:spacing w:val="-8"/>
        </w:rPr>
        <w:t xml:space="preserve">- </w:t>
      </w:r>
      <w:r w:rsidRPr="00145B2C">
        <w:rPr>
          <w:spacing w:val="-8"/>
          <w:u w:val="single"/>
        </w:rPr>
        <w:t>España es el quinto país de la OCDE donde más ha crecido la presión fiscal en trece años</w:t>
      </w:r>
      <w:r>
        <w:rPr>
          <w:spacing w:val="-8"/>
        </w:rPr>
        <w:t xml:space="preserve"> (El Economista - </w:t>
      </w:r>
      <w:r w:rsidRPr="00145B2C">
        <w:rPr>
          <w:b/>
          <w:spacing w:val="-8"/>
        </w:rPr>
        <w:t>21/11/24</w:t>
      </w:r>
      <w:r>
        <w:rPr>
          <w:spacing w:val="-8"/>
        </w:rPr>
        <w:t>)</w:t>
      </w:r>
    </w:p>
    <w:p w:rsidR="00640179" w:rsidRPr="00C93639" w:rsidRDefault="00640179" w:rsidP="00640179">
      <w:pPr>
        <w:pStyle w:val="NormalWeb"/>
        <w:shd w:val="clear" w:color="auto" w:fill="FFFFFF"/>
        <w:spacing w:after="0"/>
        <w:jc w:val="both"/>
        <w:textAlignment w:val="baseline"/>
        <w:rPr>
          <w:spacing w:val="-8"/>
        </w:rPr>
      </w:pPr>
      <w:r w:rsidRPr="00C93639">
        <w:rPr>
          <w:spacing w:val="-8"/>
        </w:rPr>
        <w:t xml:space="preserve">La carga tributaria aumentó hasta cinco puntos porcentuales </w:t>
      </w:r>
    </w:p>
    <w:p w:rsidR="00640179" w:rsidRPr="00C93639" w:rsidRDefault="00640179" w:rsidP="00640179">
      <w:pPr>
        <w:pStyle w:val="NormalWeb"/>
        <w:shd w:val="clear" w:color="auto" w:fill="FFFFFF"/>
        <w:spacing w:after="0"/>
        <w:jc w:val="both"/>
        <w:textAlignment w:val="baseline"/>
        <w:rPr>
          <w:spacing w:val="-8"/>
        </w:rPr>
      </w:pPr>
      <w:r w:rsidRPr="00C93639">
        <w:rPr>
          <w:spacing w:val="-8"/>
        </w:rPr>
        <w:t>La tasa tributaria sobre el PIB en 2023 fue del 37,3% frente al 33,9% de media de la OCDE</w:t>
      </w:r>
    </w:p>
    <w:p w:rsidR="00640179" w:rsidRPr="00C93639" w:rsidRDefault="00640179" w:rsidP="00640179">
      <w:pPr>
        <w:pStyle w:val="NormalWeb"/>
        <w:shd w:val="clear" w:color="auto" w:fill="FFFFFF"/>
        <w:spacing w:after="0"/>
        <w:jc w:val="both"/>
        <w:textAlignment w:val="baseline"/>
        <w:rPr>
          <w:spacing w:val="-8"/>
        </w:rPr>
      </w:pPr>
      <w:r w:rsidRPr="00C93639">
        <w:rPr>
          <w:spacing w:val="-8"/>
        </w:rPr>
        <w:t xml:space="preserve">En el año 2000 la carga era del 33% en nuestro país </w:t>
      </w:r>
    </w:p>
    <w:p w:rsidR="00640179" w:rsidRPr="00C93639" w:rsidRDefault="00640179" w:rsidP="00640179">
      <w:pPr>
        <w:pStyle w:val="NormalWeb"/>
        <w:shd w:val="clear" w:color="auto" w:fill="FFFFFF"/>
        <w:spacing w:after="0"/>
        <w:jc w:val="both"/>
        <w:textAlignment w:val="baseline"/>
        <w:rPr>
          <w:spacing w:val="-8"/>
        </w:rPr>
      </w:pPr>
      <w:r w:rsidRPr="00C93639">
        <w:rPr>
          <w:spacing w:val="-8"/>
        </w:rPr>
        <w:t>(Por Carlos Asensio)</w:t>
      </w:r>
    </w:p>
    <w:p w:rsidR="00640179" w:rsidRPr="00C93639" w:rsidRDefault="00640179" w:rsidP="00640179">
      <w:pPr>
        <w:pStyle w:val="NormalWeb"/>
        <w:shd w:val="clear" w:color="auto" w:fill="FFFFFF"/>
        <w:spacing w:after="0"/>
        <w:jc w:val="both"/>
        <w:textAlignment w:val="baseline"/>
        <w:rPr>
          <w:spacing w:val="-8"/>
        </w:rPr>
      </w:pPr>
      <w:r w:rsidRPr="00C93639">
        <w:rPr>
          <w:spacing w:val="-8"/>
        </w:rPr>
        <w:t>La OCDE destaca en su informe Estadísticas de ingresos 1965-2023, publicado este jueves, que España es uno de los países desarrollados donde más ha crecido la presión fiscal en los últimos trece años, con una proporción de ingresos del Gobierno central muy por encima de la de los autonómicos y locales.</w:t>
      </w:r>
    </w:p>
    <w:p w:rsidR="00640179" w:rsidRPr="00145B2C" w:rsidRDefault="00640179" w:rsidP="00640179">
      <w:pPr>
        <w:pStyle w:val="NormalWeb"/>
        <w:shd w:val="clear" w:color="auto" w:fill="FFFFFF"/>
        <w:spacing w:after="0"/>
        <w:jc w:val="both"/>
        <w:textAlignment w:val="baseline"/>
        <w:rPr>
          <w:spacing w:val="-8"/>
        </w:rPr>
      </w:pPr>
      <w:r w:rsidRPr="00145B2C">
        <w:rPr>
          <w:spacing w:val="-8"/>
        </w:rPr>
        <w:t>En concreto, el organismo multilateral sitúa a nuestro país como el quinto en presión fiscal de los 38 que lo conforman, en concreto 37,3% del PIB, frente al 33,9% de m</w:t>
      </w:r>
      <w:r w:rsidR="00C93639">
        <w:rPr>
          <w:spacing w:val="-8"/>
        </w:rPr>
        <w:t xml:space="preserve">edia del conjunto de países que </w:t>
      </w:r>
      <w:r w:rsidRPr="00145B2C">
        <w:rPr>
          <w:spacing w:val="-8"/>
        </w:rPr>
        <w:t xml:space="preserve">forman parte de la OCDE. Las cifras de España muestran una muy leve reducción de la presión fiscal con respecto a los años anteriores, pero prácticamente se mantuvo estancada. En 2020 registró una presión tributaria del 37,6% del PIB, mientras que en 2021 fue del 37,8%. La bajada no llega ni a un punto y está muy lejos del 33% </w:t>
      </w:r>
      <w:r>
        <w:rPr>
          <w:spacing w:val="-8"/>
        </w:rPr>
        <w:t>que se registró en el año 2000.</w:t>
      </w:r>
    </w:p>
    <w:p w:rsidR="00640179" w:rsidRPr="00145B2C" w:rsidRDefault="00640179" w:rsidP="00640179">
      <w:pPr>
        <w:pStyle w:val="NormalWeb"/>
        <w:shd w:val="clear" w:color="auto" w:fill="FFFFFF"/>
        <w:spacing w:after="0"/>
        <w:jc w:val="both"/>
        <w:textAlignment w:val="baseline"/>
        <w:rPr>
          <w:spacing w:val="-8"/>
        </w:rPr>
      </w:pPr>
      <w:r w:rsidRPr="00145B2C">
        <w:rPr>
          <w:spacing w:val="-8"/>
        </w:rPr>
        <w:lastRenderedPageBreak/>
        <w:t>En líneas generales, la presión en estos últimos trece años aumentó en 29 países, pero en la OCDE destacan a Esp</w:t>
      </w:r>
      <w:r>
        <w:rPr>
          <w:spacing w:val="-8"/>
        </w:rPr>
        <w:t>aña, Portugal y Luxemburgo con “</w:t>
      </w:r>
      <w:r w:rsidRPr="00145B2C">
        <w:rPr>
          <w:spacing w:val="-8"/>
        </w:rPr>
        <w:t>aumentos de m</w:t>
      </w:r>
      <w:r>
        <w:rPr>
          <w:spacing w:val="-8"/>
        </w:rPr>
        <w:t>ás de cinco puntos porcentuales”</w:t>
      </w:r>
      <w:r w:rsidRPr="00145B2C">
        <w:rPr>
          <w:spacing w:val="-8"/>
        </w:rPr>
        <w:t xml:space="preserve"> en la presión fiscal. Por otro lado, la caída más grande se registró en Irlanda, que pasó del 27,7% de tasas sobre el PIB en 2010 al 21,0% el año </w:t>
      </w:r>
      <w:r>
        <w:rPr>
          <w:spacing w:val="-8"/>
        </w:rPr>
        <w:t>pasado.</w:t>
      </w:r>
    </w:p>
    <w:p w:rsidR="00640179" w:rsidRPr="00145B2C" w:rsidRDefault="00640179" w:rsidP="00640179">
      <w:pPr>
        <w:pStyle w:val="NormalWeb"/>
        <w:shd w:val="clear" w:color="auto" w:fill="FFFFFF"/>
        <w:spacing w:after="0"/>
        <w:jc w:val="both"/>
        <w:textAlignment w:val="baseline"/>
        <w:rPr>
          <w:spacing w:val="-8"/>
        </w:rPr>
      </w:pPr>
      <w:r w:rsidRPr="00145B2C">
        <w:rPr>
          <w:spacing w:val="-8"/>
        </w:rPr>
        <w:t>En comparación con otras economías similares, destaca Francia como uno de los países que más cargas fiscales tienen, por segundo año consecutivo. El país vecino cerró el año fiscal de 2023 en un 43,8% con respecto al PIB.</w:t>
      </w:r>
      <w:r>
        <w:rPr>
          <w:spacing w:val="-8"/>
        </w:rPr>
        <w:t xml:space="preserve"> </w:t>
      </w:r>
      <w:r w:rsidRPr="00145B2C">
        <w:rPr>
          <w:spacing w:val="-8"/>
        </w:rPr>
        <w:t>Le siguen Dinamarca e Italia, con un 43,4% y un 42,8% respectivamente. Austria ostenta también un lugar alto en la tabla, con una carga del 42,8%, seguida por Bélgica</w:t>
      </w:r>
      <w:r>
        <w:rPr>
          <w:spacing w:val="-8"/>
        </w:rPr>
        <w:t xml:space="preserve"> (42,6 %) y Finlandia (42,4 %).</w:t>
      </w:r>
    </w:p>
    <w:p w:rsidR="00640179" w:rsidRPr="00145B2C" w:rsidRDefault="00640179" w:rsidP="00640179">
      <w:pPr>
        <w:pStyle w:val="NormalWeb"/>
        <w:shd w:val="clear" w:color="auto" w:fill="FFFFFF"/>
        <w:spacing w:after="0"/>
        <w:jc w:val="both"/>
        <w:textAlignment w:val="baseline"/>
        <w:rPr>
          <w:spacing w:val="-8"/>
        </w:rPr>
      </w:pPr>
      <w:r w:rsidRPr="00145B2C">
        <w:rPr>
          <w:spacing w:val="-8"/>
        </w:rPr>
        <w:t>Los expertos del think tank introduc</w:t>
      </w:r>
      <w:r>
        <w:rPr>
          <w:spacing w:val="-8"/>
        </w:rPr>
        <w:t>en a España en la categoría de “país regional”</w:t>
      </w:r>
      <w:r w:rsidRPr="00145B2C">
        <w:rPr>
          <w:spacing w:val="-8"/>
        </w:rPr>
        <w:t xml:space="preserve"> en lugar de unitario, </w:t>
      </w:r>
      <w:r>
        <w:rPr>
          <w:spacing w:val="-8"/>
        </w:rPr>
        <w:t>ya que lo consideran un Estado “</w:t>
      </w:r>
      <w:r w:rsidRPr="00145B2C">
        <w:rPr>
          <w:spacing w:val="-8"/>
        </w:rPr>
        <w:t>altamente descentrali</w:t>
      </w:r>
      <w:r>
        <w:rPr>
          <w:spacing w:val="-8"/>
        </w:rPr>
        <w:t>zado”</w:t>
      </w:r>
      <w:r w:rsidRPr="00145B2C">
        <w:rPr>
          <w:spacing w:val="-8"/>
        </w:rPr>
        <w:t xml:space="preserve"> y, por tanto, existen diferentes componentes tributarios de ingresos en función del nivel de la administración. En este sentido, la proporción de los ingresos del Gobierno central en 2022 fue del 42,5%, en comparación con el 15,1% para el Gobierno regional y el 8,2% para el </w:t>
      </w:r>
      <w:r>
        <w:rPr>
          <w:spacing w:val="-8"/>
        </w:rPr>
        <w:t>local, según reza el documento.</w:t>
      </w:r>
    </w:p>
    <w:p w:rsidR="00640179" w:rsidRPr="00145B2C" w:rsidRDefault="00640179" w:rsidP="00640179">
      <w:pPr>
        <w:pStyle w:val="NormalWeb"/>
        <w:shd w:val="clear" w:color="auto" w:fill="FFFFFF"/>
        <w:spacing w:after="0"/>
        <w:jc w:val="both"/>
        <w:textAlignment w:val="baseline"/>
        <w:rPr>
          <w:spacing w:val="-8"/>
        </w:rPr>
      </w:pPr>
      <w:r w:rsidRPr="00145B2C">
        <w:rPr>
          <w:spacing w:val="-8"/>
        </w:rPr>
        <w:t xml:space="preserve">En el lado alto de la tabla, Estados Unidos encabeza la lista como el país con menores gravámenes (25,2% del PIB), le siguen Costa Rica (24,9%), Turquía (23,5%), Colombia (22,2%), Irlanda (21,9%), </w:t>
      </w:r>
      <w:r>
        <w:rPr>
          <w:spacing w:val="-8"/>
        </w:rPr>
        <w:t>Chile (20,6%) y México (17,7%).</w:t>
      </w:r>
    </w:p>
    <w:p w:rsidR="00640179" w:rsidRPr="00145B2C" w:rsidRDefault="00640179" w:rsidP="00640179">
      <w:pPr>
        <w:pStyle w:val="NormalWeb"/>
        <w:shd w:val="clear" w:color="auto" w:fill="FFFFFF"/>
        <w:spacing w:after="0"/>
        <w:jc w:val="both"/>
        <w:textAlignment w:val="baseline"/>
        <w:rPr>
          <w:spacing w:val="-8"/>
        </w:rPr>
      </w:pPr>
      <w:r w:rsidRPr="00145B2C">
        <w:rPr>
          <w:spacing w:val="-8"/>
        </w:rPr>
        <w:t>Desde la OCDE cuentan que el año 2021</w:t>
      </w:r>
      <w:r>
        <w:rPr>
          <w:spacing w:val="-8"/>
        </w:rPr>
        <w:t>, se registraron</w:t>
      </w:r>
      <w:r w:rsidRPr="00145B2C">
        <w:rPr>
          <w:spacing w:val="-8"/>
        </w:rPr>
        <w:t xml:space="preserve"> los porcentajes de fiscalidad más alta, con España a un 37,8% del PIB, frente a una media del conjunto del grupo de 34,1%. Explican que esto se debe a que la pandemia de la Covid-19 provocó una profunda recesión global que redujo sustancialmente el PIB e incrementó el </w:t>
      </w:r>
      <w:r>
        <w:rPr>
          <w:spacing w:val="-8"/>
        </w:rPr>
        <w:t>peso relativo de los impuestos.</w:t>
      </w:r>
    </w:p>
    <w:p w:rsidR="00640179" w:rsidRPr="00145B2C" w:rsidRDefault="00640179" w:rsidP="00640179">
      <w:pPr>
        <w:pStyle w:val="NormalWeb"/>
        <w:shd w:val="clear" w:color="auto" w:fill="FFFFFF"/>
        <w:spacing w:after="0"/>
        <w:jc w:val="both"/>
        <w:textAlignment w:val="baseline"/>
        <w:rPr>
          <w:spacing w:val="-8"/>
        </w:rPr>
      </w:pPr>
      <w:r w:rsidRPr="00145B2C">
        <w:rPr>
          <w:spacing w:val="-8"/>
        </w:rPr>
        <w:t>Asimismo, desde 2010, año en el que se notaron las consecuencias de la crisis financier</w:t>
      </w:r>
      <w:r>
        <w:rPr>
          <w:spacing w:val="-8"/>
        </w:rPr>
        <w:t>a, el peso de los impuestos era</w:t>
      </w:r>
      <w:r w:rsidRPr="00145B2C">
        <w:rPr>
          <w:spacing w:val="-8"/>
        </w:rPr>
        <w:t xml:space="preserve"> en España un 31,3 %, netamente por debajo del 36,4 % que suponían en 2007, en vísperas del estal</w:t>
      </w:r>
      <w:r>
        <w:rPr>
          <w:spacing w:val="-8"/>
        </w:rPr>
        <w:t>lido de dicha crisis económica.</w:t>
      </w:r>
    </w:p>
    <w:p w:rsidR="00640179" w:rsidRPr="00145B2C" w:rsidRDefault="00640179" w:rsidP="00640179">
      <w:pPr>
        <w:pStyle w:val="NormalWeb"/>
        <w:shd w:val="clear" w:color="auto" w:fill="FFFFFF"/>
        <w:spacing w:after="0"/>
        <w:jc w:val="both"/>
        <w:textAlignment w:val="baseline"/>
        <w:rPr>
          <w:spacing w:val="-8"/>
        </w:rPr>
      </w:pPr>
      <w:r w:rsidRPr="00145B2C">
        <w:rPr>
          <w:spacing w:val="-8"/>
        </w:rPr>
        <w:t>A nivel general, la estructura fiscal de España es bastante similar a la del resto de países del entorno europeo. En la mayoría, las contribuciones a la Seguridad Social son la principal partida, suponiendo entre el 10% y el 15% del PIB. En el año 2023 en España fue del 12,9% que, a comparación de Francia (14,6 %) y Alemania (14,7 %), son mucho menores. En cambio, están muy lejos del 6,7% del Reino Unid</w:t>
      </w:r>
      <w:r>
        <w:rPr>
          <w:spacing w:val="-8"/>
        </w:rPr>
        <w:t>o y del 6,1% de Estados Unidos.</w:t>
      </w:r>
    </w:p>
    <w:p w:rsidR="00640179" w:rsidRPr="00145B2C" w:rsidRDefault="00640179" w:rsidP="00640179">
      <w:pPr>
        <w:pStyle w:val="NormalWeb"/>
        <w:shd w:val="clear" w:color="auto" w:fill="FFFFFF"/>
        <w:spacing w:after="0"/>
        <w:jc w:val="both"/>
        <w:textAlignment w:val="baseline"/>
        <w:rPr>
          <w:spacing w:val="-8"/>
        </w:rPr>
      </w:pPr>
      <w:r w:rsidRPr="00145B2C">
        <w:rPr>
          <w:spacing w:val="-8"/>
        </w:rPr>
        <w:t xml:space="preserve">El impuesto sobre la </w:t>
      </w:r>
      <w:r>
        <w:rPr>
          <w:spacing w:val="-8"/>
        </w:rPr>
        <w:t>renta y sobre los beneficios es</w:t>
      </w:r>
      <w:r w:rsidRPr="00145B2C">
        <w:rPr>
          <w:spacing w:val="-8"/>
        </w:rPr>
        <w:t xml:space="preserve"> la segunda partida más alta, concretamente un 12% del PIB, mientras las tasas de los bienes y servicios tenían un peso del 10%.</w:t>
      </w:r>
    </w:p>
    <w:p w:rsidR="00640179" w:rsidRPr="00145B2C" w:rsidRDefault="00640179" w:rsidP="00640179">
      <w:pPr>
        <w:pStyle w:val="NormalWeb"/>
        <w:shd w:val="clear" w:color="auto" w:fill="FFFFFF"/>
        <w:spacing w:after="0"/>
        <w:jc w:val="both"/>
        <w:textAlignment w:val="baseline"/>
        <w:rPr>
          <w:spacing w:val="-8"/>
        </w:rPr>
      </w:pPr>
      <w:r w:rsidRPr="00145B2C">
        <w:rPr>
          <w:spacing w:val="-8"/>
        </w:rPr>
        <w:t>Si se aísla el impuesto de Sociedades (el que pagan las empresas por sus beneficios), en 2022, último año para el que hay cifras, en España subió una décima hasta el 2,7% del PIB, con un peso relativo bastante bajo, muy inferior al 3,9% de media en la OCDE.</w:t>
      </w:r>
    </w:p>
    <w:p w:rsidR="00640179" w:rsidRPr="00145B2C" w:rsidRDefault="00640179" w:rsidP="00640179">
      <w:pPr>
        <w:pStyle w:val="NormalWeb"/>
        <w:shd w:val="clear" w:color="auto" w:fill="FFFFFF"/>
        <w:spacing w:after="0"/>
        <w:jc w:val="both"/>
        <w:textAlignment w:val="baseline"/>
        <w:rPr>
          <w:spacing w:val="-8"/>
        </w:rPr>
      </w:pPr>
      <w:r w:rsidRPr="00145B2C">
        <w:rPr>
          <w:spacing w:val="-8"/>
        </w:rPr>
        <w:t>Esas tasas corporativas eran particularmente altas en Australia (6,4 % del PIB), Chile (5,6%), Corea del Sur (5,4%), Colombia (5%) y, sobre todo, Noruega (18,4%). En Estados Unidos, por el contrario, los gravámenes a las empresas se limitaban en 2022 al 2% del PIB.</w:t>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145B2C">
        <w:rPr>
          <w:rFonts w:ascii="Times New Roman" w:hAnsi="Times New Roman" w:cs="Times New Roman"/>
          <w:noProof/>
          <w:color w:val="000000"/>
          <w:sz w:val="24"/>
          <w:szCs w:val="24"/>
          <w:shd w:val="clear" w:color="auto" w:fill="FFFFFF"/>
          <w:lang w:eastAsia="es-ES"/>
        </w:rPr>
        <w:lastRenderedPageBreak/>
        <w:drawing>
          <wp:inline distT="0" distB="0" distL="0" distR="0" wp14:anchorId="1D20459B" wp14:editId="7A1B1D5A">
            <wp:extent cx="5810250" cy="4603002"/>
            <wp:effectExtent l="0" t="0" r="0" b="762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814070" cy="4606028"/>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D60634">
        <w:rPr>
          <w:rFonts w:ascii="Times New Roman" w:hAnsi="Times New Roman" w:cs="Times New Roman"/>
          <w:noProof/>
          <w:color w:val="000000"/>
          <w:sz w:val="24"/>
          <w:szCs w:val="24"/>
          <w:shd w:val="clear" w:color="auto" w:fill="FFFFFF"/>
          <w:lang w:eastAsia="es-ES"/>
        </w:rPr>
        <w:drawing>
          <wp:inline distT="0" distB="0" distL="0" distR="0" wp14:anchorId="7D4201EC" wp14:editId="6850C13B">
            <wp:extent cx="5810250" cy="3243782"/>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807676" cy="3242345"/>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D60634">
        <w:rPr>
          <w:rFonts w:ascii="Times New Roman" w:hAnsi="Times New Roman" w:cs="Times New Roman"/>
          <w:noProof/>
          <w:color w:val="000000"/>
          <w:sz w:val="24"/>
          <w:szCs w:val="24"/>
          <w:shd w:val="clear" w:color="auto" w:fill="FFFFFF"/>
          <w:lang w:eastAsia="es-ES"/>
        </w:rPr>
        <w:lastRenderedPageBreak/>
        <w:drawing>
          <wp:inline distT="0" distB="0" distL="0" distR="0" wp14:anchorId="7D11D011" wp14:editId="2F682200">
            <wp:extent cx="5731510" cy="4617050"/>
            <wp:effectExtent l="0" t="0" r="254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731510" cy="4617050"/>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D60634">
        <w:rPr>
          <w:rFonts w:ascii="Times New Roman" w:hAnsi="Times New Roman" w:cs="Times New Roman"/>
          <w:noProof/>
          <w:color w:val="000000"/>
          <w:sz w:val="24"/>
          <w:szCs w:val="24"/>
          <w:shd w:val="clear" w:color="auto" w:fill="FFFFFF"/>
          <w:lang w:eastAsia="es-ES"/>
        </w:rPr>
        <w:drawing>
          <wp:inline distT="0" distB="0" distL="0" distR="0" wp14:anchorId="48ED1D5C" wp14:editId="4B8C3793">
            <wp:extent cx="5731510" cy="1491662"/>
            <wp:effectExtent l="0" t="0" r="254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731510" cy="1491662"/>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6C5A23">
        <w:rPr>
          <w:rFonts w:ascii="Times New Roman" w:hAnsi="Times New Roman" w:cs="Times New Roman"/>
          <w:color w:val="000000"/>
          <w:sz w:val="24"/>
          <w:szCs w:val="24"/>
          <w:u w:val="single"/>
          <w:shd w:val="clear" w:color="auto" w:fill="FFFFFF"/>
        </w:rPr>
        <w:t>Competitividad fiscal 2024</w:t>
      </w:r>
      <w:r>
        <w:rPr>
          <w:rFonts w:ascii="Times New Roman" w:hAnsi="Times New Roman" w:cs="Times New Roman"/>
          <w:color w:val="000000"/>
          <w:sz w:val="24"/>
          <w:szCs w:val="24"/>
          <w:shd w:val="clear" w:color="auto" w:fill="FFFFFF"/>
        </w:rPr>
        <w:t xml:space="preserve"> (Fuente: </w:t>
      </w:r>
      <w:r w:rsidRPr="00B41107">
        <w:rPr>
          <w:rFonts w:ascii="Times New Roman" w:hAnsi="Times New Roman" w:cs="Times New Roman"/>
          <w:color w:val="000000"/>
          <w:sz w:val="24"/>
          <w:szCs w:val="24"/>
          <w:shd w:val="clear" w:color="auto" w:fill="FFFFFF"/>
        </w:rPr>
        <w:t>Institu</w:t>
      </w:r>
      <w:r>
        <w:rPr>
          <w:rFonts w:ascii="Times New Roman" w:hAnsi="Times New Roman" w:cs="Times New Roman"/>
          <w:color w:val="000000"/>
          <w:sz w:val="24"/>
          <w:szCs w:val="24"/>
          <w:shd w:val="clear" w:color="auto" w:fill="FFFFFF"/>
        </w:rPr>
        <w:t xml:space="preserve">to de Estudios Económicos (IEE) - </w:t>
      </w:r>
      <w:r>
        <w:rPr>
          <w:rFonts w:ascii="Times New Roman" w:hAnsi="Times New Roman" w:cs="Times New Roman"/>
          <w:b/>
          <w:color w:val="000000"/>
          <w:sz w:val="24"/>
          <w:szCs w:val="24"/>
          <w:shd w:val="clear" w:color="auto" w:fill="FFFFFF"/>
        </w:rPr>
        <w:t>Nov. 20</w:t>
      </w:r>
      <w:r w:rsidRPr="00B41107">
        <w:rPr>
          <w:rFonts w:ascii="Times New Roman" w:hAnsi="Times New Roman" w:cs="Times New Roman"/>
          <w:b/>
          <w:color w:val="000000"/>
          <w:sz w:val="24"/>
          <w:szCs w:val="24"/>
          <w:shd w:val="clear" w:color="auto" w:fill="FFFFFF"/>
        </w:rPr>
        <w:t>24</w:t>
      </w:r>
      <w:r>
        <w:rPr>
          <w:rFonts w:ascii="Times New Roman" w:hAnsi="Times New Roman" w:cs="Times New Roman"/>
          <w:color w:val="000000"/>
          <w:sz w:val="24"/>
          <w:szCs w:val="24"/>
          <w:shd w:val="clear" w:color="auto" w:fill="FFFFFF"/>
        </w:rPr>
        <w:t xml:space="preserve">) </w:t>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B41107">
        <w:rPr>
          <w:rFonts w:ascii="Times New Roman" w:hAnsi="Times New Roman" w:cs="Times New Roman"/>
          <w:color w:val="000000"/>
          <w:sz w:val="24"/>
          <w:szCs w:val="24"/>
          <w:shd w:val="clear" w:color="auto" w:fill="FFFFFF"/>
        </w:rPr>
        <w:t>El Índice de Competitividad F</w:t>
      </w:r>
      <w:r>
        <w:rPr>
          <w:rFonts w:ascii="Times New Roman" w:hAnsi="Times New Roman" w:cs="Times New Roman"/>
          <w:color w:val="000000"/>
          <w:sz w:val="24"/>
          <w:szCs w:val="24"/>
          <w:shd w:val="clear" w:color="auto" w:fill="FFFFFF"/>
        </w:rPr>
        <w:t xml:space="preserve">iscal (ICF) permite, </w:t>
      </w:r>
      <w:r w:rsidRPr="00B41107">
        <w:rPr>
          <w:rFonts w:ascii="Times New Roman" w:hAnsi="Times New Roman" w:cs="Times New Roman"/>
          <w:color w:val="000000"/>
          <w:sz w:val="24"/>
          <w:szCs w:val="24"/>
          <w:shd w:val="clear" w:color="auto" w:fill="FFFFFF"/>
        </w:rPr>
        <w:t>c</w:t>
      </w:r>
      <w:r>
        <w:rPr>
          <w:rFonts w:ascii="Times New Roman" w:hAnsi="Times New Roman" w:cs="Times New Roman"/>
          <w:color w:val="000000"/>
          <w:sz w:val="24"/>
          <w:szCs w:val="24"/>
          <w:shd w:val="clear" w:color="auto" w:fill="FFFFFF"/>
        </w:rPr>
        <w:t xml:space="preserve">omparar el diseño de las normas </w:t>
      </w:r>
      <w:r w:rsidRPr="00B41107">
        <w:rPr>
          <w:rFonts w:ascii="Times New Roman" w:hAnsi="Times New Roman" w:cs="Times New Roman"/>
          <w:color w:val="000000"/>
          <w:sz w:val="24"/>
          <w:szCs w:val="24"/>
          <w:shd w:val="clear" w:color="auto" w:fill="FFFFFF"/>
        </w:rPr>
        <w:t xml:space="preserve">tributarias de las economías desarrolladas, desvelando qué </w:t>
      </w:r>
      <w:r>
        <w:rPr>
          <w:rFonts w:ascii="Times New Roman" w:hAnsi="Times New Roman" w:cs="Times New Roman"/>
          <w:color w:val="000000"/>
          <w:sz w:val="24"/>
          <w:szCs w:val="24"/>
          <w:shd w:val="clear" w:color="auto" w:fill="FFFFFF"/>
        </w:rPr>
        <w:t xml:space="preserve">países presentan un sistema más </w:t>
      </w:r>
      <w:r w:rsidRPr="00B41107">
        <w:rPr>
          <w:rFonts w:ascii="Times New Roman" w:hAnsi="Times New Roman" w:cs="Times New Roman"/>
          <w:color w:val="000000"/>
          <w:sz w:val="24"/>
          <w:szCs w:val="24"/>
          <w:shd w:val="clear" w:color="auto" w:fill="FFFFFF"/>
        </w:rPr>
        <w:t>inteligente y favorecedor del crecimiento y evidenciando qué demarcaciones sufren un modelo más obstruccionista y entorpecedor del desarrollo y el</w:t>
      </w:r>
      <w:r>
        <w:rPr>
          <w:rFonts w:ascii="Times New Roman" w:hAnsi="Times New Roman" w:cs="Times New Roman"/>
          <w:color w:val="000000"/>
          <w:sz w:val="24"/>
          <w:szCs w:val="24"/>
          <w:shd w:val="clear" w:color="auto" w:fill="FFFFFF"/>
        </w:rPr>
        <w:t xml:space="preserve"> progreso socioeconómico, entre </w:t>
      </w:r>
      <w:r w:rsidRPr="00B41107">
        <w:rPr>
          <w:rFonts w:ascii="Times New Roman" w:hAnsi="Times New Roman" w:cs="Times New Roman"/>
          <w:color w:val="000000"/>
          <w:sz w:val="24"/>
          <w:szCs w:val="24"/>
          <w:shd w:val="clear" w:color="auto" w:fill="FFFFFF"/>
        </w:rPr>
        <w:t>las que, lamentablemente, cada ve</w:t>
      </w:r>
      <w:r>
        <w:rPr>
          <w:rFonts w:ascii="Times New Roman" w:hAnsi="Times New Roman" w:cs="Times New Roman"/>
          <w:color w:val="000000"/>
          <w:sz w:val="24"/>
          <w:szCs w:val="24"/>
          <w:shd w:val="clear" w:color="auto" w:fill="FFFFFF"/>
        </w:rPr>
        <w:t>z destaca más España (Tabla 1).</w:t>
      </w:r>
    </w:p>
    <w:p w:rsidR="00640179" w:rsidRDefault="00640179" w:rsidP="00640179">
      <w:pPr>
        <w:spacing w:line="240" w:lineRule="auto"/>
        <w:jc w:val="both"/>
        <w:rPr>
          <w:rFonts w:ascii="Times New Roman" w:hAnsi="Times New Roman" w:cs="Times New Roman"/>
          <w:color w:val="000000"/>
          <w:sz w:val="24"/>
          <w:szCs w:val="24"/>
          <w:shd w:val="clear" w:color="auto" w:fill="FFFFFF"/>
        </w:rPr>
      </w:pPr>
    </w:p>
    <w:p w:rsidR="00640179" w:rsidRDefault="00640179" w:rsidP="00640179">
      <w:pPr>
        <w:spacing w:line="240" w:lineRule="auto"/>
        <w:jc w:val="both"/>
        <w:rPr>
          <w:rFonts w:ascii="Times New Roman" w:hAnsi="Times New Roman" w:cs="Times New Roman"/>
          <w:color w:val="000000"/>
          <w:sz w:val="24"/>
          <w:szCs w:val="24"/>
          <w:shd w:val="clear" w:color="auto" w:fill="FFFFFF"/>
        </w:rPr>
      </w:pPr>
    </w:p>
    <w:p w:rsidR="00640179" w:rsidRDefault="00640179" w:rsidP="00640179">
      <w:pPr>
        <w:spacing w:line="240" w:lineRule="auto"/>
        <w:jc w:val="both"/>
        <w:rPr>
          <w:rFonts w:ascii="Times New Roman" w:hAnsi="Times New Roman" w:cs="Times New Roman"/>
          <w:color w:val="000000"/>
          <w:sz w:val="24"/>
          <w:szCs w:val="24"/>
          <w:shd w:val="clear" w:color="auto" w:fill="FFFFFF"/>
        </w:rPr>
      </w:pPr>
    </w:p>
    <w:p w:rsidR="00640179" w:rsidRDefault="00640179" w:rsidP="00640179">
      <w:pPr>
        <w:spacing w:line="240" w:lineRule="auto"/>
        <w:jc w:val="both"/>
        <w:rPr>
          <w:rFonts w:ascii="Times New Roman" w:hAnsi="Times New Roman" w:cs="Times New Roman"/>
          <w:color w:val="000000"/>
          <w:sz w:val="24"/>
          <w:szCs w:val="24"/>
          <w:shd w:val="clear" w:color="auto" w:fill="FFFFFF"/>
        </w:rPr>
      </w:pPr>
    </w:p>
    <w:p w:rsidR="00C93639" w:rsidRDefault="00C93639" w:rsidP="00640179">
      <w:pPr>
        <w:spacing w:line="240" w:lineRule="auto"/>
        <w:jc w:val="both"/>
        <w:rPr>
          <w:rFonts w:ascii="Times New Roman" w:hAnsi="Times New Roman" w:cs="Times New Roman"/>
          <w:color w:val="000000"/>
          <w:sz w:val="24"/>
          <w:szCs w:val="24"/>
          <w:shd w:val="clear" w:color="auto" w:fill="FFFFFF"/>
        </w:rPr>
      </w:pP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347ABB">
        <w:rPr>
          <w:rFonts w:ascii="Times New Roman" w:hAnsi="Times New Roman" w:cs="Times New Roman"/>
          <w:noProof/>
          <w:color w:val="000000"/>
          <w:sz w:val="24"/>
          <w:szCs w:val="24"/>
          <w:shd w:val="clear" w:color="auto" w:fill="FFFFFF"/>
          <w:lang w:eastAsia="es-ES"/>
        </w:rPr>
        <w:drawing>
          <wp:inline distT="0" distB="0" distL="0" distR="0" wp14:anchorId="5D3CE47B" wp14:editId="041639F9">
            <wp:extent cx="5733416" cy="3270250"/>
            <wp:effectExtent l="0" t="0" r="635" b="635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731510" cy="3269163"/>
                    </a:xfrm>
                    <a:prstGeom prst="rect">
                      <a:avLst/>
                    </a:prstGeom>
                  </pic:spPr>
                </pic:pic>
              </a:graphicData>
            </a:graphic>
          </wp:inline>
        </w:drawing>
      </w:r>
      <w:r w:rsidRPr="00347ABB">
        <w:rPr>
          <w:rFonts w:ascii="Times New Roman" w:hAnsi="Times New Roman" w:cs="Times New Roman"/>
          <w:noProof/>
          <w:color w:val="000000"/>
          <w:sz w:val="24"/>
          <w:szCs w:val="24"/>
          <w:shd w:val="clear" w:color="auto" w:fill="FFFFFF"/>
          <w:lang w:eastAsia="es-ES"/>
        </w:rPr>
        <w:drawing>
          <wp:inline distT="0" distB="0" distL="0" distR="0" wp14:anchorId="63BABF86" wp14:editId="0E526F1E">
            <wp:extent cx="5734050" cy="314325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731510" cy="3141858"/>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B41107">
        <w:rPr>
          <w:rFonts w:ascii="Times New Roman" w:hAnsi="Times New Roman" w:cs="Times New Roman"/>
          <w:noProof/>
          <w:color w:val="000000"/>
          <w:sz w:val="24"/>
          <w:szCs w:val="24"/>
          <w:shd w:val="clear" w:color="auto" w:fill="FFFFFF"/>
          <w:lang w:eastAsia="es-ES"/>
        </w:rPr>
        <w:lastRenderedPageBreak/>
        <w:drawing>
          <wp:inline distT="0" distB="0" distL="0" distR="0" wp14:anchorId="0B7D99E8" wp14:editId="6C86221C">
            <wp:extent cx="5731510" cy="5477014"/>
            <wp:effectExtent l="0" t="0" r="2540" b="9525"/>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731510" cy="5477014"/>
                    </a:xfrm>
                    <a:prstGeom prst="rect">
                      <a:avLst/>
                    </a:prstGeom>
                  </pic:spPr>
                </pic:pic>
              </a:graphicData>
            </a:graphic>
          </wp:inline>
        </w:drawing>
      </w:r>
      <w:r w:rsidRPr="00B41107">
        <w:rPr>
          <w:rFonts w:ascii="Times New Roman" w:hAnsi="Times New Roman" w:cs="Times New Roman"/>
          <w:noProof/>
          <w:color w:val="000000"/>
          <w:sz w:val="24"/>
          <w:szCs w:val="24"/>
          <w:shd w:val="clear" w:color="auto" w:fill="FFFFFF"/>
          <w:lang w:eastAsia="es-ES"/>
        </w:rPr>
        <w:drawing>
          <wp:inline distT="0" distB="0" distL="0" distR="0" wp14:anchorId="70D77B4A" wp14:editId="15A1AE1C">
            <wp:extent cx="5611008" cy="2772162"/>
            <wp:effectExtent l="0" t="0" r="8890" b="9525"/>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5611008" cy="2772162"/>
                    </a:xfrm>
                    <a:prstGeom prst="rect">
                      <a:avLst/>
                    </a:prstGeom>
                  </pic:spPr>
                </pic:pic>
              </a:graphicData>
            </a:graphic>
          </wp:inline>
        </w:drawing>
      </w:r>
      <w:r>
        <w:rPr>
          <w:rFonts w:ascii="Times New Roman" w:hAnsi="Times New Roman" w:cs="Times New Roman"/>
          <w:color w:val="000000"/>
          <w:sz w:val="24"/>
          <w:szCs w:val="24"/>
          <w:shd w:val="clear" w:color="auto" w:fill="FFFFFF"/>
        </w:rPr>
        <w:t xml:space="preserve"> </w:t>
      </w:r>
    </w:p>
    <w:p w:rsidR="00640179" w:rsidRPr="00347ABB" w:rsidRDefault="00640179" w:rsidP="00640179">
      <w:pPr>
        <w:spacing w:line="240" w:lineRule="auto"/>
        <w:jc w:val="both"/>
        <w:rPr>
          <w:rFonts w:ascii="Times New Roman" w:hAnsi="Times New Roman" w:cs="Times New Roman"/>
          <w:sz w:val="24"/>
          <w:szCs w:val="24"/>
        </w:rPr>
      </w:pPr>
      <w:r w:rsidRPr="00347ABB">
        <w:rPr>
          <w:rFonts w:ascii="Times New Roman" w:hAnsi="Times New Roman" w:cs="Times New Roman"/>
          <w:sz w:val="24"/>
          <w:szCs w:val="24"/>
        </w:rPr>
        <w:t xml:space="preserve">En el ICF, España se sitúa, en el año 2024, en la posición 33 del total de los 38 países analizados, dos puestos por debajo que el año anterior, pero 10 puestos más abajo que la </w:t>
      </w:r>
      <w:r w:rsidRPr="00347ABB">
        <w:rPr>
          <w:rFonts w:ascii="Times New Roman" w:hAnsi="Times New Roman" w:cs="Times New Roman"/>
          <w:sz w:val="24"/>
          <w:szCs w:val="24"/>
        </w:rPr>
        <w:lastRenderedPageBreak/>
        <w:t xml:space="preserve">posición 23 que ocupaba en 2019 y tres más debajo de la 30 del 2021. Esto muestra una pérdida notable de competitividad fiscal en nuestro país desde la posición anterior a la pandemia, reflejando el efecto de las subidas de impuestos a empresas y empresarios, tendencia que el Gobierno parece decidido a mantener en la presente legislatura, con continuadas subidas de impuestos y cotizaciones sociales. </w:t>
      </w:r>
    </w:p>
    <w:p w:rsidR="00640179" w:rsidRPr="00347ABB" w:rsidRDefault="00640179" w:rsidP="00640179">
      <w:pPr>
        <w:spacing w:line="240" w:lineRule="auto"/>
        <w:jc w:val="both"/>
        <w:rPr>
          <w:rFonts w:ascii="Times New Roman" w:hAnsi="Times New Roman" w:cs="Times New Roman"/>
          <w:sz w:val="24"/>
          <w:szCs w:val="24"/>
        </w:rPr>
      </w:pPr>
      <w:r w:rsidRPr="00347ABB">
        <w:rPr>
          <w:rFonts w:ascii="Times New Roman" w:hAnsi="Times New Roman" w:cs="Times New Roman"/>
          <w:sz w:val="24"/>
          <w:szCs w:val="24"/>
        </w:rPr>
        <w:t xml:space="preserve">A partir del ICF, el Instituto de Estudios Económicos ha desarrollado un indicador denominado Indicador de presión fiscal normativa, entendida esta como la carga de gravamen que el diseño del sistema fiscal introduce en las economías, al margen de la recaudación que obtenga, y en 2024 dicho indicador se sitúa en 117 puntos, un 17% más elevada que la media de la UE, mostrando una clara tendencia al alza sobre los 112,8 puntos de 2021 o los 110,5 puntos del año 2020. La situación de España es, también, un 16,3% peor que la del promedio de los países de la OCDE, que tiene 100,7 puntos. </w:t>
      </w:r>
    </w:p>
    <w:p w:rsidR="00640179" w:rsidRPr="00347ABB" w:rsidRDefault="00640179" w:rsidP="00640179">
      <w:pPr>
        <w:spacing w:line="240" w:lineRule="auto"/>
        <w:jc w:val="both"/>
        <w:rPr>
          <w:rFonts w:ascii="Times New Roman" w:hAnsi="Times New Roman" w:cs="Times New Roman"/>
          <w:sz w:val="24"/>
          <w:szCs w:val="24"/>
        </w:rPr>
      </w:pPr>
      <w:r w:rsidRPr="00347ABB">
        <w:rPr>
          <w:rFonts w:ascii="Times New Roman" w:hAnsi="Times New Roman" w:cs="Times New Roman"/>
          <w:b/>
          <w:sz w:val="24"/>
          <w:szCs w:val="24"/>
        </w:rPr>
        <w:t>En cuanto al esfuerzo fiscal, que tiene en cuenta la diferencia en los niveles de renta relativos de los distintos países, estableciendo la UE-27 como nivel 100, se puede apreciar que, con cifras de 2023, España realiza un esfuerzo fiscal un 13,7% superior al de la Unión Europea,</w:t>
      </w:r>
      <w:r w:rsidRPr="00347ABB">
        <w:rPr>
          <w:rFonts w:ascii="Times New Roman" w:hAnsi="Times New Roman" w:cs="Times New Roman"/>
          <w:sz w:val="24"/>
          <w:szCs w:val="24"/>
        </w:rPr>
        <w:t xml:space="preserve"> que ya, de por sí, es bastante elevado en el contexto internacional, muy por encima del de otros países de la OCDE. Entre las grandes economías avanzadas ninguna presenta un esfuerzo fiscal superior al de nuestro país. </w:t>
      </w:r>
    </w:p>
    <w:p w:rsidR="00640179" w:rsidRPr="00347ABB" w:rsidRDefault="00640179" w:rsidP="00640179">
      <w:pPr>
        <w:spacing w:line="240" w:lineRule="auto"/>
        <w:jc w:val="both"/>
        <w:rPr>
          <w:rFonts w:ascii="Times New Roman" w:hAnsi="Times New Roman" w:cs="Times New Roman"/>
          <w:b/>
          <w:sz w:val="24"/>
          <w:szCs w:val="24"/>
        </w:rPr>
      </w:pPr>
      <w:r w:rsidRPr="00347ABB">
        <w:rPr>
          <w:rFonts w:ascii="Times New Roman" w:hAnsi="Times New Roman" w:cs="Times New Roman"/>
          <w:sz w:val="24"/>
          <w:szCs w:val="24"/>
        </w:rPr>
        <w:t xml:space="preserve">Analizando los distintos impuestos, </w:t>
      </w:r>
      <w:r w:rsidRPr="00347ABB">
        <w:rPr>
          <w:rFonts w:ascii="Times New Roman" w:hAnsi="Times New Roman" w:cs="Times New Roman"/>
          <w:b/>
          <w:sz w:val="24"/>
          <w:szCs w:val="24"/>
        </w:rPr>
        <w:t xml:space="preserve">respecto al Impuesto sobre Sociedades, España tiene un tipo impositivo superior a la media de la UE (25% frente a 21,3%) y presenta una presión fiscal normativa un 24,1% más elevada que la media de la Unión Europea, y un 15,9% superior al del promedio de la OCDE, resultados que nos sitúan en la posición 29 sobre los 38 países analizados. </w:t>
      </w:r>
    </w:p>
    <w:p w:rsidR="00640179" w:rsidRPr="00347ABB" w:rsidRDefault="00640179" w:rsidP="00640179">
      <w:pPr>
        <w:spacing w:line="240" w:lineRule="auto"/>
        <w:jc w:val="both"/>
        <w:rPr>
          <w:rFonts w:ascii="Times New Roman" w:hAnsi="Times New Roman" w:cs="Times New Roman"/>
          <w:sz w:val="24"/>
          <w:szCs w:val="24"/>
        </w:rPr>
      </w:pPr>
      <w:r w:rsidRPr="00347ABB">
        <w:rPr>
          <w:rFonts w:ascii="Times New Roman" w:hAnsi="Times New Roman" w:cs="Times New Roman"/>
          <w:b/>
          <w:sz w:val="24"/>
          <w:szCs w:val="24"/>
        </w:rPr>
        <w:t>Respecto a la tributación sobre el patrimonio la situación de España es aún peor. En este caso, la posición de España es un 40% peor que la de la UE, y un 36,8% menos competitiva que el promedio de la OCDE.</w:t>
      </w:r>
      <w:r w:rsidRPr="00347ABB">
        <w:rPr>
          <w:rFonts w:ascii="Times New Roman" w:hAnsi="Times New Roman" w:cs="Times New Roman"/>
          <w:sz w:val="24"/>
          <w:szCs w:val="24"/>
        </w:rPr>
        <w:t xml:space="preserve"> De hecho, nuestro país presenta el segundo peor resultado, tan solo por detrás de Italia, de los 38 países analizados. Así, poniendo como ejemplo </w:t>
      </w:r>
      <w:r w:rsidRPr="00347ABB">
        <w:rPr>
          <w:rFonts w:ascii="Times New Roman" w:hAnsi="Times New Roman" w:cs="Times New Roman"/>
          <w:b/>
          <w:sz w:val="24"/>
          <w:szCs w:val="24"/>
        </w:rPr>
        <w:t>la tributación sobre dividendos, el tipo máximo en España (sumando la carga del Impuesto sobre Sociedades en los beneficios y el IRPF en la distribución) puede llegar al 46%, mientras que la media de la UE se sitúa en el 41%,</w:t>
      </w:r>
      <w:r w:rsidRPr="00347ABB">
        <w:rPr>
          <w:rFonts w:ascii="Times New Roman" w:hAnsi="Times New Roman" w:cs="Times New Roman"/>
          <w:sz w:val="24"/>
          <w:szCs w:val="24"/>
        </w:rPr>
        <w:t xml:space="preserve"> y este diferencial, que ya es muy significativo, se quiere incrementar por parte del actual Gobierno que ha propuesto, recientemente, una subida en el tipo máximo de la renta del ahorro. </w:t>
      </w:r>
    </w:p>
    <w:p w:rsidR="00640179" w:rsidRPr="00347ABB" w:rsidRDefault="00640179" w:rsidP="00640179">
      <w:pPr>
        <w:spacing w:line="240" w:lineRule="auto"/>
        <w:jc w:val="both"/>
        <w:rPr>
          <w:rFonts w:ascii="Times New Roman" w:hAnsi="Times New Roman" w:cs="Times New Roman"/>
          <w:b/>
          <w:sz w:val="24"/>
          <w:szCs w:val="24"/>
        </w:rPr>
      </w:pPr>
      <w:r w:rsidRPr="00347ABB">
        <w:rPr>
          <w:rFonts w:ascii="Times New Roman" w:hAnsi="Times New Roman" w:cs="Times New Roman"/>
          <w:b/>
          <w:sz w:val="24"/>
          <w:szCs w:val="24"/>
        </w:rPr>
        <w:t>En cuanto al Impuesto sobre la Renta de las Personas Físicas, cuyo tipo máximo puede llegar al 54% en España, frente a una media del 39,6% en la UE, hemos de señalar que se sitúa un 6,1% por encima de la media de la UE y un 2,2% por encima de la media de la OCDE.</w:t>
      </w:r>
      <w:r w:rsidRPr="00347ABB">
        <w:rPr>
          <w:rFonts w:ascii="Times New Roman" w:hAnsi="Times New Roman" w:cs="Times New Roman"/>
          <w:sz w:val="24"/>
          <w:szCs w:val="24"/>
        </w:rPr>
        <w:t xml:space="preserve"> </w:t>
      </w:r>
      <w:r w:rsidRPr="00347ABB">
        <w:rPr>
          <w:rFonts w:ascii="Times New Roman" w:hAnsi="Times New Roman" w:cs="Times New Roman"/>
          <w:b/>
          <w:sz w:val="24"/>
          <w:szCs w:val="24"/>
        </w:rPr>
        <w:t xml:space="preserve">Además, el efecto conjunto del IRPF con la tributación patrimonial (Impuesto sobre las Grandes Fortunas) puede elevar el tipo hasta un 60%, lo que es claramente confiscatorio. </w:t>
      </w:r>
    </w:p>
    <w:p w:rsidR="00640179" w:rsidRPr="00347ABB" w:rsidRDefault="00640179" w:rsidP="00640179">
      <w:pPr>
        <w:spacing w:line="240" w:lineRule="auto"/>
        <w:jc w:val="both"/>
        <w:rPr>
          <w:rFonts w:ascii="Times New Roman" w:hAnsi="Times New Roman" w:cs="Times New Roman"/>
          <w:b/>
          <w:sz w:val="24"/>
          <w:szCs w:val="24"/>
        </w:rPr>
      </w:pPr>
      <w:r w:rsidRPr="00347ABB">
        <w:rPr>
          <w:rFonts w:ascii="Times New Roman" w:hAnsi="Times New Roman" w:cs="Times New Roman"/>
          <w:b/>
          <w:sz w:val="24"/>
          <w:szCs w:val="24"/>
        </w:rPr>
        <w:t xml:space="preserve">A pesar de este fuerte incremento de la recaudación, lo cierto es que el déficit público se ha incrementado, pasando del 3,1% al 3,6% del PIB, elevando consigo la deuda pública desde el 98,2% hasta el 107,7% del PIB. </w:t>
      </w:r>
    </w:p>
    <w:p w:rsidR="00640179" w:rsidRPr="00347ABB" w:rsidRDefault="00640179" w:rsidP="00640179">
      <w:pPr>
        <w:spacing w:line="240" w:lineRule="auto"/>
        <w:jc w:val="both"/>
        <w:rPr>
          <w:rFonts w:ascii="Times New Roman" w:hAnsi="Times New Roman" w:cs="Times New Roman"/>
          <w:b/>
          <w:sz w:val="24"/>
          <w:szCs w:val="24"/>
        </w:rPr>
      </w:pPr>
      <w:r w:rsidRPr="00347ABB">
        <w:rPr>
          <w:rFonts w:ascii="Times New Roman" w:hAnsi="Times New Roman" w:cs="Times New Roman"/>
          <w:b/>
          <w:sz w:val="24"/>
          <w:szCs w:val="24"/>
        </w:rPr>
        <w:t>Como conclusión es necesario señalar que España no tiene un problema fiscal por la insuficiencia de ingresos tributarios, sino por el aumento del gasto que excede el crecimiento de la recaudación a pesar de que esta supere el incremento del PIB</w:t>
      </w:r>
      <w:r w:rsidRPr="00347ABB">
        <w:rPr>
          <w:rFonts w:ascii="Times New Roman" w:hAnsi="Times New Roman" w:cs="Times New Roman"/>
          <w:sz w:val="24"/>
          <w:szCs w:val="24"/>
        </w:rPr>
        <w:t xml:space="preserve">. </w:t>
      </w:r>
      <w:r w:rsidRPr="00347ABB">
        <w:rPr>
          <w:rFonts w:ascii="Times New Roman" w:hAnsi="Times New Roman" w:cs="Times New Roman"/>
          <w:b/>
          <w:sz w:val="24"/>
          <w:szCs w:val="24"/>
        </w:rPr>
        <w:t xml:space="preserve">En este sentido, el Instituto de Estudios Económicos ha estimado que España podría recortar </w:t>
      </w:r>
      <w:r w:rsidRPr="00347ABB">
        <w:rPr>
          <w:rFonts w:ascii="Times New Roman" w:hAnsi="Times New Roman" w:cs="Times New Roman"/>
          <w:b/>
          <w:sz w:val="24"/>
          <w:szCs w:val="24"/>
        </w:rPr>
        <w:lastRenderedPageBreak/>
        <w:t xml:space="preserve">sus niveles de gasto por un monto cercano a los 60.000 millones de euros sin que ello resulte en una menor eficiencia a la hora de prestar servicios básicos. </w:t>
      </w:r>
    </w:p>
    <w:p w:rsidR="00640179" w:rsidRDefault="00640179" w:rsidP="00640179">
      <w:pPr>
        <w:spacing w:line="240" w:lineRule="auto"/>
        <w:jc w:val="both"/>
        <w:rPr>
          <w:rFonts w:ascii="Times New Roman" w:hAnsi="Times New Roman" w:cs="Times New Roman"/>
          <w:sz w:val="24"/>
          <w:szCs w:val="24"/>
        </w:rPr>
      </w:pPr>
      <w:r w:rsidRPr="00347ABB">
        <w:rPr>
          <w:rFonts w:ascii="Times New Roman" w:hAnsi="Times New Roman" w:cs="Times New Roman"/>
          <w:sz w:val="24"/>
          <w:szCs w:val="24"/>
        </w:rPr>
        <w:t>Partiendo de esa base, hay una serie de reformas urgentes en el ámbito de la fiscalidad. Si nuestro país desea alcanzar posiciones más elevadas en el ICF y, por lo tanto, revertir la tendencia negativa de los últimos años, la primera línea de trabajo debe ser, indudablemente, una reforma de la fiscalidad aplicada sobre las empresas y el patrimonio de los contribuyentes.</w:t>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5E6BE3">
        <w:rPr>
          <w:rFonts w:ascii="Times New Roman" w:hAnsi="Times New Roman" w:cs="Times New Roman"/>
          <w:noProof/>
          <w:color w:val="000000"/>
          <w:sz w:val="24"/>
          <w:szCs w:val="24"/>
          <w:shd w:val="clear" w:color="auto" w:fill="FFFFFF"/>
          <w:lang w:eastAsia="es-ES"/>
        </w:rPr>
        <w:drawing>
          <wp:inline distT="0" distB="0" distL="0" distR="0" wp14:anchorId="76A1351F" wp14:editId="217FD502">
            <wp:extent cx="5727700" cy="4216400"/>
            <wp:effectExtent l="0" t="0" r="635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5731510" cy="4219205"/>
                    </a:xfrm>
                    <a:prstGeom prst="rect">
                      <a:avLst/>
                    </a:prstGeom>
                  </pic:spPr>
                </pic:pic>
              </a:graphicData>
            </a:graphic>
          </wp:inline>
        </w:drawing>
      </w:r>
      <w:r w:rsidRPr="005E6BE3">
        <w:rPr>
          <w:rFonts w:ascii="Times New Roman" w:hAnsi="Times New Roman" w:cs="Times New Roman"/>
          <w:noProof/>
          <w:color w:val="000000"/>
          <w:sz w:val="24"/>
          <w:szCs w:val="24"/>
          <w:shd w:val="clear" w:color="auto" w:fill="FFFFFF"/>
          <w:lang w:eastAsia="es-ES"/>
        </w:rPr>
        <w:drawing>
          <wp:inline distT="0" distB="0" distL="0" distR="0" wp14:anchorId="401B732F" wp14:editId="781EBA85">
            <wp:extent cx="5734050" cy="29591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5731510" cy="2957789"/>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5E6BE3">
        <w:rPr>
          <w:rFonts w:ascii="Times New Roman" w:hAnsi="Times New Roman" w:cs="Times New Roman"/>
          <w:noProof/>
          <w:color w:val="000000"/>
          <w:sz w:val="24"/>
          <w:szCs w:val="24"/>
          <w:shd w:val="clear" w:color="auto" w:fill="FFFFFF"/>
          <w:lang w:eastAsia="es-ES"/>
        </w:rPr>
        <w:lastRenderedPageBreak/>
        <w:drawing>
          <wp:inline distT="0" distB="0" distL="0" distR="0" wp14:anchorId="4DE68876" wp14:editId="200DF25B">
            <wp:extent cx="5731510" cy="4282099"/>
            <wp:effectExtent l="0" t="0" r="2540" b="4445"/>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5731510" cy="4282099"/>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5E6BE3">
        <w:rPr>
          <w:rFonts w:ascii="Times New Roman" w:hAnsi="Times New Roman" w:cs="Times New Roman"/>
          <w:color w:val="000000"/>
          <w:sz w:val="24"/>
          <w:szCs w:val="24"/>
          <w:shd w:val="clear" w:color="auto" w:fill="FFFFFF"/>
        </w:rPr>
        <w:t>Las implicaciones del desempleo, la economía sumerg</w:t>
      </w:r>
      <w:r>
        <w:rPr>
          <w:rFonts w:ascii="Times New Roman" w:hAnsi="Times New Roman" w:cs="Times New Roman"/>
          <w:color w:val="000000"/>
          <w:sz w:val="24"/>
          <w:szCs w:val="24"/>
          <w:shd w:val="clear" w:color="auto" w:fill="FFFFFF"/>
        </w:rPr>
        <w:t xml:space="preserve">ida y la renta sobre la presión </w:t>
      </w:r>
      <w:r w:rsidRPr="005E6BE3">
        <w:rPr>
          <w:rFonts w:ascii="Times New Roman" w:hAnsi="Times New Roman" w:cs="Times New Roman"/>
          <w:color w:val="000000"/>
          <w:sz w:val="24"/>
          <w:szCs w:val="24"/>
          <w:shd w:val="clear" w:color="auto" w:fill="FFFFFF"/>
        </w:rPr>
        <w:t>fiscal española</w:t>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5E6BE3">
        <w:rPr>
          <w:rFonts w:ascii="Times New Roman" w:hAnsi="Times New Roman" w:cs="Times New Roman"/>
          <w:color w:val="000000"/>
          <w:sz w:val="24"/>
          <w:szCs w:val="24"/>
          <w:shd w:val="clear" w:color="auto" w:fill="FFFFFF"/>
        </w:rPr>
        <w:t>El análisis se puede llevar un paso más allá combinando el efec</w:t>
      </w:r>
      <w:r>
        <w:rPr>
          <w:rFonts w:ascii="Times New Roman" w:hAnsi="Times New Roman" w:cs="Times New Roman"/>
          <w:color w:val="000000"/>
          <w:sz w:val="24"/>
          <w:szCs w:val="24"/>
          <w:shd w:val="clear" w:color="auto" w:fill="FFFFFF"/>
        </w:rPr>
        <w:t xml:space="preserve">to de ambos factores, el ajuste </w:t>
      </w:r>
      <w:r w:rsidRPr="005E6BE3">
        <w:rPr>
          <w:rFonts w:ascii="Times New Roman" w:hAnsi="Times New Roman" w:cs="Times New Roman"/>
          <w:color w:val="000000"/>
          <w:sz w:val="24"/>
          <w:szCs w:val="24"/>
          <w:shd w:val="clear" w:color="auto" w:fill="FFFFFF"/>
        </w:rPr>
        <w:t>por economía sumergida y la tasa de paro. Al considerar estas varia</w:t>
      </w:r>
      <w:r>
        <w:rPr>
          <w:rFonts w:ascii="Times New Roman" w:hAnsi="Times New Roman" w:cs="Times New Roman"/>
          <w:color w:val="000000"/>
          <w:sz w:val="24"/>
          <w:szCs w:val="24"/>
          <w:shd w:val="clear" w:color="auto" w:fill="FFFFFF"/>
        </w:rPr>
        <w:t xml:space="preserve">bles, se obtiene una visión más </w:t>
      </w:r>
      <w:r w:rsidRPr="005E6BE3">
        <w:rPr>
          <w:rFonts w:ascii="Times New Roman" w:hAnsi="Times New Roman" w:cs="Times New Roman"/>
          <w:color w:val="000000"/>
          <w:sz w:val="24"/>
          <w:szCs w:val="24"/>
          <w:shd w:val="clear" w:color="auto" w:fill="FFFFFF"/>
        </w:rPr>
        <w:t>precisa de la realidad. De hecho, si se incluye la economía sumergida y la tasa de dese</w:t>
      </w:r>
      <w:r>
        <w:rPr>
          <w:rFonts w:ascii="Times New Roman" w:hAnsi="Times New Roman" w:cs="Times New Roman"/>
          <w:color w:val="000000"/>
          <w:sz w:val="24"/>
          <w:szCs w:val="24"/>
          <w:shd w:val="clear" w:color="auto" w:fill="FFFFFF"/>
        </w:rPr>
        <w:t xml:space="preserve">mpleo de la UE, el </w:t>
      </w:r>
      <w:r w:rsidRPr="005E6BE3">
        <w:rPr>
          <w:rFonts w:ascii="Times New Roman" w:hAnsi="Times New Roman" w:cs="Times New Roman"/>
          <w:color w:val="000000"/>
          <w:sz w:val="24"/>
          <w:szCs w:val="24"/>
          <w:shd w:val="clear" w:color="auto" w:fill="FFFFFF"/>
        </w:rPr>
        <w:t>incremento de la recaudación, en relación con el PIB, aumenta en 2,0 pun</w:t>
      </w:r>
      <w:r>
        <w:rPr>
          <w:rFonts w:ascii="Times New Roman" w:hAnsi="Times New Roman" w:cs="Times New Roman"/>
          <w:color w:val="000000"/>
          <w:sz w:val="24"/>
          <w:szCs w:val="24"/>
          <w:shd w:val="clear" w:color="auto" w:fill="FFFFFF"/>
        </w:rPr>
        <w:t xml:space="preserve">tos porcentuales, y si se tiene </w:t>
      </w:r>
      <w:r w:rsidRPr="005E6BE3">
        <w:rPr>
          <w:rFonts w:ascii="Times New Roman" w:hAnsi="Times New Roman" w:cs="Times New Roman"/>
          <w:color w:val="000000"/>
          <w:sz w:val="24"/>
          <w:szCs w:val="24"/>
          <w:shd w:val="clear" w:color="auto" w:fill="FFFFFF"/>
        </w:rPr>
        <w:t>en cuenta el promedio de los cinco países de la UE con mejores prácticas</w:t>
      </w:r>
      <w:r>
        <w:rPr>
          <w:rFonts w:ascii="Times New Roman" w:hAnsi="Times New Roman" w:cs="Times New Roman"/>
          <w:color w:val="000000"/>
          <w:sz w:val="24"/>
          <w:szCs w:val="24"/>
          <w:shd w:val="clear" w:color="auto" w:fill="FFFFFF"/>
        </w:rPr>
        <w:t xml:space="preserve">, la presión fiscal aumenta 4,9 </w:t>
      </w:r>
      <w:r w:rsidRPr="005E6BE3">
        <w:rPr>
          <w:rFonts w:ascii="Times New Roman" w:hAnsi="Times New Roman" w:cs="Times New Roman"/>
          <w:color w:val="000000"/>
          <w:sz w:val="24"/>
          <w:szCs w:val="24"/>
          <w:shd w:val="clear" w:color="auto" w:fill="FFFFFF"/>
        </w:rPr>
        <w:t>puntos porcentuales. Esto sugiere que, al reducir la economí</w:t>
      </w:r>
      <w:r>
        <w:rPr>
          <w:rFonts w:ascii="Times New Roman" w:hAnsi="Times New Roman" w:cs="Times New Roman"/>
          <w:color w:val="000000"/>
          <w:sz w:val="24"/>
          <w:szCs w:val="24"/>
          <w:shd w:val="clear" w:color="auto" w:fill="FFFFFF"/>
        </w:rPr>
        <w:t xml:space="preserve">a sumergida y el desempleo, los </w:t>
      </w:r>
      <w:r w:rsidRPr="005E6BE3">
        <w:rPr>
          <w:rFonts w:ascii="Times New Roman" w:hAnsi="Times New Roman" w:cs="Times New Roman"/>
          <w:color w:val="000000"/>
          <w:sz w:val="24"/>
          <w:szCs w:val="24"/>
          <w:shd w:val="clear" w:color="auto" w:fill="FFFFFF"/>
        </w:rPr>
        <w:t>países podrían mejorar, significativamente, su capacidad de recaudación sin elevar los tipos.</w:t>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1727E2">
        <w:rPr>
          <w:rFonts w:ascii="Times New Roman" w:hAnsi="Times New Roman" w:cs="Times New Roman"/>
          <w:noProof/>
          <w:color w:val="000000"/>
          <w:sz w:val="24"/>
          <w:szCs w:val="24"/>
          <w:shd w:val="clear" w:color="auto" w:fill="FFFFFF"/>
          <w:lang w:eastAsia="es-ES"/>
        </w:rPr>
        <w:drawing>
          <wp:inline distT="0" distB="0" distL="0" distR="0" wp14:anchorId="52175E94" wp14:editId="65944594">
            <wp:extent cx="5731510" cy="1710268"/>
            <wp:effectExtent l="0" t="0" r="2540" b="4445"/>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731510" cy="1710268"/>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1727E2">
        <w:rPr>
          <w:rFonts w:ascii="Times New Roman" w:hAnsi="Times New Roman" w:cs="Times New Roman"/>
          <w:noProof/>
          <w:color w:val="000000"/>
          <w:sz w:val="24"/>
          <w:szCs w:val="24"/>
          <w:shd w:val="clear" w:color="auto" w:fill="FFFFFF"/>
          <w:lang w:eastAsia="es-ES"/>
        </w:rPr>
        <w:lastRenderedPageBreak/>
        <w:drawing>
          <wp:inline distT="0" distB="0" distL="0" distR="0" wp14:anchorId="043E3B9A" wp14:editId="62812795">
            <wp:extent cx="5731510" cy="2980263"/>
            <wp:effectExtent l="0" t="0" r="254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5731510" cy="2980263"/>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S</w:t>
      </w:r>
      <w:r w:rsidRPr="001727E2">
        <w:rPr>
          <w:rFonts w:ascii="Times New Roman" w:hAnsi="Times New Roman" w:cs="Times New Roman"/>
          <w:color w:val="000000"/>
          <w:sz w:val="24"/>
          <w:szCs w:val="24"/>
          <w:shd w:val="clear" w:color="auto" w:fill="FFFFFF"/>
        </w:rPr>
        <w:t>i se mantiene fija la presión fiscal española, p</w:t>
      </w:r>
      <w:r>
        <w:rPr>
          <w:rFonts w:ascii="Times New Roman" w:hAnsi="Times New Roman" w:cs="Times New Roman"/>
          <w:color w:val="000000"/>
          <w:sz w:val="24"/>
          <w:szCs w:val="24"/>
          <w:shd w:val="clear" w:color="auto" w:fill="FFFFFF"/>
        </w:rPr>
        <w:t xml:space="preserve">ero se ajusta la recaudación en </w:t>
      </w:r>
      <w:r w:rsidRPr="001727E2">
        <w:rPr>
          <w:rFonts w:ascii="Times New Roman" w:hAnsi="Times New Roman" w:cs="Times New Roman"/>
          <w:color w:val="000000"/>
          <w:sz w:val="24"/>
          <w:szCs w:val="24"/>
          <w:shd w:val="clear" w:color="auto" w:fill="FFFFFF"/>
        </w:rPr>
        <w:t>función de una renta per cápita equiparable a la media euro</w:t>
      </w:r>
      <w:r>
        <w:rPr>
          <w:rFonts w:ascii="Times New Roman" w:hAnsi="Times New Roman" w:cs="Times New Roman"/>
          <w:color w:val="000000"/>
          <w:sz w:val="24"/>
          <w:szCs w:val="24"/>
          <w:shd w:val="clear" w:color="auto" w:fill="FFFFFF"/>
        </w:rPr>
        <w:t xml:space="preserve">pea, la recaudación aumentaría, </w:t>
      </w:r>
      <w:r w:rsidRPr="001727E2">
        <w:rPr>
          <w:rFonts w:ascii="Times New Roman" w:hAnsi="Times New Roman" w:cs="Times New Roman"/>
          <w:color w:val="000000"/>
          <w:sz w:val="24"/>
          <w:szCs w:val="24"/>
          <w:shd w:val="clear" w:color="auto" w:fill="FFFFFF"/>
        </w:rPr>
        <w:t>aproximadamente, en 146.000 millones de euros. Este ejercicio</w:t>
      </w:r>
      <w:r>
        <w:rPr>
          <w:rFonts w:ascii="Times New Roman" w:hAnsi="Times New Roman" w:cs="Times New Roman"/>
          <w:color w:val="000000"/>
          <w:sz w:val="24"/>
          <w:szCs w:val="24"/>
          <w:shd w:val="clear" w:color="auto" w:fill="FFFFFF"/>
        </w:rPr>
        <w:t xml:space="preserve"> permite proyectar el margen de </w:t>
      </w:r>
      <w:r w:rsidRPr="001727E2">
        <w:rPr>
          <w:rFonts w:ascii="Times New Roman" w:hAnsi="Times New Roman" w:cs="Times New Roman"/>
          <w:color w:val="000000"/>
          <w:sz w:val="24"/>
          <w:szCs w:val="24"/>
          <w:shd w:val="clear" w:color="auto" w:fill="FFFFFF"/>
        </w:rPr>
        <w:t xml:space="preserve">mejora recaudatoria posible si España alcanzara niveles de renta per cápita similares </w:t>
      </w:r>
      <w:r>
        <w:rPr>
          <w:rFonts w:ascii="Times New Roman" w:hAnsi="Times New Roman" w:cs="Times New Roman"/>
          <w:color w:val="000000"/>
          <w:sz w:val="24"/>
          <w:szCs w:val="24"/>
          <w:shd w:val="clear" w:color="auto" w:fill="FFFFFF"/>
        </w:rPr>
        <w:t xml:space="preserve">a los de otros países </w:t>
      </w:r>
      <w:r w:rsidRPr="001727E2">
        <w:rPr>
          <w:rFonts w:ascii="Times New Roman" w:hAnsi="Times New Roman" w:cs="Times New Roman"/>
          <w:color w:val="000000"/>
          <w:sz w:val="24"/>
          <w:szCs w:val="24"/>
          <w:shd w:val="clear" w:color="auto" w:fill="FFFFFF"/>
        </w:rPr>
        <w:t>de la UE</w:t>
      </w:r>
      <w:r>
        <w:rPr>
          <w:rFonts w:ascii="Times New Roman" w:hAnsi="Times New Roman" w:cs="Times New Roman"/>
          <w:color w:val="000000"/>
          <w:sz w:val="24"/>
          <w:szCs w:val="24"/>
          <w:shd w:val="clear" w:color="auto" w:fill="FFFFFF"/>
        </w:rPr>
        <w:t>.</w:t>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1727E2">
        <w:rPr>
          <w:rFonts w:ascii="Times New Roman" w:hAnsi="Times New Roman" w:cs="Times New Roman"/>
          <w:noProof/>
          <w:color w:val="000000"/>
          <w:sz w:val="24"/>
          <w:szCs w:val="24"/>
          <w:shd w:val="clear" w:color="auto" w:fill="FFFFFF"/>
          <w:lang w:eastAsia="es-ES"/>
        </w:rPr>
        <w:drawing>
          <wp:inline distT="0" distB="0" distL="0" distR="0" wp14:anchorId="0FD87884" wp14:editId="7E941D51">
            <wp:extent cx="5734049" cy="4635500"/>
            <wp:effectExtent l="0" t="0" r="635"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734049" cy="4635500"/>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1727E2">
        <w:rPr>
          <w:rFonts w:ascii="Times New Roman" w:hAnsi="Times New Roman" w:cs="Times New Roman"/>
          <w:noProof/>
          <w:color w:val="000000"/>
          <w:sz w:val="24"/>
          <w:szCs w:val="24"/>
          <w:shd w:val="clear" w:color="auto" w:fill="FFFFFF"/>
          <w:lang w:eastAsia="es-ES"/>
        </w:rPr>
        <w:lastRenderedPageBreak/>
        <w:drawing>
          <wp:inline distT="0" distB="0" distL="0" distR="0" wp14:anchorId="1335A391" wp14:editId="0BD09DF6">
            <wp:extent cx="5734050" cy="2870200"/>
            <wp:effectExtent l="0" t="0" r="0" b="635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5731510" cy="2868929"/>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1727E2">
        <w:rPr>
          <w:rFonts w:ascii="Times New Roman" w:hAnsi="Times New Roman" w:cs="Times New Roman"/>
          <w:noProof/>
          <w:color w:val="000000"/>
          <w:sz w:val="24"/>
          <w:szCs w:val="24"/>
          <w:shd w:val="clear" w:color="auto" w:fill="FFFFFF"/>
          <w:lang w:eastAsia="es-ES"/>
        </w:rPr>
        <w:drawing>
          <wp:inline distT="0" distB="0" distL="0" distR="0" wp14:anchorId="5D48A741" wp14:editId="47454DFE">
            <wp:extent cx="5731510" cy="4167592"/>
            <wp:effectExtent l="0" t="0" r="2540" b="4445"/>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5731510" cy="4167592"/>
                    </a:xfrm>
                    <a:prstGeom prst="rect">
                      <a:avLst/>
                    </a:prstGeom>
                  </pic:spPr>
                </pic:pic>
              </a:graphicData>
            </a:graphic>
          </wp:inline>
        </w:drawing>
      </w:r>
      <w:r w:rsidRPr="001727E2">
        <w:rPr>
          <w:rFonts w:ascii="Times New Roman" w:hAnsi="Times New Roman" w:cs="Times New Roman"/>
          <w:noProof/>
          <w:color w:val="000000"/>
          <w:sz w:val="24"/>
          <w:szCs w:val="24"/>
          <w:shd w:val="clear" w:color="auto" w:fill="FFFFFF"/>
          <w:lang w:eastAsia="es-ES"/>
        </w:rPr>
        <w:drawing>
          <wp:inline distT="0" distB="0" distL="0" distR="0" wp14:anchorId="48CDD9E5" wp14:editId="1C2D111E">
            <wp:extent cx="5731510" cy="1505134"/>
            <wp:effectExtent l="0" t="0" r="254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5731510" cy="1505134"/>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1727E2">
        <w:rPr>
          <w:rFonts w:ascii="Times New Roman" w:hAnsi="Times New Roman" w:cs="Times New Roman"/>
          <w:noProof/>
          <w:color w:val="000000"/>
          <w:sz w:val="24"/>
          <w:szCs w:val="24"/>
          <w:shd w:val="clear" w:color="auto" w:fill="FFFFFF"/>
          <w:lang w:eastAsia="es-ES"/>
        </w:rPr>
        <w:lastRenderedPageBreak/>
        <w:drawing>
          <wp:inline distT="0" distB="0" distL="0" distR="0" wp14:anchorId="07F66718" wp14:editId="12DDCA3B">
            <wp:extent cx="5733971" cy="2698750"/>
            <wp:effectExtent l="0" t="0" r="635" b="635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731510" cy="2697592"/>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5D4E52">
        <w:rPr>
          <w:rFonts w:ascii="Times New Roman" w:hAnsi="Times New Roman" w:cs="Times New Roman"/>
          <w:noProof/>
          <w:color w:val="000000"/>
          <w:sz w:val="24"/>
          <w:szCs w:val="24"/>
          <w:shd w:val="clear" w:color="auto" w:fill="FFFFFF"/>
          <w:lang w:eastAsia="es-ES"/>
        </w:rPr>
        <w:drawing>
          <wp:inline distT="0" distB="0" distL="0" distR="0" wp14:anchorId="61A3E9FC" wp14:editId="68545D5C">
            <wp:extent cx="5731510" cy="4740130"/>
            <wp:effectExtent l="0" t="0" r="2540" b="381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5731510" cy="4740130"/>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5D4E52">
        <w:rPr>
          <w:rFonts w:ascii="Times New Roman" w:hAnsi="Times New Roman" w:cs="Times New Roman"/>
          <w:noProof/>
          <w:color w:val="000000"/>
          <w:sz w:val="24"/>
          <w:szCs w:val="24"/>
          <w:shd w:val="clear" w:color="auto" w:fill="FFFFFF"/>
          <w:lang w:eastAsia="es-ES"/>
        </w:rPr>
        <w:drawing>
          <wp:inline distT="0" distB="0" distL="0" distR="0" wp14:anchorId="078E7315" wp14:editId="7EE1AC3D">
            <wp:extent cx="5731510" cy="991380"/>
            <wp:effectExtent l="0" t="0" r="254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5731510" cy="991380"/>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5D4E52">
        <w:rPr>
          <w:rFonts w:ascii="Times New Roman" w:hAnsi="Times New Roman" w:cs="Times New Roman"/>
          <w:noProof/>
          <w:color w:val="000000"/>
          <w:sz w:val="24"/>
          <w:szCs w:val="24"/>
          <w:shd w:val="clear" w:color="auto" w:fill="FFFFFF"/>
          <w:lang w:eastAsia="es-ES"/>
        </w:rPr>
        <w:lastRenderedPageBreak/>
        <w:drawing>
          <wp:inline distT="0" distB="0" distL="0" distR="0" wp14:anchorId="3299A888" wp14:editId="4BE3335C">
            <wp:extent cx="5731510" cy="2577955"/>
            <wp:effectExtent l="0" t="0" r="254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731510" cy="2577955"/>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5D4E52">
        <w:rPr>
          <w:rFonts w:ascii="Times New Roman" w:hAnsi="Times New Roman" w:cs="Times New Roman"/>
          <w:noProof/>
          <w:color w:val="000000"/>
          <w:sz w:val="24"/>
          <w:szCs w:val="24"/>
          <w:shd w:val="clear" w:color="auto" w:fill="FFFFFF"/>
          <w:lang w:eastAsia="es-ES"/>
        </w:rPr>
        <w:drawing>
          <wp:inline distT="0" distB="0" distL="0" distR="0" wp14:anchorId="663634F9" wp14:editId="489B2B85">
            <wp:extent cx="5731510" cy="6010737"/>
            <wp:effectExtent l="0" t="0" r="2540" b="9525"/>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731510" cy="6010737"/>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5D4E52">
        <w:rPr>
          <w:rFonts w:ascii="Times New Roman" w:hAnsi="Times New Roman" w:cs="Times New Roman"/>
          <w:noProof/>
          <w:color w:val="000000"/>
          <w:sz w:val="24"/>
          <w:szCs w:val="24"/>
          <w:shd w:val="clear" w:color="auto" w:fill="FFFFFF"/>
          <w:lang w:eastAsia="es-ES"/>
        </w:rPr>
        <w:lastRenderedPageBreak/>
        <w:drawing>
          <wp:inline distT="0" distB="0" distL="0" distR="0" wp14:anchorId="03E158D9" wp14:editId="771A33E7">
            <wp:extent cx="5731510" cy="2266273"/>
            <wp:effectExtent l="0" t="0" r="2540" b="127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731510" cy="2266273"/>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5D4E52">
        <w:rPr>
          <w:rFonts w:ascii="Times New Roman" w:hAnsi="Times New Roman" w:cs="Times New Roman"/>
          <w:noProof/>
          <w:color w:val="000000"/>
          <w:sz w:val="24"/>
          <w:szCs w:val="24"/>
          <w:shd w:val="clear" w:color="auto" w:fill="FFFFFF"/>
          <w:lang w:eastAsia="es-ES"/>
        </w:rPr>
        <w:drawing>
          <wp:inline distT="0" distB="0" distL="0" distR="0" wp14:anchorId="4346122A" wp14:editId="7233A8CD">
            <wp:extent cx="5731510" cy="5342061"/>
            <wp:effectExtent l="0" t="0" r="254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731510" cy="5342061"/>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5D4E52">
        <w:rPr>
          <w:rFonts w:ascii="Times New Roman" w:hAnsi="Times New Roman" w:cs="Times New Roman"/>
          <w:noProof/>
          <w:color w:val="000000"/>
          <w:sz w:val="24"/>
          <w:szCs w:val="24"/>
          <w:shd w:val="clear" w:color="auto" w:fill="FFFFFF"/>
          <w:lang w:eastAsia="es-ES"/>
        </w:rPr>
        <w:drawing>
          <wp:inline distT="0" distB="0" distL="0" distR="0" wp14:anchorId="42DFAE9E" wp14:editId="1A3ABDD7">
            <wp:extent cx="5731510" cy="703580"/>
            <wp:effectExtent l="0" t="0" r="2540" b="127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5731510" cy="703580"/>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5D4E52">
        <w:rPr>
          <w:rFonts w:ascii="Times New Roman" w:hAnsi="Times New Roman" w:cs="Times New Roman"/>
          <w:noProof/>
          <w:color w:val="000000"/>
          <w:sz w:val="24"/>
          <w:szCs w:val="24"/>
          <w:shd w:val="clear" w:color="auto" w:fill="FFFFFF"/>
          <w:lang w:eastAsia="es-ES"/>
        </w:rPr>
        <w:lastRenderedPageBreak/>
        <w:drawing>
          <wp:inline distT="0" distB="0" distL="0" distR="0" wp14:anchorId="5A919DCC" wp14:editId="1F5F79E5">
            <wp:extent cx="5731510" cy="2188506"/>
            <wp:effectExtent l="0" t="0" r="2540" b="254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731510" cy="2188506"/>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D57069">
        <w:rPr>
          <w:rFonts w:ascii="Times New Roman" w:hAnsi="Times New Roman" w:cs="Times New Roman"/>
          <w:noProof/>
          <w:color w:val="000000"/>
          <w:sz w:val="24"/>
          <w:szCs w:val="24"/>
          <w:shd w:val="clear" w:color="auto" w:fill="FFFFFF"/>
          <w:lang w:eastAsia="es-ES"/>
        </w:rPr>
        <w:drawing>
          <wp:inline distT="0" distB="0" distL="0" distR="0" wp14:anchorId="2CD4176A" wp14:editId="5F931373">
            <wp:extent cx="5696745" cy="6106378"/>
            <wp:effectExtent l="0" t="0" r="0" b="889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5696745" cy="6106378"/>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D57069">
        <w:rPr>
          <w:rFonts w:ascii="Times New Roman" w:hAnsi="Times New Roman" w:cs="Times New Roman"/>
          <w:noProof/>
          <w:color w:val="000000"/>
          <w:sz w:val="24"/>
          <w:szCs w:val="24"/>
          <w:shd w:val="clear" w:color="auto" w:fill="FFFFFF"/>
          <w:lang w:eastAsia="es-ES"/>
        </w:rPr>
        <w:lastRenderedPageBreak/>
        <w:drawing>
          <wp:inline distT="0" distB="0" distL="0" distR="0" wp14:anchorId="285E09BB" wp14:editId="3AA81470">
            <wp:extent cx="5731510" cy="2054114"/>
            <wp:effectExtent l="0" t="0" r="2540" b="381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731510" cy="2054114"/>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D57069">
        <w:rPr>
          <w:rFonts w:ascii="Times New Roman" w:hAnsi="Times New Roman" w:cs="Times New Roman"/>
          <w:noProof/>
          <w:color w:val="000000"/>
          <w:sz w:val="24"/>
          <w:szCs w:val="24"/>
          <w:shd w:val="clear" w:color="auto" w:fill="FFFFFF"/>
          <w:lang w:eastAsia="es-ES"/>
        </w:rPr>
        <w:drawing>
          <wp:inline distT="0" distB="0" distL="0" distR="0" wp14:anchorId="5D24EDCB" wp14:editId="6CC36E2B">
            <wp:extent cx="5353798" cy="6106378"/>
            <wp:effectExtent l="0" t="0" r="0" b="889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353798" cy="6106378"/>
                    </a:xfrm>
                    <a:prstGeom prst="rect">
                      <a:avLst/>
                    </a:prstGeom>
                  </pic:spPr>
                </pic:pic>
              </a:graphicData>
            </a:graphic>
          </wp:inline>
        </w:drawing>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D57069">
        <w:rPr>
          <w:rFonts w:ascii="Times New Roman" w:hAnsi="Times New Roman" w:cs="Times New Roman"/>
          <w:noProof/>
          <w:color w:val="000000"/>
          <w:sz w:val="24"/>
          <w:szCs w:val="24"/>
          <w:shd w:val="clear" w:color="auto" w:fill="FFFFFF"/>
          <w:lang w:eastAsia="es-ES"/>
        </w:rPr>
        <w:lastRenderedPageBreak/>
        <w:drawing>
          <wp:inline distT="0" distB="0" distL="0" distR="0" wp14:anchorId="20665744" wp14:editId="112E980F">
            <wp:extent cx="5731510" cy="2256770"/>
            <wp:effectExtent l="0" t="0" r="254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731510" cy="2256770"/>
                    </a:xfrm>
                    <a:prstGeom prst="rect">
                      <a:avLst/>
                    </a:prstGeom>
                  </pic:spPr>
                </pic:pic>
              </a:graphicData>
            </a:graphic>
          </wp:inline>
        </w:drawing>
      </w:r>
    </w:p>
    <w:p w:rsidR="00640179" w:rsidRPr="00D57069" w:rsidRDefault="00640179" w:rsidP="00640179">
      <w:pPr>
        <w:spacing w:line="240" w:lineRule="auto"/>
        <w:jc w:val="both"/>
        <w:rPr>
          <w:rFonts w:ascii="Times New Roman" w:hAnsi="Times New Roman" w:cs="Times New Roman"/>
          <w:sz w:val="24"/>
          <w:szCs w:val="24"/>
        </w:rPr>
      </w:pPr>
      <w:r w:rsidRPr="00D57069">
        <w:rPr>
          <w:rFonts w:ascii="Times New Roman" w:hAnsi="Times New Roman" w:cs="Times New Roman"/>
          <w:sz w:val="24"/>
          <w:szCs w:val="24"/>
        </w:rPr>
        <w:t xml:space="preserve">Conclusiones </w:t>
      </w:r>
    </w:p>
    <w:p w:rsidR="00640179" w:rsidRPr="00D57069" w:rsidRDefault="00640179" w:rsidP="00640179">
      <w:pPr>
        <w:spacing w:line="240" w:lineRule="auto"/>
        <w:jc w:val="both"/>
        <w:rPr>
          <w:rFonts w:ascii="Times New Roman" w:hAnsi="Times New Roman" w:cs="Times New Roman"/>
          <w:b/>
          <w:sz w:val="24"/>
          <w:szCs w:val="24"/>
        </w:rPr>
      </w:pPr>
      <w:r w:rsidRPr="00D57069">
        <w:rPr>
          <w:rFonts w:ascii="Times New Roman" w:hAnsi="Times New Roman" w:cs="Times New Roman"/>
          <w:b/>
          <w:sz w:val="24"/>
          <w:szCs w:val="24"/>
        </w:rPr>
        <w:t xml:space="preserve">España presenta una situación sensiblemente más desfavorable que la media europea y que la OCDE en cuanto a presión fiscal normativa. Además, la presión fiscal efectiva en nuestro país es, cada año, más cercana a la media de la UE y elevada si se sitúa en un contexto internacional. </w:t>
      </w:r>
    </w:p>
    <w:p w:rsidR="00640179" w:rsidRPr="00D57069" w:rsidRDefault="00640179" w:rsidP="00640179">
      <w:pPr>
        <w:spacing w:line="240" w:lineRule="auto"/>
        <w:jc w:val="both"/>
        <w:rPr>
          <w:rFonts w:ascii="Times New Roman" w:hAnsi="Times New Roman" w:cs="Times New Roman"/>
          <w:b/>
          <w:sz w:val="24"/>
          <w:szCs w:val="24"/>
        </w:rPr>
      </w:pPr>
      <w:r w:rsidRPr="00D57069">
        <w:rPr>
          <w:rFonts w:ascii="Times New Roman" w:hAnsi="Times New Roman" w:cs="Times New Roman"/>
          <w:b/>
          <w:sz w:val="24"/>
          <w:szCs w:val="24"/>
        </w:rPr>
        <w:t xml:space="preserve">Si para la comparativa internacional se utiliza el indicador de esfuerzo fiscal, España también se sitúa claramente por encima del de la media de la UE, siendo una de las grandes economías avanzadas que mayor esfuerzo fiscal realiza. </w:t>
      </w:r>
    </w:p>
    <w:p w:rsidR="00640179" w:rsidRPr="00D57069" w:rsidRDefault="00640179" w:rsidP="00640179">
      <w:pPr>
        <w:spacing w:line="240" w:lineRule="auto"/>
        <w:jc w:val="both"/>
        <w:rPr>
          <w:rFonts w:ascii="Times New Roman" w:hAnsi="Times New Roman" w:cs="Times New Roman"/>
          <w:sz w:val="24"/>
          <w:szCs w:val="24"/>
        </w:rPr>
      </w:pPr>
      <w:r w:rsidRPr="00D57069">
        <w:rPr>
          <w:rFonts w:ascii="Times New Roman" w:hAnsi="Times New Roman" w:cs="Times New Roman"/>
          <w:b/>
          <w:sz w:val="24"/>
          <w:szCs w:val="24"/>
        </w:rPr>
        <w:t>Esta presión fiscal se concentra, especialmente, en el sector empresarial con unos indicadores de presión fiscal efectiva y normativa muy superiores a la media de la UE y de la OCDE.</w:t>
      </w:r>
      <w:r w:rsidRPr="00D57069">
        <w:rPr>
          <w:rFonts w:ascii="Times New Roman" w:hAnsi="Times New Roman" w:cs="Times New Roman"/>
          <w:sz w:val="24"/>
          <w:szCs w:val="24"/>
        </w:rPr>
        <w:t xml:space="preserve"> Prueba de ello es que la proporción de la recaudación total procedente de las empresas es mucho mayor en España que en la UE. </w:t>
      </w:r>
    </w:p>
    <w:p w:rsidR="00640179" w:rsidRPr="00D57069" w:rsidRDefault="00640179" w:rsidP="00640179">
      <w:pPr>
        <w:spacing w:line="240" w:lineRule="auto"/>
        <w:jc w:val="both"/>
        <w:rPr>
          <w:rFonts w:ascii="Times New Roman" w:hAnsi="Times New Roman" w:cs="Times New Roman"/>
          <w:b/>
          <w:sz w:val="24"/>
          <w:szCs w:val="24"/>
        </w:rPr>
      </w:pPr>
      <w:r w:rsidRPr="00D57069">
        <w:rPr>
          <w:rFonts w:ascii="Times New Roman" w:hAnsi="Times New Roman" w:cs="Times New Roman"/>
          <w:sz w:val="24"/>
          <w:szCs w:val="24"/>
        </w:rPr>
        <w:t xml:space="preserve">Como conclusión, </w:t>
      </w:r>
      <w:r w:rsidRPr="00D57069">
        <w:rPr>
          <w:rFonts w:ascii="Times New Roman" w:hAnsi="Times New Roman" w:cs="Times New Roman"/>
          <w:b/>
          <w:sz w:val="24"/>
          <w:szCs w:val="24"/>
        </w:rPr>
        <w:t xml:space="preserve">España soporta una presión fiscal normativa muy superior a la media europea, con especial incidencia en la fiscalidad empresarial, o, lo que es lo mismo, cuenta con un sistema fiscal más ineficiente y distorsionante que penaliza el ahorro y la inversión. </w:t>
      </w:r>
    </w:p>
    <w:p w:rsidR="00640179" w:rsidRPr="00D57069" w:rsidRDefault="00640179" w:rsidP="00640179">
      <w:pPr>
        <w:spacing w:line="240" w:lineRule="auto"/>
        <w:jc w:val="both"/>
        <w:rPr>
          <w:rFonts w:ascii="Times New Roman" w:hAnsi="Times New Roman" w:cs="Times New Roman"/>
          <w:sz w:val="24"/>
          <w:szCs w:val="24"/>
        </w:rPr>
      </w:pPr>
      <w:r w:rsidRPr="00D57069">
        <w:rPr>
          <w:rFonts w:ascii="Times New Roman" w:hAnsi="Times New Roman" w:cs="Times New Roman"/>
          <w:sz w:val="24"/>
          <w:szCs w:val="24"/>
        </w:rPr>
        <w:t xml:space="preserve">En nuestro país, las medidas de incremento de los tributos al ahorro y a las empresas se pretenden justificar, además de en la pretendida diferencia de presión fiscal con la media de la Unión Europea, que los datos aportados en este informe abrumadoramente demuestran que no es tal, en la necesidad de reducción del déficit, además de emplear argumentos de redistribución de la riqueza, sosteniendo que los grandes patrimonios pagan pocos impuestos. </w:t>
      </w:r>
    </w:p>
    <w:p w:rsidR="00640179" w:rsidRPr="00D57069" w:rsidRDefault="00640179" w:rsidP="00640179">
      <w:pPr>
        <w:spacing w:line="240" w:lineRule="auto"/>
        <w:jc w:val="both"/>
        <w:rPr>
          <w:rFonts w:ascii="Times New Roman" w:hAnsi="Times New Roman" w:cs="Times New Roman"/>
          <w:b/>
          <w:sz w:val="24"/>
          <w:szCs w:val="24"/>
        </w:rPr>
      </w:pPr>
      <w:r w:rsidRPr="00D57069">
        <w:rPr>
          <w:rFonts w:ascii="Times New Roman" w:hAnsi="Times New Roman" w:cs="Times New Roman"/>
          <w:b/>
          <w:sz w:val="24"/>
          <w:szCs w:val="24"/>
        </w:rPr>
        <w:t xml:space="preserve">Sobre el objetivo de reducción del déficit, lo cierto es que una de las peores decisiones que puede tomar el Gobierno, en un momento como el actual, es la de subir los impuestos, en general, y al sector empresarial, en particular, ya que las alzas impositivas deprimen la oferta productiva y el consumo, justo lo contrario de lo que necesitamos, y deterioran las expectativas de los agentes provocando una degradación de la confianza, que es el pilar fundamental sobre el que apoyar el crecimiento económico y la creación de empleo. </w:t>
      </w:r>
    </w:p>
    <w:p w:rsidR="00640179" w:rsidRPr="00D57069" w:rsidRDefault="00640179" w:rsidP="00640179">
      <w:pPr>
        <w:spacing w:line="240" w:lineRule="auto"/>
        <w:jc w:val="both"/>
        <w:rPr>
          <w:rFonts w:ascii="Times New Roman" w:hAnsi="Times New Roman" w:cs="Times New Roman"/>
          <w:sz w:val="24"/>
          <w:szCs w:val="24"/>
        </w:rPr>
      </w:pPr>
      <w:r w:rsidRPr="00D57069">
        <w:rPr>
          <w:rFonts w:ascii="Times New Roman" w:hAnsi="Times New Roman" w:cs="Times New Roman"/>
          <w:sz w:val="24"/>
          <w:szCs w:val="24"/>
        </w:rPr>
        <w:t>Por otro lado, la vuelta a la senda de equilibrio presupuestario, tras la pausa acordada durante la crisis motivada por la pandemia, hace temer que se pretendan corregir los desequilibrios</w:t>
      </w:r>
      <w:r>
        <w:rPr>
          <w:rFonts w:ascii="Times New Roman" w:hAnsi="Times New Roman" w:cs="Times New Roman"/>
          <w:sz w:val="24"/>
          <w:szCs w:val="24"/>
        </w:rPr>
        <w:t xml:space="preserve"> </w:t>
      </w:r>
      <w:r w:rsidRPr="00D57069">
        <w:rPr>
          <w:rFonts w:ascii="Times New Roman" w:hAnsi="Times New Roman" w:cs="Times New Roman"/>
          <w:sz w:val="24"/>
          <w:szCs w:val="24"/>
        </w:rPr>
        <w:lastRenderedPageBreak/>
        <w:t xml:space="preserve">mediante la subida de impuestos adicionales, lo que empeorará nuestra competitividad fiscal aún más. </w:t>
      </w:r>
    </w:p>
    <w:p w:rsidR="00640179" w:rsidRPr="00D57069" w:rsidRDefault="00640179" w:rsidP="00640179">
      <w:pPr>
        <w:spacing w:line="240" w:lineRule="auto"/>
        <w:jc w:val="both"/>
        <w:rPr>
          <w:rFonts w:ascii="Times New Roman" w:hAnsi="Times New Roman" w:cs="Times New Roman"/>
          <w:sz w:val="24"/>
          <w:szCs w:val="24"/>
        </w:rPr>
      </w:pPr>
      <w:r w:rsidRPr="00D57069">
        <w:rPr>
          <w:rFonts w:ascii="Times New Roman" w:hAnsi="Times New Roman" w:cs="Times New Roman"/>
          <w:sz w:val="24"/>
          <w:szCs w:val="24"/>
        </w:rPr>
        <w:t xml:space="preserve">En este contexto, y para mantener el equilibrio presupuestario, es prioritario acometer nuestra gran reforma estructural pendiente: la de optimizar la eficiencia del gasto público, y no realizar subidas impositivas adicionales que comprometan el crecimiento y, por lo tanto, la consolidación presupuestaria ulterior. Así, gran parte del gasto público estructural no se debe tanto a mejores prestaciones públicas a los ciudadanos, como a mayores ineficiencias. </w:t>
      </w:r>
    </w:p>
    <w:p w:rsidR="00640179" w:rsidRPr="00D57069" w:rsidRDefault="00640179" w:rsidP="00640179">
      <w:pPr>
        <w:spacing w:line="240" w:lineRule="auto"/>
        <w:jc w:val="both"/>
        <w:rPr>
          <w:rFonts w:ascii="Times New Roman" w:hAnsi="Times New Roman" w:cs="Times New Roman"/>
          <w:b/>
          <w:sz w:val="24"/>
          <w:szCs w:val="24"/>
        </w:rPr>
      </w:pPr>
      <w:r w:rsidRPr="00D57069">
        <w:rPr>
          <w:rFonts w:ascii="Times New Roman" w:hAnsi="Times New Roman" w:cs="Times New Roman"/>
          <w:b/>
          <w:sz w:val="24"/>
          <w:szCs w:val="24"/>
        </w:rPr>
        <w:t xml:space="preserve">España no tiene un problema fiscal por la insuficiencia de ingresos tributarios, sino por el aumento del gasto que excede el crecimiento de la recaudación a pesar de que esta supere el incremento del PIB. En este sentido, el Instituto de Estudios Económicos ha estimado que España podría recortar sus niveles de gasto por un monto cercano a los 60.000 millones sin que ello resulte en una menor eficiencia a la hora de prestar servicios básicos. </w:t>
      </w:r>
    </w:p>
    <w:p w:rsidR="00640179" w:rsidRPr="00D57069" w:rsidRDefault="00640179" w:rsidP="00640179">
      <w:pPr>
        <w:spacing w:line="240" w:lineRule="auto"/>
        <w:jc w:val="both"/>
        <w:rPr>
          <w:rFonts w:ascii="Times New Roman" w:hAnsi="Times New Roman" w:cs="Times New Roman"/>
          <w:sz w:val="24"/>
          <w:szCs w:val="24"/>
        </w:rPr>
      </w:pPr>
      <w:r w:rsidRPr="00D57069">
        <w:rPr>
          <w:rFonts w:ascii="Times New Roman" w:hAnsi="Times New Roman" w:cs="Times New Roman"/>
          <w:sz w:val="24"/>
          <w:szCs w:val="24"/>
        </w:rPr>
        <w:t xml:space="preserve">Partiendo de esa base, hay una serie de reformas urgentes en el ámbito de la fiscalidad. Si nuestro país desea alcanzar posiciones más elevadas en el ICF y, por lo tanto, revertir la tendencia negativa de los últimos años, la primera línea de trabajo debe ser, indudablemente, una reforma de la fiscalidad aplicada sobre las empresas y el patrimonio de los contribuyentes. </w:t>
      </w:r>
    </w:p>
    <w:p w:rsidR="00640179" w:rsidRDefault="00640179" w:rsidP="00640179">
      <w:pPr>
        <w:spacing w:line="240" w:lineRule="auto"/>
        <w:jc w:val="both"/>
        <w:rPr>
          <w:rFonts w:ascii="Times New Roman" w:hAnsi="Times New Roman" w:cs="Times New Roman"/>
          <w:sz w:val="24"/>
          <w:szCs w:val="24"/>
        </w:rPr>
      </w:pPr>
      <w:r w:rsidRPr="00D57069">
        <w:rPr>
          <w:rFonts w:ascii="Times New Roman" w:hAnsi="Times New Roman" w:cs="Times New Roman"/>
          <w:sz w:val="24"/>
          <w:szCs w:val="24"/>
        </w:rPr>
        <w:t>La única forma de aumentar nuestra recaudación impositiva, de forma sostenible, pasa por favorecer la recuperación de la actividad. Para ello nuestro objetivo debería ser la consecución de una fiscalidad competitiva y equiparable con nuestro entorno que favorezca la actividad, la inversión empresarial y el empleo, además de mitigar nuestra excesiva tributación del capital, en general, y sobre la empresa, en particular.</w:t>
      </w:r>
    </w:p>
    <w:p w:rsidR="00640179" w:rsidRPr="00D901AC" w:rsidRDefault="00640179" w:rsidP="00640179">
      <w:pPr>
        <w:spacing w:line="240" w:lineRule="auto"/>
        <w:jc w:val="both"/>
        <w:rPr>
          <w:rFonts w:ascii="Times New Roman" w:hAnsi="Times New Roman" w:cs="Times New Roman"/>
          <w:color w:val="FF0000"/>
          <w:sz w:val="24"/>
          <w:szCs w:val="24"/>
          <w:shd w:val="clear" w:color="auto" w:fill="FFFFFF"/>
        </w:rPr>
      </w:pPr>
      <w:r w:rsidRPr="00D901AC">
        <w:rPr>
          <w:rFonts w:ascii="Times New Roman" w:hAnsi="Times New Roman" w:cs="Times New Roman"/>
          <w:b/>
          <w:color w:val="FF0000"/>
          <w:sz w:val="24"/>
          <w:szCs w:val="24"/>
          <w:shd w:val="clear" w:color="auto" w:fill="FFFFFF"/>
        </w:rPr>
        <w:t>Nota</w:t>
      </w:r>
      <w:r w:rsidRPr="00D901AC">
        <w:rPr>
          <w:rFonts w:ascii="Times New Roman" w:hAnsi="Times New Roman" w:cs="Times New Roman"/>
          <w:color w:val="FF0000"/>
          <w:sz w:val="24"/>
          <w:szCs w:val="24"/>
          <w:shd w:val="clear" w:color="auto" w:fill="FFFFFF"/>
        </w:rPr>
        <w:t>: Aunque no soy un experto en asuntos fiscales (solo soy una víctima involuntaria, del expolio fiscal del Gobierno de España), no pu</w:t>
      </w:r>
      <w:r w:rsidR="00C93639">
        <w:rPr>
          <w:rFonts w:ascii="Times New Roman" w:hAnsi="Times New Roman" w:cs="Times New Roman"/>
          <w:color w:val="FF0000"/>
          <w:sz w:val="24"/>
          <w:szCs w:val="24"/>
          <w:shd w:val="clear" w:color="auto" w:fill="FFFFFF"/>
        </w:rPr>
        <w:t>edo estar más de acuerdo con lo</w:t>
      </w:r>
      <w:r w:rsidRPr="00D901AC">
        <w:rPr>
          <w:rFonts w:ascii="Times New Roman" w:hAnsi="Times New Roman" w:cs="Times New Roman"/>
          <w:color w:val="FF0000"/>
          <w:sz w:val="24"/>
          <w:szCs w:val="24"/>
          <w:shd w:val="clear" w:color="auto" w:fill="FFFFFF"/>
        </w:rPr>
        <w:t xml:space="preserve"> sostenido en el Informe de Competitividad fiscal 2024, presentado por el Instituto de Estudios Económicos en Noviembre de 2024.</w:t>
      </w:r>
    </w:p>
    <w:p w:rsidR="00640179" w:rsidRDefault="00640179" w:rsidP="00640179">
      <w:pPr>
        <w:spacing w:line="240" w:lineRule="auto"/>
        <w:jc w:val="both"/>
        <w:rPr>
          <w:rFonts w:ascii="Times New Roman" w:hAnsi="Times New Roman" w:cs="Times New Roman"/>
          <w:color w:val="000000"/>
          <w:sz w:val="24"/>
          <w:szCs w:val="24"/>
          <w:shd w:val="clear" w:color="auto" w:fill="FFFFFF"/>
        </w:rPr>
      </w:pPr>
      <w:r w:rsidRPr="00085E7E">
        <w:rPr>
          <w:rFonts w:ascii="Times New Roman" w:hAnsi="Times New Roman" w:cs="Times New Roman"/>
          <w:noProof/>
          <w:color w:val="000000"/>
          <w:sz w:val="24"/>
          <w:szCs w:val="24"/>
          <w:shd w:val="clear" w:color="auto" w:fill="FFFFFF"/>
          <w:lang w:eastAsia="es-ES"/>
        </w:rPr>
        <w:drawing>
          <wp:inline distT="0" distB="0" distL="0" distR="0" wp14:anchorId="438C2E72" wp14:editId="73DEB1B0">
            <wp:extent cx="5734050" cy="3143250"/>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5731510" cy="3141858"/>
                    </a:xfrm>
                    <a:prstGeom prst="rect">
                      <a:avLst/>
                    </a:prstGeom>
                  </pic:spPr>
                </pic:pic>
              </a:graphicData>
            </a:graphic>
          </wp:inline>
        </w:drawing>
      </w:r>
    </w:p>
    <w:p w:rsidR="00640179" w:rsidRPr="0085330F" w:rsidRDefault="00640179" w:rsidP="00640179">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lastRenderedPageBreak/>
        <w:t>-</w:t>
      </w:r>
      <w:r w:rsidRPr="0085330F">
        <w:rPr>
          <w:rFonts w:ascii="Times New Roman" w:hAnsi="Times New Roman" w:cs="Times New Roman"/>
          <w:color w:val="FF0000"/>
          <w:sz w:val="24"/>
          <w:szCs w:val="24"/>
          <w:shd w:val="clear" w:color="auto" w:fill="FFFFFF"/>
        </w:rPr>
        <w:t>Reducir los impuestos indirectos hasta alcanzar la media de la UE, o de la OCDE</w:t>
      </w:r>
    </w:p>
    <w:p w:rsidR="00640179" w:rsidRPr="0085330F" w:rsidRDefault="00640179" w:rsidP="00640179">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w:t>
      </w:r>
      <w:r w:rsidRPr="0085330F">
        <w:rPr>
          <w:rFonts w:ascii="Times New Roman" w:hAnsi="Times New Roman" w:cs="Times New Roman"/>
          <w:color w:val="FF0000"/>
          <w:sz w:val="24"/>
          <w:szCs w:val="24"/>
          <w:shd w:val="clear" w:color="auto" w:fill="FFFFFF"/>
        </w:rPr>
        <w:t>Eliminar el IRPF a los ingresos inferiores a 60.000 euros al año</w:t>
      </w:r>
    </w:p>
    <w:p w:rsidR="00640179" w:rsidRPr="0085330F" w:rsidRDefault="00640179" w:rsidP="00640179">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w:t>
      </w:r>
      <w:r w:rsidRPr="0085330F">
        <w:rPr>
          <w:rFonts w:ascii="Times New Roman" w:hAnsi="Times New Roman" w:cs="Times New Roman"/>
          <w:color w:val="FF0000"/>
          <w:sz w:val="24"/>
          <w:szCs w:val="24"/>
          <w:shd w:val="clear" w:color="auto" w:fill="FFFFFF"/>
        </w:rPr>
        <w:t>Eliminar todo régimen de deducciones, reducciones, o desgravaciones que permitan pagar menos impuestos</w:t>
      </w:r>
    </w:p>
    <w:p w:rsidR="00640179" w:rsidRDefault="00640179" w:rsidP="00640179">
      <w:pPr>
        <w:spacing w:line="240" w:lineRule="auto"/>
        <w:jc w:val="both"/>
        <w:rPr>
          <w:rFonts w:ascii="Times New Roman" w:hAnsi="Times New Roman" w:cs="Times New Roman"/>
          <w:color w:val="FF0000"/>
          <w:sz w:val="24"/>
          <w:szCs w:val="24"/>
          <w:shd w:val="clear" w:color="auto" w:fill="FFFFFF"/>
        </w:rPr>
      </w:pPr>
      <w:r w:rsidRPr="00D901AC">
        <w:rPr>
          <w:rFonts w:ascii="Times New Roman" w:hAnsi="Times New Roman" w:cs="Times New Roman"/>
          <w:b/>
          <w:color w:val="FF0000"/>
          <w:sz w:val="24"/>
          <w:szCs w:val="24"/>
          <w:shd w:val="clear" w:color="auto" w:fill="FFFFFF"/>
        </w:rPr>
        <w:t>Nota</w:t>
      </w:r>
      <w:r>
        <w:rPr>
          <w:rFonts w:ascii="Times New Roman" w:hAnsi="Times New Roman" w:cs="Times New Roman"/>
          <w:b/>
          <w:color w:val="FF0000"/>
          <w:sz w:val="24"/>
          <w:szCs w:val="24"/>
          <w:shd w:val="clear" w:color="auto" w:fill="FFFFFF"/>
        </w:rPr>
        <w:t xml:space="preserve"> I</w:t>
      </w:r>
      <w:r w:rsidRPr="00D901AC">
        <w:rPr>
          <w:rFonts w:ascii="Times New Roman" w:hAnsi="Times New Roman" w:cs="Times New Roman"/>
          <w:color w:val="FF0000"/>
          <w:sz w:val="24"/>
          <w:szCs w:val="24"/>
          <w:shd w:val="clear" w:color="auto" w:fill="FFFFFF"/>
        </w:rPr>
        <w:t>: Las propuestas señaladas, ya fueron contempladas, y desarrolladas, en la sección anterior (Incluidas en Cuadro Resumen: Propuesta de modificación de la fiscalidad).</w:t>
      </w:r>
    </w:p>
    <w:p w:rsidR="00640179" w:rsidRPr="00906F30" w:rsidRDefault="00640179" w:rsidP="00640179">
      <w:pPr>
        <w:spacing w:line="240" w:lineRule="auto"/>
        <w:jc w:val="both"/>
        <w:rPr>
          <w:rFonts w:ascii="Times New Roman" w:hAnsi="Times New Roman" w:cs="Times New Roman"/>
          <w:color w:val="FF0000"/>
          <w:sz w:val="24"/>
          <w:szCs w:val="24"/>
          <w:shd w:val="clear" w:color="auto" w:fill="FFFFFF"/>
        </w:rPr>
      </w:pPr>
      <w:r w:rsidRPr="009548E8">
        <w:rPr>
          <w:rFonts w:ascii="Times New Roman" w:hAnsi="Times New Roman" w:cs="Times New Roman"/>
          <w:b/>
          <w:color w:val="FF0000"/>
          <w:sz w:val="24"/>
          <w:szCs w:val="24"/>
          <w:shd w:val="clear" w:color="auto" w:fill="FFFFFF"/>
        </w:rPr>
        <w:t>Nota II</w:t>
      </w:r>
      <w:r>
        <w:rPr>
          <w:rFonts w:ascii="Times New Roman" w:hAnsi="Times New Roman" w:cs="Times New Roman"/>
          <w:color w:val="FF0000"/>
          <w:sz w:val="24"/>
          <w:szCs w:val="24"/>
          <w:shd w:val="clear" w:color="auto" w:fill="FFFFFF"/>
        </w:rPr>
        <w:t xml:space="preserve">: </w:t>
      </w:r>
      <w:r w:rsidRPr="00906F30">
        <w:rPr>
          <w:rFonts w:ascii="Times New Roman" w:hAnsi="Times New Roman" w:cs="Times New Roman"/>
          <w:color w:val="FF0000"/>
          <w:sz w:val="24"/>
          <w:szCs w:val="24"/>
          <w:shd w:val="clear" w:color="auto" w:fill="FFFFFF"/>
        </w:rPr>
        <w:t>“La verdad de la milanesa” (“Hacienda somos todos”: ¿cierto o falso?)</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 xml:space="preserve">- </w:t>
      </w:r>
      <w:r w:rsidRPr="009548E8">
        <w:rPr>
          <w:rFonts w:ascii="Times New Roman" w:hAnsi="Times New Roman" w:cs="Times New Roman"/>
          <w:sz w:val="24"/>
          <w:szCs w:val="24"/>
          <w:u w:val="single"/>
        </w:rPr>
        <w:t>Así se queda Hacienda con más del 40% de tu salario</w:t>
      </w:r>
      <w:r w:rsidRPr="009548E8">
        <w:rPr>
          <w:rFonts w:ascii="Times New Roman" w:hAnsi="Times New Roman" w:cs="Times New Roman"/>
          <w:sz w:val="24"/>
          <w:szCs w:val="24"/>
        </w:rPr>
        <w:t xml:space="preserve"> (Libertad Digital - </w:t>
      </w:r>
      <w:r w:rsidRPr="009548E8">
        <w:rPr>
          <w:rFonts w:ascii="Times New Roman" w:hAnsi="Times New Roman" w:cs="Times New Roman"/>
          <w:b/>
          <w:sz w:val="24"/>
          <w:szCs w:val="24"/>
        </w:rPr>
        <w:t>11/8/25</w:t>
      </w:r>
      <w:r w:rsidRPr="009548E8">
        <w:rPr>
          <w:rFonts w:ascii="Times New Roman" w:hAnsi="Times New Roman" w:cs="Times New Roman"/>
          <w:sz w:val="24"/>
          <w:szCs w:val="24"/>
        </w:rPr>
        <w:t>)</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El Estado pasa de quedarse con el 30% del coste laboral para un SMI a quedarse con casi el 50% de un salario bruto de 100.000 euros.</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(Por Miguel Puga)</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Uno de los temas que más controversia causan en el debate político (y también en la opinión pública) es la cuestión sobre si en España se pagan muchos o pocos impuestos. Desde sectores izquierdistas se sostiene que, gracias al gobierno de Pedro Sánchez, ahora las clases de rentas bajas y medias pagan menos impuestos que antes, mientras que desde sectores liberales y de derechas se cuenta que no es cierto, sino que más bien todo el mundo paga más impuestos ahora que desde antes de la llegada de Pedro Sánchez al poder.</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Para tratar de aportar un poco de luz a esta cuestión, hoy traemos a Libre Mercado una serie de gráficas muy ilustrativas que ha llevado a cabo el ingeniero industrial y divulgador de economía Jon González, quien durante estos días (y desde hace años) ha hecho un excelente ejercicio de pedagogía sobre cuánto salario neto se quedan los trabajadores en relación al salario bruto que le paga su empresa y también en relación al coste de la empresa. En este artículo vamos a exponer los gráficos que Jon ha realizado y vamos a explicarlos.</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En primer lugar, tenemos este gráfico donde nos muestra la evolución del salario desde el SMI hasta un salario de 26.500 euros. Vemos también como el gráfico se divide en tres partes: salario neto, salario bruto y coste laboral.</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Desde el SMI, incrementar 1.000€ el salario bruto, supone:</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 xml:space="preserve"> +247€ de salario neto</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 xml:space="preserve"> +691€ IRPF</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 xml:space="preserve"> +62€ S.S. (trabajador)</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 xml:space="preserve"> +321€ S.S. (empresa)</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En total +1.321€ de coste de empresa para 247€ que llegan al empleado</w:t>
      </w:r>
    </w:p>
    <w:p w:rsidR="00640179" w:rsidRPr="009548E8" w:rsidRDefault="00640179" w:rsidP="00640179">
      <w:pPr>
        <w:spacing w:line="240" w:lineRule="auto"/>
        <w:jc w:val="both"/>
        <w:rPr>
          <w:rFonts w:ascii="Times New Roman" w:hAnsi="Times New Roman" w:cs="Times New Roman"/>
          <w:sz w:val="24"/>
          <w:szCs w:val="24"/>
        </w:rPr>
      </w:pPr>
      <w:r w:rsidRPr="009548E8">
        <w:rPr>
          <w:noProof/>
          <w:lang w:eastAsia="es-ES"/>
        </w:rPr>
        <w:lastRenderedPageBreak/>
        <w:drawing>
          <wp:inline distT="0" distB="0" distL="0" distR="0" wp14:anchorId="4153AAD1" wp14:editId="41CCF3C2">
            <wp:extent cx="5731510" cy="5863731"/>
            <wp:effectExtent l="0" t="0" r="2540" b="3810"/>
            <wp:docPr id="291" name="Imagen 291"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agen"/>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731510" cy="5863731"/>
                    </a:xfrm>
                    <a:prstGeom prst="rect">
                      <a:avLst/>
                    </a:prstGeom>
                    <a:noFill/>
                    <a:ln>
                      <a:noFill/>
                    </a:ln>
                  </pic:spPr>
                </pic:pic>
              </a:graphicData>
            </a:graphic>
          </wp:inline>
        </w:drawing>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Como nos explica el propio Jon en el tuit, con un incremento de 1.000 euros del salario bruto desde el SMI tan sólo le llegan al trabajador 247 euros más de salario neto, mientras que 691 euros irían a parar al IRPF, 62 euros irían a pagar la cotización a la Seguridad Social a cargo del trabajador y 321 euros irían a pagar la cotización a la Seguridad Social a cargo de la empresa. Es decir, son necesarios 1.321 euros de coste para la empresa para que al trabajador le lleguen 247 euros a su salario neto. También vemos como el salario bruto y el coste de la empresa</w:t>
      </w:r>
      <w:r w:rsidR="00906F30">
        <w:rPr>
          <w:rFonts w:ascii="Times New Roman" w:hAnsi="Times New Roman" w:cs="Times New Roman"/>
          <w:sz w:val="24"/>
          <w:szCs w:val="24"/>
        </w:rPr>
        <w:t>,</w:t>
      </w:r>
      <w:r w:rsidRPr="009548E8">
        <w:rPr>
          <w:rFonts w:ascii="Times New Roman" w:hAnsi="Times New Roman" w:cs="Times New Roman"/>
          <w:sz w:val="24"/>
          <w:szCs w:val="24"/>
        </w:rPr>
        <w:t xml:space="preserve"> evolucionan de forma lineal a lo largo de todo el gráfico.</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 xml:space="preserve">En esta gráfica se observa bien el efecto. </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 xml:space="preserve">Desde los 16.580€, que son el SMI y el salario libre de IRPF (bruto=neto), un aumento de 1.000€ en el salario bruto supondrá un incremento en 247€ del salario neto. </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+691€ al IRPF +62€ a la S.S. +247€ al trabajador</w:t>
      </w:r>
    </w:p>
    <w:p w:rsidR="00640179" w:rsidRPr="009548E8" w:rsidRDefault="00640179" w:rsidP="00640179">
      <w:pPr>
        <w:spacing w:line="240" w:lineRule="auto"/>
        <w:jc w:val="both"/>
        <w:rPr>
          <w:rFonts w:ascii="Times New Roman" w:hAnsi="Times New Roman" w:cs="Times New Roman"/>
          <w:sz w:val="24"/>
          <w:szCs w:val="24"/>
        </w:rPr>
      </w:pPr>
      <w:r w:rsidRPr="009548E8">
        <w:rPr>
          <w:noProof/>
          <w:lang w:eastAsia="es-ES"/>
        </w:rPr>
        <w:lastRenderedPageBreak/>
        <w:drawing>
          <wp:inline distT="0" distB="0" distL="0" distR="0" wp14:anchorId="6EB03F87" wp14:editId="7A820704">
            <wp:extent cx="5731510" cy="5899233"/>
            <wp:effectExtent l="0" t="0" r="2540" b="6350"/>
            <wp:docPr id="293" name="Imagen 293"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agen"/>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31510" cy="5899233"/>
                    </a:xfrm>
                    <a:prstGeom prst="rect">
                      <a:avLst/>
                    </a:prstGeom>
                    <a:noFill/>
                    <a:ln>
                      <a:noFill/>
                    </a:ln>
                  </pic:spPr>
                </pic:pic>
              </a:graphicData>
            </a:graphic>
          </wp:inline>
        </w:drawing>
      </w:r>
    </w:p>
    <w:p w:rsidR="00640179" w:rsidRPr="009548E8" w:rsidRDefault="00640179" w:rsidP="00640179">
      <w:pPr>
        <w:spacing w:line="240" w:lineRule="auto"/>
        <w:jc w:val="both"/>
        <w:rPr>
          <w:rFonts w:ascii="Times New Roman" w:hAnsi="Times New Roman" w:cs="Times New Roman"/>
          <w:sz w:val="24"/>
          <w:szCs w:val="24"/>
        </w:rPr>
      </w:pP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No h</w:t>
      </w:r>
      <w:r w:rsidR="00906F30">
        <w:rPr>
          <w:rFonts w:ascii="Times New Roman" w:hAnsi="Times New Roman" w:cs="Times New Roman"/>
          <w:sz w:val="24"/>
          <w:szCs w:val="24"/>
        </w:rPr>
        <w:t>ay que olvidar que el concepto “coste de la empresa”</w:t>
      </w:r>
      <w:r w:rsidRPr="009548E8">
        <w:rPr>
          <w:rFonts w:ascii="Times New Roman" w:hAnsi="Times New Roman" w:cs="Times New Roman"/>
          <w:sz w:val="24"/>
          <w:szCs w:val="24"/>
        </w:rPr>
        <w:t xml:space="preserve"> no deja de ser un dinero o una cantidad monetaria que el trabajador tiene que generar todos los meses (como mínimo). Se suele hacer la distinción entre salario neto, salario bruto y coste de la empresa, pero realmente todo es algo que el trabajador tiene que generar para no ser despedido, de manera qu</w:t>
      </w:r>
      <w:r w:rsidR="00906F30">
        <w:rPr>
          <w:rFonts w:ascii="Times New Roman" w:hAnsi="Times New Roman" w:cs="Times New Roman"/>
          <w:sz w:val="24"/>
          <w:szCs w:val="24"/>
        </w:rPr>
        <w:t>e realmente lo que denominamos “coste de la empresa”</w:t>
      </w:r>
      <w:r w:rsidRPr="009548E8">
        <w:rPr>
          <w:rFonts w:ascii="Times New Roman" w:hAnsi="Times New Roman" w:cs="Times New Roman"/>
          <w:sz w:val="24"/>
          <w:szCs w:val="24"/>
        </w:rPr>
        <w:t xml:space="preserve"> es algo que pertenece enteramente al trabajador. Así pues, y teniendo esto claro, resulta que, aunque un trabajador se vuelva cada vez más productivo y consiga generar más beneficios para su empresa, este mismo trabajador cada vez verá menos ganancia marginal ya que esta irá para pagar el IRPF o las cotizaciones sociales a la Seguridad Social.</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En este mismo sentido, el propio J</w:t>
      </w:r>
      <w:r w:rsidR="00906F30">
        <w:rPr>
          <w:rFonts w:ascii="Times New Roman" w:hAnsi="Times New Roman" w:cs="Times New Roman"/>
          <w:sz w:val="24"/>
          <w:szCs w:val="24"/>
        </w:rPr>
        <w:t>on González nos muestra cuánto “coste de la empresa”</w:t>
      </w:r>
      <w:r w:rsidRPr="009548E8">
        <w:rPr>
          <w:rFonts w:ascii="Times New Roman" w:hAnsi="Times New Roman" w:cs="Times New Roman"/>
          <w:sz w:val="24"/>
          <w:szCs w:val="24"/>
        </w:rPr>
        <w:t xml:space="preserve"> es necesario para que al trabajador le llegue un determinado salario neto, veamos este gráfico.</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 xml:space="preserve">Algunos pedís si puedo poner un rango de salarios brutos más amplio. </w:t>
      </w:r>
    </w:p>
    <w:p w:rsidR="00640179" w:rsidRPr="009548E8" w:rsidRDefault="00640179" w:rsidP="00640179">
      <w:pPr>
        <w:spacing w:line="240" w:lineRule="auto"/>
        <w:jc w:val="both"/>
        <w:rPr>
          <w:rFonts w:ascii="Times New Roman" w:hAnsi="Times New Roman" w:cs="Times New Roman"/>
          <w:sz w:val="24"/>
          <w:szCs w:val="24"/>
        </w:rPr>
      </w:pPr>
    </w:p>
    <w:p w:rsidR="00640179"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Aquí indico la relación entre coste laboral - salario bruto - salario neto hasta 100.000€. En este caso, no hablo de incrementos, sino de importes totales.</w:t>
      </w:r>
    </w:p>
    <w:p w:rsidR="00906F30" w:rsidRPr="009548E8" w:rsidRDefault="00906F30" w:rsidP="00640179">
      <w:pPr>
        <w:spacing w:line="240" w:lineRule="auto"/>
        <w:jc w:val="both"/>
        <w:rPr>
          <w:rFonts w:ascii="Times New Roman" w:hAnsi="Times New Roman" w:cs="Times New Roman"/>
          <w:sz w:val="24"/>
          <w:szCs w:val="24"/>
        </w:rPr>
      </w:pPr>
    </w:p>
    <w:p w:rsidR="00640179" w:rsidRPr="009548E8" w:rsidRDefault="00640179" w:rsidP="00640179">
      <w:pPr>
        <w:spacing w:line="240" w:lineRule="auto"/>
        <w:jc w:val="both"/>
        <w:rPr>
          <w:rFonts w:ascii="Times New Roman" w:hAnsi="Times New Roman" w:cs="Times New Roman"/>
          <w:sz w:val="24"/>
          <w:szCs w:val="24"/>
        </w:rPr>
      </w:pPr>
      <w:r w:rsidRPr="009548E8">
        <w:rPr>
          <w:noProof/>
          <w:lang w:eastAsia="es-ES"/>
        </w:rPr>
        <w:drawing>
          <wp:inline distT="0" distB="0" distL="0" distR="0" wp14:anchorId="695410B9" wp14:editId="5912752D">
            <wp:extent cx="5732152" cy="3390900"/>
            <wp:effectExtent l="0" t="0" r="1905" b="0"/>
            <wp:docPr id="294" name="Imagen 294"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agen"/>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31510" cy="3390520"/>
                    </a:xfrm>
                    <a:prstGeom prst="rect">
                      <a:avLst/>
                    </a:prstGeom>
                    <a:noFill/>
                    <a:ln>
                      <a:noFill/>
                    </a:ln>
                  </pic:spPr>
                </pic:pic>
              </a:graphicData>
            </a:graphic>
          </wp:inline>
        </w:drawing>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La línea roja es salario neto / coste laboral</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Como se puede ver, para el SMI ubicado en 16.576 euros brutos, se requiere un coste de la empresa de 21.892 euros, mientras que el trabajador recibe de forma neta 15.502 euros. En este caso, el trabajador recibe de forma neta un 70,8% del coste laboral, un porcentaje que va cayendo conforme se va ascendiendo en la escala salarial.</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A petición popular, incluyo el incremento del coste laboral.</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Desde el SMI, incrementar 1.000€ el salario bruto, supone:</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 xml:space="preserve"> +247€ de salario neto</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 xml:space="preserve"> +691€ IRPF</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 xml:space="preserve"> +62€ S.S. (trabajador)</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 xml:space="preserve"> +321€ S.S. (empresa)</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En total +1.321€ de coste de empresa para 247€ que llegan al empleado</w:t>
      </w:r>
    </w:p>
    <w:p w:rsidR="00640179" w:rsidRPr="009548E8" w:rsidRDefault="00640179" w:rsidP="00640179">
      <w:pPr>
        <w:spacing w:line="240" w:lineRule="auto"/>
        <w:jc w:val="both"/>
        <w:rPr>
          <w:rFonts w:ascii="Times New Roman" w:hAnsi="Times New Roman" w:cs="Times New Roman"/>
          <w:sz w:val="24"/>
          <w:szCs w:val="24"/>
        </w:rPr>
      </w:pPr>
      <w:r w:rsidRPr="009548E8">
        <w:rPr>
          <w:noProof/>
          <w:lang w:eastAsia="es-ES"/>
        </w:rPr>
        <w:lastRenderedPageBreak/>
        <w:drawing>
          <wp:inline distT="0" distB="0" distL="0" distR="0" wp14:anchorId="342635BC" wp14:editId="38E846D6">
            <wp:extent cx="5728889" cy="5556250"/>
            <wp:effectExtent l="0" t="0" r="5715" b="6350"/>
            <wp:docPr id="295" name="Imagen 295"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agen"/>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731510" cy="5558792"/>
                    </a:xfrm>
                    <a:prstGeom prst="rect">
                      <a:avLst/>
                    </a:prstGeom>
                    <a:noFill/>
                    <a:ln>
                      <a:noFill/>
                    </a:ln>
                  </pic:spPr>
                </pic:pic>
              </a:graphicData>
            </a:graphic>
          </wp:inline>
        </w:drawing>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Por ejemplo, si tomamos el salario mediano, tenemos que el coste laboral de tener a un empleado cobrando este salario es de 30.376 euros, mientras que el salario bruto es de 23.000 euros y al trabajador le llega de forma neta tan sólo 18.507 euros. En el caso del salario medio tenemos que el coste laboral es de 37.032 euros, para un salario bruto de 28.040 euros y un salario neto de 21.847 euros.</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Si nos vamos a un salario bruto de 100.000 euros, vemos que el coste laboral sería de 118.894 euros y el trabajador tan sólo percibiría 63.917 euros, sólo un 53,8% del coste laboral.</w:t>
      </w:r>
    </w:p>
    <w:p w:rsidR="00640179" w:rsidRPr="009548E8" w:rsidRDefault="00906F30" w:rsidP="00640179">
      <w:pPr>
        <w:spacing w:line="240" w:lineRule="auto"/>
        <w:jc w:val="both"/>
        <w:rPr>
          <w:rFonts w:ascii="Times New Roman" w:hAnsi="Times New Roman" w:cs="Times New Roman"/>
          <w:sz w:val="24"/>
          <w:szCs w:val="24"/>
        </w:rPr>
      </w:pPr>
      <w:r>
        <w:rPr>
          <w:rFonts w:ascii="Times New Roman" w:hAnsi="Times New Roman" w:cs="Times New Roman"/>
          <w:sz w:val="24"/>
          <w:szCs w:val="24"/>
        </w:rPr>
        <w:t>Ahora bien, si desagregamos el “coste laboral”</w:t>
      </w:r>
      <w:r w:rsidR="00640179" w:rsidRPr="009548E8">
        <w:rPr>
          <w:rFonts w:ascii="Times New Roman" w:hAnsi="Times New Roman" w:cs="Times New Roman"/>
          <w:sz w:val="24"/>
          <w:szCs w:val="24"/>
        </w:rPr>
        <w:t>, veremos que se divide en varios conceptos, tales como IRPF, cotizaciones a la Seguridad Social, etc.</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Lo mismo, representado como una desagregación del coste laboral entre los distintos impuestos al trabajo y el salario neto resultante.</w:t>
      </w:r>
    </w:p>
    <w:p w:rsidR="00640179" w:rsidRPr="009548E8" w:rsidRDefault="00640179" w:rsidP="00640179">
      <w:pPr>
        <w:spacing w:line="240" w:lineRule="auto"/>
        <w:jc w:val="both"/>
        <w:rPr>
          <w:rFonts w:ascii="Times New Roman" w:hAnsi="Times New Roman" w:cs="Times New Roman"/>
          <w:sz w:val="24"/>
          <w:szCs w:val="24"/>
        </w:rPr>
      </w:pPr>
      <w:r w:rsidRPr="009548E8">
        <w:rPr>
          <w:noProof/>
          <w:lang w:eastAsia="es-ES"/>
        </w:rPr>
        <w:lastRenderedPageBreak/>
        <w:drawing>
          <wp:inline distT="0" distB="0" distL="0" distR="0" wp14:anchorId="41F25BE7" wp14:editId="09BC96CC">
            <wp:extent cx="5734050" cy="3321050"/>
            <wp:effectExtent l="0" t="0" r="0" b="0"/>
            <wp:docPr id="296" name="Imagen 296"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magen"/>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731510" cy="3319579"/>
                    </a:xfrm>
                    <a:prstGeom prst="rect">
                      <a:avLst/>
                    </a:prstGeom>
                    <a:noFill/>
                    <a:ln>
                      <a:noFill/>
                    </a:ln>
                  </pic:spPr>
                </pic:pic>
              </a:graphicData>
            </a:graphic>
          </wp:inline>
        </w:drawing>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 xml:space="preserve">Algunos pedís si puedo poner un rango de salarios brutos más amplio. </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Aquí indico la relación entre coste laboral - salario bruto - salario neto hasta 100.000€. En este caso, no hablo de incrementos, sino de importes totales.</w:t>
      </w:r>
    </w:p>
    <w:p w:rsidR="00640179" w:rsidRPr="009548E8" w:rsidRDefault="00640179" w:rsidP="00640179">
      <w:pPr>
        <w:spacing w:line="240" w:lineRule="auto"/>
        <w:jc w:val="both"/>
        <w:rPr>
          <w:rFonts w:ascii="Times New Roman" w:hAnsi="Times New Roman" w:cs="Times New Roman"/>
          <w:sz w:val="24"/>
          <w:szCs w:val="24"/>
        </w:rPr>
      </w:pPr>
      <w:r w:rsidRPr="009548E8">
        <w:rPr>
          <w:noProof/>
          <w:lang w:eastAsia="es-ES"/>
        </w:rPr>
        <w:drawing>
          <wp:inline distT="0" distB="0" distL="0" distR="0" wp14:anchorId="22F1B67A" wp14:editId="2DF219CC">
            <wp:extent cx="5732152" cy="3321050"/>
            <wp:effectExtent l="0" t="0" r="1905" b="0"/>
            <wp:docPr id="297" name="Imagen 297"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agen"/>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31510" cy="3320678"/>
                    </a:xfrm>
                    <a:prstGeom prst="rect">
                      <a:avLst/>
                    </a:prstGeom>
                    <a:noFill/>
                    <a:ln>
                      <a:noFill/>
                    </a:ln>
                  </pic:spPr>
                </pic:pic>
              </a:graphicData>
            </a:graphic>
          </wp:inline>
        </w:drawing>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Si tomamos los mismos ejemplos que antes (SMI, salario mediano y salario medio), vemos que un SMI con un coste laboral de 21.892 euros tiene que desti</w:t>
      </w:r>
      <w:r w:rsidR="00C93639">
        <w:rPr>
          <w:rFonts w:ascii="Times New Roman" w:hAnsi="Times New Roman" w:cs="Times New Roman"/>
          <w:sz w:val="24"/>
          <w:szCs w:val="24"/>
        </w:rPr>
        <w:t>nar 5.316 euros a las llamadas “</w:t>
      </w:r>
      <w:r w:rsidRPr="009548E8">
        <w:rPr>
          <w:rFonts w:ascii="Times New Roman" w:hAnsi="Times New Roman" w:cs="Times New Roman"/>
          <w:sz w:val="24"/>
          <w:szCs w:val="24"/>
        </w:rPr>
        <w:t>cotizaciones empr</w:t>
      </w:r>
      <w:r w:rsidR="00C93639">
        <w:rPr>
          <w:rFonts w:ascii="Times New Roman" w:hAnsi="Times New Roman" w:cs="Times New Roman"/>
          <w:sz w:val="24"/>
          <w:szCs w:val="24"/>
        </w:rPr>
        <w:t>esariales a la Seguridad Social”</w:t>
      </w:r>
      <w:r w:rsidRPr="009548E8">
        <w:rPr>
          <w:rFonts w:ascii="Times New Roman" w:hAnsi="Times New Roman" w:cs="Times New Roman"/>
          <w:sz w:val="24"/>
          <w:szCs w:val="24"/>
        </w:rPr>
        <w:t xml:space="preserve"> y tiene que destinar 1.074 euros a las cotizaciones del trabajador a la Seguridad Social, para tan sólo quedarse el trabajador con un salario neto de 15.502 euros.</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lastRenderedPageBreak/>
        <w:t>En el caso del salario mediano, de los 30.376 euros de coste laboral que conlleva, 7.376 euros van a las cotizaciones del empresario a la SS, 1.490 euros van a las cotizaciones del trabajador a la SS y 3.003 euros van al pago del IRPF, para un salario neto de 18.507 euros.</w:t>
      </w:r>
    </w:p>
    <w:p w:rsidR="00640179" w:rsidRPr="009548E8"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Por último, en cuanto al salario medio, tenemos que un coste laboral de 37.032 euros se divide en 8.992 euros de cotizaciones sociales por parte del empresario, 1.817 euros en cotizaciones sociales a cargo del trabajador y en 4.376 euros en concepto de IRPF, para un salario neto de 21.847 euros.</w:t>
      </w:r>
    </w:p>
    <w:p w:rsidR="00640179" w:rsidRDefault="00640179" w:rsidP="00640179">
      <w:pPr>
        <w:spacing w:line="240" w:lineRule="auto"/>
        <w:jc w:val="both"/>
        <w:rPr>
          <w:rFonts w:ascii="Times New Roman" w:hAnsi="Times New Roman" w:cs="Times New Roman"/>
          <w:sz w:val="24"/>
          <w:szCs w:val="24"/>
        </w:rPr>
      </w:pPr>
      <w:r w:rsidRPr="009548E8">
        <w:rPr>
          <w:rFonts w:ascii="Times New Roman" w:hAnsi="Times New Roman" w:cs="Times New Roman"/>
          <w:sz w:val="24"/>
          <w:szCs w:val="24"/>
        </w:rPr>
        <w:t>De esta forma, vemos como el Estado cada vez se queda con un mayor porcentaje del "coste laboral" en detrimento del trabajador, que observa como su salario neto (lo que percibe a final de mes) es muy inferior a su coste laboral (lo que tiene que generar mes a mes para no ser</w:t>
      </w:r>
      <w:r w:rsidR="00906F30">
        <w:rPr>
          <w:rFonts w:ascii="Times New Roman" w:hAnsi="Times New Roman" w:cs="Times New Roman"/>
          <w:sz w:val="24"/>
          <w:szCs w:val="24"/>
        </w:rPr>
        <w:t xml:space="preserve"> despedido), un concepto el de “coste laboral”</w:t>
      </w:r>
      <w:r w:rsidRPr="009548E8">
        <w:rPr>
          <w:rFonts w:ascii="Times New Roman" w:hAnsi="Times New Roman" w:cs="Times New Roman"/>
          <w:sz w:val="24"/>
          <w:szCs w:val="24"/>
        </w:rPr>
        <w:t xml:space="preserve"> que ya hemos dicho que le pertenece al trabajador.</w:t>
      </w:r>
    </w:p>
    <w:p w:rsidR="00640179" w:rsidRPr="00821B11" w:rsidRDefault="00640179" w:rsidP="00640179">
      <w:pPr>
        <w:spacing w:line="240" w:lineRule="auto"/>
        <w:jc w:val="both"/>
        <w:rPr>
          <w:rFonts w:ascii="Times New Roman" w:hAnsi="Times New Roman" w:cs="Times New Roman"/>
          <w:sz w:val="24"/>
          <w:szCs w:val="24"/>
        </w:rPr>
      </w:pPr>
      <w:r w:rsidRPr="00821B11">
        <w:rPr>
          <w:rFonts w:ascii="Times New Roman" w:hAnsi="Times New Roman" w:cs="Times New Roman"/>
          <w:sz w:val="24"/>
          <w:szCs w:val="24"/>
        </w:rPr>
        <w:t xml:space="preserve">- </w:t>
      </w:r>
      <w:r w:rsidRPr="00821B11">
        <w:rPr>
          <w:rFonts w:ascii="Times New Roman" w:hAnsi="Times New Roman" w:cs="Times New Roman"/>
          <w:sz w:val="24"/>
          <w:szCs w:val="24"/>
          <w:u w:val="single"/>
        </w:rPr>
        <w:t>Las empresas pagarán 2.650 millones de euros más por Sociedades en 2025</w:t>
      </w:r>
      <w:r w:rsidRPr="00821B11">
        <w:rPr>
          <w:rFonts w:ascii="Times New Roman" w:hAnsi="Times New Roman" w:cs="Times New Roman"/>
          <w:sz w:val="24"/>
          <w:szCs w:val="24"/>
        </w:rPr>
        <w:t xml:space="preserve"> (El Economista - </w:t>
      </w:r>
      <w:r w:rsidRPr="00821B11">
        <w:rPr>
          <w:rFonts w:ascii="Times New Roman" w:hAnsi="Times New Roman" w:cs="Times New Roman"/>
          <w:b/>
          <w:sz w:val="24"/>
          <w:szCs w:val="24"/>
        </w:rPr>
        <w:t>12/8/25</w:t>
      </w:r>
      <w:r w:rsidRPr="00821B11">
        <w:rPr>
          <w:rFonts w:ascii="Times New Roman" w:hAnsi="Times New Roman" w:cs="Times New Roman"/>
          <w:sz w:val="24"/>
          <w:szCs w:val="24"/>
        </w:rPr>
        <w:t>)</w:t>
      </w:r>
    </w:p>
    <w:p w:rsidR="00640179" w:rsidRPr="00821B11" w:rsidRDefault="00640179" w:rsidP="00640179">
      <w:pPr>
        <w:spacing w:line="240" w:lineRule="auto"/>
        <w:jc w:val="both"/>
        <w:rPr>
          <w:rFonts w:ascii="Times New Roman" w:hAnsi="Times New Roman" w:cs="Times New Roman"/>
          <w:sz w:val="24"/>
          <w:szCs w:val="24"/>
        </w:rPr>
      </w:pPr>
      <w:r w:rsidRPr="00821B11">
        <w:rPr>
          <w:rFonts w:ascii="Times New Roman" w:hAnsi="Times New Roman" w:cs="Times New Roman"/>
          <w:sz w:val="24"/>
          <w:szCs w:val="24"/>
        </w:rPr>
        <w:t>(Por Marta Yoldi)</w:t>
      </w:r>
    </w:p>
    <w:p w:rsidR="00640179" w:rsidRPr="00821B11" w:rsidRDefault="00640179" w:rsidP="00640179">
      <w:pPr>
        <w:spacing w:line="240" w:lineRule="auto"/>
        <w:jc w:val="both"/>
        <w:rPr>
          <w:rFonts w:ascii="Times New Roman" w:hAnsi="Times New Roman" w:cs="Times New Roman"/>
          <w:sz w:val="24"/>
          <w:szCs w:val="24"/>
        </w:rPr>
      </w:pPr>
      <w:r w:rsidRPr="00821B11">
        <w:rPr>
          <w:rFonts w:ascii="Times New Roman" w:hAnsi="Times New Roman" w:cs="Times New Roman"/>
          <w:sz w:val="24"/>
          <w:szCs w:val="24"/>
        </w:rPr>
        <w:t>El Impuesto sobre Sociedades va a tener un comportamiento llamativo en 2025. Según cálculos de la Autoridad Independiente de Responsabilidad Fiscal (AIReF), la recaudación subirá un 10,2% respecto a 2024, aunque el crecimiento será 1,1 puntos menor</w:t>
      </w:r>
      <w:r w:rsidR="00906F30">
        <w:rPr>
          <w:rFonts w:ascii="Times New Roman" w:hAnsi="Times New Roman" w:cs="Times New Roman"/>
          <w:sz w:val="24"/>
          <w:szCs w:val="24"/>
        </w:rPr>
        <w:t>,</w:t>
      </w:r>
      <w:r w:rsidRPr="00821B11">
        <w:rPr>
          <w:rFonts w:ascii="Times New Roman" w:hAnsi="Times New Roman" w:cs="Times New Roman"/>
          <w:sz w:val="24"/>
          <w:szCs w:val="24"/>
        </w:rPr>
        <w:t xml:space="preserve"> debido al incremento de las devoluciones.</w:t>
      </w:r>
    </w:p>
    <w:p w:rsidR="00640179" w:rsidRDefault="00640179" w:rsidP="00640179">
      <w:pPr>
        <w:spacing w:line="240" w:lineRule="auto"/>
        <w:jc w:val="both"/>
        <w:rPr>
          <w:rFonts w:ascii="Times New Roman" w:hAnsi="Times New Roman" w:cs="Times New Roman"/>
          <w:sz w:val="24"/>
          <w:szCs w:val="24"/>
        </w:rPr>
      </w:pPr>
      <w:r w:rsidRPr="00821B11">
        <w:rPr>
          <w:rFonts w:ascii="Times New Roman" w:hAnsi="Times New Roman" w:cs="Times New Roman"/>
          <w:sz w:val="24"/>
          <w:szCs w:val="24"/>
        </w:rPr>
        <w:t>Sin embargo, las grandes empresas verán incrementada su factura fiscal en 2.650 millones, ya que este año se aplica el restablecimiento del límite del 50% a la compensación de bases negativas intragrupo. La cantidad de 2.650 millones son las estimaciones que ha hecho la AIReF. Teniendo en cuenta que la recaudación del Impuesto sobre Sociedades en 2024 fue superior a los 39.000 millones, lo que van a terminar pagando las grandes empresas representa el 6,6% de más respecto al año pasado.</w:t>
      </w:r>
    </w:p>
    <w:p w:rsidR="00906F30" w:rsidRPr="00821B11" w:rsidRDefault="00906F30" w:rsidP="00640179">
      <w:pPr>
        <w:spacing w:line="240" w:lineRule="auto"/>
        <w:jc w:val="both"/>
        <w:rPr>
          <w:rFonts w:ascii="Times New Roman" w:hAnsi="Times New Roman" w:cs="Times New Roman"/>
          <w:sz w:val="24"/>
          <w:szCs w:val="24"/>
        </w:rPr>
      </w:pPr>
      <w:r w:rsidRPr="00821B11">
        <w:rPr>
          <w:noProof/>
          <w:lang w:eastAsia="es-ES"/>
        </w:rPr>
        <w:drawing>
          <wp:inline distT="0" distB="0" distL="0" distR="0" wp14:anchorId="2023585A" wp14:editId="0701301E">
            <wp:extent cx="5731510" cy="2917825"/>
            <wp:effectExtent l="0" t="0" r="2540" b="0"/>
            <wp:docPr id="116" name="Imagen 116" descr="https://s03.s3c.es/imag/_v0/2310x1176/2/2/c/770x_sociedad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176/2/2/c/770x_sociedades.gif"/>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731510" cy="2917825"/>
                    </a:xfrm>
                    <a:prstGeom prst="rect">
                      <a:avLst/>
                    </a:prstGeom>
                    <a:noFill/>
                    <a:ln>
                      <a:noFill/>
                    </a:ln>
                  </pic:spPr>
                </pic:pic>
              </a:graphicData>
            </a:graphic>
          </wp:inline>
        </w:drawing>
      </w:r>
    </w:p>
    <w:p w:rsidR="00640179" w:rsidRPr="00821B11" w:rsidRDefault="00640179" w:rsidP="00640179">
      <w:pPr>
        <w:spacing w:line="240" w:lineRule="auto"/>
        <w:jc w:val="both"/>
        <w:rPr>
          <w:rFonts w:ascii="Times New Roman" w:hAnsi="Times New Roman" w:cs="Times New Roman"/>
          <w:sz w:val="24"/>
          <w:szCs w:val="24"/>
        </w:rPr>
      </w:pPr>
      <w:r w:rsidRPr="00821B11">
        <w:rPr>
          <w:rFonts w:ascii="Times New Roman" w:hAnsi="Times New Roman" w:cs="Times New Roman"/>
          <w:sz w:val="24"/>
          <w:szCs w:val="24"/>
        </w:rPr>
        <w:t xml:space="preserve">El impacto de esta medida ya la habrán notado no pocas compañías, pues los nuevos límites afectan a los tres pagos fraccionados de 2025 y a la declaración del ejercicio 2024 presentada el pasado mes de julio. La AIReF afirma que el peso de este impuesto empresarial en el PIB </w:t>
      </w:r>
      <w:r w:rsidRPr="00821B11">
        <w:rPr>
          <w:rFonts w:ascii="Times New Roman" w:hAnsi="Times New Roman" w:cs="Times New Roman"/>
          <w:sz w:val="24"/>
          <w:szCs w:val="24"/>
        </w:rPr>
        <w:lastRenderedPageBreak/>
        <w:t>es del 2,6%, una décima más que lo recogido en sus previsiones del pasado mes de mayo. La institución justifica el alza por el resultado del primer pago fraccionado del tributo que los contribuyentes presentaron en abril y que no llegó a su informe de mayo.</w:t>
      </w:r>
    </w:p>
    <w:p w:rsidR="00640179" w:rsidRPr="00821B11" w:rsidRDefault="00640179" w:rsidP="00640179">
      <w:pPr>
        <w:spacing w:line="240" w:lineRule="auto"/>
        <w:jc w:val="both"/>
        <w:rPr>
          <w:rFonts w:ascii="Times New Roman" w:hAnsi="Times New Roman" w:cs="Times New Roman"/>
          <w:sz w:val="24"/>
          <w:szCs w:val="24"/>
        </w:rPr>
      </w:pPr>
      <w:r w:rsidRPr="00821B11">
        <w:rPr>
          <w:rFonts w:ascii="Times New Roman" w:hAnsi="Times New Roman" w:cs="Times New Roman"/>
          <w:sz w:val="24"/>
          <w:szCs w:val="24"/>
        </w:rPr>
        <w:t>En lo que respecta a las modificaciones que van a dar lugar a este incremento de recaudación y, por tanto, a más pago fiscal para las compañías, el cambio normativo se produjo mediante la Ley 7/2024, de 20 de diciembre, que dispone bastantes novedades fiscales. Esta ley introduce una disposición adicional en la Ley del Impuesto sobre Sociedades en la cual se restablecen límites más restrictivos para la compensación de bases imponibles negativas (BIN) por grandes empresas, en función del importe neto de la cifra de negocios. En concreto, las empresas cuyo importe neto de la cifra de negocios sea al menos de 20 millones de euros durante los 12 meses anteriores a la fecha en que se inicie el período impositivo, sustituirán el límite del 70% por los siguientes: el 50%, cuando en los referidos 12 meses el importe neto de la cifra de negocios sea al menos de 20 millones de euros, pero inferior a 60 millones de euros; y el 25%, cuando en los referidos 12 meses el importe neto de la cifra de negocios sea al menos de 60 millones de euros.</w:t>
      </w:r>
    </w:p>
    <w:p w:rsidR="00640179" w:rsidRPr="00821B11" w:rsidRDefault="00640179" w:rsidP="00640179">
      <w:pPr>
        <w:spacing w:line="240" w:lineRule="auto"/>
        <w:jc w:val="both"/>
        <w:rPr>
          <w:rFonts w:ascii="Times New Roman" w:hAnsi="Times New Roman" w:cs="Times New Roman"/>
          <w:sz w:val="24"/>
          <w:szCs w:val="24"/>
        </w:rPr>
      </w:pPr>
      <w:r w:rsidRPr="00821B11">
        <w:rPr>
          <w:noProof/>
          <w:lang w:eastAsia="es-ES"/>
        </w:rPr>
        <w:drawing>
          <wp:inline distT="0" distB="0" distL="0" distR="0" wp14:anchorId="33331C96" wp14:editId="4ADC723F">
            <wp:extent cx="5729111" cy="3524250"/>
            <wp:effectExtent l="0" t="0" r="5080" b="0"/>
            <wp:docPr id="299" name="Imagen 299" descr="https://s03.s3c.es/imag/_v0/2310x1782/c/f/a/770x_impuest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782/c/f/a/770x_impuesto.gif"/>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731510" cy="3525726"/>
                    </a:xfrm>
                    <a:prstGeom prst="rect">
                      <a:avLst/>
                    </a:prstGeom>
                    <a:noFill/>
                    <a:ln>
                      <a:noFill/>
                    </a:ln>
                  </pic:spPr>
                </pic:pic>
              </a:graphicData>
            </a:graphic>
          </wp:inline>
        </w:drawing>
      </w:r>
    </w:p>
    <w:p w:rsidR="00640179" w:rsidRPr="00821B11" w:rsidRDefault="00640179" w:rsidP="00640179">
      <w:pPr>
        <w:spacing w:line="240" w:lineRule="auto"/>
        <w:jc w:val="both"/>
        <w:rPr>
          <w:rFonts w:ascii="Times New Roman" w:hAnsi="Times New Roman" w:cs="Times New Roman"/>
          <w:sz w:val="24"/>
          <w:szCs w:val="24"/>
        </w:rPr>
      </w:pPr>
      <w:r w:rsidRPr="00821B11">
        <w:rPr>
          <w:rFonts w:ascii="Times New Roman" w:hAnsi="Times New Roman" w:cs="Times New Roman"/>
          <w:sz w:val="24"/>
          <w:szCs w:val="24"/>
        </w:rPr>
        <w:t>Asimismo, la ley de diciembre reintroduce la limitación específica para la aplicación de deducciones por doble imposición, tanto interna como internacional, que afecta a los contribuyentes con un volumen de negocios igual o superior a 20 millones de euros. En concreto, la deducción máxima en estos casos será del 50% de la cuota íntegra del contribuyente y esta limitación afecta tanto a las deducciones generadas en el propio período impositivo como a las que estuvieran pendientes de ejercicios anteriores.</w:t>
      </w:r>
    </w:p>
    <w:p w:rsidR="00640179" w:rsidRPr="00821B11" w:rsidRDefault="00640179" w:rsidP="00640179">
      <w:pPr>
        <w:spacing w:line="240" w:lineRule="auto"/>
        <w:jc w:val="both"/>
        <w:rPr>
          <w:rFonts w:ascii="Times New Roman" w:hAnsi="Times New Roman" w:cs="Times New Roman"/>
          <w:sz w:val="24"/>
          <w:szCs w:val="24"/>
        </w:rPr>
      </w:pPr>
      <w:r w:rsidRPr="00821B11">
        <w:rPr>
          <w:rFonts w:ascii="Times New Roman" w:hAnsi="Times New Roman" w:cs="Times New Roman"/>
          <w:sz w:val="24"/>
          <w:szCs w:val="24"/>
        </w:rPr>
        <w:t>Estas norma recupera los límites aprobados por el Real Decreto-Ley 3/2016, algunos de cuyos artículos, precisamente los referidos a los límites de las compensaciones de bases negativas y al límite de la doble imposición, fueron declarados anticonstitucionales por el Tribunal Constitucional.</w:t>
      </w:r>
    </w:p>
    <w:p w:rsidR="00640179" w:rsidRPr="00821B11" w:rsidRDefault="00640179" w:rsidP="00640179">
      <w:pPr>
        <w:spacing w:line="240" w:lineRule="auto"/>
        <w:jc w:val="both"/>
        <w:rPr>
          <w:rFonts w:ascii="Times New Roman" w:hAnsi="Times New Roman" w:cs="Times New Roman"/>
          <w:sz w:val="24"/>
          <w:szCs w:val="24"/>
        </w:rPr>
      </w:pPr>
      <w:r w:rsidRPr="00821B11">
        <w:rPr>
          <w:rFonts w:ascii="Times New Roman" w:hAnsi="Times New Roman" w:cs="Times New Roman"/>
          <w:sz w:val="24"/>
          <w:szCs w:val="24"/>
        </w:rPr>
        <w:lastRenderedPageBreak/>
        <w:t>Ante las muchas dudas surgidas sobre a quién afecta la sentencia, la Agencia Tributaria hizo pública una nota en la que quiso dejar clar</w:t>
      </w:r>
      <w:r w:rsidR="00906F30">
        <w:rPr>
          <w:rFonts w:ascii="Times New Roman" w:hAnsi="Times New Roman" w:cs="Times New Roman"/>
          <w:sz w:val="24"/>
          <w:szCs w:val="24"/>
        </w:rPr>
        <w:t>o que sí tendrá plena eficacia “</w:t>
      </w:r>
      <w:r w:rsidRPr="00821B11">
        <w:rPr>
          <w:rFonts w:ascii="Times New Roman" w:hAnsi="Times New Roman" w:cs="Times New Roman"/>
          <w:sz w:val="24"/>
          <w:szCs w:val="24"/>
        </w:rPr>
        <w:t>en los procedimientos de inspección, tanto los que estén en curso, como los que se inicien con posterioridad a la misma, y se deberá aplicar la normativa anterior al RDL 3/2016, prescindiendo de los artículo</w:t>
      </w:r>
      <w:r w:rsidR="00906F30">
        <w:rPr>
          <w:rFonts w:ascii="Times New Roman" w:hAnsi="Times New Roman" w:cs="Times New Roman"/>
          <w:sz w:val="24"/>
          <w:szCs w:val="24"/>
        </w:rPr>
        <w:t>s declarados inconstitucionales”</w:t>
      </w:r>
      <w:r w:rsidRPr="00821B11">
        <w:rPr>
          <w:rFonts w:ascii="Times New Roman" w:hAnsi="Times New Roman" w:cs="Times New Roman"/>
          <w:sz w:val="24"/>
          <w:szCs w:val="24"/>
        </w:rPr>
        <w:t>.</w:t>
      </w:r>
      <w:r w:rsidR="00906F30">
        <w:rPr>
          <w:rFonts w:ascii="Times New Roman" w:hAnsi="Times New Roman" w:cs="Times New Roman"/>
          <w:sz w:val="24"/>
          <w:szCs w:val="24"/>
        </w:rPr>
        <w:t xml:space="preserve"> </w:t>
      </w:r>
      <w:r w:rsidRPr="00821B11">
        <w:rPr>
          <w:rFonts w:ascii="Times New Roman" w:hAnsi="Times New Roman" w:cs="Times New Roman"/>
          <w:sz w:val="24"/>
          <w:szCs w:val="24"/>
        </w:rPr>
        <w:t>Y no pod</w:t>
      </w:r>
      <w:r w:rsidR="00906F30">
        <w:rPr>
          <w:rFonts w:ascii="Times New Roman" w:hAnsi="Times New Roman" w:cs="Times New Roman"/>
          <w:sz w:val="24"/>
          <w:szCs w:val="24"/>
        </w:rPr>
        <w:t>rá aplicarse “</w:t>
      </w:r>
      <w:r w:rsidRPr="00821B11">
        <w:rPr>
          <w:rFonts w:ascii="Times New Roman" w:hAnsi="Times New Roman" w:cs="Times New Roman"/>
          <w:sz w:val="24"/>
          <w:szCs w:val="24"/>
        </w:rPr>
        <w:t>en los casos pendientes de recurso contencioso-administrativo o de recurso de reposición, en los que no se haya alegado la inconstitucionalidad a la fecha de la sentencia, por razones de analogía con los casos no impugnados y por limitaciones</w:t>
      </w:r>
      <w:r w:rsidR="00906F30">
        <w:rPr>
          <w:rFonts w:ascii="Times New Roman" w:hAnsi="Times New Roman" w:cs="Times New Roman"/>
          <w:sz w:val="24"/>
          <w:szCs w:val="24"/>
        </w:rPr>
        <w:t xml:space="preserve"> procesales”</w:t>
      </w:r>
      <w:r w:rsidRPr="00821B11">
        <w:rPr>
          <w:rFonts w:ascii="Times New Roman" w:hAnsi="Times New Roman" w:cs="Times New Roman"/>
          <w:sz w:val="24"/>
          <w:szCs w:val="24"/>
        </w:rPr>
        <w:t>. Por lo tanto, la vuelta a los límites fijados en 2016 puede ser válida si no se dan los supuestos citados y en los que no se encuentran demasiadas compañías.</w:t>
      </w:r>
    </w:p>
    <w:p w:rsidR="00640179" w:rsidRPr="00821B11" w:rsidRDefault="00640179" w:rsidP="00640179">
      <w:pPr>
        <w:spacing w:line="240" w:lineRule="auto"/>
        <w:jc w:val="both"/>
        <w:rPr>
          <w:rFonts w:ascii="Times New Roman" w:hAnsi="Times New Roman" w:cs="Times New Roman"/>
          <w:sz w:val="24"/>
          <w:szCs w:val="24"/>
        </w:rPr>
      </w:pPr>
      <w:r w:rsidRPr="00821B11">
        <w:rPr>
          <w:rFonts w:ascii="Times New Roman" w:hAnsi="Times New Roman" w:cs="Times New Roman"/>
          <w:sz w:val="24"/>
          <w:szCs w:val="24"/>
        </w:rPr>
        <w:t>La Ley 7/2024 fijó numerosos cambios fiscales en todos los tributos, pero otro de los referidos al Impuesto sobre Sociedades es que se reestablece el régimen de reversión obligatoria de las pérdidas por deterioro de valores representativos del capital o fondos propios que hubieran sido fiscalmente deducibles con anterioridad a 2013. Esta medida afecta a todos los contribuyentes, con independencia de su cifra de negocios, aseguran expertos tributarios. Igualmente, en los ejercicios iniciados en 2023 se introdujo una limitación (50%) a la utilización de las BIN individuales generadas en el propio ejercicio en la determinación de la base imponible de los grupos fiscales, que ahora se extiende a los ejercicios iniciados en 2024 y 2025.</w:t>
      </w:r>
    </w:p>
    <w:p w:rsidR="00640179" w:rsidRPr="00B80317" w:rsidRDefault="00640179" w:rsidP="00640179">
      <w:pPr>
        <w:spacing w:line="240" w:lineRule="auto"/>
        <w:jc w:val="both"/>
        <w:rPr>
          <w:rFonts w:ascii="Times New Roman" w:hAnsi="Times New Roman" w:cs="Times New Roman"/>
          <w:color w:val="FF0000"/>
          <w:sz w:val="24"/>
          <w:szCs w:val="24"/>
        </w:rPr>
      </w:pPr>
      <w:r w:rsidRPr="008F267A">
        <w:rPr>
          <w:rFonts w:ascii="Times New Roman" w:hAnsi="Times New Roman" w:cs="Times New Roman"/>
          <w:b/>
          <w:color w:val="FF0000"/>
          <w:sz w:val="24"/>
          <w:szCs w:val="24"/>
        </w:rPr>
        <w:t xml:space="preserve">Nota III: </w:t>
      </w:r>
      <w:r w:rsidRPr="00906F30">
        <w:rPr>
          <w:rFonts w:ascii="Times New Roman" w:hAnsi="Times New Roman" w:cs="Times New Roman"/>
          <w:color w:val="FF0000"/>
          <w:sz w:val="24"/>
          <w:szCs w:val="24"/>
        </w:rPr>
        <w:t>“Suma y sigue” (por si quedara alguna duda sobre la “represión fiscal”).</w:t>
      </w:r>
      <w:r>
        <w:rPr>
          <w:rFonts w:ascii="Times New Roman" w:hAnsi="Times New Roman" w:cs="Times New Roman"/>
          <w:color w:val="FF0000"/>
          <w:sz w:val="24"/>
          <w:szCs w:val="24"/>
        </w:rPr>
        <w:t xml:space="preserve"> </w:t>
      </w:r>
      <w:r w:rsidRPr="00B80317">
        <w:rPr>
          <w:rFonts w:ascii="Times New Roman" w:hAnsi="Times New Roman" w:cs="Times New Roman"/>
          <w:color w:val="FF0000"/>
          <w:sz w:val="24"/>
          <w:szCs w:val="24"/>
        </w:rPr>
        <w:t>Según otro  reciente informe de la OCDE -Taxing Wages- las familias españolas dedican el 45% de su renta real a pagar impuestos, con un aumento de cinco puntos en el periodo 2002-2024. Mientras tanto la renta familiar de España se sitúa por debajo de la que teníamos cuando entramos en el euro, para situarse en el 88% de la renta media de la UE en 2002 e</w:t>
      </w:r>
      <w:r>
        <w:rPr>
          <w:rFonts w:ascii="Times New Roman" w:hAnsi="Times New Roman" w:cs="Times New Roman"/>
          <w:color w:val="FF0000"/>
          <w:sz w:val="24"/>
          <w:szCs w:val="24"/>
        </w:rPr>
        <w:t xml:space="preserve">n paridad de poder de compra. </w:t>
      </w:r>
      <w:r w:rsidRPr="00B80317">
        <w:rPr>
          <w:rFonts w:ascii="Times New Roman" w:hAnsi="Times New Roman" w:cs="Times New Roman"/>
          <w:color w:val="FF0000"/>
          <w:sz w:val="24"/>
          <w:szCs w:val="24"/>
        </w:rPr>
        <w:t xml:space="preserve">Sánchez y Zapatero han sido los únicos gobernantes de España en cuyos mandatos nuestro país se ha alejado -en contra de lo sucedido con González, Aznar y Rajoy- en renta per </w:t>
      </w:r>
      <w:r>
        <w:rPr>
          <w:rFonts w:ascii="Times New Roman" w:hAnsi="Times New Roman" w:cs="Times New Roman"/>
          <w:color w:val="FF0000"/>
          <w:sz w:val="24"/>
          <w:szCs w:val="24"/>
        </w:rPr>
        <w:t xml:space="preserve">cápita de la media europea.  (Vozpópuli - </w:t>
      </w:r>
      <w:r w:rsidRPr="00B80317">
        <w:rPr>
          <w:rFonts w:ascii="Times New Roman" w:hAnsi="Times New Roman" w:cs="Times New Roman"/>
          <w:b/>
          <w:color w:val="FF0000"/>
          <w:sz w:val="24"/>
          <w:szCs w:val="24"/>
        </w:rPr>
        <w:t>14/8/25</w:t>
      </w:r>
      <w:r>
        <w:rPr>
          <w:rFonts w:ascii="Times New Roman" w:hAnsi="Times New Roman" w:cs="Times New Roman"/>
          <w:color w:val="FF0000"/>
          <w:sz w:val="24"/>
          <w:szCs w:val="24"/>
        </w:rPr>
        <w:t xml:space="preserve">) </w:t>
      </w:r>
    </w:p>
    <w:p w:rsidR="00640179" w:rsidRPr="008F267A" w:rsidRDefault="00640179" w:rsidP="00640179">
      <w:pPr>
        <w:spacing w:line="240" w:lineRule="auto"/>
        <w:jc w:val="both"/>
        <w:rPr>
          <w:rFonts w:ascii="Times New Roman" w:hAnsi="Times New Roman" w:cs="Times New Roman"/>
          <w:color w:val="FF0000"/>
          <w:sz w:val="24"/>
          <w:szCs w:val="24"/>
        </w:rPr>
      </w:pPr>
      <w:r w:rsidRPr="00B80317">
        <w:rPr>
          <w:rFonts w:ascii="Times New Roman" w:hAnsi="Times New Roman" w:cs="Times New Roman"/>
          <w:color w:val="FF0000"/>
          <w:sz w:val="24"/>
          <w:szCs w:val="24"/>
        </w:rPr>
        <w:t>La OCDE también ha puesto de manifiesto que los salarios reales de España apenas ha crecido un 2,76% en los últimos 30 años, el cuarto peor resultado de los 38 países desarrollados, frente a un 30,86% de media; con un decaimiento especialmente acusado desde la pandemia del COVID. Estos datos, fruto del estancamiento de nuestro nivel de productividad, han venido acompañados de un acusado desce</w:t>
      </w:r>
      <w:r>
        <w:rPr>
          <w:rFonts w:ascii="Times New Roman" w:hAnsi="Times New Roman" w:cs="Times New Roman"/>
          <w:color w:val="FF0000"/>
          <w:sz w:val="24"/>
          <w:szCs w:val="24"/>
        </w:rPr>
        <w:t>nso de la actividad industrial.</w:t>
      </w:r>
    </w:p>
    <w:p w:rsidR="002B7B12" w:rsidRDefault="00906F30" w:rsidP="00736F58">
      <w:pPr>
        <w:spacing w:line="240" w:lineRule="auto"/>
        <w:jc w:val="both"/>
        <w:rPr>
          <w:rFonts w:ascii="Times New Roman" w:hAnsi="Times New Roman" w:cs="Times New Roman"/>
          <w:color w:val="FF0000"/>
          <w:sz w:val="24"/>
          <w:szCs w:val="24"/>
          <w:shd w:val="clear" w:color="auto" w:fill="FFFFFF"/>
        </w:rPr>
      </w:pPr>
      <w:r w:rsidRPr="00906F30">
        <w:rPr>
          <w:rFonts w:ascii="Times New Roman" w:hAnsi="Times New Roman" w:cs="Times New Roman"/>
          <w:b/>
          <w:color w:val="FF0000"/>
          <w:sz w:val="24"/>
          <w:szCs w:val="24"/>
          <w:shd w:val="clear" w:color="auto" w:fill="FFFFFF"/>
        </w:rPr>
        <w:t>Nota IV</w:t>
      </w:r>
      <w:r>
        <w:rPr>
          <w:rFonts w:ascii="Times New Roman" w:hAnsi="Times New Roman" w:cs="Times New Roman"/>
          <w:color w:val="FF0000"/>
          <w:sz w:val="24"/>
          <w:szCs w:val="24"/>
          <w:shd w:val="clear" w:color="auto" w:fill="FFFFFF"/>
        </w:rPr>
        <w:t xml:space="preserve">: </w:t>
      </w:r>
      <w:r w:rsidRPr="00906F30">
        <w:rPr>
          <w:rFonts w:ascii="Times New Roman" w:hAnsi="Times New Roman" w:cs="Times New Roman"/>
          <w:color w:val="FF0000"/>
          <w:sz w:val="24"/>
          <w:szCs w:val="24"/>
          <w:shd w:val="clear" w:color="auto" w:fill="FFFFFF"/>
        </w:rPr>
        <w:t xml:space="preserve">El </w:t>
      </w:r>
      <w:r>
        <w:rPr>
          <w:rFonts w:ascii="Times New Roman" w:hAnsi="Times New Roman" w:cs="Times New Roman"/>
          <w:color w:val="FF0000"/>
          <w:sz w:val="24"/>
          <w:szCs w:val="24"/>
          <w:shd w:val="clear" w:color="auto" w:fill="FFFFFF"/>
        </w:rPr>
        <w:t>“</w:t>
      </w:r>
      <w:r w:rsidRPr="00906F30">
        <w:rPr>
          <w:rFonts w:ascii="Times New Roman" w:hAnsi="Times New Roman" w:cs="Times New Roman"/>
          <w:color w:val="FF0000"/>
          <w:sz w:val="24"/>
          <w:szCs w:val="24"/>
          <w:shd w:val="clear" w:color="auto" w:fill="FFFFFF"/>
        </w:rPr>
        <w:t>Día de la Liberación Fiscal</w:t>
      </w:r>
      <w:r>
        <w:rPr>
          <w:rFonts w:ascii="Times New Roman" w:hAnsi="Times New Roman" w:cs="Times New Roman"/>
          <w:color w:val="FF0000"/>
          <w:sz w:val="24"/>
          <w:szCs w:val="24"/>
          <w:shd w:val="clear" w:color="auto" w:fill="FFFFFF"/>
        </w:rPr>
        <w:t>”</w:t>
      </w:r>
      <w:r w:rsidRPr="00906F30">
        <w:rPr>
          <w:rFonts w:ascii="Times New Roman" w:hAnsi="Times New Roman" w:cs="Times New Roman"/>
          <w:color w:val="FF0000"/>
          <w:sz w:val="24"/>
          <w:szCs w:val="24"/>
          <w:shd w:val="clear" w:color="auto" w:fill="FFFFFF"/>
        </w:rPr>
        <w:t xml:space="preserve"> es la jornada en la que un ciudadano medio deja de trabajar para pagar los impuestos y puede empezar a disponer de su renta para consumir y ahorrar. En 2025, en España, el Día de la Liberación Fiscal se retrasó hasta el 18 de agosto, debido al aumento de las cotizaciones y la ausencia de deflactación del IRPF, lo que significó que los españoles necesitaron trabajar 228 días para cubrir sus tributos.</w:t>
      </w:r>
      <w:r>
        <w:rPr>
          <w:rFonts w:ascii="Times New Roman" w:hAnsi="Times New Roman" w:cs="Times New Roman"/>
          <w:color w:val="FF0000"/>
          <w:sz w:val="24"/>
          <w:szCs w:val="24"/>
          <w:shd w:val="clear" w:color="auto" w:fill="FFFFFF"/>
        </w:rPr>
        <w:t xml:space="preserve"> Sic transit gloria “mindundi”. O sea.</w:t>
      </w:r>
    </w:p>
    <w:p w:rsidR="000803C7" w:rsidRPr="0085330F" w:rsidRDefault="000803C7" w:rsidP="000803C7">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w:t>
      </w:r>
      <w:r w:rsidRPr="0085330F">
        <w:rPr>
          <w:rFonts w:ascii="Times New Roman" w:hAnsi="Times New Roman" w:cs="Times New Roman"/>
          <w:color w:val="FF0000"/>
          <w:sz w:val="24"/>
          <w:szCs w:val="24"/>
          <w:shd w:val="clear" w:color="auto" w:fill="FFFFFF"/>
        </w:rPr>
        <w:t>Eliminar todo régimen de jubilaciones de privilegio</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Hasta 2011 los políticos disfrutaban de privilegios como ningún otro sector poblacional: su régimen de jubilación permitía que, mientras que un trabajador tiene que cotizar 35 años entonces (37,5 años, según las últimas reformas) para recibir el 100% de la pensión de jubilación, en el caso de un mandatario, se podría acceder a la totalidad con tan solo once años de desempeño político en el escaño; además, se recibiría el 80% de la pensión si la actividad laboral llegaba a tan solo 7 años.</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lastRenderedPageBreak/>
        <w:t>Otro privilegio del que disfrutaba nuestra clase parlamentaria antes de la reforma era la aportación mensual a cada diputado del Congreso de los Diputados de una prestación para un plan de pensiones. Esta prestación provenía de los Presupuestos Generales del Estado, por lo que su percepción venía de mano del contribuyente, y se establecía en un plan de pensiones privado para todos los diputados, con unas excepcionales condiciones de rendimiento y de garantías.</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Jubilación de los políticos tras la reforma de 2011</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El 19 de julio de 2011, por iniciativa del Partido Socialista, se aprobó el acuerdo de que diputados y senadores cotizasen de la misma manera que el resto de los afiliados a los regímenes de la Seguridad Social. Es decir, que se derogaban los artículos del Reglamento de las Pensiones Parlamentarias que establecían los porcentajes a percibir según la duración del desempeño parlamentario: como ya se ha referido antes, el 80% si el mandato ha durado de 7 a 9 años; el 90%, si se ha prolongado hasta los 11 años, y el 100% por más de 11 años de mandato.</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Cualquier diputado o senador electo desde entonces, se sometería a un régimen similar al de cualquier otro trabajador; no obstante, esta modificación no tiene carácter retroactivo, por lo que todos los políticos comprendidos desde 1977 hasta 2011 seguirían acogiéndose legalmente a esta ventaja.</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 xml:space="preserve">Con respecto al plan de pensiones privado al que el Estado dirigía una aportación por cada diputado, las reformas en esta cuestión exigen que el 100% de la donación que se realice sea por parte del político, de forma que ni un céntimo de los Presupuestos Generales se dirija a esta prebenda de manera directa, ya que de manera indirecta se hace a través del diputado que decide destinar parte de su sueldo (abonado desde los PGE). </w:t>
      </w:r>
    </w:p>
    <w:p w:rsidR="000803C7"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Así funciona la jubilación de los políticos actualmente, cuyos privilegios se van revisando cada vez más, en pos de establecer una conexión real y simétrica entre los</w:t>
      </w:r>
      <w:r>
        <w:rPr>
          <w:rFonts w:ascii="Times New Roman" w:hAnsi="Times New Roman" w:cs="Times New Roman"/>
          <w:sz w:val="24"/>
          <w:szCs w:val="24"/>
          <w:shd w:val="clear" w:color="auto" w:fill="FFFFFF"/>
        </w:rPr>
        <w:t xml:space="preserve"> mandatarios y los ciudadanos. </w:t>
      </w:r>
    </w:p>
    <w:p w:rsidR="000803C7" w:rsidRPr="008F267A" w:rsidRDefault="000803C7" w:rsidP="000803C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8F267A">
        <w:rPr>
          <w:rFonts w:ascii="Times New Roman" w:hAnsi="Times New Roman" w:cs="Times New Roman"/>
          <w:color w:val="FF0000"/>
          <w:sz w:val="24"/>
          <w:szCs w:val="24"/>
          <w:shd w:val="clear" w:color="auto" w:fill="FFFFFF"/>
        </w:rPr>
        <w:t>Congelar las pensiones hasta que la inflación absorba los ajustes preferenciales pasados.</w:t>
      </w:r>
    </w:p>
    <w:p w:rsidR="000803C7" w:rsidRPr="008F267A" w:rsidRDefault="000803C7" w:rsidP="000803C7">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8F267A">
        <w:rPr>
          <w:rFonts w:ascii="Times New Roman" w:hAnsi="Times New Roman" w:cs="Times New Roman"/>
          <w:color w:val="FF0000"/>
          <w:sz w:val="24"/>
          <w:szCs w:val="24"/>
          <w:shd w:val="clear" w:color="auto" w:fill="FFFFFF"/>
        </w:rPr>
        <w:t>Sacar del cálculo del sistema público de pensiones todas las pensiones no contributivas.</w:t>
      </w:r>
    </w:p>
    <w:p w:rsidR="000803C7" w:rsidRPr="008F267A" w:rsidRDefault="000803C7" w:rsidP="000803C7">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8F267A">
        <w:rPr>
          <w:rFonts w:ascii="Times New Roman" w:hAnsi="Times New Roman" w:cs="Times New Roman"/>
          <w:color w:val="FF0000"/>
          <w:sz w:val="24"/>
          <w:szCs w:val="24"/>
          <w:shd w:val="clear" w:color="auto" w:fill="FFFFFF"/>
        </w:rPr>
        <w:t>Las pensiones no contributivas se abonarán con cargo al presupuesto nacional.</w:t>
      </w:r>
    </w:p>
    <w:p w:rsidR="000803C7" w:rsidRPr="008F267A" w:rsidRDefault="000803C7" w:rsidP="000803C7">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8F267A">
        <w:rPr>
          <w:rFonts w:ascii="Times New Roman" w:hAnsi="Times New Roman" w:cs="Times New Roman"/>
          <w:color w:val="FF0000"/>
          <w:sz w:val="24"/>
          <w:szCs w:val="24"/>
          <w:shd w:val="clear" w:color="auto" w:fill="FFFFFF"/>
        </w:rPr>
        <w:t>Realizar una auditoría personalizada de todas las pensiones no contributivas.</w:t>
      </w:r>
    </w:p>
    <w:p w:rsidR="000803C7" w:rsidRPr="008F267A" w:rsidRDefault="000803C7" w:rsidP="000803C7">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8F267A">
        <w:rPr>
          <w:rFonts w:ascii="Times New Roman" w:hAnsi="Times New Roman" w:cs="Times New Roman"/>
          <w:color w:val="FF0000"/>
          <w:sz w:val="24"/>
          <w:szCs w:val="24"/>
          <w:shd w:val="clear" w:color="auto" w:fill="FFFFFF"/>
        </w:rPr>
        <w:t>Llevar la edad de jubilación a los 70 años. Ampliar el período de cálculo de las pensiones a toda la vida laboral.</w:t>
      </w:r>
    </w:p>
    <w:p w:rsidR="000803C7" w:rsidRPr="00482551" w:rsidRDefault="000803C7" w:rsidP="000803C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(Antecedentes de la “Maldita Hemeroteca”)</w:t>
      </w:r>
    </w:p>
    <w:p w:rsidR="000803C7" w:rsidRPr="005A12FD"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32482">
        <w:rPr>
          <w:rFonts w:ascii="Times New Roman" w:hAnsi="Times New Roman" w:cs="Times New Roman"/>
          <w:sz w:val="24"/>
          <w:szCs w:val="24"/>
          <w:u w:val="single"/>
        </w:rPr>
        <w:t>La precariedad y la reforma de pensiones retrasarán hasta seis años la jubilación de los jóvenes</w:t>
      </w:r>
      <w:r>
        <w:rPr>
          <w:rFonts w:ascii="Times New Roman" w:hAnsi="Times New Roman" w:cs="Times New Roman"/>
          <w:sz w:val="24"/>
          <w:szCs w:val="24"/>
        </w:rPr>
        <w:t xml:space="preserve"> (El Economista - </w:t>
      </w:r>
      <w:r w:rsidRPr="00732482">
        <w:rPr>
          <w:rFonts w:ascii="Times New Roman" w:hAnsi="Times New Roman" w:cs="Times New Roman"/>
          <w:b/>
          <w:sz w:val="24"/>
          <w:szCs w:val="24"/>
        </w:rPr>
        <w:t>3/7/25</w:t>
      </w:r>
      <w:r>
        <w:rPr>
          <w:rFonts w:ascii="Times New Roman" w:hAnsi="Times New Roman" w:cs="Times New Roman"/>
          <w:sz w:val="24"/>
          <w:szCs w:val="24"/>
        </w:rPr>
        <w:t>)</w:t>
      </w:r>
    </w:p>
    <w:p w:rsidR="000803C7" w:rsidRPr="005A12FD"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A12FD">
        <w:rPr>
          <w:rFonts w:ascii="Times New Roman" w:hAnsi="Times New Roman" w:cs="Times New Roman"/>
          <w:sz w:val="24"/>
          <w:szCs w:val="24"/>
        </w:rPr>
        <w:t>Blanca Martínez Mingo</w:t>
      </w:r>
      <w:r>
        <w:rPr>
          <w:rFonts w:ascii="Times New Roman" w:hAnsi="Times New Roman" w:cs="Times New Roman"/>
          <w:sz w:val="24"/>
          <w:szCs w:val="24"/>
        </w:rPr>
        <w:t>)</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La llegada más tardía de los jóvenes al mercado laboral; la alta presencia de contratos a tiempo parcial (un 25,3% de los jóvenes, 12 puntos por encima de la media del conjunto de la población); la tasa de temporalidad (que dobla a la media 34,4% vs 15,9%); los salarios, un 34% inferiores a la media; el lento progreso de sus ingresos, y la reforma de pensiones </w:t>
      </w:r>
      <w:r w:rsidRPr="003E6D85">
        <w:rPr>
          <w:rFonts w:ascii="Times New Roman" w:hAnsi="Times New Roman" w:cs="Times New Roman"/>
          <w:sz w:val="24"/>
          <w:szCs w:val="24"/>
        </w:rPr>
        <w:lastRenderedPageBreak/>
        <w:t>supondrán que, aquellos que se jubilen en 2065 tendrán que retrasar su retiro hasta seis años si quieren mantener su nivel de vida.</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Es la principal conclusión del último informe publicado por la Fundación BBVA y el Ivie, Presente y futuro de la juventud española, que señala que las condiciones precarias de los jóvenes "hará más difícil completar carreras laborales suficientemente largas para lograr una pensión a la edad ordinaria de jubilación que le permita mantener su nivel de vida previo". La tasa de ocupación de los que tienen entre 16 y 29 años se situó en el 43,2% en 2024, 15 puntos porcentuales por debajo de la que se registraba en 2007 para ese mismo grupo de edad (58,7%).</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Según explica el estudio, los que se jubilen en 2065 y que solo hayan podido cotizar 30 años, tendrán que compensar sus menores cotizaciones demorando la jubilación hasta los 71años.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Con la legislación actual, detalla, se obtendrá una tasa bruta de reemplazo -la relación entre la primera pensión anual de jubilación que recibiría una persona y su salario anual en el último año de vida laboral- del 90% (lo que significa mantener el nivel de vida previo) con 40 o más años cotizados y con una edad de jubilación de 65 años. Como consecuencia, para mantener el de vida con una carrera laboral de 35 años se deberá demorar la jubilación hasta los 68 años, y hasta los 71 años con sólo 30 años cotizados.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Además, recuerdan que la tasa de reemplazo será menor cuando la duración de la carrera laboral sea más baja, es decir, la pensión será más reducida respecto al último salario. "Esto, si lo unimos a unos salarios más bajos de base, podría dar lugar a problemas de suficiencia, y por lo tanto un nivel de bienestar mermado tanto durante su vida laboral como tras la jubilación", aseguran.</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En cuanto a las cotizac</w:t>
      </w:r>
      <w:r>
        <w:rPr>
          <w:rFonts w:ascii="Times New Roman" w:hAnsi="Times New Roman" w:cs="Times New Roman"/>
          <w:sz w:val="24"/>
          <w:szCs w:val="24"/>
        </w:rPr>
        <w:t>iones, el estudio recuerda que “</w:t>
      </w:r>
      <w:r w:rsidRPr="003E6D85">
        <w:rPr>
          <w:rFonts w:ascii="Times New Roman" w:hAnsi="Times New Roman" w:cs="Times New Roman"/>
          <w:sz w:val="24"/>
          <w:szCs w:val="24"/>
        </w:rPr>
        <w:t>los jóvenes deberán realizar un mayor esfuerzo de aportaciones a la Seguridad Social para recibir una pensión con una tasa de reemplazo (relación entre la primera pensión y el último salario) dos puntos porc</w:t>
      </w:r>
      <w:r>
        <w:rPr>
          <w:rFonts w:ascii="Times New Roman" w:hAnsi="Times New Roman" w:cs="Times New Roman"/>
          <w:sz w:val="24"/>
          <w:szCs w:val="24"/>
        </w:rPr>
        <w:t>entuales más baja que la actual”</w:t>
      </w:r>
      <w:r w:rsidRPr="003E6D85">
        <w:rPr>
          <w:rFonts w:ascii="Times New Roman" w:hAnsi="Times New Roman" w:cs="Times New Roman"/>
          <w:sz w:val="24"/>
          <w:szCs w:val="24"/>
        </w:rPr>
        <w:t>.</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 xml:space="preserve">- </w:t>
      </w:r>
      <w:r w:rsidRPr="003E6D85">
        <w:rPr>
          <w:rFonts w:ascii="Times New Roman" w:eastAsia="Times New Roman" w:hAnsi="Times New Roman" w:cs="Times New Roman"/>
          <w:sz w:val="24"/>
          <w:szCs w:val="24"/>
          <w:u w:val="single"/>
          <w:lang w:eastAsia="es-ES"/>
        </w:rPr>
        <w:t>El empresario español ya soporta costes laborales un 34% mayor que la media de la UE</w:t>
      </w:r>
      <w:r w:rsidRPr="003E6D85">
        <w:rPr>
          <w:rFonts w:ascii="Times New Roman" w:eastAsia="Times New Roman" w:hAnsi="Times New Roman" w:cs="Times New Roman"/>
          <w:sz w:val="24"/>
          <w:szCs w:val="24"/>
          <w:lang w:eastAsia="es-ES"/>
        </w:rPr>
        <w:t xml:space="preserve"> (Vozpópuli - </w:t>
      </w:r>
      <w:r w:rsidRPr="003E6D85">
        <w:rPr>
          <w:rFonts w:ascii="Times New Roman" w:eastAsia="Times New Roman" w:hAnsi="Times New Roman" w:cs="Times New Roman"/>
          <w:b/>
          <w:sz w:val="24"/>
          <w:szCs w:val="24"/>
          <w:lang w:eastAsia="es-ES"/>
        </w:rPr>
        <w:t>5/7/25</w:t>
      </w:r>
      <w:r w:rsidRPr="003E6D85">
        <w:rPr>
          <w:rFonts w:ascii="Times New Roman" w:eastAsia="Times New Roman" w:hAnsi="Times New Roman" w:cs="Times New Roman"/>
          <w:sz w:val="24"/>
          <w:szCs w:val="24"/>
          <w:lang w:eastAsia="es-ES"/>
        </w:rPr>
        <w:t>)</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(Por Carmen Obregón)</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Según el último informe del Instituto de Estudios Económicos a partir de un indicador de contribución global basado en fuentes internacionales como la Tax Foundation y la Comisión Europea, las empresas españolas están entre las que mayor carga tributaria y esfuerzo fiscal soportan de la OCDE, lo que las sitúa en una posición de desventaja competitiva con sus equivalentes europeas.</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Además del impuesto de Sociedades y de impuestos indirectos como el IVA y las retenciones de IRPF -las empresas actúan como agentes recaudadores del erario público-, otra de las aristas de esa carga tributaria viene precisamente del elevado peso que suponen las cotizaciones sociales que los empresarios tienen que pagar por sus empleados, y que representan el 25,8% del total de ingresos fiscales, muy por encima del promedio europeo.</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 xml:space="preserve">Una cifra que es aún más elevada cuando las cotizaciones sociales pagadas por el empleador se valoran en cuanto al PIB de los países de la Unión Europea. Este último indicador de la contribución fiscal empresarial total, elaborado por la Tax Foundation, así lo constata con datos de 2023, tomando como base el promedio comunitario. El resultado es que España se </w:t>
      </w:r>
      <w:r w:rsidRPr="003E6D85">
        <w:rPr>
          <w:rFonts w:ascii="Times New Roman" w:eastAsia="Times New Roman" w:hAnsi="Times New Roman" w:cs="Times New Roman"/>
          <w:sz w:val="24"/>
          <w:szCs w:val="24"/>
          <w:lang w:eastAsia="es-ES"/>
        </w:rPr>
        <w:lastRenderedPageBreak/>
        <w:t>posiciona en este contexto como uno de los países con mayor presión fiscal sobre el empleo, alcanzando un índice de 134 puntos.</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Estos cálculos indican que las cotizaciones sociales empresariales con relación al PIB son ya un 34,4% superior al promedio de la UE. Con este ranking, España se coloca en la cuarta posición, solo por detrás de Estonia (157,1), Francia (140,9) y la República Checa (135,4), y muy por encima de economías como Alemania (96,9), Países Bajos (71,6) e Irlanda (30).</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Elevada carga y complejo normativo</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Los resultados remarcan -señalan los responsables del nue</w:t>
      </w:r>
      <w:r>
        <w:rPr>
          <w:rFonts w:ascii="Times New Roman" w:eastAsia="Times New Roman" w:hAnsi="Times New Roman" w:cs="Times New Roman"/>
          <w:sz w:val="24"/>
          <w:szCs w:val="24"/>
          <w:lang w:eastAsia="es-ES"/>
        </w:rPr>
        <w:t>vo indicador- que “</w:t>
      </w:r>
      <w:r w:rsidRPr="003E6D85">
        <w:rPr>
          <w:rFonts w:ascii="Times New Roman" w:eastAsia="Times New Roman" w:hAnsi="Times New Roman" w:cs="Times New Roman"/>
          <w:sz w:val="24"/>
          <w:szCs w:val="24"/>
          <w:lang w:eastAsia="es-ES"/>
        </w:rPr>
        <w:t>la elevada carga sobre los costes laborales sugiere que estamos ante una estructura fiscal desequilibrada, en la que el esfuerzo recaudatorio recae con mayo</w:t>
      </w:r>
      <w:r>
        <w:rPr>
          <w:rFonts w:ascii="Times New Roman" w:eastAsia="Times New Roman" w:hAnsi="Times New Roman" w:cs="Times New Roman"/>
          <w:sz w:val="24"/>
          <w:szCs w:val="24"/>
          <w:lang w:eastAsia="es-ES"/>
        </w:rPr>
        <w:t>r intensidad sobre las empresas”</w:t>
      </w:r>
      <w:r w:rsidRPr="003E6D85">
        <w:rPr>
          <w:rFonts w:ascii="Times New Roman" w:eastAsia="Times New Roman" w:hAnsi="Times New Roman" w:cs="Times New Roman"/>
          <w:sz w:val="24"/>
          <w:szCs w:val="24"/>
          <w:lang w:eastAsia="es-ES"/>
        </w:rPr>
        <w:t>. De manera que «el esfuerzo recaudatorio se concentra en los costes laborales y es un factor claramente distorsionante para que se reduzcan los desequilibrios que se producen en el mercado de trabajo en España».</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Pero esta no es la única foto fija de la fiscalidad que soportan las empresas españolas. El estudio de competitividad fiscal de 2025 recoge otras conclusiones preocupantes que limitan el crecimiento de la economía.</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noProof/>
          <w:lang w:eastAsia="es-ES"/>
        </w:rPr>
        <w:drawing>
          <wp:inline distT="0" distB="0" distL="0" distR="0" wp14:anchorId="507B0462" wp14:editId="1A6412F3">
            <wp:extent cx="5731743" cy="5353050"/>
            <wp:effectExtent l="0" t="0" r="2540" b="0"/>
            <wp:docPr id="141" name="Imagen 141" descr="https://theobjective.com/wp-content/uploads/2025/07/Captura-de-pantalla-2025-07-04-a-las-14.54.11-948x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theobjective.com/wp-content/uploads/2025/07/Captura-de-pantalla-2025-07-04-a-las-14.54.11-948x1024.p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731743" cy="5353050"/>
                    </a:xfrm>
                    <a:prstGeom prst="rect">
                      <a:avLst/>
                    </a:prstGeom>
                    <a:noFill/>
                    <a:ln>
                      <a:noFill/>
                    </a:ln>
                  </pic:spPr>
                </pic:pic>
              </a:graphicData>
            </a:graphic>
          </wp:inline>
        </w:drawing>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lastRenderedPageBreak/>
        <w:t>Ahí está la complejidad normativa del sistema tributario. Un indicador que representa un coste adicional significativo para las empresas, más allá de la carga fiscal directa. En los países de la OCDE, la gestión de obligaciones fiscales complejas implica elevados recursos administrativos, tanto en términos de tiempo como de personal especializado, lo que afecta negativamente a la eficiencia operativa de las empresas.</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Complejos como Turquía y Armenia</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Esta situación -evidencia el estudio- es especialmente gravosa, sobre todo para las pequeñas y medianas empresas, que disponen de menos recursos para afrontar estos desafíos. Por eso, la simplificación de la normativa tributaria mediante la reducción de excepciones, la digitalización de procesos y la claridad en la redacción legal no solo mejo</w:t>
      </w:r>
      <w:r>
        <w:rPr>
          <w:rFonts w:ascii="Times New Roman" w:eastAsia="Times New Roman" w:hAnsi="Times New Roman" w:cs="Times New Roman"/>
          <w:sz w:val="24"/>
          <w:szCs w:val="24"/>
          <w:lang w:eastAsia="es-ES"/>
        </w:rPr>
        <w:t>ra el cumplimiento voluntario, “</w:t>
      </w:r>
      <w:r w:rsidRPr="003E6D85">
        <w:rPr>
          <w:rFonts w:ascii="Times New Roman" w:eastAsia="Times New Roman" w:hAnsi="Times New Roman" w:cs="Times New Roman"/>
          <w:sz w:val="24"/>
          <w:szCs w:val="24"/>
          <w:lang w:eastAsia="es-ES"/>
        </w:rPr>
        <w:t xml:space="preserve">sino que también reduce los costes de cumplimiento, fomenta la inversión y fortalece la confianza </w:t>
      </w:r>
      <w:r>
        <w:rPr>
          <w:rFonts w:ascii="Times New Roman" w:eastAsia="Times New Roman" w:hAnsi="Times New Roman" w:cs="Times New Roman"/>
          <w:sz w:val="24"/>
          <w:szCs w:val="24"/>
          <w:lang w:eastAsia="es-ES"/>
        </w:rPr>
        <w:t>en la Administración tributaria”</w:t>
      </w:r>
      <w:r w:rsidRPr="003E6D85">
        <w:rPr>
          <w:rFonts w:ascii="Times New Roman" w:eastAsia="Times New Roman" w:hAnsi="Times New Roman" w:cs="Times New Roman"/>
          <w:sz w:val="24"/>
          <w:szCs w:val="24"/>
          <w:lang w:eastAsia="es-ES"/>
        </w:rPr>
        <w:t>, apunta.</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La comparación entre países de la OCDE -mantienen los autores de este indicador- es el claro ejemplo de que aquellos países con sistemas más simples y predecibles tienden a registrar mayores niveles de cumplimiento y menor litigiosidad fiscal. Según el Banco Mundial, en 2024, el porcentaje de empresas españolas (36,8%) que consideran que su relación con la Administración tributaria limita su actividad triplica al promedio europeo es muy superior al de otros países como Alemania (7,3%), Francia (10,2%) e Italia (22,7%).</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Pues bien, según el índice de complejidad del código tributario creado por la Tax Foundation, los datos manifiestan de nuevo que España presenta un sistema tributario notablemente complejo, siendo un 16,5% superior a la UE y un 9,9% superior a la OCDE. Este nivel de complejidad -destacan- es comparable al de países como Turquía y Armenia, y refleja una carga significativa en términos de costes de cumplimiento para las empresas. En el extremo superior del índice se encuentra Israel, con un valor de 153,8, mientras que Uruguay destaca por tener el sistema menos complejo.</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Dependencia recaudatoria de las empresas</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A estas observaciones -aporta el nuevo indicador de la contribución fiscal- hay que añadir que España está entre los países con mayor dependencia de la recaudación proveniente de las empresas, puesto que estas contribuyen globalmente de forma directa e indirecta hasta el 48,8% de la recaudación total, frente al promedio de la UE en que las empresas aportan el 39,4% y del promedio de la OCDE, donde las empresas aportan un 37,8%.</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El estudio, presentado por Gregorio Izquierdo, director general del IEE, Daniel Bunn, presidente y CEO de la Tax Foundation, y Cristina Enarche, economista de la misma institución, detecta también otros datos, que no dejan en buen lugar a España, dificultando la atracción de nuevas inversiones. Es lo que surge de analizar la presión fiscal sobre el Excedente Bruto de Explotación (EBE), esto es, sobre la renta empresarial.</w:t>
      </w:r>
    </w:p>
    <w:p w:rsidR="000803C7"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El peso de la contribución fiscal, en términos de renta empresarial en España es del 41,6%, magnitud muy superior a la media de la OCDE (31%), e igualmente mayor al promedio europeo (38,8%). Esto refleja -indica el estudio- que “en proporción a las rentas empresariales generadas, las empresas españolas están sujetas a una de las mayores cargas fiscales de la región”.</w:t>
      </w:r>
    </w:p>
    <w:p w:rsidR="000803C7"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lastRenderedPageBreak/>
        <w:t xml:space="preserve">- </w:t>
      </w:r>
      <w:r w:rsidRPr="003E6D85">
        <w:rPr>
          <w:rFonts w:ascii="Times New Roman" w:eastAsia="Times New Roman" w:hAnsi="Times New Roman" w:cs="Times New Roman"/>
          <w:sz w:val="24"/>
          <w:szCs w:val="24"/>
          <w:u w:val="single"/>
          <w:lang w:eastAsia="es-ES"/>
        </w:rPr>
        <w:t>La Seguridad Social, en peligro</w:t>
      </w:r>
      <w:r w:rsidRPr="003E6D85">
        <w:rPr>
          <w:rFonts w:ascii="Times New Roman" w:eastAsia="Times New Roman" w:hAnsi="Times New Roman" w:cs="Times New Roman"/>
          <w:sz w:val="24"/>
          <w:szCs w:val="24"/>
          <w:lang w:eastAsia="es-ES"/>
        </w:rPr>
        <w:t xml:space="preserve"> (El Economista - </w:t>
      </w:r>
      <w:r w:rsidRPr="003E6D85">
        <w:rPr>
          <w:rFonts w:ascii="Times New Roman" w:eastAsia="Times New Roman" w:hAnsi="Times New Roman" w:cs="Times New Roman"/>
          <w:b/>
          <w:sz w:val="24"/>
          <w:szCs w:val="24"/>
          <w:lang w:eastAsia="es-ES"/>
        </w:rPr>
        <w:t>8/7/25</w:t>
      </w:r>
      <w:r w:rsidRPr="003E6D85">
        <w:rPr>
          <w:rFonts w:ascii="Times New Roman" w:eastAsia="Times New Roman" w:hAnsi="Times New Roman" w:cs="Times New Roman"/>
          <w:sz w:val="24"/>
          <w:szCs w:val="24"/>
          <w:lang w:eastAsia="es-ES"/>
        </w:rPr>
        <w:t>)</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Sánchez ha e</w:t>
      </w:r>
      <w:r>
        <w:rPr>
          <w:rFonts w:ascii="Times New Roman" w:eastAsia="Times New Roman" w:hAnsi="Times New Roman" w:cs="Times New Roman"/>
          <w:sz w:val="24"/>
          <w:szCs w:val="24"/>
          <w:lang w:eastAsia="es-ES"/>
        </w:rPr>
        <w:t>levado desde que gobierna  a 75.</w:t>
      </w:r>
      <w:r w:rsidRPr="003E6D85">
        <w:rPr>
          <w:rFonts w:ascii="Times New Roman" w:eastAsia="Times New Roman" w:hAnsi="Times New Roman" w:cs="Times New Roman"/>
          <w:sz w:val="24"/>
          <w:szCs w:val="24"/>
          <w:lang w:eastAsia="es-ES"/>
        </w:rPr>
        <w:t>000 millones de euros la deuda de la Seguridad Social</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El sistema público de pensiones necesita ser reformado. No es cuestión de ideologías sino de matemáticas actuariales</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(Por José María Rotellar)</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Pasan meses y no cambia el desastre de la política del Gobierno que lleva a la quiebra a la Seguridad Social, con el populismo de las mismas, donde no mira por la permanencia del sistema, sino que empuja el problema hacia delante. Dentro del endeudamiento, especialmente preocupante es la senda que ha adoptado el endeudamiento de la Seguridad Social. Sánchez presume que con él se ha incrementado la aportación a la hucha de las pensiones, pero la realidad es bien distinta. Para empezar, el fondo de reserva, conocido como "la hucha de las pensiones", fue creado por Aznar, tras sanear la Seguridad Social que los socialistas habían dejado quebrada. Recordemos que Felipe González dejó a la Seguridad Social con un desequilibrio de 600.000 millones de pesetas (pesetas de 1996) y que el Gobierno de Aznar tuvo que pedir un préstamo a la banca para poder pagar a los pensionistas la paga extraordinaria de diciembre de 1996.</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Pues bien, cuando Aznar creó ese fondo lo hizo con los excedentes que el superávit de las cuentas de la Seguridad Social aportaba, de manera que cada año iba ampliándose el mismo, hasta llegar a sumar más de 14.000 millones de euros al finalizar su mandato. Eso era un verdadero ahorro, porque venía de un excedente. Sin embargo, el ahorro vendido por Sánchez no es tal, pues la Seguridad Social es deficitaria, sólo equilibrada por las transferencias que la Administración General del Estado le realiza desde los Presupuestos Generales del Estado, porque los ingresos por cotizaciones no cubren el gasto en prestaciones. Así, según los últimos presupuestos aprobados, los de 2023 -pues estamos en prórroga presupuestaria en 2024 y 2025 (y ya veremos si se aprueban para 2026), dentro del clima de ingobernabilidad que existe debido a la insuficiente mayoría parlamentaria de Sánchez- la Seguridad Social cuenta con un gasto no financiero de casi 200.000 millones de euros, donde la mayor parte va a pensiones contributivas, que incrementan el gasto en un 11,2% interanual, hasta llegar a los 166.776,9 millones de euros, con riesgo al alza, cifra ya desbordada en la actualidad.</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Por otra parte, los ingresos son claramente insuficientes. Para empezar, son 7.200 millones inferiores a los gastos, quedándose en 192.000 millones. Ahora bien, esa cifra es engañosa, pues recibe casi 40.000 millones de euros en transferencias corrientes del Estado -en la prórroga, ya son más de 40.000 millones, según Fedea-, con lo que, sin ello, el déficit sería mucho más importante. ¿Esto qué quiere decir? Que la AGE asume esos 3,54 puntos de déficit sobre el PIB, pasando a ser mayor déficit de la AGE y menor déficit de la Seguridad Social. Desde el punto de vista del déficit del Reino de España es neutro, porque se cambia de administración el déficit, pero sigue siendo el mismo. Ahora, eso maquilla el déficit de la Seguridad Social. Sin ello, su déficit sería de esa cuantía. Por otra parte, los otros 0,58 puntos de PIB de desfase los recibe como préstamo del Estado, con objeto de poder financiar casi toda esa diferencia restante.</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 xml:space="preserve">Además, la aportación de los 2.793,2 millones al fondo de reserva de 2023 viene cubierta por el préstamo del Estado, que sirve para cubrir dicha aportación, la pequeña diferencia entre el resto de operaciones de ingresos y gastos y el déficit no financiero. En 2024, las aportaciones elevaron el fondo a 8.356 millones de euros en euros corrientes en la llamada hucha de las </w:t>
      </w:r>
      <w:r w:rsidRPr="003E6D85">
        <w:rPr>
          <w:rFonts w:ascii="Times New Roman" w:eastAsia="Times New Roman" w:hAnsi="Times New Roman" w:cs="Times New Roman"/>
          <w:sz w:val="24"/>
          <w:szCs w:val="24"/>
          <w:lang w:eastAsia="es-ES"/>
        </w:rPr>
        <w:lastRenderedPageBreak/>
        <w:t>pensiones, pero si cuando se creó con Aznar era ahorro real, porque la Seguridad Social se encontraba en superávit, ahora es falso, pues el ahorro se debe a un artificio contable. Ahora, esa hucha es una hucha desfondada, rellenada gracias a préstamos, no a verdadero ahorro. Y esa deuda, Sánchez la eleva en alrededor de 75.000 millones de euros desde que gobierna. Los datos del último mes disponible no hacen sino confirmar este desfondamiento: así, pasamos de una deuda de la Seguridad Social de 41.194 millones en 2018 a otra de 126.174 millones en el último dato publicado, abril de 2025.</w:t>
      </w:r>
    </w:p>
    <w:p w:rsidR="000803C7" w:rsidRPr="003E6D85"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3E6D85">
        <w:rPr>
          <w:rFonts w:ascii="Times New Roman" w:eastAsia="Times New Roman" w:hAnsi="Times New Roman" w:cs="Times New Roman"/>
          <w:sz w:val="24"/>
          <w:szCs w:val="24"/>
          <w:lang w:eastAsia="es-ES"/>
        </w:rPr>
        <w:t>Por tanto, una vez más, Sánchez no dice la verdad: él no garantiza las pensiones, sino que las pone en riesgo. El sistema público de pensiones necesita ser reformado. No es cuestión de ideologías sino de matemáticas actuariales. Cada vez tenemos más pensionistas y esos pensionistas cobran una pensión más elevada que las que se cobraban antes, y lo hacen durante más tiempo. El impacto será especialmente importante cuando se jubile el grueso de las cohortes del baby boom, período que tuvo lugar entre 1952 y 1977, pero encontrándose esas cohortes más numerosas en crecimiento de natalidad anual entre 1957 y 1967. Por eso, si nada se hace, el sistema colapsa matemáticamente, y eso es lo que hay que evitar. Hay que tomar medidas para solucionar el problema y garantizar su sostenibilidad. Hay un problema y no se quiere resolver. Todavía se puede reformar; si no se hace, sufrirá recortes y eso sí que será una catástrofe.</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 xml:space="preserve">- </w:t>
      </w:r>
      <w:r w:rsidRPr="003E6D85">
        <w:rPr>
          <w:rFonts w:ascii="Times New Roman" w:hAnsi="Times New Roman" w:cs="Times New Roman"/>
          <w:sz w:val="24"/>
          <w:szCs w:val="24"/>
          <w:u w:val="single"/>
          <w:shd w:val="clear" w:color="auto" w:fill="FFFFFF"/>
        </w:rPr>
        <w:t>No hay trab</w:t>
      </w:r>
      <w:r>
        <w:rPr>
          <w:rFonts w:ascii="Times New Roman" w:hAnsi="Times New Roman" w:cs="Times New Roman"/>
          <w:sz w:val="24"/>
          <w:szCs w:val="24"/>
          <w:u w:val="single"/>
          <w:shd w:val="clear" w:color="auto" w:fill="FFFFFF"/>
        </w:rPr>
        <w:t>ajadores en España para tantas “bocas”</w:t>
      </w:r>
      <w:r w:rsidRPr="003E6D85">
        <w:rPr>
          <w:rFonts w:ascii="Times New Roman" w:hAnsi="Times New Roman" w:cs="Times New Roman"/>
          <w:sz w:val="24"/>
          <w:szCs w:val="24"/>
          <w:u w:val="single"/>
          <w:shd w:val="clear" w:color="auto" w:fill="FFFFFF"/>
        </w:rPr>
        <w:t xml:space="preserve"> que alimentar: la economía solo crecerá un 0,13% anual hasta 2060</w:t>
      </w:r>
      <w:r w:rsidRPr="003E6D85">
        <w:rPr>
          <w:rFonts w:ascii="Times New Roman" w:hAnsi="Times New Roman" w:cs="Times New Roman"/>
          <w:sz w:val="24"/>
          <w:szCs w:val="24"/>
          <w:shd w:val="clear" w:color="auto" w:fill="FFFFFF"/>
        </w:rPr>
        <w:t xml:space="preserve"> (El Economista - </w:t>
      </w:r>
      <w:r w:rsidRPr="003E6D85">
        <w:rPr>
          <w:rFonts w:ascii="Times New Roman" w:hAnsi="Times New Roman" w:cs="Times New Roman"/>
          <w:b/>
          <w:sz w:val="24"/>
          <w:szCs w:val="24"/>
          <w:shd w:val="clear" w:color="auto" w:fill="FFFFFF"/>
        </w:rPr>
        <w:t>14/7/25</w:t>
      </w:r>
      <w:r w:rsidRPr="003E6D85">
        <w:rPr>
          <w:rFonts w:ascii="Times New Roman" w:hAnsi="Times New Roman" w:cs="Times New Roman"/>
          <w:sz w:val="24"/>
          <w:szCs w:val="24"/>
          <w:shd w:val="clear" w:color="auto" w:fill="FFFFFF"/>
        </w:rPr>
        <w:t>)</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La OCDE cree que España tendrá la peor tasa de dependencia de toda Europa</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Habrá casi un trab</w:t>
      </w:r>
      <w:r>
        <w:rPr>
          <w:rFonts w:ascii="Times New Roman" w:hAnsi="Times New Roman" w:cs="Times New Roman"/>
          <w:sz w:val="24"/>
          <w:szCs w:val="24"/>
          <w:shd w:val="clear" w:color="auto" w:fill="FFFFFF"/>
        </w:rPr>
        <w:t>ajador por cada persona que no “produzca”</w:t>
      </w:r>
      <w:r w:rsidRPr="003E6D85">
        <w:rPr>
          <w:rFonts w:ascii="Times New Roman" w:hAnsi="Times New Roman" w:cs="Times New Roman"/>
          <w:sz w:val="24"/>
          <w:szCs w:val="24"/>
          <w:shd w:val="clear" w:color="auto" w:fill="FFFFFF"/>
        </w:rPr>
        <w:t xml:space="preserve"> en la economía</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El PIB per cápita crecerá a un ritmo mucho más bajo que en la actualidad</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No hay trab</w:t>
      </w:r>
      <w:r>
        <w:rPr>
          <w:rFonts w:ascii="Times New Roman" w:hAnsi="Times New Roman" w:cs="Times New Roman"/>
          <w:sz w:val="24"/>
          <w:szCs w:val="24"/>
          <w:shd w:val="clear" w:color="auto" w:fill="FFFFFF"/>
        </w:rPr>
        <w:t>ajadores en España para tantas “bocas”</w:t>
      </w:r>
      <w:r w:rsidRPr="003E6D85">
        <w:rPr>
          <w:rFonts w:ascii="Times New Roman" w:hAnsi="Times New Roman" w:cs="Times New Roman"/>
          <w:sz w:val="24"/>
          <w:szCs w:val="24"/>
          <w:shd w:val="clear" w:color="auto" w:fill="FFFFFF"/>
        </w:rPr>
        <w:t xml:space="preserve"> que alimentar: la economía solo crecerá un 0,13% anual hasta 2060No hay trab</w:t>
      </w:r>
      <w:r>
        <w:rPr>
          <w:rFonts w:ascii="Times New Roman" w:hAnsi="Times New Roman" w:cs="Times New Roman"/>
          <w:sz w:val="24"/>
          <w:szCs w:val="24"/>
          <w:shd w:val="clear" w:color="auto" w:fill="FFFFFF"/>
        </w:rPr>
        <w:t>ajadores en España para tantas “bocas”</w:t>
      </w:r>
      <w:r w:rsidRPr="003E6D85">
        <w:rPr>
          <w:rFonts w:ascii="Times New Roman" w:hAnsi="Times New Roman" w:cs="Times New Roman"/>
          <w:sz w:val="24"/>
          <w:szCs w:val="24"/>
          <w:shd w:val="clear" w:color="auto" w:fill="FFFFFF"/>
        </w:rPr>
        <w:t xml:space="preserve"> que alimentar: la economía solo crecerá un 0,13% anual hasta 2060</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(Por Vicente Nieves)</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 xml:space="preserve">No se puede hacer magia. Con una población en edad de trabajar menguante y una población dependiente creciente, solo se puede dar un resultado (salvo un milagro inesperado de la productividad): un crecimiento del PIB per cápita mucho más bajo. Las matemáticas son sencillas en este caso. Si una población de 20 habitantes tiene a 15 de ellos en edad laboral y trabajando, mientras que solo 5 de ellos son mayores o niños (población </w:t>
      </w:r>
      <w:r>
        <w:rPr>
          <w:rFonts w:ascii="Times New Roman" w:hAnsi="Times New Roman" w:cs="Times New Roman"/>
          <w:sz w:val="24"/>
          <w:szCs w:val="24"/>
          <w:shd w:val="clear" w:color="auto" w:fill="FFFFFF"/>
        </w:rPr>
        <w:t>dependiente o de forma vulgar: “bocas”</w:t>
      </w:r>
      <w:r w:rsidRPr="009E369E">
        <w:rPr>
          <w:rFonts w:ascii="Times New Roman" w:hAnsi="Times New Roman" w:cs="Times New Roman"/>
          <w:sz w:val="24"/>
          <w:szCs w:val="24"/>
          <w:shd w:val="clear" w:color="auto" w:fill="FFFFFF"/>
        </w:rPr>
        <w:t xml:space="preserve"> que alimentar), resultará sencillo, en teoría, mantener a la población y generar una producción suficiente y creciente para todos. Imaginen otra economía con 10 personas en edad de trabajar y otras 10 que no están en edad para ello (son niños o ancianos). El reparto de la producción (todo lo que produce la economía) sería más complejo y el crecimiento potencial más bajo. No hay trabajadores suficientes para tanta población que va a depender de los que sí producen o están en edad de producir. Algo así es lo que le va a suceder a España, resumido de una forma muy burda, sencilla y coloquial en l</w:t>
      </w:r>
      <w:r>
        <w:rPr>
          <w:rFonts w:ascii="Times New Roman" w:hAnsi="Times New Roman" w:cs="Times New Roman"/>
          <w:sz w:val="24"/>
          <w:szCs w:val="24"/>
          <w:shd w:val="clear" w:color="auto" w:fill="FFFFFF"/>
        </w:rPr>
        <w:t>os próximos años. La población “anciana”</w:t>
      </w:r>
      <w:r w:rsidRPr="009E369E">
        <w:rPr>
          <w:rFonts w:ascii="Times New Roman" w:hAnsi="Times New Roman" w:cs="Times New Roman"/>
          <w:sz w:val="24"/>
          <w:szCs w:val="24"/>
          <w:shd w:val="clear" w:color="auto" w:fill="FFFFFF"/>
        </w:rPr>
        <w:t xml:space="preserve"> va a seguir aumentando, mientras que los ciudadanos en edad de trabajar van a ser una porción cada vez menor de todo el conjunto de la población, según se desprende del último informe de la OCDE sobre empleo.</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 xml:space="preserve">La baja fecundidad y la elevada esperanza de vida llevarán a que España sufra para 2060 la mayor caída de la tasa de empleo con respecto de la población entre todos los miembros de la </w:t>
      </w:r>
      <w:r w:rsidRPr="009E369E">
        <w:rPr>
          <w:rFonts w:ascii="Times New Roman" w:hAnsi="Times New Roman" w:cs="Times New Roman"/>
          <w:sz w:val="24"/>
          <w:szCs w:val="24"/>
          <w:shd w:val="clear" w:color="auto" w:fill="FFFFFF"/>
        </w:rPr>
        <w:lastRenderedPageBreak/>
        <w:t>Organización para la Cooperación y el Desarrollo Económico (OCDE), lo que tendrá notables consecuencias para el crecimiento económico del país, según alerta la organización que aglomera a todos los países desarrollados. Se prevé que la tasa de empleo caiga en España en más de 10 puntos porcentuales, hasta quedar en alrededor del 55%. Si el crecimiento real del PIB per cápita en España ya ha sido decepcionante en los últimos años (más bien décadas), lo que viene es aún peor. El PIB per cápita, pese a ser imperfecto, es uno de los indicadores más válidos para analizar la prosperidad de una sociedad, al menor en términos económicos. Aunque el PIB agregado aumente de forma importante, si el PIB per cápita no lo hace, la calidad de vida de los ciudadanos no avanzará.</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¿Por qué el PIB per cápita se podría estancar aún más en España? Como se señalaba ante</w:t>
      </w:r>
      <w:r>
        <w:rPr>
          <w:rFonts w:ascii="Times New Roman" w:hAnsi="Times New Roman" w:cs="Times New Roman"/>
          <w:sz w:val="24"/>
          <w:szCs w:val="24"/>
          <w:shd w:val="clear" w:color="auto" w:fill="FFFFFF"/>
        </w:rPr>
        <w:t>riormente, porque la población “productiva”</w:t>
      </w:r>
      <w:r w:rsidRPr="009E369E">
        <w:rPr>
          <w:rFonts w:ascii="Times New Roman" w:hAnsi="Times New Roman" w:cs="Times New Roman"/>
          <w:sz w:val="24"/>
          <w:szCs w:val="24"/>
          <w:shd w:val="clear" w:color="auto" w:fill="FFFFFF"/>
        </w:rPr>
        <w:t xml:space="preserve"> va a sufrir un importante desplome. España es una economía que presenta de forma casi crónica problemas de productividad, si a eso se le suma una tasa de empleo menor (la productividad y la tasa de empleo son las dos formas de obtener un PIB per cápita mayor), pues el resultado solo puede ser un cr</w:t>
      </w:r>
      <w:r>
        <w:rPr>
          <w:rFonts w:ascii="Times New Roman" w:hAnsi="Times New Roman" w:cs="Times New Roman"/>
          <w:sz w:val="24"/>
          <w:szCs w:val="24"/>
          <w:shd w:val="clear" w:color="auto" w:fill="FFFFFF"/>
        </w:rPr>
        <w:t>ecimiento extremadamente bajo. “</w:t>
      </w:r>
      <w:r w:rsidRPr="009E369E">
        <w:rPr>
          <w:rFonts w:ascii="Times New Roman" w:hAnsi="Times New Roman" w:cs="Times New Roman"/>
          <w:sz w:val="24"/>
          <w:szCs w:val="24"/>
          <w:shd w:val="clear" w:color="auto" w:fill="FFFFFF"/>
        </w:rPr>
        <w:t>Este cambio demográfico tendrá importantes consecuencias para el crecimiento econ</w:t>
      </w:r>
      <w:r>
        <w:rPr>
          <w:rFonts w:ascii="Times New Roman" w:hAnsi="Times New Roman" w:cs="Times New Roman"/>
          <w:sz w:val="24"/>
          <w:szCs w:val="24"/>
          <w:shd w:val="clear" w:color="auto" w:fill="FFFFFF"/>
        </w:rPr>
        <w:t>ómico de España”</w:t>
      </w:r>
      <w:r w:rsidRPr="009E369E">
        <w:rPr>
          <w:rFonts w:ascii="Times New Roman" w:hAnsi="Times New Roman" w:cs="Times New Roman"/>
          <w:sz w:val="24"/>
          <w:szCs w:val="24"/>
          <w:shd w:val="clear" w:color="auto" w:fill="FFFFFF"/>
        </w:rPr>
        <w:t>, advierte la OCDE, señalando que, si el crecimiento de la productividad se mantuviese en línea con su media de 2006-2019, el PIB per cápita aumentaría solo un 0,13% anual hasta 2060, frente al 0,53% registrado entre 2006 y 2019.</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Aunque la OCDE no entra a analizar grupo a grupo en profundidad, los sectores 'dependientes' van más allá de las personas que han alcanzado la edad de jubilación, que son el grueso de los dependientes. También se puede hablar menores de 16 años, de población inactiva (que pese a estar en edad laboral no quieren trabajar), pensionistas por incapacidad o desempleados, que de forma temporal pueden engrosar la lista de ciudadanos que dependen de la generación de 'riqueza' de otros.</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Van a faltar trabajadores para una población dependiente creciente en España. El caso español es de los más graves o el más grave por el rápido descenso de la tasa de empleo, pero la OCDE destaca que es una tendencia general</w:t>
      </w:r>
      <w:r w:rsidR="00C93639">
        <w:rPr>
          <w:rFonts w:ascii="Times New Roman" w:hAnsi="Times New Roman" w:cs="Times New Roman"/>
          <w:sz w:val="24"/>
          <w:szCs w:val="24"/>
          <w:shd w:val="clear" w:color="auto" w:fill="FFFFFF"/>
        </w:rPr>
        <w:t>izada en los países avanzados: “</w:t>
      </w:r>
      <w:r w:rsidRPr="009E369E">
        <w:rPr>
          <w:rFonts w:ascii="Times New Roman" w:hAnsi="Times New Roman" w:cs="Times New Roman"/>
          <w:sz w:val="24"/>
          <w:szCs w:val="24"/>
          <w:shd w:val="clear" w:color="auto" w:fill="FFFFFF"/>
        </w:rPr>
        <w:t>El envejecimiento de la población provocará una importante escasez de mano de ob</w:t>
      </w:r>
      <w:r w:rsidR="00C93639">
        <w:rPr>
          <w:rFonts w:ascii="Times New Roman" w:hAnsi="Times New Roman" w:cs="Times New Roman"/>
          <w:sz w:val="24"/>
          <w:szCs w:val="24"/>
          <w:shd w:val="clear" w:color="auto" w:fill="FFFFFF"/>
        </w:rPr>
        <w:t>ra y presiones fiscales”</w:t>
      </w:r>
      <w:r w:rsidRPr="009E369E">
        <w:rPr>
          <w:rFonts w:ascii="Times New Roman" w:hAnsi="Times New Roman" w:cs="Times New Roman"/>
          <w:sz w:val="24"/>
          <w:szCs w:val="24"/>
          <w:shd w:val="clear" w:color="auto" w:fill="FFFFFF"/>
        </w:rPr>
        <w:t>, ha avisado Mathias Cormann, secretario general de la OCDE, señalando que, para 2060, la población en edad laboral disminuirá un 8% en la OCDE y el gasto público anual en pensiones y salud aumentará un 3% del PIB.</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Solo Japón y Corea están peor</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Una menor tasa de empleo vendrá acompañada de una mayor tasa de dependencia que alcanzará el 75% en</w:t>
      </w:r>
      <w:r>
        <w:rPr>
          <w:rFonts w:ascii="Times New Roman" w:hAnsi="Times New Roman" w:cs="Times New Roman"/>
          <w:sz w:val="24"/>
          <w:szCs w:val="24"/>
          <w:shd w:val="clear" w:color="auto" w:fill="FFFFFF"/>
        </w:rPr>
        <w:t xml:space="preserve"> lo que se refiere a población “anciana”</w:t>
      </w:r>
      <w:r w:rsidRPr="009E369E">
        <w:rPr>
          <w:rFonts w:ascii="Times New Roman" w:hAnsi="Times New Roman" w:cs="Times New Roman"/>
          <w:sz w:val="24"/>
          <w:szCs w:val="24"/>
          <w:shd w:val="clear" w:color="auto" w:fill="FFFFFF"/>
        </w:rPr>
        <w:t xml:space="preserve"> (por cada persona en edad de trabajar habrá 0,75 personas que ya se han jubilado), y una tasa de dependencia total (incluye a los niños) aún mayor. Esto quiere decir que en 2060 habrá en España una persona que puede producir casi por cada persona que no puede hacerlo, ya sea porque se ha jubilado o porque todavía no tiene edad legal para trabajar. De este modo, lo que produce cada persona en edad de trabajar (suponiendo que el des</w:t>
      </w:r>
      <w:r>
        <w:rPr>
          <w:rFonts w:ascii="Times New Roman" w:hAnsi="Times New Roman" w:cs="Times New Roman"/>
          <w:sz w:val="24"/>
          <w:szCs w:val="24"/>
          <w:shd w:val="clear" w:color="auto" w:fill="FFFFFF"/>
        </w:rPr>
        <w:t>empleo desaparecer) tendrá que “repartirse”</w:t>
      </w:r>
      <w:r w:rsidRPr="009E369E">
        <w:rPr>
          <w:rFonts w:ascii="Times New Roman" w:hAnsi="Times New Roman" w:cs="Times New Roman"/>
          <w:sz w:val="24"/>
          <w:szCs w:val="24"/>
          <w:shd w:val="clear" w:color="auto" w:fill="FFFFFF"/>
        </w:rPr>
        <w:t xml:space="preserve"> de algún modo (impuestos, solidaridad...) entre dos personas. De ahí la nefasta previsión sobre el futuro crecimiento del PIB per cápita. España presenta la peor tasa de dependencia del mundo, solo superada por la de Japón y Corea del Sur.</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Tasa de dependencia en los países de la OCDE.</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 xml:space="preserve">No solo eso, el menor crecimiento del PIB per cápita puede coincidir con una mayor </w:t>
      </w:r>
      <w:r>
        <w:rPr>
          <w:rFonts w:ascii="Times New Roman" w:hAnsi="Times New Roman" w:cs="Times New Roman"/>
          <w:sz w:val="24"/>
          <w:szCs w:val="24"/>
          <w:shd w:val="clear" w:color="auto" w:fill="FFFFFF"/>
        </w:rPr>
        <w:t>desigualdad intergeneracional. “</w:t>
      </w:r>
      <w:r w:rsidRPr="009E369E">
        <w:rPr>
          <w:rFonts w:ascii="Times New Roman" w:hAnsi="Times New Roman" w:cs="Times New Roman"/>
          <w:sz w:val="24"/>
          <w:szCs w:val="24"/>
          <w:shd w:val="clear" w:color="auto" w:fill="FFFFFF"/>
        </w:rPr>
        <w:t xml:space="preserve">Los baby boomers han disfrutado de un crecimiento de </w:t>
      </w:r>
      <w:r w:rsidRPr="009E369E">
        <w:rPr>
          <w:rFonts w:ascii="Times New Roman" w:hAnsi="Times New Roman" w:cs="Times New Roman"/>
          <w:sz w:val="24"/>
          <w:szCs w:val="24"/>
          <w:shd w:val="clear" w:color="auto" w:fill="FFFFFF"/>
        </w:rPr>
        <w:lastRenderedPageBreak/>
        <w:t>ingresos significativamente mayor que las cohortes más jóvenes durante las últimas tres décadas. A menos que encontremos la manera de impulsar los ingresos de las cohortes más jóvenes, habrá una crecient</w:t>
      </w:r>
      <w:r>
        <w:rPr>
          <w:rFonts w:ascii="Times New Roman" w:hAnsi="Times New Roman" w:cs="Times New Roman"/>
          <w:sz w:val="24"/>
          <w:szCs w:val="24"/>
          <w:shd w:val="clear" w:color="auto" w:fill="FFFFFF"/>
        </w:rPr>
        <w:t>e desigualdad intergeneracional”</w:t>
      </w:r>
      <w:r w:rsidRPr="009E369E">
        <w:rPr>
          <w:rFonts w:ascii="Times New Roman" w:hAnsi="Times New Roman" w:cs="Times New Roman"/>
          <w:sz w:val="24"/>
          <w:szCs w:val="24"/>
          <w:shd w:val="clear" w:color="auto" w:fill="FFFFFF"/>
        </w:rPr>
        <w:t>, avisan desde la OCDE.</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En España, las personas mayores en edad laboral (55-64) han experimentado un crecimiento de ingresos más rápido que los jóvenes en edad laboral (25-34). En 1995, la renta familiar disponible equivalente de los adultos jóvenes era un 1,3% superior a la del grupo de mayor edad. Esta tendencia se revirtió en la década de 2000, y para 2022, las personas mayores en edad laboral tenían ingresos un 5,6% superior a los del grupo más joven.</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9E369E">
        <w:rPr>
          <w:rFonts w:ascii="Times New Roman" w:hAnsi="Times New Roman" w:cs="Times New Roman"/>
          <w:sz w:val="24"/>
          <w:szCs w:val="24"/>
          <w:shd w:val="clear" w:color="auto" w:fill="FFFFFF"/>
        </w:rPr>
        <w:t>Se necesitan medidas políticas ambiciosas para mejorar las oportunidades laborales de los trabajadores de mayor edad, aprovechar el potencial laboral desaprovechado de las mujeres y los jóvenes, y reactivar el crecimiento de la productividad, garantizando, entre otras cosas, que los trabajadores cuenten con las competencias necesarias para beneficiarse d</w:t>
      </w:r>
      <w:r>
        <w:rPr>
          <w:rFonts w:ascii="Times New Roman" w:hAnsi="Times New Roman" w:cs="Times New Roman"/>
          <w:sz w:val="24"/>
          <w:szCs w:val="24"/>
          <w:shd w:val="clear" w:color="auto" w:fill="FFFFFF"/>
        </w:rPr>
        <w:t>e las nuevas herramientas de IA”</w:t>
      </w:r>
      <w:r w:rsidRPr="009E369E">
        <w:rPr>
          <w:rFonts w:ascii="Times New Roman" w:hAnsi="Times New Roman" w:cs="Times New Roman"/>
          <w:sz w:val="24"/>
          <w:szCs w:val="24"/>
          <w:shd w:val="clear" w:color="auto" w:fill="FFFFFF"/>
        </w:rPr>
        <w:t>, ha concluido Cormann.</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El drama de los millenials</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9E369E">
        <w:rPr>
          <w:rFonts w:ascii="Times New Roman" w:hAnsi="Times New Roman" w:cs="Times New Roman"/>
          <w:sz w:val="24"/>
          <w:szCs w:val="24"/>
          <w:shd w:val="clear" w:color="auto" w:fill="FFFFFF"/>
        </w:rPr>
        <w:t>Además, los millennials españoles (nacidos después de la década de 1980) han experimentado un crecimiento de ingresos limitado a lo largo de su vida adulta, en parte debido al estancamiento del crecimiento de la productividad laboral en las últimas décadas y al impacto duradero de la crisis fina</w:t>
      </w:r>
      <w:r>
        <w:rPr>
          <w:rFonts w:ascii="Times New Roman" w:hAnsi="Times New Roman" w:cs="Times New Roman"/>
          <w:sz w:val="24"/>
          <w:szCs w:val="24"/>
          <w:shd w:val="clear" w:color="auto" w:fill="FFFFFF"/>
        </w:rPr>
        <w:t>nciera mundial”</w:t>
      </w:r>
      <w:r w:rsidRPr="009E369E">
        <w:rPr>
          <w:rFonts w:ascii="Times New Roman" w:hAnsi="Times New Roman" w:cs="Times New Roman"/>
          <w:sz w:val="24"/>
          <w:szCs w:val="24"/>
          <w:shd w:val="clear" w:color="auto" w:fill="FFFFFF"/>
        </w:rPr>
        <w:t>, alertan desde la OCDE.</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Para evitar este escenario de bajo crecimiento del PIB per cápita, desigualdad y bajo PIB potencial, los expertos de la OCDE creen que España debería regularizar a los inmigrantes para aumentar la fuerza laboral. La OCDE cree que movilizando recursos laborales sin aprovechar (reduciendo la población desanimada, equiparando la tasa de empleo entre hombres y mujeres, por ejemplo), incluyendo una reducción en al menos dos tercios de la brecha de género en el empleo, así como activar a los trabajadores mayores con buena salud y promoviendo la migración regular, España podría impulsar el crecimiento anual del PIB per cápita hasta el 0,73%, superando su tendencia histórica reciente.</w:t>
      </w:r>
    </w:p>
    <w:p w:rsidR="000803C7" w:rsidRPr="009E369E"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Aunque se efectúen dichas reformas, la sit</w:t>
      </w:r>
      <w:r>
        <w:rPr>
          <w:rFonts w:ascii="Times New Roman" w:hAnsi="Times New Roman" w:cs="Times New Roman"/>
          <w:sz w:val="24"/>
          <w:szCs w:val="24"/>
          <w:shd w:val="clear" w:color="auto" w:fill="FFFFFF"/>
        </w:rPr>
        <w:t>uación no es sencilla: “</w:t>
      </w:r>
      <w:r w:rsidRPr="009E369E">
        <w:rPr>
          <w:rFonts w:ascii="Times New Roman" w:hAnsi="Times New Roman" w:cs="Times New Roman"/>
          <w:sz w:val="24"/>
          <w:szCs w:val="24"/>
          <w:shd w:val="clear" w:color="auto" w:fill="FFFFFF"/>
        </w:rPr>
        <w:t>Las generaciones más jóvenes se enfrentarán a los retos económicos y sociales derivados del</w:t>
      </w:r>
      <w:r>
        <w:rPr>
          <w:rFonts w:ascii="Times New Roman" w:hAnsi="Times New Roman" w:cs="Times New Roman"/>
          <w:sz w:val="24"/>
          <w:szCs w:val="24"/>
          <w:shd w:val="clear" w:color="auto" w:fill="FFFFFF"/>
        </w:rPr>
        <w:t xml:space="preserve"> envejecimiento de la población”</w:t>
      </w:r>
      <w:r w:rsidRPr="009E369E">
        <w:rPr>
          <w:rFonts w:ascii="Times New Roman" w:hAnsi="Times New Roman" w:cs="Times New Roman"/>
          <w:sz w:val="24"/>
          <w:szCs w:val="24"/>
          <w:shd w:val="clear" w:color="auto" w:fill="FFFFFF"/>
        </w:rPr>
        <w:t>, advierte la OCDE, para la que prolongar la vida laboral en España no solo contribuiría a liberar recursos laborales adicionales para apoyar el crecimiento económico, sino que también aliviaría la carga que soportan los jóvenes, que ya están experimentando un estancamiento de sus ingresos. De este modo, las tendencias que se esperan que dominen la economía de España en los próximos años son los siguientes: políticas para incentivar el empleo a edades avanzadas o de personas que prefieren no trabajar, al mismo tiempo que se intenta reducir la todavía elevada tasa de paro; alargar la edad de jubilación; atraer inmigración para reforzar la fuerza laboral; y buscar políticas o marcos fiscales que ayuden a reducir la desigualdad entre generación.</w:t>
      </w:r>
    </w:p>
    <w:p w:rsidR="000803C7" w:rsidRDefault="000803C7" w:rsidP="000803C7">
      <w:pPr>
        <w:spacing w:line="240" w:lineRule="auto"/>
        <w:jc w:val="both"/>
        <w:rPr>
          <w:rFonts w:ascii="Times New Roman" w:hAnsi="Times New Roman" w:cs="Times New Roman"/>
          <w:sz w:val="24"/>
          <w:szCs w:val="24"/>
          <w:shd w:val="clear" w:color="auto" w:fill="FFFFFF"/>
        </w:rPr>
      </w:pPr>
      <w:r w:rsidRPr="009E369E">
        <w:rPr>
          <w:rFonts w:ascii="Times New Roman" w:hAnsi="Times New Roman" w:cs="Times New Roman"/>
          <w:sz w:val="24"/>
          <w:szCs w:val="24"/>
          <w:shd w:val="clear" w:color="auto" w:fill="FFFFFF"/>
        </w:rPr>
        <w:t>Las generaciones más jóvenes se enfrentarán a los desafíos económicos y sociales derivados del envejecimiento de la población. Por lo tanto, prolongar la vida laboral en España no solo ayudaría a liberar recursos laborales adicionales para apoyar el crecimiento económico, sino que también aliviaría la carga de los jóvenes, que ya están experimentando un estancamiento de sus ingresos.</w:t>
      </w:r>
    </w:p>
    <w:p w:rsidR="000803C7" w:rsidRDefault="000803C7" w:rsidP="000803C7">
      <w:pPr>
        <w:spacing w:line="240" w:lineRule="auto"/>
        <w:jc w:val="both"/>
        <w:rPr>
          <w:rFonts w:ascii="Times New Roman" w:hAnsi="Times New Roman" w:cs="Times New Roman"/>
          <w:sz w:val="24"/>
          <w:szCs w:val="24"/>
          <w:shd w:val="clear" w:color="auto" w:fill="FFFFFF"/>
        </w:rPr>
      </w:pPr>
    </w:p>
    <w:p w:rsidR="000803C7" w:rsidRPr="009E369E" w:rsidRDefault="000803C7" w:rsidP="000803C7">
      <w:pPr>
        <w:spacing w:line="240" w:lineRule="auto"/>
        <w:jc w:val="both"/>
        <w:rPr>
          <w:rFonts w:ascii="Times New Roman" w:hAnsi="Times New Roman" w:cs="Times New Roman"/>
          <w:sz w:val="24"/>
          <w:szCs w:val="24"/>
          <w:shd w:val="clear" w:color="auto" w:fill="FFFFFF"/>
        </w:rPr>
      </w:pP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lastRenderedPageBreak/>
        <w:t xml:space="preserve">- </w:t>
      </w:r>
      <w:r w:rsidRPr="003E6D85">
        <w:rPr>
          <w:rFonts w:ascii="Times New Roman" w:hAnsi="Times New Roman" w:cs="Times New Roman"/>
          <w:sz w:val="24"/>
          <w:szCs w:val="24"/>
          <w:u w:val="single"/>
          <w:shd w:val="clear" w:color="auto" w:fill="FFFFFF"/>
        </w:rPr>
        <w:t>20 millones de trabajadores para 49 millones de población</w:t>
      </w:r>
      <w:r w:rsidRPr="003E6D85">
        <w:rPr>
          <w:rFonts w:ascii="Times New Roman" w:hAnsi="Times New Roman" w:cs="Times New Roman"/>
          <w:sz w:val="24"/>
          <w:szCs w:val="24"/>
          <w:shd w:val="clear" w:color="auto" w:fill="FFFFFF"/>
        </w:rPr>
        <w:t xml:space="preserve"> (The Objective - </w:t>
      </w:r>
      <w:r w:rsidRPr="003E6D85">
        <w:rPr>
          <w:rFonts w:ascii="Times New Roman" w:hAnsi="Times New Roman" w:cs="Times New Roman"/>
          <w:b/>
          <w:sz w:val="24"/>
          <w:szCs w:val="24"/>
          <w:shd w:val="clear" w:color="auto" w:fill="FFFFFF"/>
        </w:rPr>
        <w:t>16/7/25</w:t>
      </w:r>
      <w:r w:rsidRPr="003E6D85">
        <w:rPr>
          <w:rFonts w:ascii="Times New Roman" w:hAnsi="Times New Roman" w:cs="Times New Roman"/>
          <w:sz w:val="24"/>
          <w:szCs w:val="24"/>
          <w:shd w:val="clear" w:color="auto" w:fill="FFFFFF"/>
        </w:rPr>
        <w:t>)</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España cuenta con una población total cercana a los 49 millones de personas y, en realida</w:t>
      </w:r>
      <w:r w:rsidR="00C93639">
        <w:rPr>
          <w:rFonts w:ascii="Times New Roman" w:hAnsi="Times New Roman" w:cs="Times New Roman"/>
          <w:sz w:val="24"/>
          <w:szCs w:val="24"/>
          <w:shd w:val="clear" w:color="auto" w:fill="FFFFFF"/>
        </w:rPr>
        <w:t>d -explica Fernando Santiago-, “</w:t>
      </w:r>
      <w:r w:rsidRPr="003E6D85">
        <w:rPr>
          <w:rFonts w:ascii="Times New Roman" w:hAnsi="Times New Roman" w:cs="Times New Roman"/>
          <w:sz w:val="24"/>
          <w:szCs w:val="24"/>
          <w:shd w:val="clear" w:color="auto" w:fill="FFFFFF"/>
        </w:rPr>
        <w:t xml:space="preserve">solo unos 20 millones </w:t>
      </w:r>
      <w:r w:rsidR="00C93639">
        <w:rPr>
          <w:rFonts w:ascii="Times New Roman" w:hAnsi="Times New Roman" w:cs="Times New Roman"/>
          <w:sz w:val="24"/>
          <w:szCs w:val="24"/>
          <w:shd w:val="clear" w:color="auto" w:fill="FFFFFF"/>
        </w:rPr>
        <w:t>trabajan efectivamente cada día”</w:t>
      </w:r>
      <w:r w:rsidRPr="003E6D85">
        <w:rPr>
          <w:rFonts w:ascii="Times New Roman" w:hAnsi="Times New Roman" w:cs="Times New Roman"/>
          <w:sz w:val="24"/>
          <w:szCs w:val="24"/>
          <w:shd w:val="clear" w:color="auto" w:fill="FFFFFF"/>
        </w:rPr>
        <w:t>. Esta cifra, que se ha extraído de un análisis elaborado por el Consejo General de Gestores Administrativos, se obtiene tras descontar el absentismo medio diario y la inactividad de los fi</w:t>
      </w:r>
      <w:r w:rsidR="00852DBA">
        <w:rPr>
          <w:rFonts w:ascii="Times New Roman" w:hAnsi="Times New Roman" w:cs="Times New Roman"/>
          <w:sz w:val="24"/>
          <w:szCs w:val="24"/>
          <w:shd w:val="clear" w:color="auto" w:fill="FFFFFF"/>
        </w:rPr>
        <w:t>jos discontinuos. Ello refleja “</w:t>
      </w:r>
      <w:r w:rsidRPr="003E6D85">
        <w:rPr>
          <w:rFonts w:ascii="Times New Roman" w:hAnsi="Times New Roman" w:cs="Times New Roman"/>
          <w:sz w:val="24"/>
          <w:szCs w:val="24"/>
          <w:shd w:val="clear" w:color="auto" w:fill="FFFFFF"/>
        </w:rPr>
        <w:t>una verd</w:t>
      </w:r>
      <w:r w:rsidR="00852DBA">
        <w:rPr>
          <w:rFonts w:ascii="Times New Roman" w:hAnsi="Times New Roman" w:cs="Times New Roman"/>
          <w:sz w:val="24"/>
          <w:szCs w:val="24"/>
          <w:shd w:val="clear" w:color="auto" w:fill="FFFFFF"/>
        </w:rPr>
        <w:t>ad incómoda”</w:t>
      </w:r>
      <w:r w:rsidR="00C93639">
        <w:rPr>
          <w:rFonts w:ascii="Times New Roman" w:hAnsi="Times New Roman" w:cs="Times New Roman"/>
          <w:sz w:val="24"/>
          <w:szCs w:val="24"/>
          <w:shd w:val="clear" w:color="auto" w:fill="FFFFFF"/>
        </w:rPr>
        <w:t>, que demuestra que “</w:t>
      </w:r>
      <w:r w:rsidRPr="003E6D85">
        <w:rPr>
          <w:rFonts w:ascii="Times New Roman" w:hAnsi="Times New Roman" w:cs="Times New Roman"/>
          <w:sz w:val="24"/>
          <w:szCs w:val="24"/>
          <w:shd w:val="clear" w:color="auto" w:fill="FFFFFF"/>
        </w:rPr>
        <w:t xml:space="preserve">el país se mantiene con una base laboral mucho más estrecha de lo </w:t>
      </w:r>
      <w:r w:rsidR="00C93639">
        <w:rPr>
          <w:rFonts w:ascii="Times New Roman" w:hAnsi="Times New Roman" w:cs="Times New Roman"/>
          <w:sz w:val="24"/>
          <w:szCs w:val="24"/>
          <w:shd w:val="clear" w:color="auto" w:fill="FFFFFF"/>
        </w:rPr>
        <w:t>que indican los datos agregados”</w:t>
      </w:r>
      <w:r w:rsidRPr="003E6D85">
        <w:rPr>
          <w:rFonts w:ascii="Times New Roman" w:hAnsi="Times New Roman" w:cs="Times New Roman"/>
          <w:sz w:val="24"/>
          <w:szCs w:val="24"/>
          <w:shd w:val="clear" w:color="auto" w:fill="FFFFFF"/>
        </w:rPr>
        <w:t>.</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Las fuentes oficiales dibujan la siguiente radiografía del mercado laboral: además de una población total de 48,6 millones de personas, el número de ocupados, según datos de la EPA, es de 21,77 millones; el absentismo medio diario es de 1,25 millones de personas y los fijos discontinuos sin actividad rondan alrededor de los 650.000. Por tanto -colige el presidente de los Gesto</w:t>
      </w:r>
      <w:r w:rsidR="00852DBA">
        <w:rPr>
          <w:rFonts w:ascii="Times New Roman" w:hAnsi="Times New Roman" w:cs="Times New Roman"/>
          <w:sz w:val="24"/>
          <w:szCs w:val="24"/>
          <w:shd w:val="clear" w:color="auto" w:fill="FFFFFF"/>
        </w:rPr>
        <w:t>res-, “</w:t>
      </w:r>
      <w:r w:rsidRPr="003E6D85">
        <w:rPr>
          <w:rFonts w:ascii="Times New Roman" w:hAnsi="Times New Roman" w:cs="Times New Roman"/>
          <w:sz w:val="24"/>
          <w:szCs w:val="24"/>
          <w:shd w:val="clear" w:color="auto" w:fill="FFFFFF"/>
        </w:rPr>
        <w:t>el número de ocupados reales diarios es solo de</w:t>
      </w:r>
      <w:r w:rsidR="00852DBA">
        <w:rPr>
          <w:rFonts w:ascii="Times New Roman" w:hAnsi="Times New Roman" w:cs="Times New Roman"/>
          <w:sz w:val="24"/>
          <w:szCs w:val="24"/>
          <w:shd w:val="clear" w:color="auto" w:fill="FFFFFF"/>
        </w:rPr>
        <w:t xml:space="preserve"> 19,87 millones de trabajadores”</w:t>
      </w:r>
      <w:r w:rsidRPr="003E6D85">
        <w:rPr>
          <w:rFonts w:ascii="Times New Roman" w:hAnsi="Times New Roman" w:cs="Times New Roman"/>
          <w:sz w:val="24"/>
          <w:szCs w:val="24"/>
          <w:shd w:val="clear" w:color="auto" w:fill="FFFFFF"/>
        </w:rPr>
        <w:t>.</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Por otra parte, el rendimiento por hora trabajada en España es de 45,08 euros. Se trata de una cifra significativamente inferior a la de otros países del entorno: Francia alcanza los 100 dólares por hora, Alemania supera los 95 y la media de la OCDE ronda los 70. Sin embargo, a diferencia de esos países -señ</w:t>
      </w:r>
      <w:r w:rsidR="00852DBA">
        <w:rPr>
          <w:rFonts w:ascii="Times New Roman" w:hAnsi="Times New Roman" w:cs="Times New Roman"/>
          <w:sz w:val="24"/>
          <w:szCs w:val="24"/>
          <w:shd w:val="clear" w:color="auto" w:fill="FFFFFF"/>
        </w:rPr>
        <w:t>ala Fernando Santiago Ollero-, “</w:t>
      </w:r>
      <w:r w:rsidRPr="003E6D85">
        <w:rPr>
          <w:rFonts w:ascii="Times New Roman" w:hAnsi="Times New Roman" w:cs="Times New Roman"/>
          <w:sz w:val="24"/>
          <w:szCs w:val="24"/>
          <w:shd w:val="clear" w:color="auto" w:fill="FFFFFF"/>
        </w:rPr>
        <w:t xml:space="preserve">España sigue estancada en productividad. De hecho, tenemos una productividad baja, y no remontamos porque no subimos el PIB. Y, claro, si seguimos trabajando menos y sin </w:t>
      </w:r>
      <w:r w:rsidR="00852DBA">
        <w:rPr>
          <w:rFonts w:ascii="Times New Roman" w:hAnsi="Times New Roman" w:cs="Times New Roman"/>
          <w:sz w:val="24"/>
          <w:szCs w:val="24"/>
          <w:shd w:val="clear" w:color="auto" w:fill="FFFFFF"/>
        </w:rPr>
        <w:t>generar más valor, no avanzamos”</w:t>
      </w:r>
      <w:r w:rsidRPr="003E6D85">
        <w:rPr>
          <w:rFonts w:ascii="Times New Roman" w:hAnsi="Times New Roman" w:cs="Times New Roman"/>
          <w:sz w:val="24"/>
          <w:szCs w:val="24"/>
          <w:shd w:val="clear" w:color="auto" w:fill="FFFFFF"/>
        </w:rPr>
        <w:t>.</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El coste de 900.000 nuevos trabajadores más</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De todos estos datos -</w:t>
      </w:r>
      <w:r w:rsidR="00852DBA">
        <w:rPr>
          <w:rFonts w:ascii="Times New Roman" w:hAnsi="Times New Roman" w:cs="Times New Roman"/>
          <w:sz w:val="24"/>
          <w:szCs w:val="24"/>
          <w:shd w:val="clear" w:color="auto" w:fill="FFFFFF"/>
        </w:rPr>
        <w:t>subraya el presidente de Icogam-</w:t>
      </w:r>
      <w:r w:rsidRPr="003E6D85">
        <w:rPr>
          <w:rFonts w:ascii="Times New Roman" w:hAnsi="Times New Roman" w:cs="Times New Roman"/>
          <w:sz w:val="24"/>
          <w:szCs w:val="24"/>
          <w:shd w:val="clear" w:color="auto" w:fill="FFFFFF"/>
        </w:rPr>
        <w:t xml:space="preserve"> emerge el debate sobre la reducción de la jornada l</w:t>
      </w:r>
      <w:r w:rsidR="00852DBA">
        <w:rPr>
          <w:rFonts w:ascii="Times New Roman" w:hAnsi="Times New Roman" w:cs="Times New Roman"/>
          <w:sz w:val="24"/>
          <w:szCs w:val="24"/>
          <w:shd w:val="clear" w:color="auto" w:fill="FFFFFF"/>
        </w:rPr>
        <w:t>aboral a 37,5 horas semanales. “</w:t>
      </w:r>
      <w:r w:rsidRPr="003E6D85">
        <w:rPr>
          <w:rFonts w:ascii="Times New Roman" w:hAnsi="Times New Roman" w:cs="Times New Roman"/>
          <w:sz w:val="24"/>
          <w:szCs w:val="24"/>
          <w:shd w:val="clear" w:color="auto" w:fill="FFFFFF"/>
        </w:rPr>
        <w:t>Un debate fundamentado en una estadística que revela un impacto económico considerable, porque pasar de 1.630 a 1.560 horas anuales por trabajador supone una pérdida agregada de 1.390 millones de horas laboral</w:t>
      </w:r>
      <w:r w:rsidR="00852DBA">
        <w:rPr>
          <w:rFonts w:ascii="Times New Roman" w:hAnsi="Times New Roman" w:cs="Times New Roman"/>
          <w:sz w:val="24"/>
          <w:szCs w:val="24"/>
          <w:shd w:val="clear" w:color="auto" w:fill="FFFFFF"/>
        </w:rPr>
        <w:t>es al año”. Sin olvidar que “</w:t>
      </w:r>
      <w:r w:rsidRPr="003E6D85">
        <w:rPr>
          <w:rFonts w:ascii="Times New Roman" w:hAnsi="Times New Roman" w:cs="Times New Roman"/>
          <w:sz w:val="24"/>
          <w:szCs w:val="24"/>
          <w:shd w:val="clear" w:color="auto" w:fill="FFFFFF"/>
        </w:rPr>
        <w:t xml:space="preserve">para compensar esa caída, y para mantener el nivel actual de producción, se requiere incorporar al mercado casi 900.000 nuevos </w:t>
      </w:r>
      <w:r w:rsidR="00852DBA">
        <w:rPr>
          <w:rFonts w:ascii="Times New Roman" w:hAnsi="Times New Roman" w:cs="Times New Roman"/>
          <w:sz w:val="24"/>
          <w:szCs w:val="24"/>
          <w:shd w:val="clear" w:color="auto" w:fill="FFFFFF"/>
        </w:rPr>
        <w:t>trabajadores a jornada completa”</w:t>
      </w:r>
      <w:r w:rsidRPr="003E6D85">
        <w:rPr>
          <w:rFonts w:ascii="Times New Roman" w:hAnsi="Times New Roman" w:cs="Times New Roman"/>
          <w:sz w:val="24"/>
          <w:szCs w:val="24"/>
          <w:shd w:val="clear" w:color="auto" w:fill="FFFFFF"/>
        </w:rPr>
        <w:t>.</w:t>
      </w:r>
    </w:p>
    <w:p w:rsidR="000803C7" w:rsidRPr="003E6D85" w:rsidRDefault="00852DBA" w:rsidP="000803C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0803C7" w:rsidRPr="003E6D85">
        <w:rPr>
          <w:rFonts w:ascii="Times New Roman" w:hAnsi="Times New Roman" w:cs="Times New Roman"/>
          <w:sz w:val="24"/>
          <w:szCs w:val="24"/>
          <w:shd w:val="clear" w:color="auto" w:fill="FFFFFF"/>
        </w:rPr>
        <w:t>¡Pero ojo! -argumenta Santiago Ollero-, contratar a ese volumen de personas con el Salario Mínimo Interprofesional también tendría un coste directo de más de 14.000 millones de euros en sueldos, que con las cotizaciones sociales eleva la factura a más de 1</w:t>
      </w:r>
      <w:r>
        <w:rPr>
          <w:rFonts w:ascii="Times New Roman" w:hAnsi="Times New Roman" w:cs="Times New Roman"/>
          <w:sz w:val="24"/>
          <w:szCs w:val="24"/>
          <w:shd w:val="clear" w:color="auto" w:fill="FFFFFF"/>
        </w:rPr>
        <w:t>9.250 millones de euros anuales”. Por eso “</w:t>
      </w:r>
      <w:r w:rsidR="000803C7" w:rsidRPr="003E6D85">
        <w:rPr>
          <w:rFonts w:ascii="Times New Roman" w:hAnsi="Times New Roman" w:cs="Times New Roman"/>
          <w:sz w:val="24"/>
          <w:szCs w:val="24"/>
          <w:shd w:val="clear" w:color="auto" w:fill="FFFFFF"/>
        </w:rPr>
        <w:t>necesitamos políticas que impulsen la productividad y que el aumento de los costes laborales no recaiga exc</w:t>
      </w:r>
      <w:r>
        <w:rPr>
          <w:rFonts w:ascii="Times New Roman" w:hAnsi="Times New Roman" w:cs="Times New Roman"/>
          <w:sz w:val="24"/>
          <w:szCs w:val="24"/>
          <w:shd w:val="clear" w:color="auto" w:fill="FFFFFF"/>
        </w:rPr>
        <w:t>lusivamente sobre el empresario”</w:t>
      </w:r>
      <w:r w:rsidR="000803C7" w:rsidRPr="003E6D85">
        <w:rPr>
          <w:rFonts w:ascii="Times New Roman" w:hAnsi="Times New Roman" w:cs="Times New Roman"/>
          <w:sz w:val="24"/>
          <w:szCs w:val="24"/>
          <w:shd w:val="clear" w:color="auto" w:fill="FFFFFF"/>
        </w:rPr>
        <w:t>.</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A este escenario se suma otro fenómeno silencioso: el absentismo estructural, por el que cada día no acuden a su puesto de trabajo 1,25 millones de personas. Esta ausencia -concreta Fernando Santiago-, multiplicada por los días laborales del año, supone una pérdida de 2.062 millones de horas de trabaj</w:t>
      </w:r>
      <w:r w:rsidR="00852DBA">
        <w:rPr>
          <w:rFonts w:ascii="Times New Roman" w:hAnsi="Times New Roman" w:cs="Times New Roman"/>
          <w:sz w:val="24"/>
          <w:szCs w:val="24"/>
          <w:shd w:val="clear" w:color="auto" w:fill="FFFFFF"/>
        </w:rPr>
        <w:t>o, y la equivalencia es clara: “</w:t>
      </w:r>
      <w:r w:rsidRPr="003E6D85">
        <w:rPr>
          <w:rFonts w:ascii="Times New Roman" w:hAnsi="Times New Roman" w:cs="Times New Roman"/>
          <w:sz w:val="24"/>
          <w:szCs w:val="24"/>
          <w:shd w:val="clear" w:color="auto" w:fill="FFFFFF"/>
        </w:rPr>
        <w:t xml:space="preserve">Nos encontramos con más de 1,26 millones de empleos anuales completamente perdidos, y el coste de esta inactividad asciende, sumando salarios y cotizaciones, a </w:t>
      </w:r>
      <w:r w:rsidR="00852DBA">
        <w:rPr>
          <w:rFonts w:ascii="Times New Roman" w:hAnsi="Times New Roman" w:cs="Times New Roman"/>
          <w:sz w:val="24"/>
          <w:szCs w:val="24"/>
          <w:shd w:val="clear" w:color="auto" w:fill="FFFFFF"/>
        </w:rPr>
        <w:t>27.320 millones de euros al año”</w:t>
      </w:r>
      <w:r w:rsidRPr="003E6D85">
        <w:rPr>
          <w:rFonts w:ascii="Times New Roman" w:hAnsi="Times New Roman" w:cs="Times New Roman"/>
          <w:sz w:val="24"/>
          <w:szCs w:val="24"/>
          <w:shd w:val="clear" w:color="auto" w:fill="FFFFFF"/>
        </w:rPr>
        <w:t>.</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 xml:space="preserve">- </w:t>
      </w:r>
      <w:r w:rsidRPr="003E6D85">
        <w:rPr>
          <w:rFonts w:ascii="Times New Roman" w:hAnsi="Times New Roman" w:cs="Times New Roman"/>
          <w:sz w:val="24"/>
          <w:szCs w:val="24"/>
          <w:u w:val="single"/>
          <w:shd w:val="clear" w:color="auto" w:fill="FFFFFF"/>
        </w:rPr>
        <w:t>La realidad de España: menos de 20 millones de trabajadores sostienen a 48,6 millones de personas</w:t>
      </w:r>
      <w:r w:rsidRPr="003E6D85">
        <w:rPr>
          <w:rFonts w:ascii="Times New Roman" w:hAnsi="Times New Roman" w:cs="Times New Roman"/>
          <w:sz w:val="24"/>
          <w:szCs w:val="24"/>
          <w:shd w:val="clear" w:color="auto" w:fill="FFFFFF"/>
        </w:rPr>
        <w:t xml:space="preserve"> (Libertad Digital - </w:t>
      </w:r>
      <w:r w:rsidRPr="003E6D85">
        <w:rPr>
          <w:rFonts w:ascii="Times New Roman" w:hAnsi="Times New Roman" w:cs="Times New Roman"/>
          <w:b/>
          <w:sz w:val="24"/>
          <w:szCs w:val="24"/>
          <w:shd w:val="clear" w:color="auto" w:fill="FFFFFF"/>
        </w:rPr>
        <w:t>17/7/25</w:t>
      </w:r>
      <w:r w:rsidRPr="003E6D85">
        <w:rPr>
          <w:rFonts w:ascii="Times New Roman" w:hAnsi="Times New Roman" w:cs="Times New Roman"/>
          <w:sz w:val="24"/>
          <w:szCs w:val="24"/>
          <w:shd w:val="clear" w:color="auto" w:fill="FFFFFF"/>
        </w:rPr>
        <w:t>)</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Desde el Consejo General de Gestores Administrativos señalan que España necesita incrementar su productividad.</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lastRenderedPageBreak/>
        <w:t>El mercado laboral español, que está lastrado por el exceso de intervención y la rigidez impuesta por la regulación, tendrá que hacer frente a un impacto de varios miles de millones de euros por la reducción de la jornada laboral propuesta por Yolanda Díaz. Así se desprende de un informe publicado por el Consejo General de Gestores Administrativos, donde también se estima el coste del absentismo en nuestro país.</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De este modo, se demuestra una vez más el error que supone la decisión del Ministerio de Trabajo de reducir la jornada laboral, sobre todo en un país que necesita, precisamente, incrementar su productividad. Y si se expulsa la inversión con altas tasas impositivas e intervencionismo, como está ocurriendo, lo único que puede sostener esa productividad son las horas de trabajo.</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Coste milmillonario</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El mercado de trabajo en España es una bomba de relojería que podría estallar en cualquier momento, porqu</w:t>
      </w:r>
      <w:r w:rsidR="00C93639">
        <w:rPr>
          <w:rFonts w:ascii="Times New Roman" w:hAnsi="Times New Roman" w:cs="Times New Roman"/>
          <w:sz w:val="24"/>
          <w:szCs w:val="24"/>
          <w:shd w:val="clear" w:color="auto" w:fill="FFFFFF"/>
        </w:rPr>
        <w:t>e de acuerdo al informe citado “</w:t>
      </w:r>
      <w:r w:rsidRPr="003E6D85">
        <w:rPr>
          <w:rFonts w:ascii="Times New Roman" w:hAnsi="Times New Roman" w:cs="Times New Roman"/>
          <w:sz w:val="24"/>
          <w:szCs w:val="24"/>
          <w:shd w:val="clear" w:color="auto" w:fill="FFFFFF"/>
        </w:rPr>
        <w:t>solo 20 millones de trabajadores sostienen el país, la productividad está estancada y el absentism</w:t>
      </w:r>
      <w:r w:rsidR="00C93639">
        <w:rPr>
          <w:rFonts w:ascii="Times New Roman" w:hAnsi="Times New Roman" w:cs="Times New Roman"/>
          <w:sz w:val="24"/>
          <w:szCs w:val="24"/>
          <w:shd w:val="clear" w:color="auto" w:fill="FFFFFF"/>
        </w:rPr>
        <w:t>o cuesta 27.000 millones al año”</w:t>
      </w:r>
      <w:r w:rsidRPr="003E6D85">
        <w:rPr>
          <w:rFonts w:ascii="Times New Roman" w:hAnsi="Times New Roman" w:cs="Times New Roman"/>
          <w:sz w:val="24"/>
          <w:szCs w:val="24"/>
          <w:shd w:val="clear" w:color="auto" w:fill="FFFFFF"/>
        </w:rPr>
        <w:t>. Es decir, la economía productiva en nuestro país está sostenida por menos de la mitad de la población. De hecho, en el estudio se detalla que el absentismo medio diario se encuentra en 1,25 millones de personas y los fijos discontinuos sin actividad rondan los 650.000.</w:t>
      </w:r>
    </w:p>
    <w:p w:rsidR="000803C7" w:rsidRPr="003E6D85" w:rsidRDefault="00852DBA" w:rsidP="000803C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Así, “</w:t>
      </w:r>
      <w:r w:rsidR="000803C7" w:rsidRPr="003E6D85">
        <w:rPr>
          <w:rFonts w:ascii="Times New Roman" w:hAnsi="Times New Roman" w:cs="Times New Roman"/>
          <w:sz w:val="24"/>
          <w:szCs w:val="24"/>
          <w:shd w:val="clear" w:color="auto" w:fill="FFFFFF"/>
        </w:rPr>
        <w:t>si observamos los datos recogidos de distintas fuentes oficiales, podemos observar la siguiente radiografí</w:t>
      </w:r>
      <w:r>
        <w:rPr>
          <w:rFonts w:ascii="Times New Roman" w:hAnsi="Times New Roman" w:cs="Times New Roman"/>
          <w:sz w:val="24"/>
          <w:szCs w:val="24"/>
          <w:shd w:val="clear" w:color="auto" w:fill="FFFFFF"/>
        </w:rPr>
        <w:t>a del mercado laboral en España”</w:t>
      </w:r>
      <w:r w:rsidR="000803C7" w:rsidRPr="003E6D85">
        <w:rPr>
          <w:rFonts w:ascii="Times New Roman" w:hAnsi="Times New Roman" w:cs="Times New Roman"/>
          <w:sz w:val="24"/>
          <w:szCs w:val="24"/>
          <w:shd w:val="clear" w:color="auto" w:fill="FFFFFF"/>
        </w:rPr>
        <w:t xml:space="preserve"> señalan:</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 Población total: 48,6 millones.</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 Ocupados (EPA): 21,77 millones.</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 Absentismo medio diario: 1,25 millones de personas.</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 Fijos discontinuos sin actividad: ≈ 650.000.</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 Ocupados reales diarios: solo ≈ 19,87 millones.</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Así las</w:t>
      </w:r>
      <w:r w:rsidR="00852DBA">
        <w:rPr>
          <w:rFonts w:ascii="Times New Roman" w:hAnsi="Times New Roman" w:cs="Times New Roman"/>
          <w:sz w:val="24"/>
          <w:szCs w:val="24"/>
          <w:shd w:val="clear" w:color="auto" w:fill="FFFFFF"/>
        </w:rPr>
        <w:t xml:space="preserve"> cosas, el estudio detalla que “</w:t>
      </w:r>
      <w:r w:rsidRPr="003E6D85">
        <w:rPr>
          <w:rFonts w:ascii="Times New Roman" w:hAnsi="Times New Roman" w:cs="Times New Roman"/>
          <w:sz w:val="24"/>
          <w:szCs w:val="24"/>
          <w:shd w:val="clear" w:color="auto" w:fill="FFFFFF"/>
        </w:rPr>
        <w:t>el rendimiento por hora trabajada en España es de 45,08 euros. Se trata de una cifra significativamente inferior a la de</w:t>
      </w:r>
      <w:r w:rsidR="00852DBA">
        <w:rPr>
          <w:rFonts w:ascii="Times New Roman" w:hAnsi="Times New Roman" w:cs="Times New Roman"/>
          <w:sz w:val="24"/>
          <w:szCs w:val="24"/>
          <w:shd w:val="clear" w:color="auto" w:fill="FFFFFF"/>
        </w:rPr>
        <w:t xml:space="preserve"> otros países del entorno”</w:t>
      </w:r>
      <w:r w:rsidRPr="003E6D85">
        <w:rPr>
          <w:rFonts w:ascii="Times New Roman" w:hAnsi="Times New Roman" w:cs="Times New Roman"/>
          <w:sz w:val="24"/>
          <w:szCs w:val="24"/>
          <w:shd w:val="clear" w:color="auto" w:fill="FFFFFF"/>
        </w:rPr>
        <w:t>. En este sentido, Fernando Jesús Santiago Ollero, presidente del Consejo General de Gestor</w:t>
      </w:r>
      <w:r w:rsidR="00852DBA">
        <w:rPr>
          <w:rFonts w:ascii="Times New Roman" w:hAnsi="Times New Roman" w:cs="Times New Roman"/>
          <w:sz w:val="24"/>
          <w:szCs w:val="24"/>
          <w:shd w:val="clear" w:color="auto" w:fill="FFFFFF"/>
        </w:rPr>
        <w:t>es Administrativos, señala que “</w:t>
      </w:r>
      <w:r w:rsidRPr="003E6D85">
        <w:rPr>
          <w:rFonts w:ascii="Times New Roman" w:hAnsi="Times New Roman" w:cs="Times New Roman"/>
          <w:sz w:val="24"/>
          <w:szCs w:val="24"/>
          <w:shd w:val="clear" w:color="auto" w:fill="FFFFFF"/>
        </w:rPr>
        <w:t xml:space="preserve">tenemos una productividad baja, y no remontamos porque no subimos el PIB. Si seguimos trabajando menos y sin </w:t>
      </w:r>
      <w:r w:rsidR="00852DBA">
        <w:rPr>
          <w:rFonts w:ascii="Times New Roman" w:hAnsi="Times New Roman" w:cs="Times New Roman"/>
          <w:sz w:val="24"/>
          <w:szCs w:val="24"/>
          <w:shd w:val="clear" w:color="auto" w:fill="FFFFFF"/>
        </w:rPr>
        <w:t>generar más valor, no avanzamos”</w:t>
      </w:r>
      <w:r w:rsidRPr="003E6D85">
        <w:rPr>
          <w:rFonts w:ascii="Times New Roman" w:hAnsi="Times New Roman" w:cs="Times New Roman"/>
          <w:sz w:val="24"/>
          <w:szCs w:val="24"/>
          <w:shd w:val="clear" w:color="auto" w:fill="FFFFFF"/>
        </w:rPr>
        <w:t>.</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 xml:space="preserve">En este contexto, el empeño de la ministra de Trabajo es, no obstante, reducir por ley la jornada laboral a 37,5 horas semanales, lo cual implicaría unos costes totales de </w:t>
      </w:r>
      <w:r w:rsidR="00852DBA">
        <w:rPr>
          <w:rFonts w:ascii="Times New Roman" w:hAnsi="Times New Roman" w:cs="Times New Roman"/>
          <w:sz w:val="24"/>
          <w:szCs w:val="24"/>
          <w:shd w:val="clear" w:color="auto" w:fill="FFFFFF"/>
        </w:rPr>
        <w:t>casi 20.000 millones de euros. “</w:t>
      </w:r>
      <w:r w:rsidRPr="003E6D85">
        <w:rPr>
          <w:rFonts w:ascii="Times New Roman" w:hAnsi="Times New Roman" w:cs="Times New Roman"/>
          <w:sz w:val="24"/>
          <w:szCs w:val="24"/>
          <w:shd w:val="clear" w:color="auto" w:fill="FFFFFF"/>
        </w:rPr>
        <w:t>Pasar de 1.630 a 1.560 horas anuales por trabajador supone una pérdida agregada de 1.390 mil</w:t>
      </w:r>
      <w:r w:rsidR="00852DBA">
        <w:rPr>
          <w:rFonts w:ascii="Times New Roman" w:hAnsi="Times New Roman" w:cs="Times New Roman"/>
          <w:sz w:val="24"/>
          <w:szCs w:val="24"/>
          <w:shd w:val="clear" w:color="auto" w:fill="FFFFFF"/>
        </w:rPr>
        <w:t>lones de horas laborales al año”</w:t>
      </w:r>
      <w:r w:rsidRPr="003E6D85">
        <w:rPr>
          <w:rFonts w:ascii="Times New Roman" w:hAnsi="Times New Roman" w:cs="Times New Roman"/>
          <w:sz w:val="24"/>
          <w:szCs w:val="24"/>
          <w:shd w:val="clear" w:color="auto" w:fill="FFFFFF"/>
        </w:rPr>
        <w:t>, inciden</w:t>
      </w:r>
      <w:r w:rsidR="00852DBA">
        <w:rPr>
          <w:rFonts w:ascii="Times New Roman" w:hAnsi="Times New Roman" w:cs="Times New Roman"/>
          <w:sz w:val="24"/>
          <w:szCs w:val="24"/>
          <w:shd w:val="clear" w:color="auto" w:fill="FFFFFF"/>
        </w:rPr>
        <w:t xml:space="preserve"> en el informe, destacando que “</w:t>
      </w:r>
      <w:r w:rsidRPr="003E6D85">
        <w:rPr>
          <w:rFonts w:ascii="Times New Roman" w:hAnsi="Times New Roman" w:cs="Times New Roman"/>
          <w:sz w:val="24"/>
          <w:szCs w:val="24"/>
          <w:shd w:val="clear" w:color="auto" w:fill="FFFFFF"/>
        </w:rPr>
        <w:t xml:space="preserve">compensar esa caída para mantener el nivel actual de producción requeriría incorporar al mercado casi 900.000 nuevos </w:t>
      </w:r>
      <w:r w:rsidR="00852DBA">
        <w:rPr>
          <w:rFonts w:ascii="Times New Roman" w:hAnsi="Times New Roman" w:cs="Times New Roman"/>
          <w:sz w:val="24"/>
          <w:szCs w:val="24"/>
          <w:shd w:val="clear" w:color="auto" w:fill="FFFFFF"/>
        </w:rPr>
        <w:t>trabajadores a jornada completa”</w:t>
      </w:r>
      <w:r w:rsidRPr="003E6D85">
        <w:rPr>
          <w:rFonts w:ascii="Times New Roman" w:hAnsi="Times New Roman" w:cs="Times New Roman"/>
          <w:sz w:val="24"/>
          <w:szCs w:val="24"/>
          <w:shd w:val="clear" w:color="auto" w:fill="FFFFFF"/>
        </w:rPr>
        <w:t>.</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t>De este modo, de</w:t>
      </w:r>
      <w:r w:rsidR="00852DBA">
        <w:rPr>
          <w:rFonts w:ascii="Times New Roman" w:hAnsi="Times New Roman" w:cs="Times New Roman"/>
          <w:sz w:val="24"/>
          <w:szCs w:val="24"/>
          <w:shd w:val="clear" w:color="auto" w:fill="FFFFFF"/>
        </w:rPr>
        <w:t>sde el organismo denuncian que “</w:t>
      </w:r>
      <w:r w:rsidRPr="003E6D85">
        <w:rPr>
          <w:rFonts w:ascii="Times New Roman" w:hAnsi="Times New Roman" w:cs="Times New Roman"/>
          <w:sz w:val="24"/>
          <w:szCs w:val="24"/>
          <w:shd w:val="clear" w:color="auto" w:fill="FFFFFF"/>
        </w:rPr>
        <w:t>contratar a ese volumen de personas con el Salario Mínimo Interprofesional tendría un coste directo de más de 14.0</w:t>
      </w:r>
      <w:r w:rsidR="00852DBA">
        <w:rPr>
          <w:rFonts w:ascii="Times New Roman" w:hAnsi="Times New Roman" w:cs="Times New Roman"/>
          <w:sz w:val="24"/>
          <w:szCs w:val="24"/>
          <w:shd w:val="clear" w:color="auto" w:fill="FFFFFF"/>
        </w:rPr>
        <w:t>00 millones de euros en sueldos”. De este modo, “</w:t>
      </w:r>
      <w:r w:rsidRPr="003E6D85">
        <w:rPr>
          <w:rFonts w:ascii="Times New Roman" w:hAnsi="Times New Roman" w:cs="Times New Roman"/>
          <w:sz w:val="24"/>
          <w:szCs w:val="24"/>
          <w:shd w:val="clear" w:color="auto" w:fill="FFFFFF"/>
        </w:rPr>
        <w:t>si se añaden las cotizaciones sociales, la factura se eleva a más de 1</w:t>
      </w:r>
      <w:r w:rsidR="00852DBA">
        <w:rPr>
          <w:rFonts w:ascii="Times New Roman" w:hAnsi="Times New Roman" w:cs="Times New Roman"/>
          <w:sz w:val="24"/>
          <w:szCs w:val="24"/>
          <w:shd w:val="clear" w:color="auto" w:fill="FFFFFF"/>
        </w:rPr>
        <w:t>9.250 millones de euros anuales”</w:t>
      </w:r>
      <w:r w:rsidRPr="003E6D85">
        <w:rPr>
          <w:rFonts w:ascii="Times New Roman" w:hAnsi="Times New Roman" w:cs="Times New Roman"/>
          <w:sz w:val="24"/>
          <w:szCs w:val="24"/>
          <w:shd w:val="clear" w:color="auto" w:fill="FFFFFF"/>
        </w:rPr>
        <w:t>. Por lo tanto, de acuerdo co</w:t>
      </w:r>
      <w:r w:rsidR="00852DBA">
        <w:rPr>
          <w:rFonts w:ascii="Times New Roman" w:hAnsi="Times New Roman" w:cs="Times New Roman"/>
          <w:sz w:val="24"/>
          <w:szCs w:val="24"/>
          <w:shd w:val="clear" w:color="auto" w:fill="FFFFFF"/>
        </w:rPr>
        <w:t>n el presidente del organismo, “</w:t>
      </w:r>
      <w:r w:rsidRPr="003E6D85">
        <w:rPr>
          <w:rFonts w:ascii="Times New Roman" w:hAnsi="Times New Roman" w:cs="Times New Roman"/>
          <w:sz w:val="24"/>
          <w:szCs w:val="24"/>
          <w:shd w:val="clear" w:color="auto" w:fill="FFFFFF"/>
        </w:rPr>
        <w:t>necesitamos políticas que impulsen la productividad y que el aumento de los costes laborales no recaiga exc</w:t>
      </w:r>
      <w:r w:rsidR="00852DBA">
        <w:rPr>
          <w:rFonts w:ascii="Times New Roman" w:hAnsi="Times New Roman" w:cs="Times New Roman"/>
          <w:sz w:val="24"/>
          <w:szCs w:val="24"/>
          <w:shd w:val="clear" w:color="auto" w:fill="FFFFFF"/>
        </w:rPr>
        <w:t>lusivamente sobre el empresario”</w:t>
      </w:r>
      <w:r w:rsidRPr="003E6D85">
        <w:rPr>
          <w:rFonts w:ascii="Times New Roman" w:hAnsi="Times New Roman" w:cs="Times New Roman"/>
          <w:sz w:val="24"/>
          <w:szCs w:val="24"/>
          <w:shd w:val="clear" w:color="auto" w:fill="FFFFFF"/>
        </w:rPr>
        <w:t>.</w:t>
      </w:r>
    </w:p>
    <w:p w:rsidR="000803C7" w:rsidRPr="003E6D85" w:rsidRDefault="000803C7" w:rsidP="000803C7">
      <w:pPr>
        <w:spacing w:line="240" w:lineRule="auto"/>
        <w:jc w:val="both"/>
        <w:rPr>
          <w:rFonts w:ascii="Times New Roman" w:hAnsi="Times New Roman" w:cs="Times New Roman"/>
          <w:sz w:val="24"/>
          <w:szCs w:val="24"/>
          <w:shd w:val="clear" w:color="auto" w:fill="FFFFFF"/>
        </w:rPr>
      </w:pPr>
      <w:r w:rsidRPr="003E6D85">
        <w:rPr>
          <w:rFonts w:ascii="Times New Roman" w:hAnsi="Times New Roman" w:cs="Times New Roman"/>
          <w:sz w:val="24"/>
          <w:szCs w:val="24"/>
          <w:shd w:val="clear" w:color="auto" w:fill="FFFFFF"/>
        </w:rPr>
        <w:lastRenderedPageBreak/>
        <w:t>Finalmente, el informe analiza el impacto combinado del absentismo y la reducción de la jornada lab</w:t>
      </w:r>
      <w:r w:rsidR="00852DBA">
        <w:rPr>
          <w:rFonts w:ascii="Times New Roman" w:hAnsi="Times New Roman" w:cs="Times New Roman"/>
          <w:sz w:val="24"/>
          <w:szCs w:val="24"/>
          <w:shd w:val="clear" w:color="auto" w:fill="FFFFFF"/>
        </w:rPr>
        <w:t>oral, cuyo coste total “</w:t>
      </w:r>
      <w:r w:rsidRPr="003E6D85">
        <w:rPr>
          <w:rFonts w:ascii="Times New Roman" w:hAnsi="Times New Roman" w:cs="Times New Roman"/>
          <w:sz w:val="24"/>
          <w:szCs w:val="24"/>
          <w:shd w:val="clear" w:color="auto" w:fill="FFFFFF"/>
        </w:rPr>
        <w:t xml:space="preserve">alcanza los 46.571 millones de euros, lo que representa el 3,2 % del </w:t>
      </w:r>
      <w:r w:rsidR="00852DBA">
        <w:rPr>
          <w:rFonts w:ascii="Times New Roman" w:hAnsi="Times New Roman" w:cs="Times New Roman"/>
          <w:sz w:val="24"/>
          <w:szCs w:val="24"/>
          <w:shd w:val="clear" w:color="auto" w:fill="FFFFFF"/>
        </w:rPr>
        <w:t>Producto Interior Bruto español”</w:t>
      </w:r>
      <w:r w:rsidRPr="003E6D85">
        <w:rPr>
          <w:rFonts w:ascii="Times New Roman" w:hAnsi="Times New Roman" w:cs="Times New Roman"/>
          <w:sz w:val="24"/>
          <w:szCs w:val="24"/>
          <w:shd w:val="clear" w:color="auto" w:fill="FFFFFF"/>
        </w:rPr>
        <w:t>, que desde el Consejo General de Gestores Administrativos ven imposible de asumir.</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 </w:t>
      </w:r>
      <w:r w:rsidRPr="003E6D85">
        <w:rPr>
          <w:rFonts w:ascii="Times New Roman" w:hAnsi="Times New Roman" w:cs="Times New Roman"/>
          <w:sz w:val="24"/>
          <w:szCs w:val="24"/>
          <w:u w:val="single"/>
        </w:rPr>
        <w:t>El agujero de las pensiones es mucho más grande de lo que parecía: España debe más a sus futuros jubilados que cualquier otro país de Europa</w:t>
      </w:r>
      <w:r w:rsidRPr="003E6D85">
        <w:rPr>
          <w:rFonts w:ascii="Times New Roman" w:hAnsi="Times New Roman" w:cs="Times New Roman"/>
          <w:sz w:val="24"/>
          <w:szCs w:val="24"/>
        </w:rPr>
        <w:t xml:space="preserve"> (El Economista - </w:t>
      </w:r>
      <w:r w:rsidRPr="003E6D85">
        <w:rPr>
          <w:rFonts w:ascii="Times New Roman" w:hAnsi="Times New Roman" w:cs="Times New Roman"/>
          <w:b/>
          <w:sz w:val="24"/>
          <w:szCs w:val="24"/>
        </w:rPr>
        <w:t>21/7/25</w:t>
      </w:r>
      <w:r w:rsidRPr="003E6D85">
        <w:rPr>
          <w:rFonts w:ascii="Times New Roman" w:hAnsi="Times New Roman" w:cs="Times New Roman"/>
          <w:sz w:val="24"/>
          <w:szCs w:val="24"/>
        </w:rPr>
        <w:t>)</w:t>
      </w:r>
    </w:p>
    <w:p w:rsidR="000803C7" w:rsidRPr="00895780" w:rsidRDefault="000803C7" w:rsidP="000803C7">
      <w:pPr>
        <w:numPr>
          <w:ilvl w:val="0"/>
          <w:numId w:val="32"/>
        </w:numPr>
        <w:shd w:val="clear" w:color="auto" w:fill="FFFFFF"/>
        <w:spacing w:before="100" w:beforeAutospacing="1" w:after="120" w:line="240" w:lineRule="auto"/>
        <w:ind w:left="0"/>
        <w:jc w:val="both"/>
        <w:rPr>
          <w:rFonts w:ascii="Times New Roman" w:hAnsi="Times New Roman" w:cs="Times New Roman"/>
          <w:iCs/>
          <w:spacing w:val="-1"/>
          <w:sz w:val="24"/>
          <w:szCs w:val="24"/>
        </w:rPr>
      </w:pPr>
      <w:r w:rsidRPr="00895780">
        <w:rPr>
          <w:rFonts w:ascii="Times New Roman" w:hAnsi="Times New Roman" w:cs="Times New Roman"/>
          <w:iCs/>
          <w:spacing w:val="-1"/>
          <w:sz w:val="24"/>
          <w:szCs w:val="24"/>
        </w:rPr>
        <w:t>España tiene la deuda implícita pensional más grande de Europa </w:t>
      </w:r>
    </w:p>
    <w:p w:rsidR="000803C7" w:rsidRPr="00895780" w:rsidRDefault="000803C7" w:rsidP="000803C7">
      <w:pPr>
        <w:numPr>
          <w:ilvl w:val="0"/>
          <w:numId w:val="32"/>
        </w:numPr>
        <w:shd w:val="clear" w:color="auto" w:fill="FFFFFF"/>
        <w:spacing w:before="100" w:beforeAutospacing="1" w:after="120" w:line="240" w:lineRule="auto"/>
        <w:ind w:left="0"/>
        <w:jc w:val="both"/>
        <w:rPr>
          <w:rFonts w:ascii="Times New Roman" w:hAnsi="Times New Roman" w:cs="Times New Roman"/>
          <w:iCs/>
          <w:spacing w:val="-1"/>
          <w:sz w:val="24"/>
          <w:szCs w:val="24"/>
        </w:rPr>
      </w:pPr>
      <w:r w:rsidRPr="00895780">
        <w:rPr>
          <w:rFonts w:ascii="Times New Roman" w:hAnsi="Times New Roman" w:cs="Times New Roman"/>
          <w:iCs/>
          <w:spacing w:val="-1"/>
          <w:sz w:val="24"/>
          <w:szCs w:val="24"/>
        </w:rPr>
        <w:t>Es una estimación del valor de todas las pensiones que los hogares acumulan</w:t>
      </w:r>
    </w:p>
    <w:p w:rsidR="000803C7" w:rsidRPr="00895780" w:rsidRDefault="000803C7" w:rsidP="000803C7">
      <w:pPr>
        <w:numPr>
          <w:ilvl w:val="0"/>
          <w:numId w:val="32"/>
        </w:numPr>
        <w:shd w:val="clear" w:color="auto" w:fill="FFFFFF"/>
        <w:spacing w:before="100" w:beforeAutospacing="1" w:after="120" w:line="240" w:lineRule="auto"/>
        <w:ind w:left="0"/>
        <w:jc w:val="both"/>
        <w:rPr>
          <w:rFonts w:ascii="Times New Roman" w:hAnsi="Times New Roman" w:cs="Times New Roman"/>
          <w:iCs/>
          <w:spacing w:val="-1"/>
          <w:sz w:val="24"/>
          <w:szCs w:val="24"/>
        </w:rPr>
      </w:pPr>
      <w:r w:rsidRPr="00895780">
        <w:rPr>
          <w:rFonts w:ascii="Times New Roman" w:hAnsi="Times New Roman" w:cs="Times New Roman"/>
          <w:iCs/>
          <w:spacing w:val="-1"/>
          <w:sz w:val="24"/>
          <w:szCs w:val="24"/>
        </w:rPr>
        <w:t>Deja entrever el enorme reto al que se enfrenta el sistema de pensiones en España</w:t>
      </w:r>
    </w:p>
    <w:p w:rsidR="000803C7" w:rsidRPr="003E6D85" w:rsidRDefault="000803C7" w:rsidP="000803C7">
      <w:pPr>
        <w:shd w:val="clear" w:color="auto" w:fill="FFFFFF"/>
        <w:spacing w:before="100" w:beforeAutospacing="1" w:after="120" w:line="240" w:lineRule="auto"/>
        <w:jc w:val="both"/>
        <w:rPr>
          <w:rFonts w:ascii="Times New Roman" w:hAnsi="Times New Roman" w:cs="Times New Roman"/>
          <w:iCs/>
          <w:spacing w:val="-1"/>
          <w:sz w:val="24"/>
          <w:szCs w:val="24"/>
        </w:rPr>
      </w:pPr>
      <w:r w:rsidRPr="003E6D85">
        <w:rPr>
          <w:rFonts w:ascii="Times New Roman" w:hAnsi="Times New Roman" w:cs="Times New Roman"/>
          <w:iCs/>
          <w:spacing w:val="-1"/>
          <w:sz w:val="24"/>
          <w:szCs w:val="24"/>
        </w:rPr>
        <w:t xml:space="preserve">(Por </w:t>
      </w:r>
      <w:hyperlink r:id="rId260" w:history="1">
        <w:r w:rsidRPr="000C52E7">
          <w:rPr>
            <w:rStyle w:val="Hipervnculo"/>
            <w:rFonts w:ascii="Times New Roman" w:hAnsi="Times New Roman" w:cs="Times New Roman"/>
            <w:color w:val="auto"/>
            <w:sz w:val="24"/>
            <w:szCs w:val="24"/>
            <w:u w:val="none"/>
          </w:rPr>
          <w:t>Vicente Nieves</w:t>
        </w:r>
      </w:hyperlink>
      <w:r w:rsidRPr="000C52E7">
        <w:rPr>
          <w:rStyle w:val="Hipervnculo"/>
          <w:rFonts w:ascii="Times New Roman" w:hAnsi="Times New Roman" w:cs="Times New Roman"/>
          <w:color w:val="auto"/>
          <w:sz w:val="24"/>
          <w:szCs w:val="24"/>
          <w:u w:val="none"/>
        </w:rPr>
        <w:t>)</w:t>
      </w:r>
    </w:p>
    <w:p w:rsidR="000803C7" w:rsidRPr="003E6D85" w:rsidRDefault="000803C7" w:rsidP="000803C7">
      <w:pPr>
        <w:pStyle w:val="NormalWeb"/>
        <w:shd w:val="clear" w:color="auto" w:fill="FFFFFF"/>
        <w:spacing w:after="270" w:afterAutospacing="0"/>
        <w:jc w:val="both"/>
        <w:rPr>
          <w:spacing w:val="-1"/>
        </w:rPr>
      </w:pPr>
      <w:r w:rsidRPr="003E6D85">
        <w:rPr>
          <w:spacing w:val="-1"/>
        </w:rPr>
        <w:t>La economía de España ha destacado en los últimos años por su fuerte crecimiento (respecto al resto de Europa) y la intensa creación de empleo, que ha permitido rebajar la tasa de paro a niveles que no se veían desde hace más de 15 años. Sin embargo, este boom del PIB no ha borrado ni siquiera minimizado de forma notable el gran reto de la economía:</w:t>
      </w:r>
      <w:r w:rsidRPr="003E6D85">
        <w:rPr>
          <w:b/>
          <w:bCs/>
          <w:spacing w:val="-1"/>
        </w:rPr>
        <w:t> </w:t>
      </w:r>
      <w:r w:rsidRPr="00895780">
        <w:rPr>
          <w:bCs/>
          <w:spacing w:val="-1"/>
        </w:rPr>
        <w:t>la gran promesa de España a sus pensionistas</w:t>
      </w:r>
      <w:r w:rsidRPr="00895780">
        <w:rPr>
          <w:spacing w:val="-1"/>
        </w:rPr>
        <w:t>.</w:t>
      </w:r>
      <w:r w:rsidRPr="003E6D85">
        <w:rPr>
          <w:spacing w:val="-1"/>
        </w:rPr>
        <w:t xml:space="preserve"> Cuando se habla de pensiones se suele destacar el creciente gasto, el déficit de la Seguridad Social (que vive de las tr</w:t>
      </w:r>
      <w:r w:rsidR="00852DBA">
        <w:rPr>
          <w:spacing w:val="-1"/>
        </w:rPr>
        <w:t>ansferencias del Estado que se “restan”</w:t>
      </w:r>
      <w:r w:rsidRPr="003E6D85">
        <w:rPr>
          <w:spacing w:val="-1"/>
        </w:rPr>
        <w:t xml:space="preserve"> de otras partidas de gastos o se financia con deuda), pero no se suele poner cifras a las promesas reales que ha hecho España a sus pensionistas. Según los datos que maneja Eurostat,</w:t>
      </w:r>
      <w:r w:rsidRPr="003E6D85">
        <w:rPr>
          <w:b/>
          <w:bCs/>
          <w:spacing w:val="-1"/>
        </w:rPr>
        <w:t> </w:t>
      </w:r>
      <w:r w:rsidR="00852DBA">
        <w:rPr>
          <w:bCs/>
          <w:spacing w:val="-1"/>
        </w:rPr>
        <w:t>España tiene la mayor “deuda”</w:t>
      </w:r>
      <w:r w:rsidRPr="00895780">
        <w:rPr>
          <w:bCs/>
          <w:spacing w:val="-1"/>
        </w:rPr>
        <w:t xml:space="preserve"> de todos los países con sus pensionistas</w:t>
      </w:r>
      <w:r w:rsidRPr="003E6D85">
        <w:rPr>
          <w:spacing w:val="-1"/>
        </w:rPr>
        <w:t>. España es el país que más ha prometido y si quiere cumplir su promesa va a tener que hacer esfuerzos titánicos para pagarla.</w:t>
      </w:r>
    </w:p>
    <w:p w:rsidR="000803C7" w:rsidRPr="00852DBA" w:rsidRDefault="000335E9" w:rsidP="000803C7">
      <w:pPr>
        <w:pStyle w:val="NormalWeb"/>
        <w:shd w:val="clear" w:color="auto" w:fill="FFFFFF"/>
        <w:spacing w:after="270" w:afterAutospacing="0"/>
        <w:jc w:val="both"/>
        <w:rPr>
          <w:spacing w:val="-1"/>
        </w:rPr>
      </w:pPr>
      <w:hyperlink r:id="rId261" w:tgtFrame="_blank" w:tooltip="El indicador de Eurostat sobre los derechos pensionales" w:history="1">
        <w:r w:rsidR="000803C7" w:rsidRPr="00852DBA">
          <w:rPr>
            <w:rStyle w:val="Hipervnculo"/>
            <w:rFonts w:eastAsiaTheme="majorEastAsia"/>
            <w:color w:val="auto"/>
            <w:spacing w:val="-1"/>
            <w:u w:val="none"/>
          </w:rPr>
          <w:t>Eurostat publica cada cierto tiempo este indicador</w:t>
        </w:r>
      </w:hyperlink>
      <w:r w:rsidR="000803C7" w:rsidRPr="00852DBA">
        <w:rPr>
          <w:spacing w:val="-1"/>
        </w:rPr>
        <w:t> que revela el esfuerzo que deberán hacer los</w:t>
      </w:r>
      <w:r w:rsidR="000803C7" w:rsidRPr="00895780">
        <w:rPr>
          <w:spacing w:val="-1"/>
        </w:rPr>
        <w:t xml:space="preserve"> diferentes países para afrontar el pago de las pensiones. Es una medición o cálculo de los derechos de pensión que han generado los españoles (si estás trabajando estás generando estos derechos) hasta un momento dado a través de cotizaciones y aportaciones a fondos. España sale como el peor parado con</w:t>
      </w:r>
      <w:r w:rsidR="00852DBA">
        <w:rPr>
          <w:bCs/>
          <w:spacing w:val="-1"/>
        </w:rPr>
        <w:t> una “deuda implícita”</w:t>
      </w:r>
      <w:r w:rsidR="000803C7" w:rsidRPr="00895780">
        <w:rPr>
          <w:bCs/>
          <w:spacing w:val="-1"/>
        </w:rPr>
        <w:t xml:space="preserve"> del 500% del PIB.</w:t>
      </w:r>
      <w:r w:rsidR="000803C7" w:rsidRPr="00895780">
        <w:rPr>
          <w:spacing w:val="-1"/>
        </w:rPr>
        <w:t> Si bien es cierto que esta suerte de indicador se debe analizar con cautela (hay muchas variables en juego y las normas que rigen el sistema pueden cambiar de la noche a la</w:t>
      </w:r>
      <w:r w:rsidR="00852DBA">
        <w:rPr>
          <w:spacing w:val="-1"/>
        </w:rPr>
        <w:t xml:space="preserve"> mañana), sí muestra la enorme “carga”</w:t>
      </w:r>
      <w:r w:rsidR="000803C7" w:rsidRPr="00895780">
        <w:rPr>
          <w:spacing w:val="-1"/>
        </w:rPr>
        <w:t xml:space="preserve"> a la que se van a enfrentar las finanzas españolas en los próximos años. El creciente peso de los pensionistas por jubilación, la indexación de las pensiones a la inflación, </w:t>
      </w:r>
      <w:hyperlink r:id="rId262" w:tooltip="No hay trabajadores en España para tantas 'bocas' que alimentar: la economía solo crecerá un 0,13% anual hasta 2060" w:history="1">
        <w:r w:rsidR="000803C7" w:rsidRPr="00852DBA">
          <w:rPr>
            <w:rStyle w:val="Hipervnculo"/>
            <w:rFonts w:eastAsiaTheme="majorEastAsia"/>
            <w:color w:val="auto"/>
            <w:spacing w:val="-1"/>
            <w:u w:val="none"/>
          </w:rPr>
          <w:t>la caída esperada de la población ocupada en términos relativos</w:t>
        </w:r>
      </w:hyperlink>
      <w:r w:rsidR="000803C7" w:rsidRPr="00852DBA">
        <w:rPr>
          <w:spacing w:val="-1"/>
        </w:rPr>
        <w:t> o la creación de empleo de baja calidad van a complicar sobremanera el pago de esa masa de prestaciones que va a empezar a crecer de forma notable desde este mismo momento. </w:t>
      </w:r>
      <w:hyperlink r:id="rId263" w:tooltip="Bruselas destapa el gran agujero de las pensiones en España: cómo pagar a un 60% más de pensionistas con el mismo número de ocupados" w:history="1">
        <w:r w:rsidR="000803C7" w:rsidRPr="00852DBA">
          <w:rPr>
            <w:rStyle w:val="Hipervnculo"/>
            <w:rFonts w:eastAsiaTheme="majorEastAsia"/>
            <w:color w:val="auto"/>
            <w:spacing w:val="-1"/>
            <w:u w:val="none"/>
          </w:rPr>
          <w:t>El agujero de las pensiones es grande en términos absolutos y relativos</w:t>
        </w:r>
      </w:hyperlink>
      <w:r w:rsidR="000803C7" w:rsidRPr="00852DBA">
        <w:rPr>
          <w:spacing w:val="-1"/>
        </w:rPr>
        <w:t>.</w:t>
      </w:r>
    </w:p>
    <w:p w:rsidR="000803C7" w:rsidRPr="00852DBA" w:rsidRDefault="000803C7" w:rsidP="000803C7">
      <w:pPr>
        <w:pStyle w:val="NormalWeb"/>
        <w:shd w:val="clear" w:color="auto" w:fill="FFFFFF"/>
        <w:spacing w:after="270" w:afterAutospacing="0"/>
        <w:jc w:val="both"/>
        <w:rPr>
          <w:spacing w:val="-1"/>
        </w:rPr>
      </w:pPr>
      <w:r w:rsidRPr="00852DBA">
        <w:rPr>
          <w:spacing w:val="-1"/>
        </w:rPr>
        <w:t>Sin ir más lejos, </w:t>
      </w:r>
      <w:hyperlink r:id="rId264" w:tooltip="El déficit contributivo de las pensiones sube a 30.000 millones en 2024 pese a la subida de cotizaciones" w:history="1">
        <w:r w:rsidRPr="00852DBA">
          <w:rPr>
            <w:rStyle w:val="Hipervnculo"/>
            <w:rFonts w:eastAsiaTheme="majorEastAsia"/>
            <w:color w:val="auto"/>
            <w:spacing w:val="-1"/>
            <w:u w:val="none"/>
          </w:rPr>
          <w:t>el déficit contributivo de las pensiones </w:t>
        </w:r>
      </w:hyperlink>
      <w:r w:rsidRPr="00852DBA">
        <w:rPr>
          <w:spacing w:val="-1"/>
        </w:rPr>
        <w:t>ya alcanzó el año pasado los 30.000 millones de euros. La previsión es que este déficit siga aumentando a medida que la generación del </w:t>
      </w:r>
      <w:hyperlink r:id="rId265" w:tooltip="La generación del 'baby boom' se enfrenta a una jubilación &quot;más larga, más cara y menos protegida&quot;, según EAE Business School" w:history="1">
        <w:r w:rsidRPr="00852DBA">
          <w:rPr>
            <w:rStyle w:val="Hipervnculo"/>
            <w:rFonts w:eastAsiaTheme="majorEastAsia"/>
            <w:color w:val="auto"/>
            <w:spacing w:val="-1"/>
            <w:u w:val="none"/>
          </w:rPr>
          <w:t>baby boom vaya abandonando su vida laboral </w:t>
        </w:r>
      </w:hyperlink>
      <w:r w:rsidR="00852DBA">
        <w:rPr>
          <w:spacing w:val="-1"/>
        </w:rPr>
        <w:t>para “caer”</w:t>
      </w:r>
      <w:r w:rsidRPr="00852DBA">
        <w:rPr>
          <w:spacing w:val="-1"/>
        </w:rPr>
        <w:t xml:space="preserve"> dentro del grupo de personas conocidas como dependientes (aquellas que no contribuyen ni producen en términos económicos).</w:t>
      </w:r>
    </w:p>
    <w:p w:rsidR="000803C7" w:rsidRPr="00852DBA" w:rsidRDefault="000803C7" w:rsidP="000803C7">
      <w:pPr>
        <w:pStyle w:val="Ttulo2"/>
        <w:shd w:val="clear" w:color="auto" w:fill="FFFFFF"/>
        <w:spacing w:before="300" w:after="225"/>
        <w:jc w:val="both"/>
        <w:rPr>
          <w:rFonts w:ascii="Times New Roman" w:hAnsi="Times New Roman" w:cs="Times New Roman"/>
          <w:b w:val="0"/>
          <w:bCs w:val="0"/>
          <w:color w:val="auto"/>
          <w:sz w:val="24"/>
          <w:szCs w:val="24"/>
        </w:rPr>
      </w:pPr>
      <w:r w:rsidRPr="00852DBA">
        <w:rPr>
          <w:rFonts w:ascii="Times New Roman" w:hAnsi="Times New Roman" w:cs="Times New Roman"/>
          <w:b w:val="0"/>
          <w:bCs w:val="0"/>
          <w:color w:val="auto"/>
          <w:sz w:val="24"/>
          <w:szCs w:val="24"/>
        </w:rPr>
        <w:lastRenderedPageBreak/>
        <w:t>El déficit de las pensiones</w:t>
      </w:r>
    </w:p>
    <w:p w:rsidR="000803C7" w:rsidRPr="00852DBA" w:rsidRDefault="000803C7" w:rsidP="000803C7">
      <w:pPr>
        <w:pStyle w:val="NormalWeb"/>
        <w:shd w:val="clear" w:color="auto" w:fill="FFFFFF"/>
        <w:spacing w:after="270" w:afterAutospacing="0"/>
        <w:jc w:val="both"/>
        <w:rPr>
          <w:spacing w:val="-1"/>
        </w:rPr>
      </w:pPr>
      <w:r w:rsidRPr="00852DBA">
        <w:rPr>
          <w:spacing w:val="-1"/>
        </w:rPr>
        <w:t>Ya antes de incorporar los derechos pensionales futuros, la situación del sistema presenta importantes desequilibrios (y</w:t>
      </w:r>
      <w:r w:rsidR="00852DBA">
        <w:rPr>
          <w:spacing w:val="-1"/>
        </w:rPr>
        <w:t xml:space="preserve"> lo peor está aún por llegar). “</w:t>
      </w:r>
      <w:r w:rsidRPr="00852DBA">
        <w:rPr>
          <w:spacing w:val="-1"/>
        </w:rPr>
        <w:t>Las cifras de 2024 reflejan un déficit contable en el sistema público de pensiones a pesar de la </w:t>
      </w:r>
      <w:r w:rsidRPr="00852DBA">
        <w:rPr>
          <w:bCs/>
          <w:spacing w:val="-1"/>
        </w:rPr>
        <w:t>fuerte inyección de recursos que ha recibido desde 2019 </w:t>
      </w:r>
      <w:hyperlink r:id="rId266" w:tooltip="El Gobierno transferirá otros 39.000 millones para pagar pensiones en 2024" w:history="1">
        <w:r w:rsidRPr="00852DBA">
          <w:rPr>
            <w:rStyle w:val="Hipervnculo"/>
            <w:rFonts w:eastAsiaTheme="majorEastAsia"/>
            <w:color w:val="auto"/>
            <w:spacing w:val="-1"/>
            <w:u w:val="none"/>
          </w:rPr>
          <w:t>(aquí un ejemplo)</w:t>
        </w:r>
      </w:hyperlink>
      <w:r w:rsidRPr="00852DBA">
        <w:rPr>
          <w:bCs/>
          <w:spacing w:val="-1"/>
        </w:rPr>
        <w:t> </w:t>
      </w:r>
      <w:r w:rsidRPr="00852DBA">
        <w:rPr>
          <w:spacing w:val="-1"/>
        </w:rPr>
        <w:t>mediante transferencias del Estado en su componente contributivo (Seguridad Social y Régimen de Clases Pasivas). Las perspectivas futuras parecen complicadas como consecuencia de</w:t>
      </w:r>
      <w:r w:rsidRPr="00852DBA">
        <w:rPr>
          <w:bCs/>
          <w:spacing w:val="-1"/>
        </w:rPr>
        <w:t> una aceleración del proceso de envejecimiento</w:t>
      </w:r>
      <w:r w:rsidRPr="00852DBA">
        <w:rPr>
          <w:spacing w:val="-1"/>
        </w:rPr>
        <w:t> provocado por la llegada de la generación del baby boom a la edad de jubilación y el previsible aumento de la esperanza de vida (+3,4 años en 2050). La suma de ambos fenómenos aumentará el número de pensiones un 56,3% en un periodo de tiempo relativamente corto (de 9,984 a 15,605 millones), para después estabilizarse hasta 2070 (16,637 millones)</w:t>
      </w:r>
      <w:r w:rsidR="00852DBA">
        <w:rPr>
          <w:spacing w:val="-1"/>
        </w:rPr>
        <w:t>”</w:t>
      </w:r>
      <w:r w:rsidRPr="00852DBA">
        <w:rPr>
          <w:spacing w:val="-1"/>
        </w:rPr>
        <w:t>, señalaba Miguel Ángel García, profesor de Economía y uno de los mayores expertos en España de pensiones, en un documento publicado por Santalucía.</w:t>
      </w:r>
    </w:p>
    <w:p w:rsidR="000803C7" w:rsidRDefault="000803C7" w:rsidP="000803C7">
      <w:pPr>
        <w:shd w:val="clear" w:color="auto" w:fill="FFFFFF"/>
        <w:spacing w:line="240" w:lineRule="auto"/>
        <w:jc w:val="both"/>
        <w:rPr>
          <w:rFonts w:ascii="Times New Roman" w:hAnsi="Times New Roman" w:cs="Times New Roman"/>
          <w:sz w:val="24"/>
          <w:szCs w:val="24"/>
        </w:rPr>
      </w:pPr>
      <w:r w:rsidRPr="003E6D85">
        <w:rPr>
          <w:rFonts w:ascii="Times New Roman" w:hAnsi="Times New Roman" w:cs="Times New Roman"/>
          <w:noProof/>
          <w:sz w:val="24"/>
          <w:szCs w:val="24"/>
          <w:lang w:eastAsia="es-ES"/>
        </w:rPr>
        <w:drawing>
          <wp:inline distT="0" distB="0" distL="0" distR="0" wp14:anchorId="60714D32" wp14:editId="75AB5B7D">
            <wp:extent cx="5746750" cy="5829300"/>
            <wp:effectExtent l="0" t="0" r="6350" b="0"/>
            <wp:docPr id="146" name="Imagen 146" descr="https://s03.s3c.es/imag/_v0/2310x2478/5/a/c/770x_espana-deuda-pension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2478/5/a/c/770x_espana-deuda-pensiones.gif"/>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746750" cy="5829300"/>
                    </a:xfrm>
                    <a:prstGeom prst="rect">
                      <a:avLst/>
                    </a:prstGeom>
                    <a:noFill/>
                    <a:ln>
                      <a:noFill/>
                    </a:ln>
                  </pic:spPr>
                </pic:pic>
              </a:graphicData>
            </a:graphic>
          </wp:inline>
        </w:drawing>
      </w:r>
    </w:p>
    <w:p w:rsidR="00852DBA" w:rsidRDefault="00852DBA" w:rsidP="000803C7">
      <w:pPr>
        <w:shd w:val="clear" w:color="auto" w:fill="FFFFFF"/>
        <w:spacing w:line="240" w:lineRule="auto"/>
        <w:jc w:val="both"/>
        <w:rPr>
          <w:rFonts w:ascii="Times New Roman" w:hAnsi="Times New Roman" w:cs="Times New Roman"/>
          <w:sz w:val="24"/>
          <w:szCs w:val="24"/>
        </w:rPr>
      </w:pPr>
    </w:p>
    <w:p w:rsidR="000803C7" w:rsidRPr="003E6D85" w:rsidRDefault="00852DBA" w:rsidP="000803C7">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España tiene la mayor “deuda pensional”</w:t>
      </w:r>
      <w:r w:rsidR="000803C7" w:rsidRPr="003E6D85">
        <w:rPr>
          <w:rFonts w:ascii="Times New Roman" w:hAnsi="Times New Roman" w:cs="Times New Roman"/>
          <w:sz w:val="24"/>
          <w:szCs w:val="24"/>
        </w:rPr>
        <w:t xml:space="preserve"> de toda Europa</w:t>
      </w:r>
    </w:p>
    <w:p w:rsidR="000803C7" w:rsidRPr="00895780" w:rsidRDefault="000803C7" w:rsidP="000803C7">
      <w:pPr>
        <w:pStyle w:val="NormalWeb"/>
        <w:shd w:val="clear" w:color="auto" w:fill="FFFFFF"/>
        <w:spacing w:after="270" w:afterAutospacing="0"/>
        <w:jc w:val="both"/>
        <w:rPr>
          <w:spacing w:val="-1"/>
        </w:rPr>
      </w:pPr>
      <w:r w:rsidRPr="00895780">
        <w:rPr>
          <w:spacing w:val="-1"/>
        </w:rPr>
        <w:t>Con todo, el cálculo de esta deuda implícita de las pensiones o</w:t>
      </w:r>
      <w:r w:rsidR="00852DBA">
        <w:rPr>
          <w:bCs/>
          <w:spacing w:val="-1"/>
        </w:rPr>
        <w:t> “pension entitlements”</w:t>
      </w:r>
      <w:r w:rsidRPr="00895780">
        <w:rPr>
          <w:spacing w:val="-1"/>
        </w:rPr>
        <w:t> en las cuentas nacionales que publica Eurostat representa una estimación del valor de todas las pensiones que los hogares han acumulado hasta una fecha determinada (en este caso es hasta 2021), ya sea mediante sistemas públicos (de reparto o </w:t>
      </w:r>
      <w:r w:rsidRPr="00895780">
        <w:rPr>
          <w:i/>
          <w:iCs/>
          <w:spacing w:val="-1"/>
        </w:rPr>
        <w:t>pay-as-you-go, </w:t>
      </w:r>
      <w:r w:rsidRPr="00895780">
        <w:rPr>
          <w:spacing w:val="-1"/>
        </w:rPr>
        <w:t>que es el sistema de España) o privados (fondos capitalizados). Para obtener esta cifra, se proyectan los beneficios que cada persona recibirá al jubilarse (basándose en su historial laboral y en las normas del sistema de pensiones) y se actualizan al valor presente utilizando técnicas actuariales. Los derechos financiados con fondos privados que se pueden ver en el gráfico </w:t>
      </w:r>
      <w:r w:rsidRPr="00895780">
        <w:rPr>
          <w:bCs/>
          <w:spacing w:val="-1"/>
        </w:rPr>
        <w:t>representan las aportaciones a fondos de pensiones privados</w:t>
      </w:r>
      <w:r w:rsidRPr="00895780">
        <w:rPr>
          <w:spacing w:val="-1"/>
        </w:rPr>
        <w:t>, mientras que los no financiados representan los </w:t>
      </w:r>
      <w:r w:rsidRPr="00895780">
        <w:rPr>
          <w:bCs/>
          <w:spacing w:val="-1"/>
        </w:rPr>
        <w:t>sistemas públicos de reparto</w:t>
      </w:r>
      <w:r w:rsidRPr="00895780">
        <w:rPr>
          <w:spacing w:val="-1"/>
        </w:rPr>
        <w:t> como el de España, donde las pensiones no se financian con ahorro, sino que se pagan con las cotizaciones de los trabajadores en activo de cada momento.</w:t>
      </w:r>
    </w:p>
    <w:p w:rsidR="000803C7" w:rsidRPr="003E6D85" w:rsidRDefault="00852DBA" w:rsidP="000803C7">
      <w:pPr>
        <w:pStyle w:val="NormalWeb"/>
        <w:shd w:val="clear" w:color="auto" w:fill="FFFFFF"/>
        <w:spacing w:after="270" w:afterAutospacing="0"/>
        <w:jc w:val="both"/>
        <w:rPr>
          <w:spacing w:val="-1"/>
        </w:rPr>
      </w:pPr>
      <w:r>
        <w:rPr>
          <w:spacing w:val="-1"/>
        </w:rPr>
        <w:t>En el cálculo de las “pension entitlements”</w:t>
      </w:r>
      <w:r w:rsidR="000803C7" w:rsidRPr="003E6D85">
        <w:rPr>
          <w:spacing w:val="-1"/>
        </w:rPr>
        <w:t xml:space="preserve"> implica descontar al valor actual todos los pagos futuros esperados, teniendo en cuenta factores económicos (como la inflación, los tipos de interés y el crecimiento de salarios) y demográficos (como la esperanza de vida o la edad de jubilación). El resultado no mide cuánto costarán las pensiones en el futuro, sino cuántos derechos acumulados existen hoy si el sistema se cerrase de inmediato. Cuánto tendría que pagar España a estas personas en caso de jubilarse hoy.</w:t>
      </w:r>
    </w:p>
    <w:p w:rsidR="000803C7" w:rsidRDefault="000803C7" w:rsidP="000803C7">
      <w:pPr>
        <w:pStyle w:val="NormalWeb"/>
        <w:shd w:val="clear" w:color="auto" w:fill="FFFFFF"/>
        <w:spacing w:after="270" w:afterAutospacing="0"/>
        <w:jc w:val="both"/>
        <w:rPr>
          <w:spacing w:val="-1"/>
        </w:rPr>
      </w:pPr>
      <w:r w:rsidRPr="003E6D85">
        <w:rPr>
          <w:spacing w:val="-1"/>
        </w:rPr>
        <w:t xml:space="preserve">De </w:t>
      </w:r>
      <w:r w:rsidR="00852DBA">
        <w:rPr>
          <w:spacing w:val="-1"/>
        </w:rPr>
        <w:t>una forma aún más sencilla: el “pension entitlements”</w:t>
      </w:r>
      <w:r w:rsidRPr="003E6D85">
        <w:rPr>
          <w:spacing w:val="-1"/>
        </w:rPr>
        <w:t xml:space="preserve"> en las cuentas nacionales no es una deuda en sentido estricto (aunque en algunos sentidos es incluso peor), pero sí representa una especie de compromiso adquirido con los jubilados actuales y con los trabajadores que ya han generado derechos para el futuro. </w:t>
      </w:r>
      <w:r w:rsidRPr="00895780">
        <w:rPr>
          <w:bCs/>
          <w:spacing w:val="-1"/>
        </w:rPr>
        <w:t>Incluye a los jubilados actuales</w:t>
      </w:r>
      <w:r w:rsidRPr="003E6D85">
        <w:rPr>
          <w:spacing w:val="-1"/>
        </w:rPr>
        <w:t>, que ya están recibiendo pensiones, también a los trabajadores en activo, pero solo por los derechos que ya han acumulado hasta la fecha de referencia (no por lo que vayan a cotizar en el futuro), que en este caso es 2021.</w:t>
      </w:r>
    </w:p>
    <w:p w:rsidR="000803C7" w:rsidRPr="003E6D85" w:rsidRDefault="000C52E7" w:rsidP="000803C7">
      <w:pPr>
        <w:pStyle w:val="NormalWeb"/>
        <w:shd w:val="clear" w:color="auto" w:fill="FFFFFF"/>
        <w:spacing w:after="270" w:afterAutospacing="0"/>
        <w:jc w:val="both"/>
        <w:rPr>
          <w:spacing w:val="-1"/>
        </w:rPr>
      </w:pPr>
      <w:r>
        <w:rPr>
          <w:spacing w:val="-1"/>
        </w:rPr>
        <w:t>Una “deuda”</w:t>
      </w:r>
      <w:r w:rsidR="000803C7" w:rsidRPr="003E6D85">
        <w:rPr>
          <w:spacing w:val="-1"/>
        </w:rPr>
        <w:t xml:space="preserve"> del 500% del PIB</w:t>
      </w:r>
    </w:p>
    <w:p w:rsidR="000803C7" w:rsidRPr="003E6D85" w:rsidRDefault="000803C7" w:rsidP="000803C7">
      <w:pPr>
        <w:pStyle w:val="NormalWeb"/>
        <w:shd w:val="clear" w:color="auto" w:fill="FFFFFF"/>
        <w:spacing w:after="270" w:afterAutospacing="0"/>
        <w:jc w:val="both"/>
        <w:rPr>
          <w:spacing w:val="-1"/>
        </w:rPr>
      </w:pPr>
      <w:r w:rsidRPr="003E6D85">
        <w:rPr>
          <w:spacing w:val="-1"/>
        </w:rPr>
        <w:t>Con todo, la realidad es que </w:t>
      </w:r>
      <w:r w:rsidRPr="00895780">
        <w:rPr>
          <w:bCs/>
          <w:spacing w:val="-1"/>
        </w:rPr>
        <w:t>España ha acumulado a lo largo del tiempo una enorme deuda con sus ciudadanos: las pensiones futuras</w:t>
      </w:r>
      <w:r w:rsidRPr="003E6D85">
        <w:rPr>
          <w:spacing w:val="-1"/>
        </w:rPr>
        <w:t>. Según los datos de Eurostat, España es la economía que más compromisos no contabilizados oficialmente ha asumido con sus ciudadanos. Se trata de una deuda implícita, no reconocida en los mercados financieros, pero igualmente real: las prestaciones que la Seguridad Social promete pagar, aunque no haya detrás un bono emitido o un fondo de ahorro que las respalde.</w:t>
      </w:r>
    </w:p>
    <w:p w:rsidR="000803C7" w:rsidRPr="003E6D85" w:rsidRDefault="000803C7" w:rsidP="000803C7">
      <w:pPr>
        <w:pStyle w:val="NormalWeb"/>
        <w:shd w:val="clear" w:color="auto" w:fill="FFFFFF"/>
        <w:spacing w:after="270" w:afterAutospacing="0"/>
        <w:jc w:val="both"/>
        <w:rPr>
          <w:spacing w:val="-1"/>
        </w:rPr>
      </w:pPr>
      <w:r w:rsidRPr="003E6D85">
        <w:rPr>
          <w:spacing w:val="-1"/>
        </w:rPr>
        <w:t>Para entender la magnitud del problema,</w:t>
      </w:r>
      <w:r w:rsidR="00852DBA">
        <w:rPr>
          <w:spacing w:val="-1"/>
        </w:rPr>
        <w:t xml:space="preserve"> basta con mirar el dato: esta “deuda”</w:t>
      </w:r>
      <w:r w:rsidRPr="003E6D85">
        <w:rPr>
          <w:spacing w:val="-1"/>
        </w:rPr>
        <w:t xml:space="preserve"> asciende al 500% del PIB. Es decir, por cada euro que produce la economía española, hay cinco euros comprometidos en pensiones futuras. Y eso sin contar la deuda pública, la que sí se reconoce y se negocia en los mercados, que ronda el 100% del PIB en este momento. En total, el Estado español arrastra una carga que condicionará las finanzas públicas durante décadas. Además, España presenta</w:t>
      </w:r>
      <w:r w:rsidRPr="003E6D85">
        <w:rPr>
          <w:b/>
          <w:bCs/>
          <w:spacing w:val="-1"/>
        </w:rPr>
        <w:t> </w:t>
      </w:r>
      <w:r w:rsidRPr="00852DBA">
        <w:rPr>
          <w:bCs/>
          <w:spacing w:val="-1"/>
        </w:rPr>
        <w:t>hoy una de las tasas de sustitución más altas del mundo</w:t>
      </w:r>
      <w:r w:rsidRPr="003E6D85">
        <w:rPr>
          <w:spacing w:val="-1"/>
        </w:rPr>
        <w:t xml:space="preserve">. Esta tasa señala el porcentaje del último salario que se mantiene al jubilarse, es una de las más altas de la OCDE. Según datos de 2023, se sitúa en España en alrededor del 80%, lo que significa que, en </w:t>
      </w:r>
      <w:r w:rsidRPr="00852DBA">
        <w:rPr>
          <w:spacing w:val="-1"/>
        </w:rPr>
        <w:t>promedio, </w:t>
      </w:r>
      <w:hyperlink r:id="rId268" w:tooltip="La generosidad de las pensiones españolas caerá 16 puntos las próximas décadas, el doble que en Europa" w:history="1">
        <w:r w:rsidRPr="00852DBA">
          <w:rPr>
            <w:rStyle w:val="Hipervnculo"/>
            <w:rFonts w:eastAsiaTheme="majorEastAsia"/>
            <w:color w:val="auto"/>
            <w:spacing w:val="-1"/>
            <w:u w:val="none"/>
          </w:rPr>
          <w:t>un jubilado español recibe el 80% de su salario previo a la jubilación </w:t>
        </w:r>
      </w:hyperlink>
      <w:r w:rsidRPr="00852DBA">
        <w:rPr>
          <w:spacing w:val="-1"/>
        </w:rPr>
        <w:t>como pensión</w:t>
      </w:r>
      <w:r w:rsidRPr="003E6D85">
        <w:rPr>
          <w:spacing w:val="-1"/>
        </w:rPr>
        <w:t xml:space="preserve"> pública. Esta tasa es significativamente más alta que la media de la OCDE (56%) y de la Unión Europea (54,8%).</w:t>
      </w:r>
    </w:p>
    <w:p w:rsidR="000803C7" w:rsidRPr="003E6D85" w:rsidRDefault="000803C7" w:rsidP="000803C7">
      <w:pPr>
        <w:pStyle w:val="Ttulo2"/>
        <w:shd w:val="clear" w:color="auto" w:fill="FFFFFF"/>
        <w:spacing w:before="300" w:after="225"/>
        <w:jc w:val="both"/>
        <w:rPr>
          <w:rFonts w:ascii="Times New Roman" w:hAnsi="Times New Roman" w:cs="Times New Roman"/>
          <w:b w:val="0"/>
          <w:bCs w:val="0"/>
          <w:color w:val="auto"/>
          <w:sz w:val="24"/>
          <w:szCs w:val="24"/>
        </w:rPr>
      </w:pPr>
      <w:r w:rsidRPr="003E6D85">
        <w:rPr>
          <w:rFonts w:ascii="Times New Roman" w:hAnsi="Times New Roman" w:cs="Times New Roman"/>
          <w:b w:val="0"/>
          <w:bCs w:val="0"/>
          <w:color w:val="auto"/>
          <w:sz w:val="24"/>
          <w:szCs w:val="24"/>
        </w:rPr>
        <w:lastRenderedPageBreak/>
        <w:t>Una deuda peor que la propia deuda</w:t>
      </w:r>
    </w:p>
    <w:p w:rsidR="000803C7" w:rsidRPr="003E6D85" w:rsidRDefault="000803C7" w:rsidP="000803C7">
      <w:pPr>
        <w:pStyle w:val="NormalWeb"/>
        <w:shd w:val="clear" w:color="auto" w:fill="FFFFFF"/>
        <w:spacing w:after="270" w:afterAutospacing="0"/>
        <w:jc w:val="both"/>
        <w:rPr>
          <w:spacing w:val="-1"/>
        </w:rPr>
      </w:pPr>
      <w:r w:rsidRPr="003E6D85">
        <w:rPr>
          <w:spacing w:val="-1"/>
        </w:rPr>
        <w:t>¿Por qué no se considera como deuda real? La diferencia clave entre ambas deudas es jurídica. Quien tiene un bono del Estado posee un derecho contractual: puede exigir legalmente su cobro con intereses. En cambio, un pensionista no tiene un título de propiedad sobre su prestación. </w:t>
      </w:r>
      <w:r w:rsidRPr="00895780">
        <w:rPr>
          <w:bCs/>
          <w:spacing w:val="-1"/>
        </w:rPr>
        <w:t>Si un Gobierno decide retrasar la edad de jubilación</w:t>
      </w:r>
      <w:r w:rsidRPr="003E6D85">
        <w:rPr>
          <w:spacing w:val="-1"/>
        </w:rPr>
        <w:t> o reducir las cuantías, el ciudadano no tiene más recurso que el malestar político o social. No puede denunciar al Estado ante un juez por incumplimiento.</w:t>
      </w:r>
    </w:p>
    <w:p w:rsidR="000803C7" w:rsidRPr="00852DBA" w:rsidRDefault="000803C7" w:rsidP="000803C7">
      <w:pPr>
        <w:pStyle w:val="NormalWeb"/>
        <w:shd w:val="clear" w:color="auto" w:fill="FFFFFF"/>
        <w:spacing w:after="270" w:afterAutospacing="0"/>
        <w:jc w:val="both"/>
        <w:rPr>
          <w:spacing w:val="-1"/>
        </w:rPr>
      </w:pPr>
      <w:r w:rsidRPr="003E6D85">
        <w:rPr>
          <w:spacing w:val="-1"/>
        </w:rPr>
        <w:t xml:space="preserve">Pero la realidad puede ser más compleja a la hora de rebajar esta deuda implícita que la propia deuda real. En el caso de España, por ejemplo, parece mucho más complicado recortar, incluso en términos relativos, las pensiones que impagar la deuda pública (en caso de que se hiciera). </w:t>
      </w:r>
      <w:r w:rsidRPr="00852DBA">
        <w:rPr>
          <w:spacing w:val="-1"/>
        </w:rPr>
        <w:t>Lo segundo sería menos impopular que lo primero. Los pensionistas por jubilación </w:t>
      </w:r>
      <w:hyperlink r:id="rId269" w:tooltip="El choque de generaciones que se avecina y los tres desenlaces posibles con la vivienda en el foco" w:history="1">
        <w:r w:rsidRPr="00852DBA">
          <w:rPr>
            <w:rStyle w:val="Hipervnculo"/>
            <w:rFonts w:eastAsiaTheme="majorEastAsia"/>
            <w:color w:val="auto"/>
            <w:spacing w:val="-1"/>
            <w:u w:val="none"/>
          </w:rPr>
          <w:t>son cada vez una porción más importante de la población</w:t>
        </w:r>
      </w:hyperlink>
      <w:r w:rsidRPr="00852DBA">
        <w:rPr>
          <w:spacing w:val="-1"/>
        </w:rPr>
        <w:t> y, frente a lo que ocurría en el pasado, este grupo puede quitar y poner gobiernos con su voto. La generación del baby boom mueve la economía y la política.</w:t>
      </w:r>
    </w:p>
    <w:p w:rsidR="000803C7" w:rsidRPr="00852DBA" w:rsidRDefault="000803C7" w:rsidP="000803C7">
      <w:pPr>
        <w:pStyle w:val="NormalWeb"/>
        <w:shd w:val="clear" w:color="auto" w:fill="FFFFFF"/>
        <w:spacing w:after="270" w:afterAutospacing="0"/>
        <w:jc w:val="both"/>
        <w:rPr>
          <w:spacing w:val="-1"/>
        </w:rPr>
      </w:pPr>
      <w:r w:rsidRPr="00852DBA">
        <w:rPr>
          <w:spacing w:val="-1"/>
        </w:rPr>
        <w:t>Ya en 2023 comenzaron a </w:t>
      </w:r>
      <w:hyperlink r:id="rId270" w:tooltip="La avalancha del 'baby boom' ya rasga las costuras de las pensiones: los nuevos jubilados son un 23% más que las bajas" w:history="1">
        <w:r w:rsidRPr="00852DBA">
          <w:rPr>
            <w:rStyle w:val="Hipervnculo"/>
            <w:rFonts w:eastAsiaTheme="majorEastAsia"/>
            <w:color w:val="auto"/>
            <w:spacing w:val="-1"/>
            <w:u w:val="none"/>
          </w:rPr>
          <w:t>jubilarse las primeras 'hornadas' de la generación del baby boom</w:t>
        </w:r>
      </w:hyperlink>
      <w:r w:rsidRPr="00852DBA">
        <w:rPr>
          <w:spacing w:val="-1"/>
        </w:rPr>
        <w:t>, una generación que seguirá accediendo a la jubilación a lo largo de los próximos 16 años. Hay que tener en cuenta que en las próximas décadas la población de más de 66 años ganará peso y disminuirá la población en edad de trabajar. Según las proyecciones demográficas del </w:t>
      </w:r>
      <w:r w:rsidRPr="00852DBA">
        <w:rPr>
          <w:bCs/>
          <w:spacing w:val="-1"/>
        </w:rPr>
        <w:t>Instituto Nacional de Estadística, entre 2023 y 2050 la población en edad de trabajar se reducirá en España en más de 800.000 personas</w:t>
      </w:r>
      <w:r w:rsidRPr="00852DBA">
        <w:rPr>
          <w:spacing w:val="-1"/>
        </w:rPr>
        <w:t>, mientras que la población de más de 65 años aumentará en más de 6 millones. Toda la generación del baby boom aparece ya en esta 'deuda implícita', puesto que han generado importantes derechos de cobro (pensiones).</w:t>
      </w:r>
    </w:p>
    <w:p w:rsidR="000803C7" w:rsidRPr="003E6D85" w:rsidRDefault="000803C7" w:rsidP="000803C7">
      <w:pPr>
        <w:pStyle w:val="NormalWeb"/>
        <w:shd w:val="clear" w:color="auto" w:fill="FFFFFF"/>
        <w:spacing w:after="270" w:afterAutospacing="0"/>
        <w:jc w:val="both"/>
        <w:rPr>
          <w:spacing w:val="-1"/>
        </w:rPr>
      </w:pPr>
      <w:r w:rsidRPr="003E6D85">
        <w:rPr>
          <w:spacing w:val="-1"/>
        </w:rPr>
        <w:t>¿Existe alguna salida? La respuesta más evidente sería una reforma que reduzca el gasto en pensiones, ya sea bajando las cuantías, retrasando la edad de jubilación o endureciendo los requisitos o todo a la vez. Pero eso, en el contexto político actual, parece inviable. También podría ayudarse del crecimiento económico, pero incluso con escenarios optimistas, el peso de las pensiones parece aplastar todo lo demás. Pese a las proclamas políticas que se escuchan de forma habitual, no hay soluciones fáciles para problemas complejos.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 </w:t>
      </w:r>
      <w:r w:rsidRPr="003E6D85">
        <w:rPr>
          <w:rFonts w:ascii="Times New Roman" w:hAnsi="Times New Roman" w:cs="Times New Roman"/>
          <w:sz w:val="24"/>
          <w:szCs w:val="24"/>
          <w:u w:val="single"/>
        </w:rPr>
        <w:t>La subida de las cotizaciones para pagar las pensiones empieza a lastrar los salarios</w:t>
      </w:r>
      <w:r w:rsidRPr="003E6D85">
        <w:rPr>
          <w:rFonts w:ascii="Times New Roman" w:hAnsi="Times New Roman" w:cs="Times New Roman"/>
          <w:sz w:val="24"/>
          <w:szCs w:val="24"/>
        </w:rPr>
        <w:t xml:space="preserve"> (El Confidencial - </w:t>
      </w:r>
      <w:r w:rsidRPr="003E6D85">
        <w:rPr>
          <w:rFonts w:ascii="Times New Roman" w:hAnsi="Times New Roman" w:cs="Times New Roman"/>
          <w:b/>
          <w:sz w:val="24"/>
          <w:szCs w:val="24"/>
        </w:rPr>
        <w:t>23/7/25</w:t>
      </w:r>
      <w:r w:rsidRPr="003E6D85">
        <w:rPr>
          <w:rFonts w:ascii="Times New Roman" w:hAnsi="Times New Roman" w:cs="Times New Roman"/>
          <w:sz w:val="24"/>
          <w:szCs w:val="24"/>
        </w:rPr>
        <w:t>)</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 (Por Cristina Dolz)</w:t>
      </w:r>
    </w:p>
    <w:p w:rsidR="000803C7"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Los salarios crecen moderadamente en España, aunque no se han terminado de recuperar de la crisis de la inflación. Los motivos detrás de este fenómeno son diversos y estructurales, desde la evolución de la productividad hasta la composición del tejido productivo, pero es posible que haya comenzado a actuar un factor más: el impacto de las subidas de las cotizaciones sociales que pagan los empleadores. Las cotizaciones sociales obligatorias han crecido más que los sueldos y salarios en los últimos años. Esto se debe en parte a las actualizaciones anuales del Salario Mínimo Interprofesional (SMI), que aumentan la base mínima de cotización, pero también a la introducción del Mecanismo de Equidad Intergeneracional (MEI) a partir de 2023, que recae mayoritariamente sobre la parte empresarial. Según la Encuesta Anual de Coste Laboral, publicada este martes, las cotizaciones sociales obligatorias tienen un creciente protagonismo en los costes que pagan las empresas por el factor trabajo y dicho aumento coincide con una reducción del peso de los </w:t>
      </w:r>
      <w:r w:rsidRPr="003E6D85">
        <w:rPr>
          <w:rFonts w:ascii="Times New Roman" w:hAnsi="Times New Roman" w:cs="Times New Roman"/>
          <w:sz w:val="24"/>
          <w:szCs w:val="24"/>
        </w:rPr>
        <w:lastRenderedPageBreak/>
        <w:t>salarios, especialmente en los dos últimos años. Según sostiene Manuel Hidalgo, economista de la Universidad Pablo de Olavide y senior fellow de EsadeEcPol, “la brecha entre costes y salarios se abre con el MEI”, por lo que tiene sentido plantear si no son solo dos fenómenos coetáneos, sino relacionados entre sí. En concreto, los salarios suponían el 74% del coste laboral en 2022 y han caído al 73,4% en 2024. Al contrario, las cotizaciones sociales han pasado de ser el 23,5% del coste de un empleado promedio hace dos años al 24% actual. Si bien el cambio es leve, son tendencias paralelas y opuestas resultantes de que las cotizaciones han crecido un 11,7%, más que los salarios, un 8,7%.</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En comparación con la serie histórica disponible en el INE, desde 2001, las cotizaciones se encuentran en su máximo nivel, mientras que los salarios registran un porcentaje promedio, pero decreciente. La caída del peso de los salarios es relativamente reciente. Tras el máximo alcanzado en 2017 (74,2%), el porcentaje ha fluctuado en los años, con un descenso pronunciado en 2020 por la pandemia que se recuperó posteriormente. </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noProof/>
          <w:sz w:val="24"/>
          <w:szCs w:val="24"/>
          <w:lang w:eastAsia="es-ES"/>
        </w:rPr>
        <w:drawing>
          <wp:inline distT="0" distB="0" distL="0" distR="0" wp14:anchorId="5FB14E76" wp14:editId="301BE4A0">
            <wp:extent cx="5727681" cy="2832100"/>
            <wp:effectExtent l="0" t="0" r="6985" b="635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5731510" cy="2833993"/>
                    </a:xfrm>
                    <a:prstGeom prst="rect">
                      <a:avLst/>
                    </a:prstGeom>
                  </pic:spPr>
                </pic:pic>
              </a:graphicData>
            </a:graphic>
          </wp:inline>
        </w:drawing>
      </w:r>
    </w:p>
    <w:p w:rsidR="00852DBA" w:rsidRDefault="00852DBA" w:rsidP="000803C7">
      <w:pPr>
        <w:spacing w:line="240" w:lineRule="auto"/>
        <w:jc w:val="both"/>
        <w:rPr>
          <w:rFonts w:ascii="Times New Roman" w:hAnsi="Times New Roman" w:cs="Times New Roman"/>
          <w:sz w:val="24"/>
          <w:szCs w:val="24"/>
        </w:rPr>
      </w:pP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El tramo de mayor pérdida se produce, sin embargo, en 2023 y 2024. María Jesús Fernández, economista senior de Funcas, liga ambos fenómenos: “Esto indica la capacidad del crecimiento del salario. El empresario tiene una capacidad para pagar una determinada cantidad y si una mayor parte se va a cotizaciones, una menor parte podrá ir a sueldos netos del trabajador”, señala. Los empleadores pagaban un 29,9% de la base de cotización del trabajador en cotizaciones en 2022 (resultado de sumar contingencias comunes, desempleo, formación profesional y FOGASA), pero con la aplicación del MEI desde 2023 el porcentaje ha crecido hasta el 30,48% en 2024. Fernández se refiere también a la cuña fiscal de los salarios, que mide la diferencia entre el coste laboral de los empleadores y la cantidad que finalmente perciben los trabajadores, descontando todas las cotizaciones sociales y el IRPF. “España está por encima de la media de la OCDE, la cuña supera el 40%”, advierte, consecuencia en parte de las cotizaciones sociales, pero también de la progresividad en frío del IRPF al no descontar la inflación de las subidas de sueldo de los últimos años.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noProof/>
          <w:sz w:val="24"/>
          <w:szCs w:val="24"/>
          <w:lang w:eastAsia="es-ES"/>
        </w:rPr>
        <w:lastRenderedPageBreak/>
        <w:drawing>
          <wp:inline distT="0" distB="0" distL="0" distR="0" wp14:anchorId="1C71BD28" wp14:editId="5272699E">
            <wp:extent cx="5727699" cy="2794000"/>
            <wp:effectExtent l="0" t="0" r="6985" b="635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5731510" cy="2795859"/>
                    </a:xfrm>
                    <a:prstGeom prst="rect">
                      <a:avLst/>
                    </a:prstGeom>
                  </pic:spPr>
                </pic:pic>
              </a:graphicData>
            </a:graphic>
          </wp:inline>
        </w:drawing>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“La reforma de las pensiones consiste en que se actualizan con el IPC y la insostenibilidad financiera que genera se trata de compensar elevando cotizaciones, lo que significa que los trabajadores, sobre todo los más jóvenes, hacen una transferencia de renta a los jubilados”, explica. Incide en que “cuanto más suban el resto de costes laborales, menos va a ser el salario neto que reciba el trabajador”. A falta de estudios recientes sobre la tendencia de los dos últimos años en España, parte de la literatura económica ha encontrado indicios en otros países y en otros periodos históricos de que un aumento de la cuña fiscal de los salarios repercute en un menor aumento del sueldo neto de los trabajadores. Un ejemplo es el artículo académico Who bears labour taxes and social contributions? A meta-analysis approach, publicado por el Instituto de Estudios Fiscales, dependiente del Ministerio de Hacienda. Los autores, Ángel Melguizo y José Manuel González-Páramo, encuentran, revisando la literatura empírica que, en término medio, “un aumento del 1% de la fiscalidad reduce los salarios en un 0,65%”, por lo que los asalariados terminarían soportando una mayor parte de las cotizaciones de las que pagan oficialmente en forma de menores sueldos.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Recuperación del poder adquisitivo</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De cara a 2025, cabe esperar que la tendencia hacia un mayor peso de las cotizaciones sociales continúe por la nueva subida del MEI y la aplicación de la nueva cuota de solidaridad. El porcentaje de cotizaciones sociales pagadas por los empleadores asciende al menos hasta el 30,57% este año si solo se tiene en cuenta el MEI. Una ratio elevada, pero inferior al máximo alcanzado en 1981, el 33,7%, cuando parte de las prestaciones no contributivas y sanitarias se pagaban con cotizaciones. Los datos disponibles para los tres primeros meses de 2025 en la Encuesta Trimestral de Coste Laboral reflejan que el coste por cotizaciones obligatorias creció en el primer trimestre un 3,9% anual, similar, aunque ligeramente superior, al crecimiento del salario ordinario (el que menos depende de cuestiones estacionales), que lo hizo en un 3,7%. Se trata de un avance notable a pesar de tener frenos estructurales como el aumento de los costes laborales al margen del salario y la evolución tenue de la productividad. Esta registra una tendencia positiva si se mide en PIB por hora trabajada, pero un estancamiento en la ratio de PIB por trabajador, la variable que más incide en los costes laborales de los empresarios. Según los datos de la OCDE, la primera ha crecido un 2,7% en comparación con 2019, pero la segunda no ha registrado mejoras. A pesar de ello, los sueldos están creciendo por encima del IPC en un contexto de </w:t>
      </w:r>
      <w:r w:rsidRPr="003E6D85">
        <w:rPr>
          <w:rFonts w:ascii="Times New Roman" w:hAnsi="Times New Roman" w:cs="Times New Roman"/>
          <w:sz w:val="24"/>
          <w:szCs w:val="24"/>
        </w:rPr>
        <w:lastRenderedPageBreak/>
        <w:t>expansión económica, bajo desempleo en términos históricos y aumento de las vacantes, lo que apunta a una recuperación del poder adquisitivo en 2025.</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 </w:t>
      </w:r>
      <w:r w:rsidRPr="003E6D85">
        <w:rPr>
          <w:rFonts w:ascii="Times New Roman" w:hAnsi="Times New Roman" w:cs="Times New Roman"/>
          <w:sz w:val="24"/>
          <w:szCs w:val="24"/>
          <w:u w:val="single"/>
        </w:rPr>
        <w:t>Cómo saber si tienes derecho a pensión no contributiva de la Seguridad Social aunque nunca hayas cotizado</w:t>
      </w:r>
      <w:r w:rsidRPr="003E6D85">
        <w:rPr>
          <w:rFonts w:ascii="Times New Roman" w:hAnsi="Times New Roman" w:cs="Times New Roman"/>
          <w:sz w:val="24"/>
          <w:szCs w:val="24"/>
        </w:rPr>
        <w:t xml:space="preserve"> (El Confidencial - </w:t>
      </w:r>
      <w:r w:rsidRPr="003E6D85">
        <w:rPr>
          <w:rFonts w:ascii="Times New Roman" w:hAnsi="Times New Roman" w:cs="Times New Roman"/>
          <w:b/>
          <w:sz w:val="24"/>
          <w:szCs w:val="24"/>
        </w:rPr>
        <w:t>23/7/25</w:t>
      </w:r>
      <w:r w:rsidRPr="003E6D85">
        <w:rPr>
          <w:rFonts w:ascii="Times New Roman" w:hAnsi="Times New Roman" w:cs="Times New Roman"/>
          <w:sz w:val="24"/>
          <w:szCs w:val="24"/>
        </w:rPr>
        <w:t>)</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Este tipo de pensión está diseñada para cubrir las necesidades básicas de personas mayores de 65 años en situación de vulnerabilidad económica</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(Por M. M. V.)</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Así funciona el nuevo método de cálculo de la base reguladora de la pensión de jubilación a partir de 2026</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Los jóvenes cobran casi igual que los pensionistas y solo pasa en cuatro países más de la OCDE</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Muchas personas se preguntan si es posible cobrar una pensión al llegar a la jubilación sin haber cotizado nunca a la Seguridad Social. La respuesta es sí: existe una prestación económica destinada a quienes, por distintas circunstancias, no han podido alcanzar el mínimo exigido para recibir una pensión contributiva. Se trata de la pensión no contributiva de jubilación, gestionada por las Comunidades Autónomas y, en Ceuta y Melilla, por el IMSERSO. Este tipo de pensión está diseñada para cubrir las necesidades básicas de personas mayores de 65 años en situación de vulnerabilidad económica. A diferencia de las pensiones contributivas, que requieren un mínimo de 15 años cotizados, las no contributivas no exigen haber trabajado ni cotizado previamente. Eso sí, es imprescindible cumplir una serie de requisitos legales.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Requisitos para acceder a una pensión no contributiva</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En primer lugar, se debe haber cumplido los 65 años de edad. También es necesario residir legalmente en España y haberlo hecho durante al menos diez años entre los 16 años y la fecha de solicitud, de los cuales dos deben ser consecutivos e inmediatamente anteriores a la solicitud.</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 Otro requisito clave es carecer de ingresos suficientes. Para el año 2025, el umbral de rentas individuales se sitúa en los 7.905,80 euros anuales. Si se convive con familiares (hasta segundo grado), se aplica un límite conjunto, que dependerá del número de convivientes y de sus ingresos. En caso de superar el umbral, no se tendrá derecho a esta prestación, salvo excepciones muy concretas.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¿Cuánto se cobra con esta ayuda y qué incluye?</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La pensión no contributiva de jubilación no solo garantiza una prestación económica. También ofrece asistencia sanitaria gratuita, acceso a medicación subvencionada y servicios sociales complementarios. En 2025, la cuantía mínima anual de esta pensión se ha fijado en 1.976,45 euros, aunque puede ajustarse dependiendo de la situación personal y familiar del solicitante. Por tanto, quienes nunca hayan cotizado o no lleguen al mínimo requerido de 15 años, pueden acogerse a esta ayuda para no quedar desprotegidos al alcanzar la edad de jubilación. Incluso aquellas personas que han cotizado parcialmente pueden optar a este tipo de prestación si no alcanzan los requisitos de una pensión contributiva. La gestión de las pensiones no contributivas corresponde a las Comunidades Autónomas, salvo en Ceuta y Melilla, donde la competencia recae en el IMSERSO. El procedimiento implica presentar </w:t>
      </w:r>
      <w:r w:rsidRPr="003E6D85">
        <w:rPr>
          <w:rFonts w:ascii="Times New Roman" w:hAnsi="Times New Roman" w:cs="Times New Roman"/>
          <w:sz w:val="24"/>
          <w:szCs w:val="24"/>
        </w:rPr>
        <w:lastRenderedPageBreak/>
        <w:t>documentación que acredite la identidad, la residencia, la edad y los ingresos, entre otros aspectos. Se puede tramitar también de forma telemática.</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¿Y si tengo una discapacidad?</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Existe otra modalidad dentro de las pensiones no contributivas: la de invalidez. En este caso, se dirige a personas de entre 18 y 64 años que acrediten un grado de discapacidad igual o superior al 65% y cumplan con los criterios de residencia e ingresos. Además, si el grado de discapacidad es igual o superior al 75% y se necesita la ayuda de otra persona para actividades básicas, se puede recibir un complemento a</w:t>
      </w:r>
      <w:r w:rsidR="00852DBA">
        <w:rPr>
          <w:rFonts w:ascii="Times New Roman" w:hAnsi="Times New Roman" w:cs="Times New Roman"/>
          <w:sz w:val="24"/>
          <w:szCs w:val="24"/>
        </w:rPr>
        <w:t>dicional. En ambas modalidades -jubilación e invalidez-</w:t>
      </w:r>
      <w:r w:rsidRPr="003E6D85">
        <w:rPr>
          <w:rFonts w:ascii="Times New Roman" w:hAnsi="Times New Roman" w:cs="Times New Roman"/>
          <w:sz w:val="24"/>
          <w:szCs w:val="24"/>
        </w:rPr>
        <w:t xml:space="preserve"> el objetivo es garantizar un mínimo vital a quienes no han podido cotizar lo suficiente, ofreciendo también cobertura sanitaria y apoyo social.</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 </w:t>
      </w:r>
      <w:r w:rsidRPr="003E6D85">
        <w:rPr>
          <w:rFonts w:ascii="Times New Roman" w:hAnsi="Times New Roman" w:cs="Times New Roman"/>
          <w:sz w:val="24"/>
          <w:szCs w:val="24"/>
          <w:u w:val="single"/>
        </w:rPr>
        <w:t>La renta familiar de los españoles es inferior a la que tenían antes de llegar el euro en 2002</w:t>
      </w:r>
      <w:r w:rsidRPr="003E6D85">
        <w:rPr>
          <w:rFonts w:ascii="Times New Roman" w:hAnsi="Times New Roman" w:cs="Times New Roman"/>
          <w:sz w:val="24"/>
          <w:szCs w:val="24"/>
        </w:rPr>
        <w:t xml:space="preserve"> (The Objective - </w:t>
      </w:r>
      <w:r w:rsidRPr="003E6D85">
        <w:rPr>
          <w:rFonts w:ascii="Times New Roman" w:hAnsi="Times New Roman" w:cs="Times New Roman"/>
          <w:b/>
          <w:sz w:val="24"/>
          <w:szCs w:val="24"/>
        </w:rPr>
        <w:t>24/7/25</w:t>
      </w:r>
      <w:r w:rsidRPr="003E6D85">
        <w:rPr>
          <w:rFonts w:ascii="Times New Roman" w:hAnsi="Times New Roman" w:cs="Times New Roman"/>
          <w:sz w:val="24"/>
          <w:szCs w:val="24"/>
        </w:rPr>
        <w:t>)</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El economista Javier Santacruz pone el foco en el bajo crecimiento de los salarios y la caída de la productividad</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La renta familiar de los españoles es inferior a la que tenían antes de llegar el euro en 2002</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La renta familiar ha ido incrementando su dependencia del Estado en detrimento de los salarios y rentas de ahorro</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(Por Carmen Obregón)</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La renta familiar en España está por debajo del nivel que tenía el país cuando entró en el euro, en 2002. Está exactamente en el 88% de la renta media de la UE-27 en paridad de poder de compra. Además, y desde entonces, las familias españolas dedican 45 euros de cada 100 de renta real a pagar impuestos; ha aumentado en cinco puntos durante este período, de acuerdo con otros informes como el Taxing Wages de la OCDE.</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En este mismo espacio de tiempo, la renta familiar ha ido incrementando su dependencia del Estado en detrimento de los salarios y rentas de ahorro a cambio de pagar más impuestos directos. Mientras los salarios han crecido una media anual del 3,90% entre 1999 y 2024, las transferencias públicas han aumentado un 4,85% y los impuestos directos, un 4,43%.</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Dicho de otro modo, acumulando toda esta diferencia en el crecimiento de las rentas, la dependencia del Estado ha aumentado un 26,3%. De manera que -subraya el economista Javier Santacruz Cano a T</w:t>
      </w:r>
      <w:r>
        <w:rPr>
          <w:rFonts w:ascii="Times New Roman" w:hAnsi="Times New Roman" w:cs="Times New Roman"/>
          <w:sz w:val="24"/>
          <w:szCs w:val="24"/>
        </w:rPr>
        <w:t>he Objective</w:t>
      </w:r>
      <w:r w:rsidR="000C52E7">
        <w:rPr>
          <w:rFonts w:ascii="Times New Roman" w:hAnsi="Times New Roman" w:cs="Times New Roman"/>
          <w:sz w:val="24"/>
          <w:szCs w:val="24"/>
        </w:rPr>
        <w:t>-, “</w:t>
      </w:r>
      <w:r w:rsidRPr="003E6D85">
        <w:rPr>
          <w:rFonts w:ascii="Times New Roman" w:hAnsi="Times New Roman" w:cs="Times New Roman"/>
          <w:sz w:val="24"/>
          <w:szCs w:val="24"/>
        </w:rPr>
        <w:t>de no tomar medidas en serio en los próximos trimestres y años, la renta familiar va camino de dos décadas pérdidas en términos de convergencia con Europa. Y ello a pesar de la aceleración de los salarios y de las rentas de la propiedad, debido a que el origen de la subida de los s</w:t>
      </w:r>
      <w:r w:rsidR="000C52E7">
        <w:rPr>
          <w:rFonts w:ascii="Times New Roman" w:hAnsi="Times New Roman" w:cs="Times New Roman"/>
          <w:sz w:val="24"/>
          <w:szCs w:val="24"/>
        </w:rPr>
        <w:t>alarios es ciertamente precario”</w:t>
      </w:r>
      <w:r w:rsidRPr="003E6D85">
        <w:rPr>
          <w:rFonts w:ascii="Times New Roman" w:hAnsi="Times New Roman" w:cs="Times New Roman"/>
          <w:sz w:val="24"/>
          <w:szCs w:val="24"/>
        </w:rPr>
        <w:t>.</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Santacruz se pregunta en qué medida han crecido los salarios en España, si lo han hecho en consonancia con la productividad de nuestro país y si finalmente las empresas -la mayoría de ellas pymes y microempresas- han tenido margen para ofrecer mejores sueldos, al tiempo que asumen mayores costes laborales y la financiación externa no siempre les abre las puertas.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La capacidad de las empresas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Para abordar estas preguntas clave, y en especial la cuestión de si tienen las empresas españolas, especialmente las pequeñas y medianas, capacidad real para asumir nuevas </w:t>
      </w:r>
      <w:r w:rsidRPr="003E6D85">
        <w:rPr>
          <w:rFonts w:ascii="Times New Roman" w:hAnsi="Times New Roman" w:cs="Times New Roman"/>
          <w:sz w:val="24"/>
          <w:szCs w:val="24"/>
        </w:rPr>
        <w:lastRenderedPageBreak/>
        <w:t>subidas salariales, Santacruz Cano ha elaborado un informe para el Consejo General de los Colegios de Gestores Administrativos.</w:t>
      </w:r>
    </w:p>
    <w:p w:rsidR="000803C7"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Un trabajo apoyado en el estudio de datos oficiales, análisis y conclusiones que llega a la certeza de que hay una re</w:t>
      </w:r>
      <w:r w:rsidR="000C52E7">
        <w:rPr>
          <w:rFonts w:ascii="Times New Roman" w:hAnsi="Times New Roman" w:cs="Times New Roman"/>
          <w:sz w:val="24"/>
          <w:szCs w:val="24"/>
        </w:rPr>
        <w:t>spuesta clara a esta pregunta: “</w:t>
      </w:r>
      <w:r w:rsidRPr="003E6D85">
        <w:rPr>
          <w:rFonts w:ascii="Times New Roman" w:hAnsi="Times New Roman" w:cs="Times New Roman"/>
          <w:sz w:val="24"/>
          <w:szCs w:val="24"/>
        </w:rPr>
        <w:t>una gran parte del tejido empresarial español, especialmente las micro y pequeñas empresas, no tiene margen suficiente para hacerlo sin poner en riesgo su viabilidad, lo que revela, la fragilidad estructural de b</w:t>
      </w:r>
      <w:r w:rsidR="000C52E7">
        <w:rPr>
          <w:rFonts w:ascii="Times New Roman" w:hAnsi="Times New Roman" w:cs="Times New Roman"/>
          <w:sz w:val="24"/>
          <w:szCs w:val="24"/>
        </w:rPr>
        <w:t>uena parte de nuestras empresas”</w:t>
      </w:r>
      <w:r w:rsidRPr="003E6D85">
        <w:rPr>
          <w:rFonts w:ascii="Times New Roman" w:hAnsi="Times New Roman" w:cs="Times New Roman"/>
          <w:sz w:val="24"/>
          <w:szCs w:val="24"/>
        </w:rPr>
        <w:t>.</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Para llegar a tal afirmación, el estudio ha partido de la evolución del resultado bruto de explotación (EBE), que mide la renta generada por la actividad empresarial antes de impuestos e intereses. </w:t>
      </w:r>
      <w:r w:rsidR="000C52E7">
        <w:rPr>
          <w:rFonts w:ascii="Times New Roman" w:hAnsi="Times New Roman" w:cs="Times New Roman"/>
          <w:sz w:val="24"/>
          <w:szCs w:val="24"/>
        </w:rPr>
        <w:t>“</w:t>
      </w:r>
      <w:r w:rsidRPr="003E6D85">
        <w:rPr>
          <w:rFonts w:ascii="Times New Roman" w:hAnsi="Times New Roman" w:cs="Times New Roman"/>
          <w:sz w:val="24"/>
          <w:szCs w:val="24"/>
        </w:rPr>
        <w:t>Un indicador -señala el economista- que en los últimos 30 años ha crecido solo un 2,46% anual, muy por debajo del crecimiento del PIB nominal, lo que indica que las empresas han sido menos capaces de apropiarse d</w:t>
      </w:r>
      <w:r w:rsidR="000C52E7">
        <w:rPr>
          <w:rFonts w:ascii="Times New Roman" w:hAnsi="Times New Roman" w:cs="Times New Roman"/>
          <w:sz w:val="24"/>
          <w:szCs w:val="24"/>
        </w:rPr>
        <w:t>el valor añadido que generan”</w:t>
      </w:r>
      <w:r w:rsidR="00852DBA">
        <w:rPr>
          <w:rFonts w:ascii="Times New Roman" w:hAnsi="Times New Roman" w:cs="Times New Roman"/>
          <w:sz w:val="24"/>
          <w:szCs w:val="24"/>
        </w:rPr>
        <w:t>. “</w:t>
      </w:r>
      <w:r w:rsidRPr="003E6D85">
        <w:rPr>
          <w:rFonts w:ascii="Times New Roman" w:hAnsi="Times New Roman" w:cs="Times New Roman"/>
          <w:sz w:val="24"/>
          <w:szCs w:val="24"/>
        </w:rPr>
        <w:t>Más preocupante aún es que, desde 2008, se observa una divergencia negativa entre salarios y productividad, pues los salarios han crecido por encima del valor añadido por trabajador, lo que sugiere una presión</w:t>
      </w:r>
      <w:r w:rsidR="00852DBA">
        <w:rPr>
          <w:rFonts w:ascii="Times New Roman" w:hAnsi="Times New Roman" w:cs="Times New Roman"/>
          <w:sz w:val="24"/>
          <w:szCs w:val="24"/>
        </w:rPr>
        <w:t xml:space="preserve"> constante sobre los márgenes”.</w:t>
      </w:r>
    </w:p>
    <w:p w:rsidR="000803C7" w:rsidRPr="003E6D85" w:rsidRDefault="000803C7" w:rsidP="000803C7">
      <w:pPr>
        <w:spacing w:line="240" w:lineRule="auto"/>
        <w:jc w:val="both"/>
        <w:rPr>
          <w:rFonts w:ascii="Times New Roman" w:hAnsi="Times New Roman" w:cs="Times New Roman"/>
          <w:sz w:val="24"/>
          <w:szCs w:val="24"/>
        </w:rPr>
      </w:pPr>
      <w:r w:rsidRPr="003E6D85">
        <w:rPr>
          <w:noProof/>
          <w:lang w:eastAsia="es-ES"/>
        </w:rPr>
        <w:drawing>
          <wp:inline distT="0" distB="0" distL="0" distR="0" wp14:anchorId="019C8662" wp14:editId="6CDC20A9">
            <wp:extent cx="5731510" cy="3429204"/>
            <wp:effectExtent l="0" t="0" r="2540" b="0"/>
            <wp:docPr id="149" name="Imagen 149" descr="https://theobjective.com/wp-content/uploads/2025/07/Captura-de-pantalla-2025-07-23-a-las-14.10.42-1024x6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heobjective.com/wp-content/uploads/2025/07/Captura-de-pantalla-2025-07-23-a-las-14.10.42-1024x613.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731510" cy="3429204"/>
                    </a:xfrm>
                    <a:prstGeom prst="rect">
                      <a:avLst/>
                    </a:prstGeom>
                    <a:noFill/>
                    <a:ln>
                      <a:noFill/>
                    </a:ln>
                  </pic:spPr>
                </pic:pic>
              </a:graphicData>
            </a:graphic>
          </wp:inline>
        </w:drawing>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Tasas de fracaso</w:t>
      </w:r>
    </w:p>
    <w:p w:rsidR="000803C7" w:rsidRPr="003E6D85" w:rsidRDefault="00852DB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Santacruz afirma que “</w:t>
      </w:r>
      <w:r w:rsidR="000803C7" w:rsidRPr="003E6D85">
        <w:rPr>
          <w:rFonts w:ascii="Times New Roman" w:hAnsi="Times New Roman" w:cs="Times New Roman"/>
          <w:sz w:val="24"/>
          <w:szCs w:val="24"/>
        </w:rPr>
        <w:t>la situación se agrava en las microempresas, que precisamente son las que representan más del 90% del tejido empresarial español. En su caso, estas empresas presentan tasas de fracaso empresarial cercanas al 37%, con graves problemas de rentabilidad, acceso a financ</w:t>
      </w:r>
      <w:r>
        <w:rPr>
          <w:rFonts w:ascii="Times New Roman" w:hAnsi="Times New Roman" w:cs="Times New Roman"/>
          <w:sz w:val="24"/>
          <w:szCs w:val="24"/>
        </w:rPr>
        <w:t>iación y capacidad de inversión”</w:t>
      </w:r>
      <w:r w:rsidR="000803C7" w:rsidRPr="003E6D85">
        <w:rPr>
          <w:rFonts w:ascii="Times New Roman" w:hAnsi="Times New Roman" w:cs="Times New Roman"/>
          <w:sz w:val="24"/>
          <w:szCs w:val="24"/>
        </w:rPr>
        <w:t>.</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El estudio muestra que los sectores con mayor presencia de microempresas, como el comercio, la hostelería y el transporte, son precisamente los que tienen los márgenes operativos más bajos y la mayor presión fiscal proporcional. De hecho, el volumen de ventas por trabajador ha caído durante seis trimestres consecutivos en este segmento. Lo que, en opinión de Santacruz, desmonta el d</w:t>
      </w:r>
      <w:r w:rsidR="00852DBA">
        <w:rPr>
          <w:rFonts w:ascii="Times New Roman" w:hAnsi="Times New Roman" w:cs="Times New Roman"/>
          <w:sz w:val="24"/>
          <w:szCs w:val="24"/>
        </w:rPr>
        <w:t>ebate público y la idea de que “</w:t>
      </w:r>
      <w:r w:rsidRPr="003E6D85">
        <w:rPr>
          <w:rFonts w:ascii="Times New Roman" w:hAnsi="Times New Roman" w:cs="Times New Roman"/>
          <w:sz w:val="24"/>
          <w:szCs w:val="24"/>
        </w:rPr>
        <w:t xml:space="preserve">las empresas están ganando </w:t>
      </w:r>
      <w:r w:rsidR="00852DBA">
        <w:rPr>
          <w:rFonts w:ascii="Times New Roman" w:hAnsi="Times New Roman" w:cs="Times New Roman"/>
          <w:sz w:val="24"/>
          <w:szCs w:val="24"/>
        </w:rPr>
        <w:t>mucho dinero y pueden pagar más”</w:t>
      </w:r>
      <w:r w:rsidRPr="003E6D85">
        <w:rPr>
          <w:rFonts w:ascii="Times New Roman" w:hAnsi="Times New Roman" w:cs="Times New Roman"/>
          <w:sz w:val="24"/>
          <w:szCs w:val="24"/>
        </w:rPr>
        <w:t>.</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lastRenderedPageBreak/>
        <w:t xml:space="preserve">Esta visión </w:t>
      </w:r>
      <w:r w:rsidR="00852DBA">
        <w:rPr>
          <w:rFonts w:ascii="Times New Roman" w:hAnsi="Times New Roman" w:cs="Times New Roman"/>
          <w:sz w:val="24"/>
          <w:szCs w:val="24"/>
        </w:rPr>
        <w:t>de la opinión pública se apoya “</w:t>
      </w:r>
      <w:r w:rsidRPr="003E6D85">
        <w:rPr>
          <w:rFonts w:ascii="Times New Roman" w:hAnsi="Times New Roman" w:cs="Times New Roman"/>
          <w:sz w:val="24"/>
          <w:szCs w:val="24"/>
        </w:rPr>
        <w:t>en agregados que mezclan los resultados de grandes empresas con los de las más pequeñas, gen</w:t>
      </w:r>
      <w:r w:rsidR="00852DBA">
        <w:rPr>
          <w:rFonts w:ascii="Times New Roman" w:hAnsi="Times New Roman" w:cs="Times New Roman"/>
          <w:sz w:val="24"/>
          <w:szCs w:val="24"/>
        </w:rPr>
        <w:t>erando una imagen distorsionada”</w:t>
      </w:r>
      <w:r w:rsidRPr="003E6D85">
        <w:rPr>
          <w:rFonts w:ascii="Times New Roman" w:hAnsi="Times New Roman" w:cs="Times New Roman"/>
          <w:sz w:val="24"/>
          <w:szCs w:val="24"/>
        </w:rPr>
        <w:t xml:space="preserve">. De ahí que </w:t>
      </w:r>
      <w:r w:rsidR="00852DBA">
        <w:rPr>
          <w:rFonts w:ascii="Times New Roman" w:hAnsi="Times New Roman" w:cs="Times New Roman"/>
          <w:sz w:val="24"/>
          <w:szCs w:val="24"/>
        </w:rPr>
        <w:t>este informe advierta sobre la “</w:t>
      </w:r>
      <w:r w:rsidRPr="003E6D85">
        <w:rPr>
          <w:rFonts w:ascii="Times New Roman" w:hAnsi="Times New Roman" w:cs="Times New Roman"/>
          <w:sz w:val="24"/>
          <w:szCs w:val="24"/>
        </w:rPr>
        <w:t>necesidad urgente de reformar el sistema estadístico, integrando datos del Registro Mercantil, la Agencia Tributaria y la Seguridad Social para tener una fotografía más precisa del tejido empresarial real, hacer una segmentación normativa que atienda a las especificidades de cada tipo de empresa, teniendo en cuanta su tamaño y de su sector y partiendo de un diálogo social</w:t>
      </w:r>
      <w:r w:rsidR="00852DBA">
        <w:rPr>
          <w:rFonts w:ascii="Times New Roman" w:hAnsi="Times New Roman" w:cs="Times New Roman"/>
          <w:sz w:val="24"/>
          <w:szCs w:val="24"/>
        </w:rPr>
        <w:t xml:space="preserve"> más realista y menos homogéneo”</w:t>
      </w:r>
      <w:r w:rsidRPr="003E6D85">
        <w:rPr>
          <w:rFonts w:ascii="Times New Roman" w:hAnsi="Times New Roman" w:cs="Times New Roman"/>
          <w:sz w:val="24"/>
          <w:szCs w:val="24"/>
        </w:rPr>
        <w:t>. La prioridad es que la política salarial debe adaptarse al contexto productivo real, ya que, si no se mejora la productividad, si no se reduce la carga fiscal y si no se corrige la rigidez normativa, exigir más esfuerzo a las empresas solo conducirá al cierre de muchas de ellas.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El ahogo de la deuda</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Indicadores económicos como el retorno sobre los activos (ROA) redundan en estos resultados, revelando otro dato preocupante. Y es que muchas empresas están por debajo del coste medio de la deuda, lo que significa que, desde el punto de vista financiero, pedir prestado no compensa en términos de rentabilidad empresarial. Muchas empresas sobreviven, pero no pueden crecer, invertir ni mejorar las condiciones de sus trabajadores sin asumir un riesgo desproporcionado.</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Más allá de un modelo basado en el consumo público y en las transferencias -lo que critica este informe- los datos del Banco de España muestran que, pese a todo, el salario medio ha crecido muy por encima del valor añadido bruto medio por trabajador (VAB) en los últimos 15 años.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Es decir, los salarios españoles han crecido muy poco (un 15,35% entre 2007 y 2023), pero el VAB (ingresos, menos gastos operativos) por trabajador ha caído un 0,72%. Así, y componiendo esta serie anual con los datos trimestrales que ofrece la Central de Balances Trimestral (CBT) puede decirse que en 2024 se ha cerrado el gap que aún existía con respecto a 2007.</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La distancia entre salarios y productividad</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Dicho de otra forma: desde la crisis de 2008, el VAB por trabajador perdió el rumbo de los salarios. Estos crecieron un 6,2% entre 2007 y 2020 (apenas un 0,46% en media anual acumulativa) mientras el VAB por trabajador cayó un 16,54% en total (a razón de un 1,38% medio anual). Por ello, a pesar de que desde 2018 las tasas de crecimiento media anual de los salarios y del margen bruto por trabajador han ido parejas (2,05% vs. 2,04%), el VAB necesitaría mejorar 18,62 puntos para ponerse a la altura del crecimiento del salario medio.</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Por consiguien</w:t>
      </w:r>
      <w:r w:rsidR="00852DBA">
        <w:rPr>
          <w:rFonts w:ascii="Times New Roman" w:hAnsi="Times New Roman" w:cs="Times New Roman"/>
          <w:sz w:val="24"/>
          <w:szCs w:val="24"/>
        </w:rPr>
        <w:t>te, entiende Javier Santacruz, “</w:t>
      </w:r>
      <w:r w:rsidRPr="003E6D85">
        <w:rPr>
          <w:rFonts w:ascii="Times New Roman" w:hAnsi="Times New Roman" w:cs="Times New Roman"/>
          <w:sz w:val="24"/>
          <w:szCs w:val="24"/>
        </w:rPr>
        <w:t>he aquí el drama de las empresas, incluyendo las grandes. Desde 2007-2008 el margen por trabajador ha sufrido un retroceso muy fuerte, mientras los salarios, creciendo de manera muy moderada o incluso estancados durante una época larga, se han situado por encima, restando recursos a las empresas para crecer y, en consecuencia, poder ofrecer mejores salarios y condicion</w:t>
      </w:r>
      <w:r w:rsidR="00852DBA">
        <w:rPr>
          <w:rFonts w:ascii="Times New Roman" w:hAnsi="Times New Roman" w:cs="Times New Roman"/>
          <w:sz w:val="24"/>
          <w:szCs w:val="24"/>
        </w:rPr>
        <w:t>es laborales a sus trabajadores”</w:t>
      </w:r>
      <w:r w:rsidRPr="003E6D85">
        <w:rPr>
          <w:rFonts w:ascii="Times New Roman" w:hAnsi="Times New Roman" w:cs="Times New Roman"/>
          <w:sz w:val="24"/>
          <w:szCs w:val="24"/>
        </w:rPr>
        <w:t>.</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Sin margen</w:t>
      </w:r>
    </w:p>
    <w:p w:rsidR="000803C7" w:rsidRPr="003E6D85" w:rsidRDefault="00852DB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“La conclusión es inequívoca”</w:t>
      </w:r>
      <w:r w:rsidR="000803C7" w:rsidRPr="003E6D85">
        <w:rPr>
          <w:rFonts w:ascii="Times New Roman" w:hAnsi="Times New Roman" w:cs="Times New Roman"/>
          <w:sz w:val="24"/>
          <w:szCs w:val="24"/>
        </w:rPr>
        <w:t>, señala Fernando Santiago Ollero, presidente del Consejo General de los Colegios</w:t>
      </w:r>
      <w:r>
        <w:rPr>
          <w:rFonts w:ascii="Times New Roman" w:hAnsi="Times New Roman" w:cs="Times New Roman"/>
          <w:sz w:val="24"/>
          <w:szCs w:val="24"/>
        </w:rPr>
        <w:t xml:space="preserve"> de Gestores Administrativos. “</w:t>
      </w:r>
      <w:r w:rsidR="000803C7" w:rsidRPr="003E6D85">
        <w:rPr>
          <w:rFonts w:ascii="Times New Roman" w:hAnsi="Times New Roman" w:cs="Times New Roman"/>
          <w:sz w:val="24"/>
          <w:szCs w:val="24"/>
        </w:rPr>
        <w:t xml:space="preserve">La caída sostenida de la productividad por trabajador desde 2008 y el deterioro del volumen de ventas por empleado en los últimos seis trimestres, especialmente entre las empresas más vulnerables, hacen que la mayoría de las </w:t>
      </w:r>
      <w:r w:rsidR="00417577">
        <w:rPr>
          <w:rFonts w:ascii="Times New Roman" w:hAnsi="Times New Roman" w:cs="Times New Roman"/>
          <w:sz w:val="24"/>
          <w:szCs w:val="24"/>
        </w:rPr>
        <w:t>empresas no tengan margen”</w:t>
      </w:r>
      <w:r w:rsidR="000803C7" w:rsidRPr="003E6D85">
        <w:rPr>
          <w:rFonts w:ascii="Times New Roman" w:hAnsi="Times New Roman" w:cs="Times New Roman"/>
          <w:sz w:val="24"/>
          <w:szCs w:val="24"/>
        </w:rPr>
        <w:t>.</w:t>
      </w:r>
    </w:p>
    <w:p w:rsidR="000803C7" w:rsidRPr="003E6D85" w:rsidRDefault="0041757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Y esto ocurre sabiendo que “</w:t>
      </w:r>
      <w:r w:rsidR="000803C7" w:rsidRPr="003E6D85">
        <w:rPr>
          <w:rFonts w:ascii="Times New Roman" w:hAnsi="Times New Roman" w:cs="Times New Roman"/>
          <w:sz w:val="24"/>
          <w:szCs w:val="24"/>
        </w:rPr>
        <w:t>el 90% del tejido productivo español lo conforman microempresas y pymes con una rentabilidad muy limitada, baja productividad y escasa capacidad de inversión. Desde 2008, la productividad por trabajador ha caído de forma sostenida, mientras que los costes laborales han aumentado. Y la prueba es muchas empresas sobreviven, pero no crecen, no invierten y, en muchos casos, ni siquiera</w:t>
      </w:r>
      <w:r>
        <w:rPr>
          <w:rFonts w:ascii="Times New Roman" w:hAnsi="Times New Roman" w:cs="Times New Roman"/>
          <w:sz w:val="24"/>
          <w:szCs w:val="24"/>
        </w:rPr>
        <w:t xml:space="preserve"> compensan el coste de su deuda”</w:t>
      </w:r>
      <w:r w:rsidR="000803C7" w:rsidRPr="003E6D85">
        <w:rPr>
          <w:rFonts w:ascii="Times New Roman" w:hAnsi="Times New Roman" w:cs="Times New Roman"/>
          <w:sz w:val="24"/>
          <w:szCs w:val="24"/>
        </w:rPr>
        <w:t>.</w:t>
      </w:r>
    </w:p>
    <w:p w:rsidR="000803C7" w:rsidRPr="003E6D85" w:rsidRDefault="0041757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803C7" w:rsidRPr="003E6D85">
        <w:rPr>
          <w:rFonts w:ascii="Times New Roman" w:hAnsi="Times New Roman" w:cs="Times New Roman"/>
          <w:sz w:val="24"/>
          <w:szCs w:val="24"/>
        </w:rPr>
        <w:t>Nosotros no negamos la necesidad de m</w:t>
      </w:r>
      <w:r>
        <w:rPr>
          <w:rFonts w:ascii="Times New Roman" w:hAnsi="Times New Roman" w:cs="Times New Roman"/>
          <w:sz w:val="24"/>
          <w:szCs w:val="24"/>
        </w:rPr>
        <w:t>ejora social”</w:t>
      </w:r>
      <w:r w:rsidR="000803C7" w:rsidRPr="003E6D85">
        <w:rPr>
          <w:rFonts w:ascii="Times New Roman" w:hAnsi="Times New Roman" w:cs="Times New Roman"/>
          <w:sz w:val="24"/>
          <w:szCs w:val="24"/>
        </w:rPr>
        <w:t>, afirma el p</w:t>
      </w:r>
      <w:r>
        <w:rPr>
          <w:rFonts w:ascii="Times New Roman" w:hAnsi="Times New Roman" w:cs="Times New Roman"/>
          <w:sz w:val="24"/>
          <w:szCs w:val="24"/>
        </w:rPr>
        <w:t>residente del Consejo General. “</w:t>
      </w:r>
      <w:r w:rsidR="000803C7" w:rsidRPr="003E6D85">
        <w:rPr>
          <w:rFonts w:ascii="Times New Roman" w:hAnsi="Times New Roman" w:cs="Times New Roman"/>
          <w:sz w:val="24"/>
          <w:szCs w:val="24"/>
        </w:rPr>
        <w:t>Lo que decimos es que no puede haber justicia social sin viabilidad económica, porque las empresas no pueden dar lo que no tienen. Y si no creamos las condiciones para que sean rentables, productivas y competitivas, no solo no habrá subida</w:t>
      </w:r>
      <w:r>
        <w:rPr>
          <w:rFonts w:ascii="Times New Roman" w:hAnsi="Times New Roman" w:cs="Times New Roman"/>
          <w:sz w:val="24"/>
          <w:szCs w:val="24"/>
        </w:rPr>
        <w:t>s salariales: no habrá empresas”</w:t>
      </w:r>
      <w:r w:rsidR="000803C7" w:rsidRPr="003E6D85">
        <w:rPr>
          <w:rFonts w:ascii="Times New Roman" w:hAnsi="Times New Roman" w:cs="Times New Roman"/>
          <w:sz w:val="24"/>
          <w:szCs w:val="24"/>
        </w:rPr>
        <w:t>.</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 xml:space="preserve">- </w:t>
      </w:r>
      <w:r w:rsidRPr="003E6D85">
        <w:rPr>
          <w:rFonts w:ascii="Times New Roman" w:hAnsi="Times New Roman" w:cs="Times New Roman"/>
          <w:sz w:val="24"/>
          <w:szCs w:val="24"/>
          <w:u w:val="single"/>
        </w:rPr>
        <w:t>España hace historia tras superar los 22 millones de ocupados, pero con una intensa creación de empleos de bajo valor añadido</w:t>
      </w:r>
      <w:r w:rsidRPr="003E6D85">
        <w:rPr>
          <w:rFonts w:ascii="Times New Roman" w:hAnsi="Times New Roman" w:cs="Times New Roman"/>
          <w:sz w:val="24"/>
          <w:szCs w:val="24"/>
        </w:rPr>
        <w:t xml:space="preserve"> (El Economista - </w:t>
      </w:r>
      <w:r w:rsidRPr="003E6D85">
        <w:rPr>
          <w:rFonts w:ascii="Times New Roman" w:hAnsi="Times New Roman" w:cs="Times New Roman"/>
          <w:b/>
          <w:sz w:val="24"/>
          <w:szCs w:val="24"/>
        </w:rPr>
        <w:t>24/7/25</w:t>
      </w:r>
      <w:r w:rsidRPr="003E6D85">
        <w:rPr>
          <w:rFonts w:ascii="Times New Roman" w:hAnsi="Times New Roman" w:cs="Times New Roman"/>
          <w:sz w:val="24"/>
          <w:szCs w:val="24"/>
        </w:rPr>
        <w:t>)</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El mercado laboral español ha logrado un hito histórico al superar, por primera vez, los 22 millones de personas ocupadas. En concreto, según los últimos datos de la Encuesta de Población Activa (EPA), correspondientes al segundo trimestre de 2025, hay 22.270.000 personas trabajando, cifra que en términos desestacionalizados se sitúa en 22.165.000. Se trata de un máximo nunca antes registrado, que refleja un notable dinamismo del mercado laboral en un contexto de crecimiento económico sostenido y aumento de la población activa. Además, la tasa de paro se ha reducido hasta el 10,29%, 1,07 puntos inferior a la del trimestre anterior. Sin embargo, buena parte de este crecimiento de la ocupación se ha concentrado en sectores de muy bajo valor añadido y donde se genera de forma recurrente empleo precario: hostelería, servicios de alojamientos y servicios de comida y bebida se llevan casi todo el grueso de la creación de empleo.</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Los buenos datos de empleo vienen marcados por una intensa creación de trabajo en sectores de bajo valor añadido, como es la hostelería, donde el empleo se ha incrementado en 180.000 nuevos ocupados. Dentro de este sector destaca el aumento en servicios de alojamiento, donde el incremento ha sido de 86.000 nuevos ocupados y en servicios de comidas y bebidas, donde el incremento ha sido de 95.000 nuevos empleos. España crece y se expande, pero lo hace a su manera: turismo, hostelería y las ramas de los servicios de menor valor añadido.</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noProof/>
          <w:sz w:val="24"/>
          <w:szCs w:val="24"/>
          <w:lang w:eastAsia="es-ES"/>
        </w:rPr>
        <w:drawing>
          <wp:inline distT="0" distB="0" distL="0" distR="0" wp14:anchorId="31E02E2B" wp14:editId="0057F5B3">
            <wp:extent cx="5732281" cy="2590800"/>
            <wp:effectExtent l="0" t="0" r="1905"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5731510" cy="2590452"/>
                    </a:xfrm>
                    <a:prstGeom prst="rect">
                      <a:avLst/>
                    </a:prstGeom>
                  </pic:spPr>
                </pic:pic>
              </a:graphicData>
            </a:graphic>
          </wp:inline>
        </w:drawing>
      </w:r>
      <w:r w:rsidRPr="003E6D85">
        <w:rPr>
          <w:rFonts w:ascii="Times New Roman" w:hAnsi="Times New Roman" w:cs="Times New Roman"/>
          <w:sz w:val="24"/>
          <w:szCs w:val="24"/>
        </w:rPr>
        <w:t xml:space="preserve">En la parte positiva aparece también el crecimiento de la ocupación en información y comunicaciones, donde se han registrado 22.000 ocupados más hasta los 862.000 ocupados </w:t>
      </w:r>
      <w:r w:rsidRPr="003E6D85">
        <w:rPr>
          <w:rFonts w:ascii="Times New Roman" w:hAnsi="Times New Roman" w:cs="Times New Roman"/>
          <w:sz w:val="24"/>
          <w:szCs w:val="24"/>
        </w:rPr>
        <w:lastRenderedPageBreak/>
        <w:t>en total, una cantidad notable, pero que se encuentra muy lejos de los casi dos millones de ocupados en hostelería, por ejemplo. También ha sido destacable el aumento de ocupados en las manufacturas, donde se hay alrededor de 90.000 empleados más, destacando la fabricación de productos metálicos y también farmacéuticos. Estas son las notas positivas de un dato de empleo que pasará a la historia por sus grandes números.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Tasa de ocupación en máximos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La tasa de ocupación también marca un récord, alcanzando el 68,3% de la población en edad de trabajar. Esto significa que nunca antes ha habido un porcentaje tan alto de ciudadanos empleados en España. En los últimos tres trimestres, la ocupación ha crecido por encima del 0,6% de forma consecutiva, un ritmo intenso que ha permitido sumar 580.200 nuevos ocupados en un año, lo que supone un incremento del 2,69%.</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El ministro de Economía, Comercio y Empresa, Carlos Cuerpo, ha celebrado que, por primera vez, España supere los 22 millones de ocupados, un nuevo máximo histórico, y que la tasa de paro haya caído hasta el 10,29%, la menor desde 2008.</w:t>
      </w:r>
    </w:p>
    <w:p w:rsidR="000803C7" w:rsidRPr="003E6D85" w:rsidRDefault="0041757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803C7" w:rsidRPr="003E6D85">
        <w:rPr>
          <w:rFonts w:ascii="Times New Roman" w:hAnsi="Times New Roman" w:cs="Times New Roman"/>
          <w:sz w:val="24"/>
          <w:szCs w:val="24"/>
        </w:rPr>
        <w:t>Nunca antes ha habido tanta gente trabajando, ni esto ha supuesto un porcentaje tan alto</w:t>
      </w:r>
      <w:r>
        <w:rPr>
          <w:rFonts w:ascii="Times New Roman" w:hAnsi="Times New Roman" w:cs="Times New Roman"/>
          <w:sz w:val="24"/>
          <w:szCs w:val="24"/>
        </w:rPr>
        <w:t xml:space="preserve"> de nuestra población: el 68,3%”</w:t>
      </w:r>
      <w:r w:rsidR="000803C7" w:rsidRPr="003E6D85">
        <w:rPr>
          <w:rFonts w:ascii="Times New Roman" w:hAnsi="Times New Roman" w:cs="Times New Roman"/>
          <w:sz w:val="24"/>
          <w:szCs w:val="24"/>
        </w:rPr>
        <w:t>, ha destacado el ministro, tras conocer los datos de la EPA, publicados este jueves por el INE, que reflejan que en el segundo trimestre del año se han alcanzado casi los 22.270.000 ocupados. Es cierto que nunca antes hubo tanta gente trabajando en España, pero también es cierto que nunca antes hubo tanta población en España.</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El titular de Economía ha destacado en un vídeo difundido por el Ministerio que España mantiene el pulso en el ritmo de creación de empleo y ha ensalzado que son ya tres los trimestres consecutivos en los que la ocupación h</w:t>
      </w:r>
      <w:r w:rsidR="00417577">
        <w:rPr>
          <w:rFonts w:ascii="Times New Roman" w:hAnsi="Times New Roman" w:cs="Times New Roman"/>
          <w:sz w:val="24"/>
          <w:szCs w:val="24"/>
        </w:rPr>
        <w:t>a crecido por encima del 0,6%, “</w:t>
      </w:r>
      <w:r w:rsidRPr="003E6D85">
        <w:rPr>
          <w:rFonts w:ascii="Times New Roman" w:hAnsi="Times New Roman" w:cs="Times New Roman"/>
          <w:sz w:val="24"/>
          <w:szCs w:val="24"/>
        </w:rPr>
        <w:t xml:space="preserve">lo que indica un elevado </w:t>
      </w:r>
      <w:r w:rsidR="00417577">
        <w:rPr>
          <w:rFonts w:ascii="Times New Roman" w:hAnsi="Times New Roman" w:cs="Times New Roman"/>
          <w:sz w:val="24"/>
          <w:szCs w:val="24"/>
        </w:rPr>
        <w:t>dinamismo en el mercado laboral”</w:t>
      </w:r>
      <w:r w:rsidRPr="003E6D85">
        <w:rPr>
          <w:rFonts w:ascii="Times New Roman" w:hAnsi="Times New Roman" w:cs="Times New Roman"/>
          <w:sz w:val="24"/>
          <w:szCs w:val="24"/>
        </w:rPr>
        <w:t>.</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Otro dato relevante es que este crecimiento se está produciendo al mismo tiempo que la población activa continúa aumentando. En el último trimestre, se sumaron 267.200 personas al mercado laboral, alcanzando un total de 24,8 millones, también la cifra más alta de la serie histórica. A pesar de este fuerte aumento de personas disponibles para trabajar, el paro sigue reduciéndose y se sitúa ya en el 10,29%, el nivel más bajo desde 2008, con una caída de más de un punto porcentual respecto al trimestre anterior. Por otro lado, el número de parados ha caído hasta los 2,5 millones.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noProof/>
          <w:sz w:val="24"/>
          <w:szCs w:val="24"/>
          <w:lang w:eastAsia="es-ES"/>
        </w:rPr>
        <w:drawing>
          <wp:inline distT="0" distB="0" distL="0" distR="0" wp14:anchorId="5A4DB22E" wp14:editId="71B96B65">
            <wp:extent cx="5727700" cy="2432050"/>
            <wp:effectExtent l="0" t="0" r="6350" b="635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5731510" cy="2433668"/>
                    </a:xfrm>
                    <a:prstGeom prst="rect">
                      <a:avLst/>
                    </a:prstGeom>
                  </pic:spPr>
                </pic:pic>
              </a:graphicData>
            </a:graphic>
          </wp:inline>
        </w:drawing>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lastRenderedPageBreak/>
        <w:t>Además, por primera vez el sector privado supera los 18,75 millones de ocupados, habiendo generado 9 de cada 10 empleos creados en el último trimestre. También se registra un avance en la estabilidad del empleo: el número de trabajadores con contrato indefinido ha crecido en 354.600 personas, elevando el total de ocupación indefinida hasta los 16,05 millones. A ello se suma el incremento de las horas trabajadas, que han subido un 2,42% entre abril y junio, y el crecimiento del número de hogares con todos sus miembros ocupados, que ya superan los 12 millones.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Salarios y estructura laboral</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Sin embargo, tras estos logros históricos se esconde una debilidad estructural de la economía española: buena parte del empleo creado sigue concentrándose en sectores de bajo valor añadido como la hostelería, el turismo o el comercio. Estos sectores, aunque intensivos en mano de obra, generan empleos con menores niveles de productividad y, en general, con salarios más bajos y condiciones laborales más precarias. La consecuencia de este tipo de estructura económica se puede observar en la evolución de los salarios españoles, que solo han crecido un 2,7% en los últimos 30 años, frente al 63% en Irlanda, por ejemplo.</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Esta concentración del empleo en actividades menos productivas limita la capacidad de crecimiento a largo plazo de la economía española. Aunque el número de ocupados bate récords, l</w:t>
      </w:r>
      <w:r w:rsidR="00417577">
        <w:rPr>
          <w:rFonts w:ascii="Times New Roman" w:hAnsi="Times New Roman" w:cs="Times New Roman"/>
          <w:sz w:val="24"/>
          <w:szCs w:val="24"/>
        </w:rPr>
        <w:t>a productividad por trabajador -</w:t>
      </w:r>
      <w:r w:rsidRPr="003E6D85">
        <w:rPr>
          <w:rFonts w:ascii="Times New Roman" w:hAnsi="Times New Roman" w:cs="Times New Roman"/>
          <w:sz w:val="24"/>
          <w:szCs w:val="24"/>
        </w:rPr>
        <w:t>una variable clave para el aumento so</w:t>
      </w:r>
      <w:r w:rsidR="00417577">
        <w:rPr>
          <w:rFonts w:ascii="Times New Roman" w:hAnsi="Times New Roman" w:cs="Times New Roman"/>
          <w:sz w:val="24"/>
          <w:szCs w:val="24"/>
        </w:rPr>
        <w:t>stenible de los salarios reales-</w:t>
      </w:r>
      <w:r w:rsidRPr="003E6D85">
        <w:rPr>
          <w:rFonts w:ascii="Times New Roman" w:hAnsi="Times New Roman" w:cs="Times New Roman"/>
          <w:sz w:val="24"/>
          <w:szCs w:val="24"/>
        </w:rPr>
        <w:t xml:space="preserve"> apenas mejora. La fuerte creación de empleo no se está traduciendo en un incremento proporcional de la riqueza generada por cada trabajador, lo que refleja una economía que sigue apoyándose en sectores tradicionales y estacionales.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Creación de empleo en regiones turísticas</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La situación se vuelve más preocupante si se tiene en cuenta que muchos de estos nuevos empleos se producen en regiones donde el turismo es la principal fuente de actividad. Esto acentúa la dependencia territorial de un modelo económico volátil, muy vulnerable a cambios de ciclo y a factores externos, como la inflación de costes o posibles caídas en la llegada de turistas internacionales. Además, aunque la tasa de paro juvenil ha caído al 24,5%, sigue siendo muy elevada, y muchos de estos jóvenes acceden al mercado laboral a través de empleos de baja cualificación.</w:t>
      </w:r>
    </w:p>
    <w:p w:rsidR="000803C7" w:rsidRPr="003E6D85" w:rsidRDefault="000803C7" w:rsidP="000803C7">
      <w:pPr>
        <w:spacing w:line="240" w:lineRule="auto"/>
        <w:jc w:val="both"/>
        <w:rPr>
          <w:rFonts w:ascii="Times New Roman" w:hAnsi="Times New Roman" w:cs="Times New Roman"/>
          <w:sz w:val="24"/>
          <w:szCs w:val="24"/>
        </w:rPr>
      </w:pPr>
      <w:r w:rsidRPr="003E6D85">
        <w:rPr>
          <w:rFonts w:ascii="Times New Roman" w:hAnsi="Times New Roman" w:cs="Times New Roman"/>
          <w:sz w:val="24"/>
          <w:szCs w:val="24"/>
        </w:rPr>
        <w:t>El reto para España, por tanto, no es solo mantener el ritmo de creación de empleo, sino transformar la estructura productiva para generar trabajos de mayor calidad, sostenibles en el tiempo y asociados a sectores innovadores o industriales. El récord de ocupación es, sin duda, una buena noticia, pero para que el progreso sea real y duradero, deberá ir acompañado de un incremento de la productividad, la inversión en capital humano y la modernización del tejido económico. De lo contrario, se corre el riesgo de seguir acumulando empleo sin avanzar realmente en bienestar.</w:t>
      </w:r>
    </w:p>
    <w:p w:rsidR="000803C7" w:rsidRPr="00C44DD8" w:rsidRDefault="000803C7" w:rsidP="000803C7">
      <w:pPr>
        <w:spacing w:line="240" w:lineRule="auto"/>
        <w:jc w:val="both"/>
        <w:rPr>
          <w:rFonts w:ascii="Times New Roman" w:hAnsi="Times New Roman" w:cs="Times New Roman"/>
          <w:b/>
          <w:color w:val="FF0000"/>
          <w:sz w:val="24"/>
          <w:szCs w:val="24"/>
        </w:rPr>
      </w:pPr>
      <w:r w:rsidRPr="00C44DD8">
        <w:rPr>
          <w:rFonts w:ascii="Times New Roman" w:hAnsi="Times New Roman" w:cs="Times New Roman"/>
          <w:b/>
          <w:color w:val="FF0000"/>
          <w:sz w:val="24"/>
          <w:szCs w:val="24"/>
        </w:rPr>
        <w:t>Nota I: “Quién a quién” (cuantos son los que trabajan, y cuantos son los mantenidos)</w:t>
      </w:r>
    </w:p>
    <w:p w:rsidR="000803C7" w:rsidRPr="000C52E7" w:rsidRDefault="000803C7" w:rsidP="000803C7">
      <w:pPr>
        <w:spacing w:line="240" w:lineRule="auto"/>
        <w:jc w:val="both"/>
        <w:rPr>
          <w:rStyle w:val="uv3um"/>
          <w:rFonts w:ascii="Times New Roman" w:hAnsi="Times New Roman" w:cs="Times New Roman"/>
          <w:sz w:val="24"/>
          <w:szCs w:val="24"/>
          <w:shd w:val="clear" w:color="auto" w:fill="FFFFFF"/>
        </w:rPr>
      </w:pPr>
      <w:r w:rsidRPr="000C52E7">
        <w:rPr>
          <w:rFonts w:ascii="Times New Roman" w:hAnsi="Times New Roman" w:cs="Times New Roman"/>
          <w:sz w:val="24"/>
          <w:szCs w:val="24"/>
          <w:shd w:val="clear" w:color="auto" w:fill="FFFFFF"/>
        </w:rPr>
        <w:t>En España, aproximadamente 3.043.024 personas trabajan en el sector público, mientras que el sector privado emplea a 18.120.000 personas, </w:t>
      </w:r>
      <w:hyperlink r:id="rId276" w:history="1">
        <w:r w:rsidRPr="000C52E7">
          <w:rPr>
            <w:rStyle w:val="Hipervnculo"/>
            <w:rFonts w:ascii="Times New Roman" w:hAnsi="Times New Roman" w:cs="Times New Roman"/>
            <w:color w:val="auto"/>
            <w:sz w:val="24"/>
            <w:szCs w:val="24"/>
            <w:u w:val="none"/>
            <w:shd w:val="clear" w:color="auto" w:fill="FFFFFF"/>
          </w:rPr>
          <w:t>según el Ministerio de Transformación Digital y Función Pública y La Moncloa</w:t>
        </w:r>
      </w:hyperlink>
      <w:r w:rsidRPr="000C52E7">
        <w:rPr>
          <w:rFonts w:ascii="Times New Roman" w:hAnsi="Times New Roman" w:cs="Times New Roman"/>
          <w:sz w:val="24"/>
          <w:szCs w:val="24"/>
          <w:shd w:val="clear" w:color="auto" w:fill="FFFFFF"/>
        </w:rPr>
        <w:t>. Esto significa que el sector público representa alrededor del 16.9% del total de personas ocupadas, mientras que el sector privado abarca el 83.1% restante, </w:t>
      </w:r>
      <w:hyperlink r:id="rId277" w:history="1">
        <w:r w:rsidRPr="000C52E7">
          <w:rPr>
            <w:rStyle w:val="Hipervnculo"/>
            <w:rFonts w:ascii="Times New Roman" w:hAnsi="Times New Roman" w:cs="Times New Roman"/>
            <w:color w:val="auto"/>
            <w:sz w:val="24"/>
            <w:szCs w:val="24"/>
            <w:u w:val="none"/>
            <w:shd w:val="clear" w:color="auto" w:fill="FFFFFF"/>
          </w:rPr>
          <w:t>según La Razón</w:t>
        </w:r>
      </w:hyperlink>
      <w:r w:rsidRPr="000C52E7">
        <w:rPr>
          <w:rFonts w:ascii="Times New Roman" w:hAnsi="Times New Roman" w:cs="Times New Roman"/>
          <w:sz w:val="24"/>
          <w:szCs w:val="24"/>
          <w:shd w:val="clear" w:color="auto" w:fill="FFFFFF"/>
        </w:rPr>
        <w:t>.</w:t>
      </w:r>
      <w:r w:rsidRPr="000C52E7">
        <w:rPr>
          <w:rStyle w:val="uv3um"/>
          <w:rFonts w:ascii="Times New Roman" w:hAnsi="Times New Roman" w:cs="Times New Roman"/>
          <w:sz w:val="24"/>
          <w:szCs w:val="24"/>
          <w:shd w:val="clear" w:color="auto" w:fill="FFFFFF"/>
        </w:rPr>
        <w:t> </w:t>
      </w:r>
    </w:p>
    <w:p w:rsidR="000803C7" w:rsidRPr="000C52E7" w:rsidRDefault="000803C7" w:rsidP="000803C7">
      <w:pPr>
        <w:spacing w:line="240" w:lineRule="auto"/>
        <w:jc w:val="both"/>
        <w:rPr>
          <w:rFonts w:ascii="Times New Roman" w:hAnsi="Times New Roman" w:cs="Times New Roman"/>
          <w:sz w:val="24"/>
          <w:szCs w:val="24"/>
          <w:shd w:val="clear" w:color="auto" w:fill="FFFFFF"/>
        </w:rPr>
      </w:pPr>
      <w:r w:rsidRPr="000C52E7">
        <w:rPr>
          <w:rFonts w:ascii="Times New Roman" w:eastAsia="Times New Roman" w:hAnsi="Times New Roman" w:cs="Times New Roman"/>
          <w:sz w:val="24"/>
          <w:szCs w:val="24"/>
          <w:lang w:eastAsia="es-ES"/>
        </w:rPr>
        <w:t>En más detalle:</w:t>
      </w:r>
    </w:p>
    <w:p w:rsidR="000803C7" w:rsidRPr="000C52E7" w:rsidRDefault="000803C7" w:rsidP="00417577">
      <w:pPr>
        <w:numPr>
          <w:ilvl w:val="0"/>
          <w:numId w:val="33"/>
        </w:numPr>
        <w:shd w:val="clear" w:color="auto" w:fill="FFFFFF"/>
        <w:spacing w:after="120" w:line="330" w:lineRule="atLeast"/>
        <w:ind w:left="0"/>
        <w:jc w:val="both"/>
        <w:rPr>
          <w:rFonts w:ascii="Times New Roman" w:eastAsia="Times New Roman" w:hAnsi="Times New Roman" w:cs="Times New Roman"/>
          <w:sz w:val="24"/>
          <w:szCs w:val="24"/>
          <w:lang w:eastAsia="es-ES"/>
        </w:rPr>
      </w:pPr>
      <w:r w:rsidRPr="000C52E7">
        <w:rPr>
          <w:rFonts w:ascii="Times New Roman" w:eastAsia="Times New Roman" w:hAnsi="Times New Roman" w:cs="Times New Roman"/>
          <w:b/>
          <w:bCs/>
          <w:sz w:val="24"/>
          <w:szCs w:val="24"/>
          <w:lang w:eastAsia="es-ES"/>
        </w:rPr>
        <w:lastRenderedPageBreak/>
        <w:t>Sector Público:</w:t>
      </w:r>
      <w:r w:rsidRPr="000C52E7">
        <w:rPr>
          <w:rFonts w:ascii="Times New Roman" w:eastAsia="Times New Roman" w:hAnsi="Times New Roman" w:cs="Times New Roman"/>
          <w:sz w:val="24"/>
          <w:szCs w:val="24"/>
          <w:lang w:eastAsia="es-ES"/>
        </w:rPr>
        <w:t xml:space="preserve"> </w:t>
      </w:r>
      <w:r w:rsidRPr="000C52E7">
        <w:rPr>
          <w:rFonts w:ascii="Times New Roman" w:eastAsia="Times New Roman" w:hAnsi="Times New Roman" w:cs="Times New Roman"/>
          <w:spacing w:val="2"/>
          <w:sz w:val="24"/>
          <w:szCs w:val="24"/>
          <w:lang w:eastAsia="es-ES"/>
        </w:rPr>
        <w:t>El número exacto de empleados públicos se sitúa en 3.043.024 a julio de 2024, según el Boletín Estadístico del Personal al servicio de las Administraciones Públicas. Esto incluye a empleados de la Administración General del Estado, Comunidades Autónomas y Administración Local. </w:t>
      </w:r>
    </w:p>
    <w:p w:rsidR="000803C7" w:rsidRPr="000C52E7" w:rsidRDefault="000803C7" w:rsidP="00417577">
      <w:pPr>
        <w:numPr>
          <w:ilvl w:val="0"/>
          <w:numId w:val="33"/>
        </w:numPr>
        <w:shd w:val="clear" w:color="auto" w:fill="FFFFFF"/>
        <w:spacing w:after="0" w:line="330" w:lineRule="atLeast"/>
        <w:ind w:left="0"/>
        <w:jc w:val="both"/>
        <w:rPr>
          <w:rFonts w:ascii="Times New Roman" w:eastAsia="Times New Roman" w:hAnsi="Times New Roman" w:cs="Times New Roman"/>
          <w:sz w:val="24"/>
          <w:szCs w:val="24"/>
          <w:lang w:eastAsia="es-ES"/>
        </w:rPr>
      </w:pPr>
      <w:r w:rsidRPr="000C52E7">
        <w:rPr>
          <w:rFonts w:ascii="Times New Roman" w:eastAsia="Times New Roman" w:hAnsi="Times New Roman" w:cs="Times New Roman"/>
          <w:b/>
          <w:bCs/>
          <w:sz w:val="24"/>
          <w:szCs w:val="24"/>
          <w:lang w:eastAsia="es-ES"/>
        </w:rPr>
        <w:t>Sector Privado:</w:t>
      </w:r>
      <w:r w:rsidRPr="000C52E7">
        <w:rPr>
          <w:rFonts w:ascii="Times New Roman" w:eastAsia="Times New Roman" w:hAnsi="Times New Roman" w:cs="Times New Roman"/>
          <w:sz w:val="24"/>
          <w:szCs w:val="24"/>
          <w:lang w:eastAsia="es-ES"/>
        </w:rPr>
        <w:t xml:space="preserve"> </w:t>
      </w:r>
      <w:r w:rsidRPr="000C52E7">
        <w:rPr>
          <w:rFonts w:ascii="Times New Roman" w:eastAsia="Times New Roman" w:hAnsi="Times New Roman" w:cs="Times New Roman"/>
          <w:spacing w:val="2"/>
          <w:sz w:val="24"/>
          <w:szCs w:val="24"/>
          <w:lang w:eastAsia="es-ES"/>
        </w:rPr>
        <w:t>El sector privado, por su parte, cuenta con 18.120.000 empleados, según La Moncloa. Este sector engloba a todas las empresas y trabajadores por cuenta propia que no pertenecen al sector público. </w:t>
      </w:r>
    </w:p>
    <w:p w:rsidR="000803C7" w:rsidRPr="000C52E7" w:rsidRDefault="000803C7" w:rsidP="000803C7">
      <w:pPr>
        <w:shd w:val="clear" w:color="auto" w:fill="FFFFFF"/>
        <w:spacing w:after="0" w:line="330" w:lineRule="atLeast"/>
        <w:rPr>
          <w:rFonts w:ascii="Times New Roman" w:eastAsia="Times New Roman" w:hAnsi="Times New Roman" w:cs="Times New Roman"/>
          <w:spacing w:val="2"/>
          <w:sz w:val="24"/>
          <w:szCs w:val="24"/>
          <w:lang w:eastAsia="es-ES"/>
        </w:rPr>
      </w:pPr>
    </w:p>
    <w:p w:rsidR="000803C7" w:rsidRPr="000C52E7" w:rsidRDefault="000803C7" w:rsidP="00417577">
      <w:pPr>
        <w:shd w:val="clear" w:color="auto" w:fill="FFFFFF"/>
        <w:spacing w:line="240" w:lineRule="auto"/>
        <w:jc w:val="both"/>
        <w:rPr>
          <w:rFonts w:ascii="Times New Roman" w:eastAsia="Times New Roman" w:hAnsi="Times New Roman" w:cs="Times New Roman"/>
          <w:sz w:val="24"/>
          <w:szCs w:val="24"/>
          <w:lang w:eastAsia="es-ES"/>
        </w:rPr>
      </w:pPr>
      <w:r w:rsidRPr="000C52E7">
        <w:rPr>
          <w:rFonts w:ascii="Times New Roman" w:eastAsia="Times New Roman" w:hAnsi="Times New Roman" w:cs="Times New Roman"/>
          <w:sz w:val="24"/>
          <w:szCs w:val="24"/>
          <w:lang w:eastAsia="es-ES"/>
        </w:rPr>
        <w:t>Es importante destacar que el sector público ha experimentado un ligero crecimiento en los últimos años, mientras que el sector privado sigue siendo el motor principal de la creación de empleo en España. </w:t>
      </w:r>
    </w:p>
    <w:p w:rsidR="000803C7" w:rsidRPr="000C52E7" w:rsidRDefault="000803C7" w:rsidP="000803C7">
      <w:pPr>
        <w:spacing w:line="240" w:lineRule="auto"/>
        <w:jc w:val="both"/>
        <w:rPr>
          <w:rStyle w:val="uv3um"/>
          <w:rFonts w:ascii="Times New Roman" w:hAnsi="Times New Roman" w:cs="Times New Roman"/>
          <w:sz w:val="24"/>
          <w:szCs w:val="24"/>
          <w:shd w:val="clear" w:color="auto" w:fill="FFFFFF"/>
        </w:rPr>
      </w:pPr>
      <w:r w:rsidRPr="000C52E7">
        <w:rPr>
          <w:rFonts w:ascii="Times New Roman" w:hAnsi="Times New Roman" w:cs="Times New Roman"/>
          <w:sz w:val="24"/>
          <w:szCs w:val="24"/>
          <w:shd w:val="clear" w:color="auto" w:fill="FFFFFF"/>
        </w:rPr>
        <w:t>En España, hay alrededor de 9.3 millones de pensionistas a quienes la Seguridad Social abona más de 10.3 millones de pensiones. Esto significa que hay más de 9.3 millones de personas recibiendo una pensión en España. La pensión media del sistema se sitúa en 1.304,8 euros mensuales, según el Ministerio de Inclusión, Seguridad Social y Migraciones. La edad media de acceso a la jubilación es de 65,2 años, según el Ministerio de Inclusión, Seguridad Social y Migraciones.</w:t>
      </w:r>
      <w:r w:rsidRPr="000C52E7">
        <w:rPr>
          <w:rStyle w:val="uv3um"/>
          <w:rFonts w:ascii="Times New Roman" w:hAnsi="Times New Roman" w:cs="Times New Roman"/>
          <w:sz w:val="24"/>
          <w:szCs w:val="24"/>
          <w:shd w:val="clear" w:color="auto" w:fill="FFFFFF"/>
        </w:rPr>
        <w:t> </w:t>
      </w:r>
    </w:p>
    <w:p w:rsidR="000803C7" w:rsidRPr="000C52E7" w:rsidRDefault="000803C7" w:rsidP="000803C7">
      <w:pPr>
        <w:shd w:val="clear" w:color="auto" w:fill="FFFFFF"/>
        <w:jc w:val="both"/>
        <w:rPr>
          <w:rStyle w:val="uv3um"/>
          <w:rFonts w:ascii="Times New Roman" w:hAnsi="Times New Roman" w:cs="Times New Roman"/>
          <w:sz w:val="24"/>
          <w:szCs w:val="24"/>
        </w:rPr>
      </w:pPr>
      <w:r w:rsidRPr="000C52E7">
        <w:rPr>
          <w:rFonts w:ascii="Times New Roman" w:hAnsi="Times New Roman" w:cs="Times New Roman"/>
          <w:sz w:val="24"/>
          <w:szCs w:val="24"/>
        </w:rPr>
        <w:t>La Seguridad Social abona 10.3 millones de pensiones, pero algunos pensionistas reciben más de una pensión (por ejemplo, una de jubilación y otra por viudedad). La pensión de jubilación es la principal prestación para 6,4 millones de personas, según el Ministerio de Inclusión, Seguridad Social y Migraciones.</w:t>
      </w:r>
      <w:r w:rsidRPr="000C52E7">
        <w:rPr>
          <w:rStyle w:val="uv3um"/>
          <w:rFonts w:ascii="Times New Roman" w:hAnsi="Times New Roman" w:cs="Times New Roman"/>
          <w:sz w:val="24"/>
          <w:szCs w:val="24"/>
        </w:rPr>
        <w:t> </w:t>
      </w:r>
    </w:p>
    <w:p w:rsidR="000803C7" w:rsidRPr="000C52E7" w:rsidRDefault="000803C7" w:rsidP="000803C7">
      <w:pPr>
        <w:shd w:val="clear" w:color="auto" w:fill="FFFFFF"/>
        <w:jc w:val="both"/>
        <w:rPr>
          <w:rStyle w:val="uv3um"/>
          <w:rFonts w:ascii="Times New Roman" w:hAnsi="Times New Roman" w:cs="Times New Roman"/>
          <w:sz w:val="24"/>
          <w:szCs w:val="24"/>
        </w:rPr>
      </w:pPr>
      <w:r w:rsidRPr="000C52E7">
        <w:rPr>
          <w:rFonts w:ascii="Times New Roman" w:hAnsi="Times New Roman" w:cs="Times New Roman"/>
          <w:sz w:val="24"/>
          <w:szCs w:val="24"/>
        </w:rPr>
        <w:t>La pensión media del sistema se sitúa en 1.304,8 euros mensuales. El número de pensionistas sigue creciendo, con un aumento interanual del 1,4% en septiembre, según datos de la Seguridad Social.</w:t>
      </w:r>
      <w:r w:rsidRPr="000C52E7">
        <w:rPr>
          <w:rStyle w:val="uv3um"/>
          <w:rFonts w:ascii="Times New Roman" w:hAnsi="Times New Roman" w:cs="Times New Roman"/>
          <w:sz w:val="24"/>
          <w:szCs w:val="24"/>
        </w:rPr>
        <w:t> </w:t>
      </w:r>
    </w:p>
    <w:p w:rsidR="000803C7" w:rsidRPr="000C52E7" w:rsidRDefault="000803C7" w:rsidP="000803C7">
      <w:pPr>
        <w:shd w:val="clear" w:color="auto" w:fill="FFFFFF"/>
        <w:jc w:val="both"/>
        <w:rPr>
          <w:rFonts w:ascii="Times New Roman" w:hAnsi="Times New Roman" w:cs="Times New Roman"/>
          <w:sz w:val="24"/>
          <w:szCs w:val="24"/>
        </w:rPr>
      </w:pPr>
      <w:r w:rsidRPr="000C52E7">
        <w:rPr>
          <w:rFonts w:ascii="Times New Roman" w:hAnsi="Times New Roman" w:cs="Times New Roman"/>
          <w:sz w:val="24"/>
          <w:szCs w:val="24"/>
        </w:rPr>
        <w:t>Además, más de 930.700 pensiones incluyen el complemento para la reducción de la brecha de género, </w:t>
      </w:r>
      <w:hyperlink r:id="rId278" w:history="1">
        <w:r w:rsidRPr="000C52E7">
          <w:rPr>
            <w:rStyle w:val="Hipervnculo"/>
            <w:rFonts w:ascii="Times New Roman" w:hAnsi="Times New Roman" w:cs="Times New Roman"/>
            <w:color w:val="auto"/>
            <w:sz w:val="24"/>
            <w:szCs w:val="24"/>
            <w:u w:val="none"/>
          </w:rPr>
          <w:t>según el Ministerio de Inclusión, Seguridad Social y Migraciones</w:t>
        </w:r>
      </w:hyperlink>
      <w:r w:rsidRPr="000C52E7">
        <w:rPr>
          <w:rFonts w:ascii="Times New Roman" w:hAnsi="Times New Roman" w:cs="Times New Roman"/>
          <w:sz w:val="24"/>
          <w:szCs w:val="24"/>
        </w:rPr>
        <w:t>.</w:t>
      </w:r>
      <w:r w:rsidRPr="000C52E7">
        <w:rPr>
          <w:rStyle w:val="uv3um"/>
          <w:rFonts w:ascii="Times New Roman" w:hAnsi="Times New Roman" w:cs="Times New Roman"/>
          <w:sz w:val="24"/>
          <w:szCs w:val="24"/>
        </w:rPr>
        <w:t> </w:t>
      </w:r>
    </w:p>
    <w:p w:rsidR="000803C7" w:rsidRPr="00710224"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F3174">
        <w:rPr>
          <w:rFonts w:ascii="Times New Roman" w:hAnsi="Times New Roman" w:cs="Times New Roman"/>
          <w:sz w:val="24"/>
          <w:szCs w:val="24"/>
          <w:u w:val="single"/>
        </w:rPr>
        <w:t>La mitad de los mayores de 18 años ya depende de una ayuda, una pensión o un empleo público</w:t>
      </w:r>
      <w:r>
        <w:rPr>
          <w:rFonts w:ascii="Times New Roman" w:hAnsi="Times New Roman" w:cs="Times New Roman"/>
          <w:sz w:val="24"/>
          <w:szCs w:val="24"/>
        </w:rPr>
        <w:t xml:space="preserve"> (The Objective - </w:t>
      </w:r>
      <w:r w:rsidRPr="00710224">
        <w:rPr>
          <w:rFonts w:ascii="Times New Roman" w:hAnsi="Times New Roman" w:cs="Times New Roman"/>
          <w:b/>
          <w:sz w:val="24"/>
          <w:szCs w:val="24"/>
        </w:rPr>
        <w:t>31/7/23</w:t>
      </w:r>
      <w:r>
        <w:rPr>
          <w:rFonts w:ascii="Times New Roman" w:hAnsi="Times New Roman" w:cs="Times New Roman"/>
          <w:sz w:val="24"/>
          <w:szCs w:val="24"/>
        </w:rPr>
        <w:t>)</w:t>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La multiplicación de subsidios eleva a cotas nunca vistas el porcentaje de personas con ingresos procedentes del Estado</w:t>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Uno de cada dos mayores de 18 años depende ya de una ayuda o subsidio, de una pensión o de un sueldo pagado por administraciones o empresas públicas, una proporción que seguirá aumentando con el envejecimiento de la población y en momentos de crisis económica. Las ayudas, a menudo de subsistencia, sirven para permitir malvivir a los ocupantes de millones de hogares y se han c</w:t>
      </w:r>
      <w:r>
        <w:rPr>
          <w:rFonts w:ascii="Times New Roman" w:hAnsi="Times New Roman" w:cs="Times New Roman"/>
          <w:sz w:val="24"/>
          <w:szCs w:val="24"/>
        </w:rPr>
        <w:t>onvertido en un recurso básico.</w:t>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Un análisis detallado de diferentes estadísticas públicas realizado por T</w:t>
      </w:r>
      <w:r>
        <w:rPr>
          <w:rFonts w:ascii="Times New Roman" w:hAnsi="Times New Roman" w:cs="Times New Roman"/>
          <w:sz w:val="24"/>
          <w:szCs w:val="24"/>
        </w:rPr>
        <w:t xml:space="preserve">he Objective </w:t>
      </w:r>
      <w:r w:rsidRPr="00710224">
        <w:rPr>
          <w:rFonts w:ascii="Times New Roman" w:hAnsi="Times New Roman" w:cs="Times New Roman"/>
          <w:sz w:val="24"/>
          <w:szCs w:val="24"/>
        </w:rPr>
        <w:t>muestra que 19,1 millones de ciudadanos con más de 18 años reciben una prestación vital, alguna ayuda de dependencia o un sueldo público. La población española en esa franja de edad supera los 39,4 millones, según los datos del Instituto Nacional de Esta</w:t>
      </w:r>
      <w:r>
        <w:rPr>
          <w:rFonts w:ascii="Times New Roman" w:hAnsi="Times New Roman" w:cs="Times New Roman"/>
          <w:sz w:val="24"/>
          <w:szCs w:val="24"/>
        </w:rPr>
        <w:t>dística (INE) relativos a 2022.</w:t>
      </w:r>
    </w:p>
    <w:p w:rsidR="000803C7"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lastRenderedPageBreak/>
        <w:t>Los efectos económicos de la pandemia, algunos ya superados, han provocado un incremento considerable de las ayudas directas, dejando en evidencia la elevada vulnerabilidad de los hogares españoles. Pese a todo, no todas las familias por debajo del umbral de la pobreza reciben estas prestaciones, ya sea por la elevada burocracia que conllevan las solicitudes, los numerosos requisitos o por falta de información. Así, el 48,5% de la población adulta tiene ingresos familiares vinculados a las arcas públicas, a través de las prestaciones más destacadas o retribuciones públicas.</w:t>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Pensiones contributivas y Clases Pasivas</w:t>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El pasado junio, el número de pensiones contributivas en la Seguridad Social previstas para mayores de 19 años rondaba los diez millones. Algunos pensionistas, casi 100.000, perciben dos o más prestaciones. Mientras, con la misma fecha, el Imserso contabilizaba un total de 272.231 jubilados no contributivos y 176.495 pensiones de invalidez. Por su parte, el número de retirados y beneficiarios de ayudas en el sistema de Clase Pasivas superaba las 695.000. En total, hay más de 11 millones de pensionistas en el Imserso, en la Seguridad Social y en el régimen de funcionarios. Su nómina mens</w:t>
      </w:r>
      <w:r>
        <w:rPr>
          <w:rFonts w:ascii="Times New Roman" w:hAnsi="Times New Roman" w:cs="Times New Roman"/>
          <w:sz w:val="24"/>
          <w:szCs w:val="24"/>
        </w:rPr>
        <w:t>ual supera los 15.362 millones.</w:t>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Por su parte, hasta 1,7 millones de demandantes de empleo reciben algún tipo de prestación, contributiva o en forma de subsidio. En la mayoría de los casos no llega a 500 euros. Hasta 698.652 ciudadanos reciben una prestación contributiva de desempleo, mientras 714.590 perciben el subsidio para mayores de 52 años. Un total de 154.000 reciben alguna ayuda agraria y 100.281 la R</w:t>
      </w:r>
      <w:r>
        <w:rPr>
          <w:rFonts w:ascii="Times New Roman" w:hAnsi="Times New Roman" w:cs="Times New Roman"/>
          <w:sz w:val="24"/>
          <w:szCs w:val="24"/>
        </w:rPr>
        <w:t>enta Activa de Inserción (RAI).</w:t>
      </w:r>
    </w:p>
    <w:p w:rsidR="000803C7"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En el caso del subsidio para mayores de 52 años, los ciudadanos lo pueden cobrar desde esa edad hasta la legal de jubilación. Quienes hayan agotado el paro o el subsidio pueden optar a esta ayuda hasta que se jubilen -cuando cobrarán la pensión. Para cobrarla es necesario demostrar que no se tienen rentas superiores al 75% del Salario Mínimo Interprofesional (SMI).</w:t>
      </w:r>
    </w:p>
    <w:p w:rsidR="000803C7"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noProof/>
          <w:sz w:val="24"/>
          <w:szCs w:val="24"/>
          <w:lang w:eastAsia="es-ES"/>
        </w:rPr>
        <w:drawing>
          <wp:inline distT="0" distB="0" distL="0" distR="0" wp14:anchorId="6B0C1193" wp14:editId="490B2458">
            <wp:extent cx="5727699" cy="3505200"/>
            <wp:effectExtent l="0" t="0" r="6985"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731510" cy="3507532"/>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noProof/>
          <w:sz w:val="24"/>
          <w:szCs w:val="24"/>
          <w:lang w:eastAsia="es-ES"/>
        </w:rPr>
        <w:lastRenderedPageBreak/>
        <w:drawing>
          <wp:inline distT="0" distB="0" distL="0" distR="0" wp14:anchorId="4272470A" wp14:editId="351C3269">
            <wp:extent cx="5727700" cy="3232150"/>
            <wp:effectExtent l="0" t="0" r="6350" b="635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5731510" cy="3234300"/>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noProof/>
          <w:sz w:val="24"/>
          <w:szCs w:val="24"/>
          <w:lang w:eastAsia="es-ES"/>
        </w:rPr>
        <w:drawing>
          <wp:inline distT="0" distB="0" distL="0" distR="0" wp14:anchorId="024A748C" wp14:editId="7D65BFAD">
            <wp:extent cx="5727700" cy="3740150"/>
            <wp:effectExtent l="0" t="0" r="635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5731510" cy="3742638"/>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noProof/>
          <w:sz w:val="24"/>
          <w:szCs w:val="24"/>
          <w:lang w:eastAsia="es-ES"/>
        </w:rPr>
        <w:lastRenderedPageBreak/>
        <w:drawing>
          <wp:inline distT="0" distB="0" distL="0" distR="0" wp14:anchorId="50BD48A0" wp14:editId="0897FD17">
            <wp:extent cx="5727683" cy="3683000"/>
            <wp:effectExtent l="0" t="0" r="6985"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5731510" cy="3685461"/>
                    </a:xfrm>
                    <a:prstGeom prst="rect">
                      <a:avLst/>
                    </a:prstGeom>
                  </pic:spPr>
                </pic:pic>
              </a:graphicData>
            </a:graphic>
          </wp:inline>
        </w:drawing>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Por su parte, los beneficiarios del RAI tienen que acreditar al menos tres Acciones de Búsqueda Activa de Empleo (BAE) y estar inscritos en las oficinas de empleo durante al menos 12 meses. Los mayores de 45 años, personas con discapacidad, víctimas de violencia de género y retornados pueden acceder a e</w:t>
      </w:r>
      <w:r>
        <w:rPr>
          <w:rFonts w:ascii="Times New Roman" w:hAnsi="Times New Roman" w:cs="Times New Roman"/>
          <w:sz w:val="24"/>
          <w:szCs w:val="24"/>
        </w:rPr>
        <w:t>sta ayuda que solo dura un año.</w:t>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El controvertido IMV</w:t>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Hasta 645.317 ciudadanos cobraban a finales de 2021 alguna renta mínima de las comunidades. Su número se ha ido reduciendo con la entrada en vigor del Ingreso Mínimo Vital (IMV). Estos salarios sociales tenían cuantías y requisitos diferentes según la región y oscilaba entre los 300 y los 700 euros. El Ingreso Mínimo tampoco llega a los 500 euros en la mayoría de los casos, pero resulta clave para apartar mínimamente de la pobreza a 1.868.172 beneficiarios, en los que conviven 808.270 menores y más de un millón de adultos.</w:t>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La medida estrella de Pedro Sánchez ha sido criticada porque no llega a todas las familias que la necesitan, nuevamente por la excesiva burocracia y la falta de información. Hasta ocho de cada diez solicitudes se llegaron a denegar por exceso de ingresos y por errores,</w:t>
      </w:r>
      <w:r w:rsidR="000C52E7">
        <w:rPr>
          <w:rFonts w:ascii="Times New Roman" w:hAnsi="Times New Roman" w:cs="Times New Roman"/>
          <w:sz w:val="24"/>
          <w:szCs w:val="24"/>
        </w:rPr>
        <w:t xml:space="preserve"> </w:t>
      </w:r>
      <w:r w:rsidRPr="00710224">
        <w:rPr>
          <w:rFonts w:ascii="Times New Roman" w:hAnsi="Times New Roman" w:cs="Times New Roman"/>
          <w:sz w:val="24"/>
          <w:szCs w:val="24"/>
        </w:rPr>
        <w:t>que se podrían haber subsanado. La Comisión Europea ha recomendado a España eliminar trámites, dar respuesta en 30 días -en España el plazo son seis meses- y reclamaciones senc</w:t>
      </w:r>
      <w:r>
        <w:rPr>
          <w:rFonts w:ascii="Times New Roman" w:hAnsi="Times New Roman" w:cs="Times New Roman"/>
          <w:sz w:val="24"/>
          <w:szCs w:val="24"/>
        </w:rPr>
        <w:t>illas, gratuitas e imparciales.</w:t>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Ayudas a la Dependencia</w:t>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Junto a esto, a fecha de 30 de junio había 1,4 millones de personas recibiendo alguna prestación de dependencia. El número de prestaciones total -algunos dependientes reciben más de una- ascendía a 1.821.821. Estas ayudas son compatibles con otras subvenciones y con las pensiones. Según las tablas del Ministerio de Asuntos Sociales y Agenda 2030. Una parte de estas prestaciones subieron el pasado jueves hasta un 17%. Dependiendo del tipo de prestación y el grado del dependiente hay i</w:t>
      </w:r>
      <w:r>
        <w:rPr>
          <w:rFonts w:ascii="Times New Roman" w:hAnsi="Times New Roman" w:cs="Times New Roman"/>
          <w:sz w:val="24"/>
          <w:szCs w:val="24"/>
        </w:rPr>
        <w:t>mportantes diferencias.</w:t>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lastRenderedPageBreak/>
        <w:t>Según el ministerio, la prestación de cuidados familiares de un grado I es de media 147 euros, pero en el caso de la asistencia personal de un grado III la ayuda supera los 700 euros. Las ayudas a los cuidadores no profesionales en el entorno familiar son las que más subieron el pasado jueves. Pasan de 153 a 180 (grado I), de 268 a 316 (grado II) y de 387 a 455 euros máximos mensuales (grado III).</w:t>
      </w:r>
    </w:p>
    <w:p w:rsidR="000803C7" w:rsidRPr="00710224"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Empleo público y privado</w:t>
      </w:r>
    </w:p>
    <w:p w:rsidR="000803C7" w:rsidRDefault="000803C7" w:rsidP="000803C7">
      <w:pPr>
        <w:spacing w:line="240" w:lineRule="auto"/>
        <w:jc w:val="both"/>
        <w:rPr>
          <w:rFonts w:ascii="Times New Roman" w:hAnsi="Times New Roman" w:cs="Times New Roman"/>
          <w:sz w:val="24"/>
          <w:szCs w:val="24"/>
        </w:rPr>
      </w:pPr>
      <w:r w:rsidRPr="00710224">
        <w:rPr>
          <w:rFonts w:ascii="Times New Roman" w:hAnsi="Times New Roman" w:cs="Times New Roman"/>
          <w:sz w:val="24"/>
          <w:szCs w:val="24"/>
        </w:rPr>
        <w:t>Otro colectivo dependiente de los fondos públicos son los 3,524 millones de empleados públicos -en empresas y administraciones-. La temporalidad es protagonista entre los funcionarios, cuyo número ha ido aumentando en la misma proporción que ha ido disminuyendo el empleo público. Mientras el empleo público ha aumentado un 10% desde la llegada de Sánchez a La Moncloa, el privado lo ha hecho un 4%.</w:t>
      </w:r>
    </w:p>
    <w:p w:rsidR="000803C7" w:rsidRDefault="000803C7" w:rsidP="000803C7">
      <w:pPr>
        <w:spacing w:line="240" w:lineRule="auto"/>
        <w:jc w:val="both"/>
        <w:rPr>
          <w:rFonts w:ascii="Times New Roman" w:hAnsi="Times New Roman" w:cs="Times New Roman"/>
          <w:sz w:val="24"/>
          <w:szCs w:val="24"/>
        </w:rPr>
      </w:pPr>
      <w:r w:rsidRPr="007F4580">
        <w:rPr>
          <w:rFonts w:ascii="Times New Roman" w:hAnsi="Times New Roman" w:cs="Times New Roman"/>
          <w:noProof/>
          <w:sz w:val="24"/>
          <w:szCs w:val="24"/>
          <w:lang w:eastAsia="es-ES"/>
        </w:rPr>
        <w:drawing>
          <wp:inline distT="0" distB="0" distL="0" distR="0" wp14:anchorId="156C0283" wp14:editId="6BA915CA">
            <wp:extent cx="5315692" cy="5934904"/>
            <wp:effectExtent l="0" t="0" r="0" b="889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5315692" cy="5934904"/>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sz w:val="24"/>
          <w:szCs w:val="24"/>
        </w:rPr>
      </w:pP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lastRenderedPageBreak/>
        <w:t xml:space="preserve">- </w:t>
      </w:r>
      <w:r w:rsidRPr="00A56F49">
        <w:rPr>
          <w:rFonts w:ascii="Times New Roman" w:hAnsi="Times New Roman" w:cs="Times New Roman"/>
          <w:sz w:val="24"/>
          <w:szCs w:val="24"/>
          <w:u w:val="single"/>
        </w:rPr>
        <w:t>Los salarios de los españoles no consiguen despegar de niveles de hace 30 años</w:t>
      </w:r>
      <w:r w:rsidRPr="00A56F49">
        <w:rPr>
          <w:rFonts w:ascii="Times New Roman" w:hAnsi="Times New Roman" w:cs="Times New Roman"/>
          <w:sz w:val="24"/>
          <w:szCs w:val="24"/>
        </w:rPr>
        <w:t xml:space="preserve"> (Libertad Digital - </w:t>
      </w:r>
      <w:r w:rsidRPr="00A56F49">
        <w:rPr>
          <w:rFonts w:ascii="Times New Roman" w:hAnsi="Times New Roman" w:cs="Times New Roman"/>
          <w:b/>
          <w:sz w:val="24"/>
          <w:szCs w:val="24"/>
        </w:rPr>
        <w:t>25/7/25</w:t>
      </w:r>
      <w:r w:rsidRPr="00A56F49">
        <w:rPr>
          <w:rFonts w:ascii="Times New Roman" w:hAnsi="Times New Roman" w:cs="Times New Roman"/>
          <w:sz w:val="24"/>
          <w:szCs w:val="24"/>
        </w:rPr>
        <w:t>)</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Ni suben los sueldos ni crece la ambición por crear riqueza, sumiendo a España en una mentalidad tercermundista.</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(Por Diego Sánchez de la Cruz)</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España lleva décadas atrapada en una parálisis salarial que no encuentra solución. Los datos lo confirman de forma abrumadora: en los últimos treinta años, el salario real medio ha crecido apenas un 6 %, según Eurostat. Mientras tanto, Irlanda lo ha hecho un +72 %, Suecia un +57 %, y países comparables como Portugal o Francia superan el +24 % y +27 % respectivamente. Solo Italia comparte con España este estancamiento, con un crecimiento del +3 % que incluso se torna negativo al analizar las cifras para los empleados a tiempo completo. Según los últimos datos de la OCDE que ha recogido El Mundo, el resultado es todavía peor para España porque los salarios reales en ese mismo periodo sólo habrían crecido un 2,76%, el cuarto peor de los 38 países miembros.</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Y lo más grave es que la situación no ha mejorado en los últimos años, sino que ha empeorado. Como muestra la Encuesta Anual de Estructura Salarial del INE, el salario medio real en España en el año 2023 fue un 1,9 % inferior al de 2018, a pesar de que el salario nominal ha subido a lo largo de este periodo. La razón: la inflación ha devorado cualquier ganancia.</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Los salarios no suben, pero los costes sobre el trabajo sí lo hacen. Desde que entró en vigor el Mecanismo de Equidad Intergeneracional y la nueva cuota de solidaridad, las cotizaciones se han disparado, provocando un aumento del 6,2 % en los costes laborales no salariales. Todo esto ha ocurrido en apenas dos años. ¿El resultado? Trabajar en España es cada vez menos rentable para todos: para el empleado, para el empleador y para el país.</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Además, el número de personas con ingresos relativamente altos es muy limitado. Como ha explicado el ingeniero industrial y divulgador económico Jon González, apenas 6 millones de personas declaran más de 30.000 euros de ingresos brutos anuales, una cifra muy reducida, especialmente si tenemos en cuenta que 30.000 euros son un umbral de ingresos muy alejado de lo que verda</w:t>
      </w:r>
      <w:r w:rsidR="00417577">
        <w:rPr>
          <w:rFonts w:ascii="Times New Roman" w:hAnsi="Times New Roman" w:cs="Times New Roman"/>
          <w:sz w:val="24"/>
          <w:szCs w:val="24"/>
        </w:rPr>
        <w:t>deramente podríamos considerar “renta alta”</w:t>
      </w:r>
      <w:r w:rsidRPr="00A56F49">
        <w:rPr>
          <w:rFonts w:ascii="Times New Roman" w:hAnsi="Times New Roman" w:cs="Times New Roman"/>
          <w:sz w:val="24"/>
          <w:szCs w:val="24"/>
        </w:rPr>
        <w:t>. De esta cifra, y según datos cruzados de Hacienda, la Seguridad Social y la EPA, sabemos que un tercio son pensionistas y otra tercera parte, empleados públicos, de modo que el peso del sector privado en esa franja es minoritario.</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¿Dónde están los verdaderamente ricos? Simple: no están. En 2022, según la Agencia Tributaria, solo 852 personas en toda España declararon un patrimonio superior a los 30 millones de euros. Para comparar: en Estados Unidos había más de 200.000 personas con ese nivel, con una población solo siete veces mayor. Ajustando las cifras, nuestro país debería tener en torno a 6.000 ricos para presentar una estructura de grandes patrimonios comparable a la del país norteamericano. Incluso aspirando simplemente a una tasa equivalente al 50% de las cifras alcanzadas en suelo estadounidense, hablaríamos de algo más de 3.000 patrimonios de más de 30 millones, es decir, casi 4 veces menos de lo que realmente nos encontramos en nuestro país.</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 xml:space="preserve">Este empobrecimiento, objetivo en base a los datos y apuntalado por el hecho de que la renta de los españoles está cada vez más lejos de la media europea y ya está a años luz de los niveles apreciados en Estados Unidos, se refuerza con un problema subjetivo: la visión </w:t>
      </w:r>
      <w:r w:rsidRPr="00A56F49">
        <w:rPr>
          <w:rFonts w:ascii="Times New Roman" w:hAnsi="Times New Roman" w:cs="Times New Roman"/>
          <w:sz w:val="24"/>
          <w:szCs w:val="24"/>
        </w:rPr>
        <w:lastRenderedPageBreak/>
        <w:t>cultural de la riqueza. En su estudio internacional sobre la percepción de los ricos, el empresario, autor superventas y colaborador de Libre Mercado, Rainer Zitelmann puso de manifiesto que España es uno de los países donde más predomina la mentalidad de suma cero, es decir, la idea de que, en el mercado, si uno gana es porque otro pierde. En lugar de ver la riqueza como un proceso de creación, esta forma de entender el comercio percibe cualquier enriquecimiento como resultado de un reparto injusto. Siguiendo esa lógica, aspirar al éxito económico despierta sospechas, no admiración.</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Y eso nos lleva a lo más profundo del problema: la mediocridad no</w:t>
      </w:r>
      <w:r w:rsidR="000C52E7">
        <w:rPr>
          <w:rFonts w:ascii="Times New Roman" w:hAnsi="Times New Roman" w:cs="Times New Roman"/>
          <w:sz w:val="24"/>
          <w:szCs w:val="24"/>
        </w:rPr>
        <w:t>rmalizada. En España, se llama “rico”</w:t>
      </w:r>
      <w:r w:rsidRPr="00A56F49">
        <w:rPr>
          <w:rFonts w:ascii="Times New Roman" w:hAnsi="Times New Roman" w:cs="Times New Roman"/>
          <w:sz w:val="24"/>
          <w:szCs w:val="24"/>
        </w:rPr>
        <w:t xml:space="preserve"> a aquel que, simplemente, no es pobre. Como ha denunciado el profesor de la Universidad de Pensilvania, Jesús Fernández-Villaverde, en sus últimas conferencias y en sus publicaciones en redes sociales, el hecho de que se considere que con 80.000 euros brutos an</w:t>
      </w:r>
      <w:r w:rsidR="000C52E7">
        <w:rPr>
          <w:rFonts w:ascii="Times New Roman" w:hAnsi="Times New Roman" w:cs="Times New Roman"/>
          <w:sz w:val="24"/>
          <w:szCs w:val="24"/>
        </w:rPr>
        <w:t>uales “se vive de cine”</w:t>
      </w:r>
      <w:r w:rsidRPr="00A56F49">
        <w:rPr>
          <w:rFonts w:ascii="Times New Roman" w:hAnsi="Times New Roman" w:cs="Times New Roman"/>
          <w:sz w:val="24"/>
          <w:szCs w:val="24"/>
        </w:rPr>
        <w:t xml:space="preserve"> revela hasta qué punto se han desdibujado las referencias. Con ese sueldo, JFV recalca que una familia no puede permitirse lujo alguno y simplemente puede aspirar a tener una vida clasemediera, quizá sin apuros, pero lejos de grandes comodidades.</w:t>
      </w:r>
    </w:p>
    <w:p w:rsidR="000803C7" w:rsidRPr="00A56F49" w:rsidRDefault="0041757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803C7" w:rsidRPr="00A56F49">
        <w:rPr>
          <w:rFonts w:ascii="Times New Roman" w:hAnsi="Times New Roman" w:cs="Times New Roman"/>
          <w:sz w:val="24"/>
          <w:szCs w:val="24"/>
        </w:rPr>
        <w:t>Pocas cosas ilustran mejor cómo hemos interiorizado la mediocridad económica que creer que ganar 250.000 eu</w:t>
      </w:r>
      <w:r>
        <w:rPr>
          <w:rFonts w:ascii="Times New Roman" w:hAnsi="Times New Roman" w:cs="Times New Roman"/>
          <w:sz w:val="24"/>
          <w:szCs w:val="24"/>
        </w:rPr>
        <w:t>ros brutos al año en Madrid es “vivir bien”</w:t>
      </w:r>
      <w:r w:rsidR="000803C7" w:rsidRPr="00A56F49">
        <w:rPr>
          <w:rFonts w:ascii="Times New Roman" w:hAnsi="Times New Roman" w:cs="Times New Roman"/>
          <w:sz w:val="24"/>
          <w:szCs w:val="24"/>
        </w:rPr>
        <w:t>. Esa renta equivale a tener unos seis millones de euros en activos financieros más una vivienda en propiedad. Es vivir mejor que la inmensa mayoría de los españoles, sí. Pero no es vivir como un</w:t>
      </w:r>
      <w:r>
        <w:rPr>
          <w:rFonts w:ascii="Times New Roman" w:hAnsi="Times New Roman" w:cs="Times New Roman"/>
          <w:sz w:val="24"/>
          <w:szCs w:val="24"/>
        </w:rPr>
        <w:t xml:space="preserve"> rico. Nos conformamos con nada”</w:t>
      </w:r>
      <w:r w:rsidR="000803C7" w:rsidRPr="00A56F49">
        <w:rPr>
          <w:rFonts w:ascii="Times New Roman" w:hAnsi="Times New Roman" w:cs="Times New Roman"/>
          <w:sz w:val="24"/>
          <w:szCs w:val="24"/>
        </w:rPr>
        <w:t>, ha señalado a este respecto Fernández Villaverde.</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El pobrismo domina el debate en España</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El problema no es solo económico. Es moral y aspiracional. Como expliqué en mi libro Por qué soy liberal (Deusto, 2021), el pobrismo es esa ideología que condena la ambición, glorifica el conformismo y castiga la excelencia. Este marco de pensamiento prefiere el igualitarismo mediocre a la desigualdad dinámica. Es el credo de quien teme el éxito ajeno y desconfía del mérito. Cuando cala esta idea, el problema ya no es que no haya ricos, sino que, además, nadie se atreve a aspirar a serlo, porque el predominio de esta cultura significa traicionar al grupo y convertirse en sospechoso.</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Estas ideas encuentran eco en los escritos de pensadores como Deirdre McCloskey y Antonio Escohotado, quienes escribieron páginas y páginas sobre la importancia de respetar y tolerar la creación de riqueza como paso previo para asegurar que una sociedad puede prosperar. Sin embargo, el rechazo a los ricos y al capitalismo sigue teniendo demasiado eco en la sociedad de nuestro país. Y, mientras tanto, el resultado es el que es: la productividad se estanca, los salarios reales no suben, y la generación de riqueza sigue siendo una excepción en lugar de una aspiración nacional.</w:t>
      </w:r>
    </w:p>
    <w:p w:rsidR="000803C7" w:rsidRPr="00417577"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España no necesita más reparto de la riqueza: necesita más creación de riqueza… y eso solo vendrá con menos pobrismo, más ambición y una reconciliación cultural con el éxito. O abandonamos el tercermundismo mental en el que nos hemos enfrascado o el resultado no será otro que la profundización de la decadencia que ya venimos sufriendo desde hace demasia</w:t>
      </w:r>
      <w:r w:rsidR="00417577">
        <w:rPr>
          <w:rFonts w:ascii="Times New Roman" w:hAnsi="Times New Roman" w:cs="Times New Roman"/>
          <w:sz w:val="24"/>
          <w:szCs w:val="24"/>
        </w:rPr>
        <w:t>dos años.</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 ¿</w:t>
      </w:r>
      <w:r w:rsidRPr="00A56F49">
        <w:rPr>
          <w:rFonts w:ascii="Times New Roman" w:hAnsi="Times New Roman" w:cs="Times New Roman"/>
          <w:sz w:val="24"/>
          <w:szCs w:val="24"/>
          <w:u w:val="single"/>
        </w:rPr>
        <w:t>Retiro o empleo digno?: el debate de la jubilación activa en Europa</w:t>
      </w:r>
      <w:r w:rsidRPr="00A56F49">
        <w:rPr>
          <w:rFonts w:ascii="Times New Roman" w:hAnsi="Times New Roman" w:cs="Times New Roman"/>
          <w:sz w:val="24"/>
          <w:szCs w:val="24"/>
        </w:rPr>
        <w:t xml:space="preserve"> (El Confidencial - </w:t>
      </w:r>
      <w:r w:rsidRPr="00A56F49">
        <w:rPr>
          <w:rFonts w:ascii="Times New Roman" w:hAnsi="Times New Roman" w:cs="Times New Roman"/>
          <w:b/>
          <w:sz w:val="24"/>
          <w:szCs w:val="24"/>
        </w:rPr>
        <w:t>27/7/25</w:t>
      </w:r>
      <w:r w:rsidRPr="00A56F49">
        <w:rPr>
          <w:rFonts w:ascii="Times New Roman" w:hAnsi="Times New Roman" w:cs="Times New Roman"/>
          <w:sz w:val="24"/>
          <w:szCs w:val="24"/>
        </w:rPr>
        <w:t>)</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Frente al envejecimiento demográfico, Europa discute entre adelantar el retiro o promover la jubilación activa como vía para equilibrar derechos sociales y viabilidad del sistema de pensiones</w:t>
      </w:r>
    </w:p>
    <w:p w:rsidR="000803C7"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lastRenderedPageBreak/>
        <w:t>(Por Ana Somavilla Kim Son Hoang (Der Standard. Austria) Julie Šafová (Deník Referendum. República Checa) Lena Kyriakidi (EFSYN. Grecia) Silvia Martelli (Il Sole 24 Hore. Italia))</w:t>
      </w:r>
    </w:p>
    <w:p w:rsidR="000803C7" w:rsidRPr="00A56F49"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17577">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56F49">
        <w:rPr>
          <w:rFonts w:ascii="Times New Roman" w:hAnsi="Times New Roman" w:cs="Times New Roman"/>
          <w:noProof/>
          <w:sz w:val="24"/>
          <w:szCs w:val="24"/>
          <w:lang w:eastAsia="es-ES"/>
        </w:rPr>
        <w:drawing>
          <wp:inline distT="0" distB="0" distL="0" distR="0" wp14:anchorId="28B1AC8E" wp14:editId="433593D6">
            <wp:extent cx="5226050" cy="5226050"/>
            <wp:effectExtent l="0" t="0" r="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5226780" cy="5226780"/>
                    </a:xfrm>
                    <a:prstGeom prst="rect">
                      <a:avLst/>
                    </a:prstGeom>
                  </pic:spPr>
                </pic:pic>
              </a:graphicData>
            </a:graphic>
          </wp:inline>
        </w:drawing>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 xml:space="preserve">Con el envejecimiento de la población y el aumento de la esperanza de vida, Europa afronta un reto que va más allá de lo demográfico: el futuro de sus sistemas de jubilación. La manifestación más reciente fue a principios de año en Bruselas, donde los pensionistas salieron a la calle reclamando una mayor estabilidad y protección laboral, a la par que oponiéndose a la ampliación de la edad de jubilación. En Europa, algunos sectores defienden la reducción de la edad de retiro como una medida para mejorar la calidad de vida de los trabajadores y fomentar el relevo generacional. Otros argumentan que esta medida pondría en riesgo la sostenibilidad de los sistemas de pensiones, ya debilitados por el envejecimiento de la población y el aumento de la esperanza de vida. En este contexto, </w:t>
      </w:r>
      <w:r w:rsidR="00417577">
        <w:rPr>
          <w:rFonts w:ascii="Times New Roman" w:hAnsi="Times New Roman" w:cs="Times New Roman"/>
          <w:sz w:val="24"/>
          <w:szCs w:val="24"/>
        </w:rPr>
        <w:t>la jubilación activa -</w:t>
      </w:r>
      <w:r w:rsidRPr="00A56F49">
        <w:rPr>
          <w:rFonts w:ascii="Times New Roman" w:hAnsi="Times New Roman" w:cs="Times New Roman"/>
          <w:sz w:val="24"/>
          <w:szCs w:val="24"/>
        </w:rPr>
        <w:t>la opció</w:t>
      </w:r>
      <w:r w:rsidR="00417577">
        <w:rPr>
          <w:rFonts w:ascii="Times New Roman" w:hAnsi="Times New Roman" w:cs="Times New Roman"/>
          <w:sz w:val="24"/>
          <w:szCs w:val="24"/>
        </w:rPr>
        <w:t>n de combinar trabajo y pensión-</w:t>
      </w:r>
      <w:r w:rsidRPr="00A56F49">
        <w:rPr>
          <w:rFonts w:ascii="Times New Roman" w:hAnsi="Times New Roman" w:cs="Times New Roman"/>
          <w:sz w:val="24"/>
          <w:szCs w:val="24"/>
        </w:rPr>
        <w:t xml:space="preserve"> sigue siendo una opción en países como Suecia, Estonia o Dinamarca, donde más del 30% de los nuevos jubilados sigue en activo laboralmente. Según el Instituto Nacional de Estadística a través de la Encuesta de Población Activa, en España, un total de 184.900 personas de 50 a 74 años continuaron trabajando en los seis meses posteriores a recibir su primera pensión de jubilación, lo que representa un 4,9% los que compatibilizan la jubilación con un trabajo, por debajo de la media europea (13%). En países como Suecia o Estonia, más del 30% de los jubilados siguen activos </w:t>
      </w:r>
      <w:r w:rsidRPr="00A56F49">
        <w:rPr>
          <w:rFonts w:ascii="Times New Roman" w:hAnsi="Times New Roman" w:cs="Times New Roman"/>
          <w:sz w:val="24"/>
          <w:szCs w:val="24"/>
        </w:rPr>
        <w:lastRenderedPageBreak/>
        <w:t>laboralmente, ya sea a tiempo parcial o con regímenes de jubilación flexible. Sin embargo, en naciones como Francia o Italia el porcentaje tampoco supera el 5%.</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Esta disparidad pone de manifiesto, además, la influencia directa de las políticas nacionales tanto en la participación de los mayores en el mercado laboral como en asegurar una estabilidad financiera en la tercera edad. Dos factores clave en el debate sobre la sostenibilidad del sistema de pensiones. De hecho, en los últimos años, en países como Francia y Alemania se han vivido protestas y discusiones políticas intensas, reflejando la dificultad de encontrar dicho equilibrio.</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¿Se puede evitar la vulnerabilidad?</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"M</w:t>
      </w:r>
      <w:r w:rsidR="00417577">
        <w:rPr>
          <w:rFonts w:ascii="Times New Roman" w:hAnsi="Times New Roman" w:cs="Times New Roman"/>
          <w:sz w:val="24"/>
          <w:szCs w:val="24"/>
        </w:rPr>
        <w:t>ás del 37% de los pensionistas -unos 3,3 millones de personas-</w:t>
      </w:r>
      <w:r w:rsidRPr="00A56F49">
        <w:rPr>
          <w:rFonts w:ascii="Times New Roman" w:hAnsi="Times New Roman" w:cs="Times New Roman"/>
          <w:sz w:val="24"/>
          <w:szCs w:val="24"/>
        </w:rPr>
        <w:t xml:space="preserve"> reciben menos de 750 euros/mes", apuntan desde la Unión de Jubilados y Pensionistas de UGT. Explican que son la minoría los que continúan activos por motivos personales y que en el caso de los que continúan por necesidad su situación pasa por falta de contratos, protección laboral, y vinculados a sectores como el comercio, la limpieza o el cuidado de personas. Es entonces cuando la necesidad se impone frente a la vocación y las ganancias en negro o </w:t>
      </w:r>
      <w:r w:rsidR="00417577">
        <w:rPr>
          <w:rFonts w:ascii="Times New Roman" w:hAnsi="Times New Roman" w:cs="Times New Roman"/>
          <w:sz w:val="24"/>
          <w:szCs w:val="24"/>
        </w:rPr>
        <w:t>sin regular se hacen patentes. “</w:t>
      </w:r>
      <w:r w:rsidRPr="00A56F49">
        <w:rPr>
          <w:rFonts w:ascii="Times New Roman" w:hAnsi="Times New Roman" w:cs="Times New Roman"/>
          <w:sz w:val="24"/>
          <w:szCs w:val="24"/>
        </w:rPr>
        <w:t>Debe ser un derecho tanto a una jubilación digna como al acceso a una pensión contributiva, sin que esto implique necesariamente la imposibilidad de seguir trabajando si la persona así lo desea y cu</w:t>
      </w:r>
      <w:r w:rsidR="00417577">
        <w:rPr>
          <w:rFonts w:ascii="Times New Roman" w:hAnsi="Times New Roman" w:cs="Times New Roman"/>
          <w:sz w:val="24"/>
          <w:szCs w:val="24"/>
        </w:rPr>
        <w:t>mple con los requisitos legales”</w:t>
      </w:r>
      <w:r w:rsidRPr="00A56F49">
        <w:rPr>
          <w:rFonts w:ascii="Times New Roman" w:hAnsi="Times New Roman" w:cs="Times New Roman"/>
          <w:sz w:val="24"/>
          <w:szCs w:val="24"/>
        </w:rPr>
        <w:t>, aclaran desde UJP-UGT. Según el INE, en España, el 18,8% de estas personas continúan trabajando por motivos económicos, ya que lo necesitan para obtener ingresos adicionales. Por su parte, el 48,7% siguió trabajando por otras razones como que su pareja seguía trabajando. De esta forma, las asociaciones confirman que no existen incentivos para que las personas mayores se queden sin capacidad de readaptar las labores a las capacidades.</w:t>
      </w:r>
    </w:p>
    <w:p w:rsidR="000803C7" w:rsidRPr="00A56F49" w:rsidRDefault="0041757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803C7" w:rsidRPr="00A56F49">
        <w:rPr>
          <w:rFonts w:ascii="Times New Roman" w:hAnsi="Times New Roman" w:cs="Times New Roman"/>
          <w:noProof/>
          <w:sz w:val="24"/>
          <w:szCs w:val="24"/>
          <w:lang w:eastAsia="es-ES"/>
        </w:rPr>
        <w:drawing>
          <wp:inline distT="0" distB="0" distL="0" distR="0" wp14:anchorId="6A853452" wp14:editId="13351B90">
            <wp:extent cx="5010149" cy="2260600"/>
            <wp:effectExtent l="0" t="0" r="635" b="635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5010850" cy="2260916"/>
                    </a:xfrm>
                    <a:prstGeom prst="rect">
                      <a:avLst/>
                    </a:prstGeom>
                  </pic:spPr>
                </pic:pic>
              </a:graphicData>
            </a:graphic>
          </wp:inline>
        </w:drawing>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 xml:space="preserve">El objetivo del sistema de pensiones para estas organizaciones es asegurar con los distintos modelos la calidad de vida de las personas en esta etapa. Así, estudios como el de la Fundación de Estudios de Economía Aplicada (Fedea) señalan que retrasar de manera forzada la jubilación afecta directamente a la salud de las personas aumentando el riesgo a morir antes de los 70 años. Las motivaciones para continuar trabajando después de la jubilación varían significativamente entre países europeos. Mientras que en España muchas de las personas que siguen activas lo hacen por elección personal, razones vocacionales o para mantenerse ocupadas, en otros países la necesidad económica es la prioridad. Según datos de Eurostat, en Chipre, Rumanía, Bulgaria, Croacia y Letonia, más del 50% de los jubilados que continúan trabajando lo hacen por motivos estrictamente económicos. Estas diferencias reflejan no solo las distintas realidades del sistema de pensiones, sino también las </w:t>
      </w:r>
      <w:r w:rsidRPr="00A56F49">
        <w:rPr>
          <w:rFonts w:ascii="Times New Roman" w:hAnsi="Times New Roman" w:cs="Times New Roman"/>
          <w:sz w:val="24"/>
          <w:szCs w:val="24"/>
        </w:rPr>
        <w:lastRenderedPageBreak/>
        <w:t>desigualdades estructurales entre regiones europeas en cuanto a nivel de vida y protección social. Así en Grecia, también, muchos jubilados continúan trabajando para complementar pensiones insuficientes, aunque gran parte de esta actividad se realiza, también, de forma no declarada.</w:t>
      </w:r>
    </w:p>
    <w:p w:rsidR="000803C7" w:rsidRPr="00A56F49" w:rsidRDefault="0041757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803C7" w:rsidRPr="00A56F49">
        <w:rPr>
          <w:rFonts w:ascii="Times New Roman" w:hAnsi="Times New Roman" w:cs="Times New Roman"/>
          <w:noProof/>
          <w:sz w:val="24"/>
          <w:szCs w:val="24"/>
          <w:lang w:eastAsia="es-ES"/>
        </w:rPr>
        <w:drawing>
          <wp:inline distT="0" distB="0" distL="0" distR="0" wp14:anchorId="672A7FC1" wp14:editId="6473F83C">
            <wp:extent cx="5020376" cy="3477111"/>
            <wp:effectExtent l="0" t="0" r="0" b="9525"/>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5020376" cy="3477111"/>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En 2023, el gobierno intentó frenar esta práctica eliminando la reducción del 30% en las pensiones para quienes declaran su empleo. Los jubilados que trabajen sin declarar serán sancionados con una multa equivalente a un año completo de pensión. Eso sí, declarar sigue siendo poco atractivo: los trabajadores asalariados ven deducido un 10% adicional de sus ingresos, y los autónomos deben afrontar contribuciones de hasta el 50%, lo que mantiene los incentivos para se</w:t>
      </w:r>
      <w:r w:rsidR="00417577">
        <w:rPr>
          <w:rFonts w:ascii="Times New Roman" w:hAnsi="Times New Roman" w:cs="Times New Roman"/>
          <w:sz w:val="24"/>
          <w:szCs w:val="24"/>
        </w:rPr>
        <w:t>guir en la economía sumergida. “</w:t>
      </w:r>
      <w:r w:rsidRPr="00A56F49">
        <w:rPr>
          <w:rFonts w:ascii="Times New Roman" w:hAnsi="Times New Roman" w:cs="Times New Roman"/>
          <w:sz w:val="24"/>
          <w:szCs w:val="24"/>
        </w:rPr>
        <w:t>El retraso de la jubilación (por elección) no solo debe ser planteado como algo positivo en materia de reducir el gasto público, si no ir de la mano con la mejora de las condiciones laboral</w:t>
      </w:r>
      <w:r w:rsidR="00417577">
        <w:rPr>
          <w:rFonts w:ascii="Times New Roman" w:hAnsi="Times New Roman" w:cs="Times New Roman"/>
          <w:sz w:val="24"/>
          <w:szCs w:val="24"/>
        </w:rPr>
        <w:t>es de las personas trabajadoras”</w:t>
      </w:r>
      <w:r w:rsidRPr="00A56F49">
        <w:rPr>
          <w:rFonts w:ascii="Times New Roman" w:hAnsi="Times New Roman" w:cs="Times New Roman"/>
          <w:sz w:val="24"/>
          <w:szCs w:val="24"/>
        </w:rPr>
        <w:t>, defienden Inmaculada Ruiz, presidenta de la Unión Democrática de Pensionistas y Jubilados de España (UDP). En este sentido, defiende que rebajar a las personas, pasada un</w:t>
      </w:r>
      <w:r w:rsidR="00417577">
        <w:rPr>
          <w:rFonts w:ascii="Times New Roman" w:hAnsi="Times New Roman" w:cs="Times New Roman"/>
          <w:sz w:val="24"/>
          <w:szCs w:val="24"/>
        </w:rPr>
        <w:t>a edad a puestos inferiores es “desaprovechar”</w:t>
      </w:r>
      <w:r w:rsidRPr="00A56F49">
        <w:rPr>
          <w:rFonts w:ascii="Times New Roman" w:hAnsi="Times New Roman" w:cs="Times New Roman"/>
          <w:sz w:val="24"/>
          <w:szCs w:val="24"/>
        </w:rPr>
        <w:t xml:space="preserve"> talento senior.</w:t>
      </w:r>
    </w:p>
    <w:p w:rsidR="00417577" w:rsidRPr="00A56F49" w:rsidRDefault="00417577" w:rsidP="0041757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Las asociaciones coinciden en que este tipo de jubilaciones parciales o flexibles, siempre</w:t>
      </w:r>
      <w:r>
        <w:rPr>
          <w:rFonts w:ascii="Times New Roman" w:hAnsi="Times New Roman" w:cs="Times New Roman"/>
          <w:sz w:val="24"/>
          <w:szCs w:val="24"/>
        </w:rPr>
        <w:t xml:space="preserve"> que sean elegidas promueven y “</w:t>
      </w:r>
      <w:r w:rsidRPr="00A56F49">
        <w:rPr>
          <w:rFonts w:ascii="Times New Roman" w:hAnsi="Times New Roman" w:cs="Times New Roman"/>
          <w:sz w:val="24"/>
          <w:szCs w:val="24"/>
        </w:rPr>
        <w:t>aseguran un</w:t>
      </w:r>
      <w:r>
        <w:rPr>
          <w:rFonts w:ascii="Times New Roman" w:hAnsi="Times New Roman" w:cs="Times New Roman"/>
          <w:sz w:val="24"/>
          <w:szCs w:val="24"/>
        </w:rPr>
        <w:t xml:space="preserve"> envejecimiento y participativo”</w:t>
      </w:r>
      <w:r w:rsidRPr="00A56F49">
        <w:rPr>
          <w:rFonts w:ascii="Times New Roman" w:hAnsi="Times New Roman" w:cs="Times New Roman"/>
          <w:sz w:val="24"/>
          <w:szCs w:val="24"/>
        </w:rPr>
        <w:t>, más en una sociedad cuyo valor se mide por el capital productivo aportado. El trabajo, para ellos, es una manera más de participar socialmente. Por ello, muchas personas cuando se jubilan se sienten al margen de una dinámica social que ha sido su rutina por años.</w:t>
      </w:r>
    </w:p>
    <w:p w:rsidR="00417577" w:rsidRPr="00A56F49" w:rsidRDefault="00417577" w:rsidP="000803C7">
      <w:pPr>
        <w:spacing w:line="240" w:lineRule="auto"/>
        <w:jc w:val="both"/>
        <w:rPr>
          <w:rFonts w:ascii="Times New Roman" w:hAnsi="Times New Roman" w:cs="Times New Roman"/>
          <w:sz w:val="24"/>
          <w:szCs w:val="24"/>
        </w:rPr>
      </w:pPr>
    </w:p>
    <w:p w:rsidR="000803C7" w:rsidRPr="00A56F49"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56F49">
        <w:rPr>
          <w:rFonts w:ascii="Times New Roman" w:hAnsi="Times New Roman" w:cs="Times New Roman"/>
          <w:noProof/>
          <w:sz w:val="24"/>
          <w:szCs w:val="24"/>
          <w:lang w:eastAsia="es-ES"/>
        </w:rPr>
        <w:drawing>
          <wp:inline distT="0" distB="0" distL="0" distR="0" wp14:anchorId="6C5B51BA" wp14:editId="065B492E">
            <wp:extent cx="4717289" cy="6445250"/>
            <wp:effectExtent l="0" t="0" r="762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4715533" cy="6442851"/>
                    </a:xfrm>
                    <a:prstGeom prst="rect">
                      <a:avLst/>
                    </a:prstGeom>
                  </pic:spPr>
                </pic:pic>
              </a:graphicData>
            </a:graphic>
          </wp:inline>
        </w:drawing>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Así lo hace República Checa</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En otros países como República Checa, la realidad es otra. En 2024, cerca de 195.000 personas jubiladas seguían trabajando en la República Checa, según el Ministerio de Trabajo y Asuntos Sociales. La mitad tenía más de 67 años. Y por su parte, más del 80% de ellas estaban empleadas formalmente, el resto trabajaba por contrato o como autónomos. A finales de dicho año, se impuso una reforma del sistema que fue criticado por su falta de perspectiva "estructural", según informa el medio checo Denik Referéndum, entre otras cuestiones, por sus medidas de retraso de edad de jubilación, menor incremento en las pensiones nuevas o la eliminación de los pagos de seguridad social para pensionistas que siguen trabajando.</w:t>
      </w:r>
    </w:p>
    <w:p w:rsidR="000803C7" w:rsidRPr="00A56F49"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56F49">
        <w:rPr>
          <w:rFonts w:ascii="Times New Roman" w:hAnsi="Times New Roman" w:cs="Times New Roman"/>
          <w:noProof/>
          <w:sz w:val="24"/>
          <w:szCs w:val="24"/>
          <w:lang w:eastAsia="es-ES"/>
        </w:rPr>
        <w:drawing>
          <wp:inline distT="0" distB="0" distL="0" distR="0" wp14:anchorId="10D88FF4" wp14:editId="5F17437A">
            <wp:extent cx="4734586" cy="5153745"/>
            <wp:effectExtent l="0" t="0" r="8890" b="889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4734586" cy="5153745"/>
                    </a:xfrm>
                    <a:prstGeom prst="rect">
                      <a:avLst/>
                    </a:prstGeom>
                  </pic:spPr>
                </pic:pic>
              </a:graphicData>
            </a:graphic>
          </wp:inline>
        </w:drawing>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No fue hasta 2025 que llegaron los incentivos. Hasta ese momento, todos los trabajadores en la República Checa, incluidos los pensionistas, debían aportar un 6,5 % de sus ingresos brutos al seguro de pensiones. A cambio, los pensionistas que seguían trabajando recibían un pequeño incremento en su pensión: un aumento del 0,4 % de la base de cálculo por cada 360 días trabajados, incremento que se mantenía de por vida, incluso después de dejar de trabajar. Con la reforma aplicada, los jubilados que trabajan ya no están obligados a pagar esa contribución del 6,5 %, lo que significa que tienen más dinero neto cada mes. Por ejemplo, un pensionista con ingresos b</w:t>
      </w:r>
      <w:r w:rsidR="00417577">
        <w:rPr>
          <w:rFonts w:ascii="Times New Roman" w:hAnsi="Times New Roman" w:cs="Times New Roman"/>
          <w:sz w:val="24"/>
          <w:szCs w:val="24"/>
        </w:rPr>
        <w:t>rutos de 20.000 coronas checas -unos 805 euros-</w:t>
      </w:r>
      <w:r w:rsidRPr="00A56F49">
        <w:rPr>
          <w:rFonts w:ascii="Times New Roman" w:hAnsi="Times New Roman" w:cs="Times New Roman"/>
          <w:sz w:val="24"/>
          <w:szCs w:val="24"/>
        </w:rPr>
        <w:t xml:space="preserve"> puede quedarse</w:t>
      </w:r>
      <w:r w:rsidR="00417577">
        <w:rPr>
          <w:rFonts w:ascii="Times New Roman" w:hAnsi="Times New Roman" w:cs="Times New Roman"/>
          <w:sz w:val="24"/>
          <w:szCs w:val="24"/>
        </w:rPr>
        <w:t xml:space="preserve"> con unos 1.300 CZK más al mes -unos 52 euros-</w:t>
      </w:r>
      <w:r w:rsidRPr="00A56F49">
        <w:rPr>
          <w:rFonts w:ascii="Times New Roman" w:hAnsi="Times New Roman" w:cs="Times New Roman"/>
          <w:sz w:val="24"/>
          <w:szCs w:val="24"/>
        </w:rPr>
        <w:t>. El Ministerio de Trabajo estima que esta exención supondrá una pérdida para las arcas públicas de unos 4.000 millones de</w:t>
      </w:r>
      <w:r w:rsidR="00417577">
        <w:rPr>
          <w:rFonts w:ascii="Times New Roman" w:hAnsi="Times New Roman" w:cs="Times New Roman"/>
          <w:sz w:val="24"/>
          <w:szCs w:val="24"/>
        </w:rPr>
        <w:t xml:space="preserve"> coronas checas anuales </w:t>
      </w:r>
      <w:r w:rsidRPr="00A56F49">
        <w:rPr>
          <w:rFonts w:ascii="Times New Roman" w:hAnsi="Times New Roman" w:cs="Times New Roman"/>
          <w:sz w:val="24"/>
          <w:szCs w:val="24"/>
        </w:rPr>
        <w:t xml:space="preserve"> </w:t>
      </w:r>
      <w:r w:rsidR="00417577">
        <w:rPr>
          <w:rFonts w:ascii="Times New Roman" w:hAnsi="Times New Roman" w:cs="Times New Roman"/>
          <w:sz w:val="24"/>
          <w:szCs w:val="24"/>
        </w:rPr>
        <w:t>-</w:t>
      </w:r>
      <w:r w:rsidRPr="00A56F49">
        <w:rPr>
          <w:rFonts w:ascii="Times New Roman" w:hAnsi="Times New Roman" w:cs="Times New Roman"/>
          <w:sz w:val="24"/>
          <w:szCs w:val="24"/>
        </w:rPr>
        <w:t>aproxi</w:t>
      </w:r>
      <w:r w:rsidR="00417577">
        <w:rPr>
          <w:rFonts w:ascii="Times New Roman" w:hAnsi="Times New Roman" w:cs="Times New Roman"/>
          <w:sz w:val="24"/>
          <w:szCs w:val="24"/>
        </w:rPr>
        <w:t>madamente 161 millones de euros-</w:t>
      </w:r>
      <w:r w:rsidRPr="00A56F49">
        <w:rPr>
          <w:rFonts w:ascii="Times New Roman" w:hAnsi="Times New Roman" w:cs="Times New Roman"/>
          <w:sz w:val="24"/>
          <w:szCs w:val="24"/>
        </w:rPr>
        <w:t xml:space="preserve"> Sin embargo, el gobierno cree que este incentivo hará que más jubilados decidan seguir trabajando, lo que permitirá al Estado recuperar parte de esa pérdida a través del aumento de ingresos f</w:t>
      </w:r>
      <w:r w:rsidR="00417577">
        <w:rPr>
          <w:rFonts w:ascii="Times New Roman" w:hAnsi="Times New Roman" w:cs="Times New Roman"/>
          <w:sz w:val="24"/>
          <w:szCs w:val="24"/>
        </w:rPr>
        <w:t>iscales por otras vías -</w:t>
      </w:r>
      <w:r w:rsidRPr="00A56F49">
        <w:rPr>
          <w:rFonts w:ascii="Times New Roman" w:hAnsi="Times New Roman" w:cs="Times New Roman"/>
          <w:sz w:val="24"/>
          <w:szCs w:val="24"/>
        </w:rPr>
        <w:t>como el impuesto sobre la r</w:t>
      </w:r>
      <w:r w:rsidR="00417577">
        <w:rPr>
          <w:rFonts w:ascii="Times New Roman" w:hAnsi="Times New Roman" w:cs="Times New Roman"/>
          <w:sz w:val="24"/>
          <w:szCs w:val="24"/>
        </w:rPr>
        <w:t>enta o el IVA por mayor consumo-</w:t>
      </w:r>
      <w:r w:rsidRPr="00A56F49">
        <w:rPr>
          <w:rFonts w:ascii="Times New Roman" w:hAnsi="Times New Roman" w:cs="Times New Roman"/>
          <w:sz w:val="24"/>
          <w:szCs w:val="24"/>
        </w:rPr>
        <w:t>.</w:t>
      </w:r>
    </w:p>
    <w:p w:rsidR="000803C7" w:rsidRPr="00A56F49" w:rsidRDefault="0041757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“Depende de las capacidades”</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 xml:space="preserve">Así, para muchos, la jubilación activa debe seguir siendo una opción, más con el aumento de la esperanza de vida. España es el país de la Unión Europea con mayor esperanza de vida: 84 años. La cifra se encuentra 2,5 puntos por encima de la media europea, que se sitúa en 81,5 </w:t>
      </w:r>
      <w:r w:rsidRPr="00A56F49">
        <w:rPr>
          <w:rFonts w:ascii="Times New Roman" w:hAnsi="Times New Roman" w:cs="Times New Roman"/>
          <w:sz w:val="24"/>
          <w:szCs w:val="24"/>
        </w:rPr>
        <w:lastRenderedPageBreak/>
        <w:t xml:space="preserve">años, según </w:t>
      </w:r>
      <w:r w:rsidR="00417577">
        <w:rPr>
          <w:rFonts w:ascii="Times New Roman" w:hAnsi="Times New Roman" w:cs="Times New Roman"/>
          <w:sz w:val="24"/>
          <w:szCs w:val="24"/>
        </w:rPr>
        <w:t>el último informe de Eurostat. “</w:t>
      </w:r>
      <w:r w:rsidRPr="00A56F49">
        <w:rPr>
          <w:rFonts w:ascii="Times New Roman" w:hAnsi="Times New Roman" w:cs="Times New Roman"/>
          <w:sz w:val="24"/>
          <w:szCs w:val="24"/>
        </w:rPr>
        <w:t xml:space="preserve">Los procesos de contratación rara vez incluyen perfiles mayores de 55 años. Muchos currículums son descartados por la edad, incluso </w:t>
      </w:r>
      <w:r w:rsidR="00417577">
        <w:rPr>
          <w:rFonts w:ascii="Times New Roman" w:hAnsi="Times New Roman" w:cs="Times New Roman"/>
          <w:sz w:val="24"/>
          <w:szCs w:val="24"/>
        </w:rPr>
        <w:t>antes de revisar la experiencia”</w:t>
      </w:r>
      <w:r w:rsidRPr="00A56F49">
        <w:rPr>
          <w:rFonts w:ascii="Times New Roman" w:hAnsi="Times New Roman" w:cs="Times New Roman"/>
          <w:sz w:val="24"/>
          <w:szCs w:val="24"/>
        </w:rPr>
        <w:t xml:space="preserve">, defienden desde la UJP-UGT. Apuntan a que los mayores no son incluidos en programas de reciclaje </w:t>
      </w:r>
      <w:r w:rsidR="00417577">
        <w:rPr>
          <w:rFonts w:ascii="Times New Roman" w:hAnsi="Times New Roman" w:cs="Times New Roman"/>
          <w:sz w:val="24"/>
          <w:szCs w:val="24"/>
        </w:rPr>
        <w:t>de habilidades al considerarse “cercanos a la jubilación”</w:t>
      </w:r>
      <w:r w:rsidRPr="00A56F49">
        <w:rPr>
          <w:rFonts w:ascii="Times New Roman" w:hAnsi="Times New Roman" w:cs="Times New Roman"/>
          <w:sz w:val="24"/>
          <w:szCs w:val="24"/>
        </w:rPr>
        <w:t>, lo que aseg</w:t>
      </w:r>
      <w:r w:rsidR="00417577">
        <w:rPr>
          <w:rFonts w:ascii="Times New Roman" w:hAnsi="Times New Roman" w:cs="Times New Roman"/>
          <w:sz w:val="24"/>
          <w:szCs w:val="24"/>
        </w:rPr>
        <w:t>uran “perpetúa su exclusión”</w:t>
      </w:r>
      <w:r w:rsidRPr="00A56F49">
        <w:rPr>
          <w:rFonts w:ascii="Times New Roman" w:hAnsi="Times New Roman" w:cs="Times New Roman"/>
          <w:sz w:val="24"/>
          <w:szCs w:val="24"/>
        </w:rPr>
        <w:t xml:space="preserve"> al salir del proceso productivo. Eso sí, lo plantean siempre como una opción, ya que la falta de alternativas que posibiliten su continuidad en el merc</w:t>
      </w:r>
      <w:r w:rsidR="00417577">
        <w:rPr>
          <w:rFonts w:ascii="Times New Roman" w:hAnsi="Times New Roman" w:cs="Times New Roman"/>
          <w:sz w:val="24"/>
          <w:szCs w:val="24"/>
        </w:rPr>
        <w:t>ado hace que la jubilación sea “</w:t>
      </w:r>
      <w:r w:rsidRPr="00A56F49">
        <w:rPr>
          <w:rFonts w:ascii="Times New Roman" w:hAnsi="Times New Roman" w:cs="Times New Roman"/>
          <w:sz w:val="24"/>
          <w:szCs w:val="24"/>
        </w:rPr>
        <w:t>más un destino forzoso que una elección libr</w:t>
      </w:r>
      <w:r w:rsidR="00417577">
        <w:rPr>
          <w:rFonts w:ascii="Times New Roman" w:hAnsi="Times New Roman" w:cs="Times New Roman"/>
          <w:sz w:val="24"/>
          <w:szCs w:val="24"/>
        </w:rPr>
        <w:t>e”</w:t>
      </w:r>
      <w:r w:rsidRPr="00A56F49">
        <w:rPr>
          <w:rFonts w:ascii="Times New Roman" w:hAnsi="Times New Roman" w:cs="Times New Roman"/>
          <w:sz w:val="24"/>
          <w:szCs w:val="24"/>
        </w:rPr>
        <w:t>, diferencia la presidenta de UDP.</w:t>
      </w:r>
    </w:p>
    <w:p w:rsidR="000803C7" w:rsidRPr="00A56F49" w:rsidRDefault="0041757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803C7" w:rsidRPr="00A56F49">
        <w:rPr>
          <w:rFonts w:ascii="Times New Roman" w:hAnsi="Times New Roman" w:cs="Times New Roman"/>
          <w:sz w:val="24"/>
          <w:szCs w:val="24"/>
        </w:rPr>
        <w:t xml:space="preserve">El verdadero debate es cómo garantizamos el derecho a un retiro digno para quienes así lo desean, y un empleo con sentido y dignidad para quienes </w:t>
      </w:r>
      <w:r>
        <w:rPr>
          <w:rFonts w:ascii="Times New Roman" w:hAnsi="Times New Roman" w:cs="Times New Roman"/>
          <w:sz w:val="24"/>
          <w:szCs w:val="24"/>
        </w:rPr>
        <w:t>pueden y quieren seguir activos”</w:t>
      </w:r>
      <w:r w:rsidR="000803C7" w:rsidRPr="00A56F49">
        <w:rPr>
          <w:rFonts w:ascii="Times New Roman" w:hAnsi="Times New Roman" w:cs="Times New Roman"/>
          <w:sz w:val="24"/>
          <w:szCs w:val="24"/>
        </w:rPr>
        <w:t>, defienden desde UJP-UGT. En ese sentido, insisten en que este escenari</w:t>
      </w:r>
      <w:r>
        <w:rPr>
          <w:rFonts w:ascii="Times New Roman" w:hAnsi="Times New Roman" w:cs="Times New Roman"/>
          <w:sz w:val="24"/>
          <w:szCs w:val="24"/>
        </w:rPr>
        <w:t>o debe abordarse dentro de una “</w:t>
      </w:r>
      <w:r w:rsidR="000803C7" w:rsidRPr="00A56F49">
        <w:rPr>
          <w:rFonts w:ascii="Times New Roman" w:hAnsi="Times New Roman" w:cs="Times New Roman"/>
          <w:sz w:val="24"/>
          <w:szCs w:val="24"/>
        </w:rPr>
        <w:t>agenda social transformadora que reconozca el valor de las personas</w:t>
      </w:r>
      <w:r>
        <w:rPr>
          <w:rFonts w:ascii="Times New Roman" w:hAnsi="Times New Roman" w:cs="Times New Roman"/>
          <w:sz w:val="24"/>
          <w:szCs w:val="24"/>
        </w:rPr>
        <w:t xml:space="preserve"> en todas las etapas de la vida”</w:t>
      </w:r>
      <w:r w:rsidR="000803C7" w:rsidRPr="00A56F49">
        <w:rPr>
          <w:rFonts w:ascii="Times New Roman" w:hAnsi="Times New Roman" w:cs="Times New Roman"/>
          <w:sz w:val="24"/>
          <w:szCs w:val="24"/>
        </w:rPr>
        <w:t>, enfrentando desafíos como la pobreza estructural, la desigualdad de género, la informalidad laboral y el edadismo.</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 xml:space="preserve">- </w:t>
      </w:r>
      <w:r w:rsidRPr="00A56F49">
        <w:rPr>
          <w:rFonts w:ascii="Times New Roman" w:hAnsi="Times New Roman" w:cs="Times New Roman"/>
          <w:sz w:val="24"/>
          <w:szCs w:val="24"/>
          <w:u w:val="single"/>
        </w:rPr>
        <w:t>Seis de cada diez pensiones no superan los 1.500 euros mensuales</w:t>
      </w:r>
      <w:r w:rsidRPr="00A56F49">
        <w:rPr>
          <w:rFonts w:ascii="Times New Roman" w:hAnsi="Times New Roman" w:cs="Times New Roman"/>
          <w:sz w:val="24"/>
          <w:szCs w:val="24"/>
        </w:rPr>
        <w:t xml:space="preserve"> (Vozpópuli - </w:t>
      </w:r>
      <w:r w:rsidRPr="00A56F49">
        <w:rPr>
          <w:rFonts w:ascii="Times New Roman" w:hAnsi="Times New Roman" w:cs="Times New Roman"/>
          <w:b/>
          <w:sz w:val="24"/>
          <w:szCs w:val="24"/>
        </w:rPr>
        <w:t>27/7/25</w:t>
      </w:r>
      <w:r w:rsidRPr="00A56F49">
        <w:rPr>
          <w:rFonts w:ascii="Times New Roman" w:hAnsi="Times New Roman" w:cs="Times New Roman"/>
          <w:sz w:val="24"/>
          <w:szCs w:val="24"/>
        </w:rPr>
        <w:t>)</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Solo 730.000 pensionistas cobran más de 3.00</w:t>
      </w:r>
      <w:r w:rsidR="00417577">
        <w:rPr>
          <w:rFonts w:ascii="Times New Roman" w:hAnsi="Times New Roman" w:cs="Times New Roman"/>
          <w:sz w:val="24"/>
          <w:szCs w:val="24"/>
        </w:rPr>
        <w:t>0</w:t>
      </w:r>
      <w:r w:rsidRPr="00A56F49">
        <w:rPr>
          <w:rFonts w:ascii="Times New Roman" w:hAnsi="Times New Roman" w:cs="Times New Roman"/>
          <w:sz w:val="24"/>
          <w:szCs w:val="24"/>
        </w:rPr>
        <w:t xml:space="preserve"> euros mensuales, con País Vasco, Asturias y Madrid a la cabeza</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La brecha entre cotizantes y pensionistas persiste de forma alarmante en Asturias y Galicia</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(Por Jesús Martín)</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El sistema público de pensiones tuvo que abonar en el pasado mes de junio un total de 10.342.975 pensiones contributivas, según los datos publicados por el Instituto Nacional de la Seguridad Social. El coste de la nómina mensual de ese mes fue de 13.564 millones de euros, un 37,5% más que en el mismo mes del año 2020, hace solo cinco años. En esa fecha, el número de pensiones a pagar era de 9.754.740, es decir, 588.235 menos.</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El mayor número de pensiones corresponde a jubilación, con cerca de 6,6 millones, el 63,65% del total y el 73,1% del coste total de la nómina mensual para el Estado. Le siguen en número e importancia las pensiones de viudedad, con casi 2,35 millones de beneficiarios y un coste mensual de 2.195 millones, el 16,2%. Completan los compromisos de la Seguridad Social 1,02 millones de pensiones de incapacidad permanente; 339.432 pensiones de orfandad y 46.491 pensiones de favor de familiares. El coste de estas tres últimas pensiones asciende cada mes a 1.454 millones de euros, el 10,7% de la nómina.</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La cuantía de la pensión es uno de los temas sociales que más controversias genera en  nuestro país. Casi nadie está contento con la pensión de jubilación que cobra. La respu</w:t>
      </w:r>
      <w:r w:rsidR="00417577">
        <w:rPr>
          <w:rFonts w:ascii="Times New Roman" w:hAnsi="Times New Roman" w:cs="Times New Roman"/>
          <w:sz w:val="24"/>
          <w:szCs w:val="24"/>
        </w:rPr>
        <w:t>esta más repetida es “</w:t>
      </w:r>
      <w:r w:rsidRPr="00A56F49">
        <w:rPr>
          <w:rFonts w:ascii="Times New Roman" w:hAnsi="Times New Roman" w:cs="Times New Roman"/>
          <w:sz w:val="24"/>
          <w:szCs w:val="24"/>
        </w:rPr>
        <w:t xml:space="preserve">con la pensión que cobro </w:t>
      </w:r>
      <w:r w:rsidR="00417577">
        <w:rPr>
          <w:rFonts w:ascii="Times New Roman" w:hAnsi="Times New Roman" w:cs="Times New Roman"/>
          <w:sz w:val="24"/>
          <w:szCs w:val="24"/>
        </w:rPr>
        <w:t>me cuesta llegar a fin de menos”</w:t>
      </w:r>
      <w:r w:rsidRPr="00A56F49">
        <w:rPr>
          <w:rFonts w:ascii="Times New Roman" w:hAnsi="Times New Roman" w:cs="Times New Roman"/>
          <w:sz w:val="24"/>
          <w:szCs w:val="24"/>
        </w:rPr>
        <w:t>. Y las estadísticas del Ministerio de Inclusión, Seguridad Social y Migraciones les da la razón a la mayoría: el 62,1% de las pensiones del mes de junio no superaban los 1.500 euros brutos. En esa situación se encuentran más de 6,4 millones de pensionistas.</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El Gobierno fijó la pensión máxima para el presente año en 3.267,60 euros brutos mensuales, o lo que es igual, 45.746 euros brutos anuales. En España hay apenas 492.376 pensiones que superan los 3.200 euros brutos mensuales Representan únicamente el 4,76% del conjunto de las pensiones. Si exclusivamente nos referimos a las pensiones de jubilación, con esas condiciones existen 466.316, el 7% del total en esta clase, porque hay otras 25.811 pensiones máximas de incapacidad permanente; 201 de viudedad, 37 de orfandad y 11 de favor de familiares.</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lastRenderedPageBreak/>
        <w:t>La cuantía de la pensión de jubilación está en relación directa con el número de años cotizados y la base de cotización del trabajador, es decir, el dinero que deja mensualmente en las arcas de la Seguridad Social el propio trabajador y su empresa. Para cobrar la pensión máxima en 2025, el Gobierno exige al trabajador haber cotizado 38 años o más para aquellos que quieran retirarse al cumplir los 65 años; y menos de 38 años para los que esperan a cumplir 66 años y seis meses.</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Pero no basta con tener una vida laboral muy extensa por haber empezado a trabajar desde muy joven. Es necesario cotizar por la base máxima (4.909,50 euros este ejercicio) durante los últimos 25 años de vida laboral, lo que no está, desgraciadamente, al alcance de la mayoría de los trabajadores.</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Según los datos del INSS, una tercera parte de las pensiones de jubilación está comprendida entre los 500 y los 1.000 euros brutos mensuales. Son algo más de 2,2 millones de pensionistas, que sumados a los que cobran por debajo de 500 euros al mes representan el 39,1% y más de 2,57 millones de personas. Además, hay 1,437 millones que cobran entre 1.000 y 1.500 euros, el 21,8% del total. Exclusivamente un 9,15% de los jubilados cobra más de 3.000 euros al mes, lo que les situaría en el segmento de los privilegiados que cobran las pensiones más altas. Si se tienen en cuenta todas las clases de pensiones, el porcentaje se reduce al 7,1%. Y si se incluyen los que reciben más de 2.500 euros mensuales, alcanza el 19%. El mayor porcentaje de pensiones se concentra en la banda de los 850-900 euros, con cerca 980.000, el 9,42% del total.</w:t>
      </w:r>
    </w:p>
    <w:p w:rsidR="000803C7" w:rsidRPr="00A56F49" w:rsidRDefault="000803C7" w:rsidP="000803C7">
      <w:pPr>
        <w:spacing w:line="240" w:lineRule="auto"/>
        <w:jc w:val="both"/>
        <w:rPr>
          <w:rFonts w:ascii="Times New Roman" w:hAnsi="Times New Roman" w:cs="Times New Roman"/>
          <w:sz w:val="24"/>
          <w:szCs w:val="24"/>
        </w:rPr>
      </w:pPr>
      <w:r w:rsidRPr="00A56F49">
        <w:rPr>
          <w:rFonts w:ascii="Times New Roman" w:hAnsi="Times New Roman" w:cs="Times New Roman"/>
          <w:sz w:val="24"/>
          <w:szCs w:val="24"/>
        </w:rPr>
        <w:t>¿Hay uniformidad en las distintas comunidades autónomas? No. País Vasco, Asturias y Madrid son las regiones con mayor porcentaje de pensiones por encima de 3.000 euros mensuales, con el 12,9%, 12,1% y 11,4% del total de sus ámbitos, respectivamente. Todo lo contrario sucede en Extremadura, Castilla-La Mancha y Galicia, regiones en las que los porcentajes de “afortunados” se quedan en el 3,21%, 4,47% y 4,63%.</w:t>
      </w:r>
    </w:p>
    <w:p w:rsidR="000803C7" w:rsidRPr="00C44DD8" w:rsidRDefault="000803C7" w:rsidP="000803C7">
      <w:pPr>
        <w:spacing w:line="240" w:lineRule="auto"/>
        <w:jc w:val="both"/>
        <w:rPr>
          <w:rFonts w:ascii="Times New Roman" w:hAnsi="Times New Roman" w:cs="Times New Roman"/>
          <w:b/>
          <w:color w:val="FF0000"/>
          <w:sz w:val="24"/>
          <w:szCs w:val="24"/>
        </w:rPr>
      </w:pPr>
      <w:r w:rsidRPr="00C44DD8">
        <w:rPr>
          <w:rFonts w:ascii="Times New Roman" w:hAnsi="Times New Roman" w:cs="Times New Roman"/>
          <w:b/>
          <w:color w:val="FF0000"/>
          <w:sz w:val="24"/>
          <w:szCs w:val="24"/>
        </w:rPr>
        <w:t>Nota II: Algunas “perlitas” del gobierno más “progresista de la democracia” (sic)</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Asfixia impositiva y de cotizaciones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El Gobierno, con María Jesús Montero a la cabeza, ha cerrado el último ejercicio con otro récord recaudatorio: las arcas del Estado se llenaron en casi 295.000 millones de euros en 2024. Cabe recordar que el Ejecutivo de Sánchez es uno de los que más tributos nuevos le ha impuesto a la población durante su mandato.</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 xml:space="preserve">El impuesto a los envases de plástico, la Tasa Tobin, </w:t>
      </w:r>
      <w:r w:rsidR="00417577">
        <w:rPr>
          <w:rFonts w:ascii="Times New Roman" w:hAnsi="Times New Roman" w:cs="Times New Roman"/>
          <w:sz w:val="24"/>
          <w:szCs w:val="24"/>
        </w:rPr>
        <w:t>la Tasa Google o los impuestos “extraordinarios”</w:t>
      </w:r>
      <w:r w:rsidRPr="00AE3BF1">
        <w:rPr>
          <w:rFonts w:ascii="Times New Roman" w:hAnsi="Times New Roman" w:cs="Times New Roman"/>
          <w:sz w:val="24"/>
          <w:szCs w:val="24"/>
        </w:rPr>
        <w:t xml:space="preserve"> a banca y eléctricas son algunos ejemplos a lo que hay que sumar la no deflactación del IRPF, que supone una subida impositiva por la puerta de atrás.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Por el lado de las cotizaciones sociales, en 2024, los ingresos por los impuestos al trabajo en España alcanzaron los 199.595 millones de euros, superando también el máximo histórico del año anterior.</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Más gasto y más deuda</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La adicción del Ejecutivo socialista por el gasto público y la deuda no tiene parangón. A cierre de 2024, el gasto público alcanzó el récord de los 722.846 millones de euros rompiendo la barrera de los 700.000 millones y representando el 45,4% del PIB. Esta cuantía supone más de 200.000 millones extra desde los 503.193 millones de gasto público con el que cerró España el 2018, el primer ejercicio con Sánchez en el Gobierno.</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lastRenderedPageBreak/>
        <w:t>En el caso de la deuda, los pasivos del Estado también están en niveles récord. A cierre de 2024 el endeudamiento público llegó hasta los 1,62 billones de euros, lo que supone unos 400.000 millones más que los 1,2 billones de 2018.</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Fiasco en el sector de la vivienda</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Aunque Sánchez ha presumido en su intervención</w:t>
      </w:r>
      <w:r w:rsidR="00417577">
        <w:rPr>
          <w:rFonts w:ascii="Times New Roman" w:hAnsi="Times New Roman" w:cs="Times New Roman"/>
          <w:sz w:val="24"/>
          <w:szCs w:val="24"/>
        </w:rPr>
        <w:t xml:space="preserve"> de la vivienda social creada (“</w:t>
      </w:r>
      <w:r w:rsidRPr="00AE3BF1">
        <w:rPr>
          <w:rFonts w:ascii="Times New Roman" w:hAnsi="Times New Roman" w:cs="Times New Roman"/>
          <w:sz w:val="24"/>
          <w:szCs w:val="24"/>
        </w:rPr>
        <w:t xml:space="preserve">un 8% más de </w:t>
      </w:r>
      <w:r w:rsidR="00417577">
        <w:rPr>
          <w:rFonts w:ascii="Times New Roman" w:hAnsi="Times New Roman" w:cs="Times New Roman"/>
          <w:sz w:val="24"/>
          <w:szCs w:val="24"/>
        </w:rPr>
        <w:t>viviendas de protección oficial”</w:t>
      </w:r>
      <w:r w:rsidRPr="00AE3BF1">
        <w:rPr>
          <w:rFonts w:ascii="Times New Roman" w:hAnsi="Times New Roman" w:cs="Times New Roman"/>
          <w:sz w:val="24"/>
          <w:szCs w:val="24"/>
        </w:rPr>
        <w:t>), la asfixia del mercado de la vivienda en España es manifiesta. Así, el desajuste entre la oferta y la demanda sigue empujando los precios al alza en todo el país, y el efecto es todavía mayor en los alquileres.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Según el último Observatorio del Alquiler, de media, por un alquiler residencial e</w:t>
      </w:r>
      <w:r w:rsidR="00417577">
        <w:rPr>
          <w:rFonts w:ascii="Times New Roman" w:hAnsi="Times New Roman" w:cs="Times New Roman"/>
          <w:sz w:val="24"/>
          <w:szCs w:val="24"/>
        </w:rPr>
        <w:t>n España se pagan 1.155 euros, “el dato más alto hasta la fecha”</w:t>
      </w:r>
      <w:r w:rsidRPr="00AE3BF1">
        <w:rPr>
          <w:rFonts w:ascii="Times New Roman" w:hAnsi="Times New Roman" w:cs="Times New Roman"/>
          <w:sz w:val="24"/>
          <w:szCs w:val="24"/>
        </w:rPr>
        <w:t>. Mientras aumenta la demanda, la oferta de vivienda disponible para alquilar disminuye hasta los 702.819 inmuebles, una cifra que sigue disminuyendo respecto a años anteriores.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Tres décadas perdidas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Una de las afirmaciones en las que más í</w:t>
      </w:r>
      <w:r w:rsidR="00417577">
        <w:rPr>
          <w:rFonts w:ascii="Times New Roman" w:hAnsi="Times New Roman" w:cs="Times New Roman"/>
          <w:sz w:val="24"/>
          <w:szCs w:val="24"/>
        </w:rPr>
        <w:t>mpetu ha puesto Sánchez es que “</w:t>
      </w:r>
      <w:r w:rsidRPr="00AE3BF1">
        <w:rPr>
          <w:rFonts w:ascii="Times New Roman" w:hAnsi="Times New Roman" w:cs="Times New Roman"/>
          <w:sz w:val="24"/>
          <w:szCs w:val="24"/>
        </w:rPr>
        <w:t>la renta real de los hogares españ</w:t>
      </w:r>
      <w:r w:rsidR="0000577A">
        <w:rPr>
          <w:rFonts w:ascii="Times New Roman" w:hAnsi="Times New Roman" w:cs="Times New Roman"/>
          <w:sz w:val="24"/>
          <w:szCs w:val="24"/>
        </w:rPr>
        <w:t>oles ha subido un 9% desde 2018”</w:t>
      </w:r>
      <w:r w:rsidRPr="00AE3BF1">
        <w:rPr>
          <w:rFonts w:ascii="Times New Roman" w:hAnsi="Times New Roman" w:cs="Times New Roman"/>
          <w:sz w:val="24"/>
          <w:szCs w:val="24"/>
        </w:rPr>
        <w:t>. Por renta real entendemos descontada la inflación y el IRPF, y aunque según la Encuesta de Condiciones de Vida (ECV) es cierto, Sánchez obvia que la renta real media de los españoles estaría por debajo del dato de 2008 y que, además, ese dato estaría maquillado por la actualización de las pensiones o el aumento de beneficiarios de prestaciones como el IMV, como explica Jon González.</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En este sentido, los últimos datos de la OCDE también vienen a confirmar el estancamiento de los salarios españoles en las últimas tres décadas. Y es que, los salarios reales en los últimos 30 años sólo habrían crecido un 2,76%, lo que supone el cuarto peor de los 38 países miembros.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Seguridad Social</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Sánchez ha presumido de haber revalori</w:t>
      </w:r>
      <w:r w:rsidR="0000577A">
        <w:rPr>
          <w:rFonts w:ascii="Times New Roman" w:hAnsi="Times New Roman" w:cs="Times New Roman"/>
          <w:sz w:val="24"/>
          <w:szCs w:val="24"/>
        </w:rPr>
        <w:t>zado las pensiones e inyectado “</w:t>
      </w:r>
      <w:r w:rsidRPr="00AE3BF1">
        <w:rPr>
          <w:rFonts w:ascii="Times New Roman" w:hAnsi="Times New Roman" w:cs="Times New Roman"/>
          <w:sz w:val="24"/>
          <w:szCs w:val="24"/>
        </w:rPr>
        <w:t>en este semestre 1.800 millones de euros adicionales al Fondo de</w:t>
      </w:r>
      <w:r w:rsidR="0000577A">
        <w:rPr>
          <w:rFonts w:ascii="Times New Roman" w:hAnsi="Times New Roman" w:cs="Times New Roman"/>
          <w:sz w:val="24"/>
          <w:szCs w:val="24"/>
        </w:rPr>
        <w:t xml:space="preserve"> Reserva de la Seguridad Social”</w:t>
      </w:r>
      <w:r w:rsidRPr="00AE3BF1">
        <w:rPr>
          <w:rFonts w:ascii="Times New Roman" w:hAnsi="Times New Roman" w:cs="Times New Roman"/>
          <w:sz w:val="24"/>
          <w:szCs w:val="24"/>
        </w:rPr>
        <w:t>. Lo que el líder del PSOE no dice es que esta inyección se debe a que, en 2023, su Ejecutivo estrenó una subida de cotizaciones sin precedentes en España que afecta a los más de 22 millones de trabajadores, empresarios y autónomos del país y que sube cada vez más todos los 1 de enero a través del Mecanismo de Equidad Intergeneracional (MEI). A pesar de esta subida de cotizaciones sociales extra, la deuda de la Seguridad Social está en récord de los 126.170 millones.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Es el caso del Producto Interior Bruto (PIB) per cápita ajustado por poder adquisitivo, que llegó a los 36.300 euros al cerrar el año 2024, esto es un 31,5% de crecimiento desde 2018, aunque con el efecto de la inflación se reduce a un 9%. Un crecimiento que en la Unión Europea fue del 29,7% (7,2% descontando la inflación) y en la eurozona del 26,7%, (un 4,2% real). Una cifra que nos coloca en el noveno lugar del continente y todavía por debajo de la media europea.</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Estos datos reflejan que España está a la misma distancia de la convergencia europea que ya tenía en 1999, hace 25 años y a las puertas de la entrada oficial del euro. El país se encuentra en el 92% de la media del PIB per cápita por poder adquisitivo del continente. Se ha crecido, como dice Sánchez, pero todavía muy por debajo de buena parte de nuestros socios, lo que nos deja actualmente en el puesto 15 de los 27 países de la Unión Europea en este indicador.</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lastRenderedPageBreak/>
        <w:t>La segunda cifra que más se parece a este dato es la de renta anual neta media por tipo de hogar, indicador del Instituto Nacional de Estadísticas (INE) que ha crecido un 30,2% en términos reales entre 2018 y 2024, un 7,7% si excluimos el efecto de la inflación (un 22,5% acumulado en este periodo) durante este mismo periodo. Un dato que además está ‘dopado’ por el gran crecimiento de la renta de los hogares sin niños, que subió un 12%.</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Por otro lado, Eurostat indica que el PIB per cápita (excluyendo el efecto de la inflación e indicador reconocido internacionalmente como medida para medir el crecimiento de la renta) creció un 4,2% entre 2018 y 2024 hasta los 27.740 euros, 1.120 más por persona, pese a que en ese tiempo el PIB aumentó en 286.000 millones, un 23% más. Esto nos deja en el lugar 14 de 27 países del bloque comunitario y lejos de la media de 36.760 de la eurozona (4,4% más) y de los 33.530 de los 27 (5,8% de alza).</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Desigualdad social</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En el caso del empleo, Sánchez ha dicho que España ha batido un nuevo récord al superar los 22 millones de ocupados, de los cuales más de diez millones son mujeres, y la tasa de</w:t>
      </w:r>
      <w:r w:rsidR="0000577A">
        <w:rPr>
          <w:rFonts w:ascii="Times New Roman" w:hAnsi="Times New Roman" w:cs="Times New Roman"/>
          <w:sz w:val="24"/>
          <w:szCs w:val="24"/>
        </w:rPr>
        <w:t xml:space="preserve"> paro ha caído hasta el 10,3%, “la más baja desde 2008”</w:t>
      </w:r>
      <w:r w:rsidRPr="00AE3BF1">
        <w:rPr>
          <w:rFonts w:ascii="Times New Roman" w:hAnsi="Times New Roman" w:cs="Times New Roman"/>
          <w:sz w:val="24"/>
          <w:szCs w:val="24"/>
        </w:rPr>
        <w:t>. No obstante, lo que no dice es que seguimos a la cola de la UE. Según Eurostat, en mayo seguimos estancados en el 10,8% de tasa de paro, por encima del 6,3% de la eurozona y del 5,9% de la UE. Y la quinta parte de todos los parados del continente son españoles.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Otro de los hitos que Sánchez recalcó en su intervención fue que España había reducido su desigualdad. No obstante, los datos de población en riesgo de pobreza no son nada alentadores. Las cifras europeas indican que efectivamente nuestro país ha reducido los indicadores de pobreza (tasa AROPE), pero en menor medida que sus socios comunitarios.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En 2024, España registró un 25,8% de porcentaje de la población en riesgo de pobreza y exclusión social (era del 27,3% en 2018), lo que nos sitúa en el cuarto lugar por la cola de la UE, por debajo de Bulgaria, Rumanía y Grecia y lejos de la media comunitaria del 21%. Por otro lado, está referida a personas con niños dependientes fue del 30,2%; la tercera más alta y solo superados por Bulgaria y Rumanía. Y muy lejos del 21,9% de la media de la Unión Europea.</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Fondos europeos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En el caso de la vivienda, Sánchez ha indicado que en últimos seis meses, «se ha incrementado el número de viviendas de protección oficial un 8% y hemos contribuido a que la construcción de obra nueva se incremente un 13%, hasta ser ya la mayor de los últimos doce años». La realidad es que estos planes están lejos de dar sus frutos. Sin ir más lejos, los últimos datos publicados por la oficina de estadísticas comunitaria dicen que el alza interanual en el primer trimestre del año fue del 12,3%. Equivalente al 13,1% de subida registrado en igual periodo de 2007, en pleno estallido de la burbuja inmobiliaria y a las puertas de la crisis económica.</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Otro de los logros que ha citado Sánchez es el de los fondos europeos Next Generation. Ha dicho que somos el país de la Unión Europa que más fondos no re</w:t>
      </w:r>
      <w:r w:rsidR="0000577A">
        <w:rPr>
          <w:rFonts w:ascii="Times New Roman" w:hAnsi="Times New Roman" w:cs="Times New Roman"/>
          <w:sz w:val="24"/>
          <w:szCs w:val="24"/>
        </w:rPr>
        <w:t>embolsables ha recibido y que, “</w:t>
      </w:r>
      <w:r w:rsidRPr="00AE3BF1">
        <w:rPr>
          <w:rFonts w:ascii="Times New Roman" w:hAnsi="Times New Roman" w:cs="Times New Roman"/>
          <w:sz w:val="24"/>
          <w:szCs w:val="24"/>
        </w:rPr>
        <w:t>hace apenas dos semana</w:t>
      </w:r>
      <w:r w:rsidR="0000577A">
        <w:rPr>
          <w:rFonts w:ascii="Times New Roman" w:hAnsi="Times New Roman" w:cs="Times New Roman"/>
          <w:sz w:val="24"/>
          <w:szCs w:val="24"/>
        </w:rPr>
        <w:t>s”</w:t>
      </w:r>
      <w:r w:rsidRPr="00AE3BF1">
        <w:rPr>
          <w:rFonts w:ascii="Times New Roman" w:hAnsi="Times New Roman" w:cs="Times New Roman"/>
          <w:sz w:val="24"/>
          <w:szCs w:val="24"/>
        </w:rPr>
        <w:t xml:space="preserve">, se aprobó el quinto desembolso por valor de más de 24.000 millones de euros. Lo que no dice es que se retuvieron 1.000 millones por no cumplir compromisos y que solo se han adjudicado 54.521 millones adjudicados, el 33,4% de los 163.800 asignados a España. Un dato que no refleja siquiera que este montante esté </w:t>
      </w:r>
      <w:r w:rsidRPr="00AE3BF1">
        <w:rPr>
          <w:rFonts w:ascii="Times New Roman" w:hAnsi="Times New Roman" w:cs="Times New Roman"/>
          <w:sz w:val="24"/>
          <w:szCs w:val="24"/>
        </w:rPr>
        <w:lastRenderedPageBreak/>
        <w:t>íntegramente desembolsado y sin contar empresas que han renunciado a las ayudas por estar fuera de plazo.</w:t>
      </w:r>
    </w:p>
    <w:p w:rsidR="000803C7"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P</w:t>
      </w:r>
      <w:r w:rsidR="0000577A">
        <w:rPr>
          <w:rFonts w:ascii="Times New Roman" w:hAnsi="Times New Roman" w:cs="Times New Roman"/>
          <w:sz w:val="24"/>
          <w:szCs w:val="24"/>
        </w:rPr>
        <w:t>or último, Sánchez destacó que “</w:t>
      </w:r>
      <w:r w:rsidRPr="00AE3BF1">
        <w:rPr>
          <w:rFonts w:ascii="Times New Roman" w:hAnsi="Times New Roman" w:cs="Times New Roman"/>
          <w:sz w:val="24"/>
          <w:szCs w:val="24"/>
        </w:rPr>
        <w:t>otro año</w:t>
      </w:r>
      <w:r w:rsidR="0000577A">
        <w:rPr>
          <w:rFonts w:ascii="Times New Roman" w:hAnsi="Times New Roman" w:cs="Times New Roman"/>
          <w:sz w:val="24"/>
          <w:szCs w:val="24"/>
        </w:rPr>
        <w:t xml:space="preserve"> más, y por tercero consecutivo”, “</w:t>
      </w:r>
      <w:r w:rsidRPr="00AE3BF1">
        <w:rPr>
          <w:rFonts w:ascii="Times New Roman" w:hAnsi="Times New Roman" w:cs="Times New Roman"/>
          <w:sz w:val="24"/>
          <w:szCs w:val="24"/>
        </w:rPr>
        <w:t>España será la gran economía europea que más crezca, según todos</w:t>
      </w:r>
      <w:r w:rsidR="0000577A">
        <w:rPr>
          <w:rFonts w:ascii="Times New Roman" w:hAnsi="Times New Roman" w:cs="Times New Roman"/>
          <w:sz w:val="24"/>
          <w:szCs w:val="24"/>
        </w:rPr>
        <w:t xml:space="preserve"> los organismos internacionales”</w:t>
      </w:r>
      <w:r w:rsidRPr="00AE3BF1">
        <w:rPr>
          <w:rFonts w:ascii="Times New Roman" w:hAnsi="Times New Roman" w:cs="Times New Roman"/>
          <w:sz w:val="24"/>
          <w:szCs w:val="24"/>
        </w:rPr>
        <w:t>. Este es probablemente el único indicador en el que no se equivoca aunque la realidad es que estos mismos organismos también comienzan a advertir que esta coyuntura está mostrando síntomas de agotamiento precisamente porque el gasto público (que ha impulsado la economía) se frena y porque la inversión y el comercio exterior están perdiendo pujanza.</w:t>
      </w:r>
    </w:p>
    <w:p w:rsidR="000803C7" w:rsidRPr="00C44DD8" w:rsidRDefault="000803C7" w:rsidP="000803C7">
      <w:pPr>
        <w:spacing w:line="240" w:lineRule="auto"/>
        <w:jc w:val="both"/>
        <w:rPr>
          <w:rFonts w:ascii="Times New Roman" w:hAnsi="Times New Roman" w:cs="Times New Roman"/>
          <w:b/>
          <w:color w:val="FF0000"/>
          <w:sz w:val="24"/>
          <w:szCs w:val="24"/>
        </w:rPr>
      </w:pPr>
      <w:r w:rsidRPr="00C44DD8">
        <w:rPr>
          <w:rFonts w:ascii="Times New Roman" w:hAnsi="Times New Roman" w:cs="Times New Roman"/>
          <w:b/>
          <w:color w:val="FF0000"/>
          <w:sz w:val="24"/>
          <w:szCs w:val="24"/>
        </w:rPr>
        <w:t xml:space="preserve">Nota III: </w:t>
      </w:r>
      <w:r>
        <w:rPr>
          <w:rFonts w:ascii="Times New Roman" w:hAnsi="Times New Roman" w:cs="Times New Roman"/>
          <w:b/>
          <w:color w:val="FF0000"/>
          <w:sz w:val="24"/>
          <w:szCs w:val="24"/>
        </w:rPr>
        <w:t>“Cuando el dato, mata el relato” (la única verdad, es la realidad)</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 xml:space="preserve">- </w:t>
      </w:r>
      <w:r w:rsidRPr="00AE3BF1">
        <w:rPr>
          <w:rFonts w:ascii="Times New Roman" w:hAnsi="Times New Roman" w:cs="Times New Roman"/>
          <w:sz w:val="24"/>
          <w:szCs w:val="24"/>
          <w:u w:val="single"/>
        </w:rPr>
        <w:t>El gasto en pensiones crece un 6,2% en julio y la nómina media asciende hasta los 1.506 euros</w:t>
      </w:r>
      <w:r w:rsidRPr="00AE3BF1">
        <w:rPr>
          <w:rFonts w:ascii="Times New Roman" w:hAnsi="Times New Roman" w:cs="Times New Roman"/>
          <w:sz w:val="24"/>
          <w:szCs w:val="24"/>
        </w:rPr>
        <w:t xml:space="preserve"> (El Economista - </w:t>
      </w:r>
      <w:r w:rsidRPr="00AE3BF1">
        <w:rPr>
          <w:rFonts w:ascii="Times New Roman" w:hAnsi="Times New Roman" w:cs="Times New Roman"/>
          <w:b/>
          <w:sz w:val="24"/>
          <w:szCs w:val="24"/>
        </w:rPr>
        <w:t>29/7/25</w:t>
      </w:r>
      <w:r w:rsidRPr="00AE3BF1">
        <w:rPr>
          <w:rFonts w:ascii="Times New Roman" w:hAnsi="Times New Roman" w:cs="Times New Roman"/>
          <w:sz w:val="24"/>
          <w:szCs w:val="24"/>
        </w:rPr>
        <w:t>)</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El gasto para cubrir la jubilación y otras prestaciones llega a los 13.588 millones, un nuevo récord</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Saiz prevé que el 14% de los nuevos jubilados vuelva a trabajar a partir de 2030</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El gasto en pensiones vuelve a crecer en el mes de julio y alcanza una nueva cifra récord de 13.588 millones, un 6,2% más que el año anterior según las cifras publicadas esta mañana por el Ministerio de Seguridad Social. En total, el Departamento ha pagado 10.357.872 pensiones a cerca de 9,4 millones que se dividen en varias prestaciones: jubilación, viudedad, incapacidad permanente, orfandad y en favor de familiares. La pensión de jubilación, como es habitual, supone casi tres cuartas partes de la nómina. De media, en el mes de julio, los jubilados cobraron 1.506 euros, mientras la cuantía media de las nuevas altas de jubilación del sistema es de 1.547 euros (1.650,9 para los asalariados).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En concreto, en el mes de julio Seguridad Social desembolsó 9.931,363 millones de euros, un 6,18% más, para pagar las jubilaciones.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En contraste, al pago de pensiones de viudedad se han destinado 2.196,6 millones de euros (un 4,16% más), mientras que la nómina de las prestaciones por incapacidad permanente asciende a 1.245,7 millones (un aumento del 10,64%); la de orfandad, a 178,7 millones de euros (un 4,08% más) y la de las prestaciones en favor de familiares, a 36,4 millones (un 6,42%). La pensión media al tener también en cuenta estas prestaciones fue de 1.311,9 euros mensuales en julio.</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Por regímenes, el importe de la pensión media de jubilación procedente del Régimen General en julio fue de 1.665,7 euros mensuales, mientras que en el Régimen Especial de Trabajadores Autónomos fue de 1.009,6 euros al mes. En la Minería del Carbón, la cuantía de la pensión media alcanzó los 2.905,4 euros, y de 1.668,2 euros en el Régimen Especial de Trabajadores del Mar.</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La jubilación anticipada se reduce un 11%</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Hasta junio, se han registrado 183.696 nuevas altas de jubilación, de las que el 11,4% del total son jubilaciones demoradas, frente al 4,8% de 2019. En conjunto, el 71,8% de las altas se producen a la edad ordinaria de jubilación o posteriormente, 12 puntos porcentuales más que en 2019.</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lastRenderedPageBreak/>
        <w:t>Del mismo modo, las jubilaciones anticipadas, se han reducido un 11,9% desde</w:t>
      </w:r>
      <w:r w:rsidR="0000577A">
        <w:rPr>
          <w:rFonts w:ascii="Times New Roman" w:hAnsi="Times New Roman" w:cs="Times New Roman"/>
          <w:sz w:val="24"/>
          <w:szCs w:val="24"/>
        </w:rPr>
        <w:t xml:space="preserve"> entonces. Según el Ministerio “</w:t>
      </w:r>
      <w:r w:rsidRPr="00AE3BF1">
        <w:rPr>
          <w:rFonts w:ascii="Times New Roman" w:hAnsi="Times New Roman" w:cs="Times New Roman"/>
          <w:sz w:val="24"/>
          <w:szCs w:val="24"/>
        </w:rPr>
        <w:t>este cambio refleja el impacto de los incentivos de demora vigentes desde 2022 y la reconfiguración del marco de la pensión de jubilación anticipa</w:t>
      </w:r>
      <w:r w:rsidR="0000577A">
        <w:rPr>
          <w:rFonts w:ascii="Times New Roman" w:hAnsi="Times New Roman" w:cs="Times New Roman"/>
          <w:sz w:val="24"/>
          <w:szCs w:val="24"/>
        </w:rPr>
        <w:t>da”</w:t>
      </w:r>
      <w:r w:rsidRPr="00AE3BF1">
        <w:rPr>
          <w:rFonts w:ascii="Times New Roman" w:hAnsi="Times New Roman" w:cs="Times New Roman"/>
          <w:sz w:val="24"/>
          <w:szCs w:val="24"/>
        </w:rPr>
        <w:t>. Como resultado, la edad media de acceso a la jubilación se sitúa en 65,3 años, frente a los 64,4 años de 2019.</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Además, la nómina de pensiones expone que en julio, 1.072.776 pensiones incluyen el complemento para la reducción de la brecha de género, de las que el 87,5% corresponden a mujeres (938.829). El importe medio de este complemento es de 75,3 euros mensuales. Del total de pensiones complementadas, más del 25% corresponden a pensionistas con un hijo (267.342); el 47,4% de los beneficiarios, con dos hijos (508.304); el 18,3% lo percibe por tres hijos (196.127), y por cuatro hijos, el 9,4% (101.003).</w:t>
      </w:r>
    </w:p>
    <w:p w:rsidR="000803C7" w:rsidRPr="00AE3BF1" w:rsidRDefault="000803C7" w:rsidP="000803C7">
      <w:pPr>
        <w:pStyle w:val="NormalWeb"/>
        <w:shd w:val="clear" w:color="auto" w:fill="FFFFFF"/>
        <w:jc w:val="both"/>
      </w:pPr>
      <w:r w:rsidRPr="00AE3BF1">
        <w:t>-</w:t>
      </w:r>
      <w:r w:rsidRPr="00AE3BF1">
        <w:rPr>
          <w:u w:val="single"/>
        </w:rPr>
        <w:t>El problema creciente de la Seguridad Social</w:t>
      </w:r>
      <w:r w:rsidRPr="00AE3BF1">
        <w:t xml:space="preserve"> (The Objective - </w:t>
      </w:r>
      <w:r w:rsidRPr="00AE3BF1">
        <w:rPr>
          <w:b/>
        </w:rPr>
        <w:t>31/7/25</w:t>
      </w:r>
      <w:r w:rsidRPr="00AE3BF1">
        <w:t>)</w:t>
      </w:r>
    </w:p>
    <w:p w:rsidR="000803C7" w:rsidRPr="00AE3BF1" w:rsidRDefault="0000577A" w:rsidP="000803C7">
      <w:pPr>
        <w:pStyle w:val="NormalWeb"/>
        <w:shd w:val="clear" w:color="auto" w:fill="FFFFFF"/>
        <w:jc w:val="both"/>
      </w:pPr>
      <w:r>
        <w:t>“</w:t>
      </w:r>
      <w:r w:rsidR="000803C7" w:rsidRPr="00AE3BF1">
        <w:t>Sánchez no garantiza las pensiones, sino que las pone en riesgo. El sistema necesita ser reformado. No es cuestión de</w:t>
      </w:r>
      <w:r>
        <w:t xml:space="preserve"> ideologías sino de matemáticas”</w:t>
      </w:r>
    </w:p>
    <w:p w:rsidR="000803C7" w:rsidRPr="00AE3BF1" w:rsidRDefault="000803C7" w:rsidP="000803C7">
      <w:pPr>
        <w:pStyle w:val="NormalWeb"/>
        <w:shd w:val="clear" w:color="auto" w:fill="FFFFFF"/>
        <w:jc w:val="both"/>
      </w:pPr>
      <w:r w:rsidRPr="00AE3BF1">
        <w:t>(Por José María Rotellar)</w:t>
      </w:r>
    </w:p>
    <w:p w:rsidR="000803C7" w:rsidRPr="00AE3BF1" w:rsidRDefault="000803C7" w:rsidP="000803C7">
      <w:pPr>
        <w:pStyle w:val="NormalWeb"/>
        <w:shd w:val="clear" w:color="auto" w:fill="FFFFFF"/>
        <w:jc w:val="both"/>
      </w:pPr>
      <w:r w:rsidRPr="00AE3BF1">
        <w:t>(…)</w:t>
      </w:r>
    </w:p>
    <w:p w:rsidR="000803C7" w:rsidRPr="0000577A" w:rsidRDefault="000803C7" w:rsidP="000803C7">
      <w:pPr>
        <w:pStyle w:val="NormalWeb"/>
        <w:shd w:val="clear" w:color="auto" w:fill="FFFFFF"/>
        <w:jc w:val="both"/>
      </w:pPr>
      <w:r w:rsidRPr="0000577A">
        <w:t>Según los últimos presupuestos aprobados, los de 2023 -pues estamos en prórroga presupuestaria en 2024 y 2025 (y ya veremos si se aprueban para 2026, que, de momento, no parece que vaya a haber, pues el techo de gasto no financiero tendría que haber sido presentado el 30 de junio y no ha ocurrido tal cosa), dentro del clima de ingobernabilidad que existe debido a la insuficiente mayoría parlamentaria de Sánchez- </w:t>
      </w:r>
      <w:r w:rsidRPr="0000577A">
        <w:rPr>
          <w:rStyle w:val="Textoennegrita"/>
          <w:b w:val="0"/>
        </w:rPr>
        <w:t>la Seguridad Social cuenta con un gasto no financiero de casi 200.000 millones de euros, donde la mayor parte va a pensiones contributivas, </w:t>
      </w:r>
      <w:r w:rsidRPr="0000577A">
        <w:t>que incrementan el gasto en un 11,2% interanual, hasta llegar a los 166.776,9 millones de euros, con riesgo al alza, cifra ya desbordada en la actualidad.</w:t>
      </w:r>
    </w:p>
    <w:p w:rsidR="000803C7" w:rsidRPr="0000577A" w:rsidRDefault="000803C7" w:rsidP="000803C7">
      <w:pPr>
        <w:pStyle w:val="NormalWeb"/>
        <w:shd w:val="clear" w:color="auto" w:fill="FFFFFF"/>
        <w:jc w:val="both"/>
      </w:pPr>
      <w:r w:rsidRPr="0000577A">
        <w:t>Por otra parte, </w:t>
      </w:r>
      <w:r w:rsidRPr="0000577A">
        <w:rPr>
          <w:rStyle w:val="Textoennegrita"/>
          <w:b w:val="0"/>
        </w:rPr>
        <w:t>los ingresos son claramente insuficientes. Para empezar, son 7.200 millones inferiores a los gastos,</w:t>
      </w:r>
      <w:r w:rsidRPr="0000577A">
        <w:t> quedándose en 192.000 millones. Ahora bien, esa cifra es engañosa, pues recibe casi 40.000 millones de euros en transferencias corrientes del Estado -en la prórroga, ya son más de 40.000 millones, según Fedea-, con lo que, sin ello, el déficit sería mucho más importante.</w:t>
      </w:r>
    </w:p>
    <w:p w:rsidR="000803C7" w:rsidRPr="0000577A" w:rsidRDefault="000803C7" w:rsidP="000803C7">
      <w:pPr>
        <w:pStyle w:val="NormalWeb"/>
        <w:shd w:val="clear" w:color="auto" w:fill="FFFFFF"/>
        <w:jc w:val="both"/>
      </w:pPr>
      <w:r w:rsidRPr="0000577A">
        <w:t>¿Esto qué quiere decir? Que </w:t>
      </w:r>
      <w:r w:rsidRPr="0000577A">
        <w:rPr>
          <w:rStyle w:val="Textoennegrita"/>
          <w:b w:val="0"/>
        </w:rPr>
        <w:t>la AGE asume esos 3,54 puntos de déficit sobre el PIB, pasando a ser mayor déficit de la AGE y menor déficit de la Seguridad Social.</w:t>
      </w:r>
      <w:r w:rsidRPr="0000577A">
        <w:t> Desde el punto de vista del déficit del Reino de España es neutro, porque se cambia de administración el déficit, pero sigue siendo el mismo. Ahora, eso maquilla el déficit de la Seguridad Social. Sin ello, su déficit sería de esa cuantía. Por otra parte, los otros 0,58 puntos de PIB de desfase los recibe como préstamo del Estado, con objeto de poder financiar casi toda esa diferencia restante.</w:t>
      </w:r>
    </w:p>
    <w:p w:rsidR="000803C7" w:rsidRPr="0000577A" w:rsidRDefault="000803C7" w:rsidP="000803C7">
      <w:pPr>
        <w:pStyle w:val="NormalWeb"/>
        <w:shd w:val="clear" w:color="auto" w:fill="FFFFFF"/>
        <w:jc w:val="both"/>
      </w:pPr>
      <w:r w:rsidRPr="0000577A">
        <w:t>Además, la aportación de los 2.793,2 millones al fondo de reserva de 2023 viene cubierta por el préstamo del Estado, que sirve para cubrir dicha aportación, la pequeña diferencia entre el resto de operaciones de ingresos y gastos y el déficit no financiero. En 2024, las aportaciones elevarán el fondo a 8.356 millones de euros en euros corrientes en la llamada hucha de las pensiones, </w:t>
      </w:r>
      <w:r w:rsidRPr="0000577A">
        <w:rPr>
          <w:rStyle w:val="Textoennegrita"/>
          <w:b w:val="0"/>
        </w:rPr>
        <w:t>pero si cuando se creó con Aznar era ahorro real, porque la Seguridad Social se encontraba en superávit, ahora es falso, pues el ahorro se debe a un artificio contable.</w:t>
      </w:r>
    </w:p>
    <w:p w:rsidR="000803C7" w:rsidRPr="0000577A" w:rsidRDefault="000803C7" w:rsidP="000803C7">
      <w:pPr>
        <w:pStyle w:val="NormalWeb"/>
        <w:shd w:val="clear" w:color="auto" w:fill="FFFFFF"/>
        <w:jc w:val="both"/>
      </w:pPr>
      <w:r w:rsidRPr="0000577A">
        <w:lastRenderedPageBreak/>
        <w:t>Ahora, esa hucha es una hucha desfondada, rellenada gracias a préstamos, no a verdadero ahorro. </w:t>
      </w:r>
      <w:r w:rsidRPr="0000577A">
        <w:rPr>
          <w:rStyle w:val="Textoennegrita"/>
          <w:b w:val="0"/>
        </w:rPr>
        <w:t>Y esa deuda, Sánchez la eleva en alrededor de 75.000 millones de euros desde que gobierna.</w:t>
      </w:r>
      <w:r w:rsidRPr="0000577A">
        <w:t> Los datos del último mes disponible no hacen sino confirmar este desfondamiento: así, pasamos de una deuda de la Seguridad Social de 41.194 millones en 2018 a otra de 126.173 millones en el último dato publicado, mayo de 2025.</w:t>
      </w:r>
    </w:p>
    <w:p w:rsidR="000803C7" w:rsidRPr="0000577A" w:rsidRDefault="000803C7" w:rsidP="000803C7">
      <w:pPr>
        <w:pStyle w:val="NormalWeb"/>
        <w:shd w:val="clear" w:color="auto" w:fill="FFFFFF"/>
        <w:jc w:val="both"/>
      </w:pPr>
      <w:r w:rsidRPr="0000577A">
        <w:rPr>
          <w:noProof/>
        </w:rPr>
        <w:drawing>
          <wp:inline distT="0" distB="0" distL="0" distR="0" wp14:anchorId="2CE0C673" wp14:editId="4629E27F">
            <wp:extent cx="5732662" cy="3124200"/>
            <wp:effectExtent l="0" t="0" r="190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5731510" cy="3123572"/>
                    </a:xfrm>
                    <a:prstGeom prst="rect">
                      <a:avLst/>
                    </a:prstGeom>
                  </pic:spPr>
                </pic:pic>
              </a:graphicData>
            </a:graphic>
          </wp:inline>
        </w:drawing>
      </w:r>
    </w:p>
    <w:p w:rsidR="000803C7" w:rsidRPr="0000577A" w:rsidRDefault="000803C7" w:rsidP="000803C7">
      <w:pPr>
        <w:pStyle w:val="NormalWeb"/>
        <w:shd w:val="clear" w:color="auto" w:fill="FFFFFF"/>
        <w:jc w:val="both"/>
      </w:pPr>
      <w:r w:rsidRPr="0000577A">
        <w:t>Por tanto, una vez más, Sánchez no dice la verdad: él no garantiza las pensiones, sino que las pone en riesgo. El sistema público de pensiones necesita ser reformado. No es cuestión de ideologías sino de matemáticas actuariales. </w:t>
      </w:r>
      <w:r w:rsidRPr="0000577A">
        <w:rPr>
          <w:rStyle w:val="Textoennegrita"/>
          <w:b w:val="0"/>
        </w:rPr>
        <w:t>Cada vez tenemos más pensionistas y esos pensionistas cobran una pensión más elevada que las que se cobraban antes, y lo hacen durante más tiempo</w:t>
      </w:r>
      <w:r w:rsidRPr="0000577A">
        <w:t>. </w:t>
      </w:r>
    </w:p>
    <w:p w:rsidR="000803C7" w:rsidRPr="0000577A" w:rsidRDefault="000803C7" w:rsidP="000803C7">
      <w:pPr>
        <w:pStyle w:val="NormalWeb"/>
        <w:shd w:val="clear" w:color="auto" w:fill="FFFFFF"/>
        <w:jc w:val="both"/>
      </w:pPr>
      <w:r w:rsidRPr="0000577A">
        <w:rPr>
          <w:rStyle w:val="Textoennegrita"/>
          <w:b w:val="0"/>
        </w:rPr>
        <w:t>El impacto será especialmente importante cuando se jubile el grueso de las cohortes del </w:t>
      </w:r>
      <w:r w:rsidRPr="0000577A">
        <w:rPr>
          <w:rStyle w:val="nfasis"/>
          <w:bCs/>
        </w:rPr>
        <w:t>baby boom</w:t>
      </w:r>
      <w:r w:rsidRPr="0000577A">
        <w:rPr>
          <w:rStyle w:val="Textoennegrita"/>
          <w:b w:val="0"/>
        </w:rPr>
        <w:t>,</w:t>
      </w:r>
      <w:r w:rsidRPr="0000577A">
        <w:t> período que tuvo lugar entre 1952 y 1977, pero encontrándose esas cohortes más numerosas en crecimiento de natalidad anual entre 1957 y 1967. </w:t>
      </w:r>
    </w:p>
    <w:p w:rsidR="000803C7" w:rsidRPr="0000577A" w:rsidRDefault="000803C7" w:rsidP="000803C7">
      <w:pPr>
        <w:pStyle w:val="NormalWeb"/>
        <w:shd w:val="clear" w:color="auto" w:fill="FFFFFF"/>
        <w:spacing w:before="0" w:beforeAutospacing="0" w:after="0" w:afterAutospacing="0"/>
        <w:jc w:val="both"/>
      </w:pPr>
      <w:r w:rsidRPr="0000577A">
        <w:t>Por eso, si nada se hace, el sistema colapsa matemáticamente, y eso es lo que hay que evitar. Hay que tomar medidas para solucionar el problema y garantizar su sostenibilidad. Hay un problema y no se quiere resolver. Todavía se puede reformar; si no se hace, sufrirá recortes y eso sí que será una catástrofe. Desgraciadamente, cada vez que repasamos este tema, como ya hemos hecho antes en estas páginas, </w:t>
      </w:r>
      <w:r w:rsidRPr="0000577A">
        <w:rPr>
          <w:rStyle w:val="Textoennegrita"/>
          <w:b w:val="0"/>
        </w:rPr>
        <w:t>la situación no mejora, sino que empeora, con la sostenibilidad del sistema en entredicho por la pésima reforma que sacaron adelante, </w:t>
      </w:r>
      <w:r w:rsidRPr="0000577A">
        <w:t>que debilita al sistema de pensiones.</w:t>
      </w:r>
    </w:p>
    <w:p w:rsidR="000803C7" w:rsidRPr="0000577A" w:rsidRDefault="000803C7" w:rsidP="000803C7">
      <w:pPr>
        <w:pStyle w:val="NormalWeb"/>
        <w:shd w:val="clear" w:color="auto" w:fill="FFFFFF"/>
        <w:spacing w:before="0" w:beforeAutospacing="0" w:after="0" w:afterAutospacing="0"/>
        <w:jc w:val="both"/>
      </w:pP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 xml:space="preserve">- </w:t>
      </w:r>
      <w:r w:rsidRPr="00AE3BF1">
        <w:rPr>
          <w:rFonts w:ascii="Times New Roman" w:hAnsi="Times New Roman" w:cs="Times New Roman"/>
          <w:sz w:val="24"/>
          <w:szCs w:val="24"/>
          <w:u w:val="single"/>
        </w:rPr>
        <w:t>La Seguridad Social consume 32.315 millones de los impuestos para pagar las pensiones</w:t>
      </w:r>
      <w:r w:rsidRPr="00AE3BF1">
        <w:rPr>
          <w:rFonts w:ascii="Times New Roman" w:hAnsi="Times New Roman" w:cs="Times New Roman"/>
          <w:sz w:val="24"/>
          <w:szCs w:val="24"/>
        </w:rPr>
        <w:t xml:space="preserve"> (Expansión - </w:t>
      </w:r>
      <w:r w:rsidRPr="00AE3BF1">
        <w:rPr>
          <w:rFonts w:ascii="Times New Roman" w:hAnsi="Times New Roman" w:cs="Times New Roman"/>
          <w:b/>
          <w:sz w:val="24"/>
          <w:szCs w:val="24"/>
        </w:rPr>
        <w:t>1/8/25</w:t>
      </w:r>
      <w:r w:rsidRPr="00AE3BF1">
        <w:rPr>
          <w:rFonts w:ascii="Times New Roman" w:hAnsi="Times New Roman" w:cs="Times New Roman"/>
          <w:sz w:val="24"/>
          <w:szCs w:val="24"/>
        </w:rPr>
        <w:t>)</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(Por Gonzalo D. Velarde)</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El sistema necesita un 6,3% más de transferencias hasta junio que en el mismo periodo del pasado año, pese a que los ingresos por cotizaciones crecen un 7,2% (5.843 millones más), hasta alcanzar los 87.504 millones de euros.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lastRenderedPageBreak/>
        <w:t>El aumento de la recaudación de cotizaciones sociales que está brindando la mejora del empleo y los aumentos de cuotas con origen en la última reforma de pensiones (mecanismo de equidad intergeneracional y destope de la base máxima) y la revalorización del salario mínimo interprofesional es, a todas luces, insuficiente para soportar la abultada factura de las pensiones que soporta cada mes la Seguridad Social.</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La fotografía que ofrece la ejecución presupuestaria de mitad de año da cuenta de esta realidad y de cómo cada vez es más necesaria la aportación extra de dinero procedente de los Presupuestos, es decir, de la recaudación tributaria, para poder hacer frente a las obligaciones de pago. A mes de junio, a pesar de que la recaudación por cotizaciones ascendió hasta los 87.504 millones de euros (un 7,2% más que hace un año), fueron necesarios otros 32.315 millones de transferencias procedentes de impuestos para asumir la factura de las prestaciones sociales.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Esta inyección vía transferencias, más allá, es un 6,3% mayor que la registrada en el mismo periodo del pasado ejercicio. Por lo que en el conjunto de 2025 volverá a experimentarse un incremento de esta parte cada vez más sustancial de los ingresos del sistema. Cabe recordar que, en principio, hay consignados 43.463 millones de euros de transferencias en el presupuestos de la Seguridad Social prorrogado desde 2023. La realidad del incremento del gasto ha superado con creces esta cifra. En el pasado año, la inyección ascendió a 48.213 millones de euros, casi 5.000 millones más de lo presupuestado. En este sentido, el incremento de algo más del 6% registrado en la primera mitad del año sería concurrente con una inyección final en el conjunto del ejercicio de cerca de 51.000 millones de euros.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Cabe recordar, en este punto, que según los cálculos de la Airef, para el año 2050 las pensiones necesitarán más de 85.000 millones en impuestos para ser sostenibles. Esta necesidad creciente de inyecciones del presupuesto general (la Seguridad Social también tiene consignado un crédito anual de 10.000 millones de euros) es lo que precisamente ha avivado el debate entre los expertos e instituciones que han analizado la reciente reforma aprobada por el Gobierno, por el creciente déficit contributivo. Es decir, las cotizaciones cada vez están más lejos de ser suficientes para un reto creciente en el que concurrirán un aumento de las clases pasivas por la jubilación de la generación del baby boom ya en marcha y un merma de la población ocupada, por la caída de la natalidad…</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(Artículo incompleto)</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 xml:space="preserve">- </w:t>
      </w:r>
      <w:r w:rsidRPr="00AE3BF1">
        <w:rPr>
          <w:rFonts w:ascii="Times New Roman" w:hAnsi="Times New Roman" w:cs="Times New Roman"/>
          <w:sz w:val="24"/>
          <w:szCs w:val="24"/>
          <w:u w:val="single"/>
        </w:rPr>
        <w:t>Llega el día D de las pensiones: las jubilaciones masivas del baby boom ponen en jaque al sistema</w:t>
      </w:r>
      <w:r w:rsidRPr="00AE3BF1">
        <w:rPr>
          <w:rFonts w:ascii="Times New Roman" w:hAnsi="Times New Roman" w:cs="Times New Roman"/>
          <w:sz w:val="24"/>
          <w:szCs w:val="24"/>
        </w:rPr>
        <w:t xml:space="preserve"> (Libertad Digital - </w:t>
      </w:r>
      <w:r w:rsidRPr="00AE3BF1">
        <w:rPr>
          <w:rFonts w:ascii="Times New Roman" w:hAnsi="Times New Roman" w:cs="Times New Roman"/>
          <w:b/>
          <w:sz w:val="24"/>
          <w:szCs w:val="24"/>
        </w:rPr>
        <w:t>1/8/25</w:t>
      </w:r>
      <w:r w:rsidRPr="00AE3BF1">
        <w:rPr>
          <w:rFonts w:ascii="Times New Roman" w:hAnsi="Times New Roman" w:cs="Times New Roman"/>
          <w:sz w:val="24"/>
          <w:szCs w:val="24"/>
        </w:rPr>
        <w:t>)</w:t>
      </w:r>
    </w:p>
    <w:p w:rsidR="000803C7" w:rsidRPr="00AE3BF1" w:rsidRDefault="0000577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803C7" w:rsidRPr="00AE3BF1">
        <w:rPr>
          <w:rFonts w:ascii="Times New Roman" w:hAnsi="Times New Roman" w:cs="Times New Roman"/>
          <w:sz w:val="24"/>
          <w:szCs w:val="24"/>
        </w:rPr>
        <w:t xml:space="preserve">España cuenta actualmente con 2,3 trabajadores por pensionista a pesar de que existen 3,3 personas </w:t>
      </w:r>
      <w:r>
        <w:rPr>
          <w:rFonts w:ascii="Times New Roman" w:hAnsi="Times New Roman" w:cs="Times New Roman"/>
          <w:sz w:val="24"/>
          <w:szCs w:val="24"/>
        </w:rPr>
        <w:t>en edad laboral por pensionista”</w:t>
      </w:r>
      <w:r w:rsidR="000803C7" w:rsidRPr="00AE3BF1">
        <w:rPr>
          <w:rFonts w:ascii="Times New Roman" w:hAnsi="Times New Roman" w:cs="Times New Roman"/>
          <w:sz w:val="24"/>
          <w:szCs w:val="24"/>
        </w:rPr>
        <w:t>.</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(Por Beatriz García)</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Las cuentas de la Seguridad Social hacen aguas a pesar de la recaudación récord que viene cosechando el Gobierno a través de las cotizaciones sociales de las empresas y los trabajadores del país.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Según los últimos datos publicados el pasado jueves por la Seguridad Social relativos al mes de junio, los ingresos por cotizaciones registraron un incremento del 7,2% interanual en los datos acumulados de los 6 primeros meses del año alcanzando los 87.504 millones de euros. Esto supone 5.843 millones más que en el mismo periodo del año anterior y un nuevo récord para el Ejecutivo de Pedro Sánchez.</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lastRenderedPageBreak/>
        <w:t>Sin embargo, a pesar del éxito recaudador del Gobierno, desde hace años los ingresos por cotizaciones no son suficientes para pagar las pensiones, por lo que el Estado tiene que tirar de transferencias y deuda para poner pagar las prestaciones mes a mes.</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Este problema que hará todavía más grande en los próximos años cuando las jubilaciones del baby boom aumenten con más rapidez que ahora.</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Esta es una de las alertas que Daniel Fernández y Santiago Calvo han dado en su último informe para la Universidad de las</w:t>
      </w:r>
      <w:r w:rsidR="0000577A">
        <w:rPr>
          <w:rFonts w:ascii="Times New Roman" w:hAnsi="Times New Roman" w:cs="Times New Roman"/>
          <w:sz w:val="24"/>
          <w:szCs w:val="24"/>
        </w:rPr>
        <w:t xml:space="preserve"> Hespérides en el que analizan “</w:t>
      </w:r>
      <w:r w:rsidRPr="00AE3BF1">
        <w:rPr>
          <w:rFonts w:ascii="Times New Roman" w:hAnsi="Times New Roman" w:cs="Times New Roman"/>
          <w:sz w:val="24"/>
          <w:szCs w:val="24"/>
        </w:rPr>
        <w:t>los aspectos demográficos que subyacen a la insostenibilidad d</w:t>
      </w:r>
      <w:r w:rsidR="0000577A">
        <w:rPr>
          <w:rFonts w:ascii="Times New Roman" w:hAnsi="Times New Roman" w:cs="Times New Roman"/>
          <w:sz w:val="24"/>
          <w:szCs w:val="24"/>
        </w:rPr>
        <w:t>el sistema de pensiones español”</w:t>
      </w:r>
      <w:r w:rsidRPr="00AE3BF1">
        <w:rPr>
          <w:rFonts w:ascii="Times New Roman" w:hAnsi="Times New Roman" w:cs="Times New Roman"/>
          <w:sz w:val="24"/>
          <w:szCs w:val="24"/>
        </w:rPr>
        <w:t>.</w:t>
      </w:r>
    </w:p>
    <w:p w:rsidR="000803C7" w:rsidRDefault="0000577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803C7" w:rsidRPr="00AE3BF1">
        <w:rPr>
          <w:rFonts w:ascii="Times New Roman" w:hAnsi="Times New Roman" w:cs="Times New Roman"/>
          <w:sz w:val="24"/>
          <w:szCs w:val="24"/>
        </w:rPr>
        <w:t>Aunque la generación del baby boom solo ha comenzado su proceso de jubilación masiva, las cuentas de la Seguridad Social esp</w:t>
      </w:r>
      <w:r>
        <w:rPr>
          <w:rFonts w:ascii="Times New Roman" w:hAnsi="Times New Roman" w:cs="Times New Roman"/>
          <w:sz w:val="24"/>
          <w:szCs w:val="24"/>
        </w:rPr>
        <w:t>añola ya resultan insostenibles”</w:t>
      </w:r>
      <w:r w:rsidR="000803C7" w:rsidRPr="00AE3BF1">
        <w:rPr>
          <w:rFonts w:ascii="Times New Roman" w:hAnsi="Times New Roman" w:cs="Times New Roman"/>
          <w:sz w:val="24"/>
          <w:szCs w:val="24"/>
        </w:rPr>
        <w:t xml:space="preserve"> reza el texto.</w:t>
      </w:r>
    </w:p>
    <w:p w:rsidR="000803C7" w:rsidRPr="00AE3BF1" w:rsidRDefault="000803C7" w:rsidP="000803C7">
      <w:pPr>
        <w:spacing w:line="240" w:lineRule="auto"/>
        <w:jc w:val="both"/>
        <w:rPr>
          <w:rFonts w:ascii="Times New Roman" w:hAnsi="Times New Roman" w:cs="Times New Roman"/>
          <w:sz w:val="24"/>
          <w:szCs w:val="24"/>
        </w:rPr>
      </w:pPr>
      <w:r w:rsidRPr="00AE3BF1">
        <w:rPr>
          <w:noProof/>
          <w:lang w:eastAsia="es-ES"/>
        </w:rPr>
        <w:drawing>
          <wp:inline distT="0" distB="0" distL="0" distR="0" wp14:anchorId="16B93B64" wp14:editId="5B282EC3">
            <wp:extent cx="5734050" cy="2673350"/>
            <wp:effectExtent l="0" t="0" r="0" b="0"/>
            <wp:docPr id="210" name="Imagen 210" descr="https://s.libertaddigital.com/2025/08/01/pensiones-gra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libertaddigital.com/2025/08/01/pensiones-graf-1.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731510" cy="2672166"/>
                    </a:xfrm>
                    <a:prstGeom prst="rect">
                      <a:avLst/>
                    </a:prstGeom>
                    <a:noFill/>
                    <a:ln>
                      <a:noFill/>
                    </a:ln>
                  </pic:spPr>
                </pic:pic>
              </a:graphicData>
            </a:graphic>
          </wp:inline>
        </w:drawing>
      </w:r>
    </w:p>
    <w:p w:rsidR="000803C7" w:rsidRPr="00AE3BF1" w:rsidRDefault="0000577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“España experimentó un “verano demográfico”</w:t>
      </w:r>
      <w:r w:rsidR="000803C7" w:rsidRPr="00AE3BF1">
        <w:rPr>
          <w:rFonts w:ascii="Times New Roman" w:hAnsi="Times New Roman" w:cs="Times New Roman"/>
          <w:sz w:val="24"/>
          <w:szCs w:val="24"/>
        </w:rPr>
        <w:t xml:space="preserve"> a partir de 1985, cuando la generación del baby boom alcanzó la edad adulta. Sin embargo, desde</w:t>
      </w:r>
      <w:r>
        <w:rPr>
          <w:rFonts w:ascii="Times New Roman" w:hAnsi="Times New Roman" w:cs="Times New Roman"/>
          <w:sz w:val="24"/>
          <w:szCs w:val="24"/>
        </w:rPr>
        <w:t xml:space="preserve"> 2015 el país entró en un “</w:t>
      </w:r>
      <w:r w:rsidR="000803C7" w:rsidRPr="00AE3BF1">
        <w:rPr>
          <w:rFonts w:ascii="Times New Roman" w:hAnsi="Times New Roman" w:cs="Times New Roman"/>
          <w:sz w:val="24"/>
          <w:szCs w:val="24"/>
        </w:rPr>
        <w:t>invierno demográfico" coincidiendo con el inicio de la jubil</w:t>
      </w:r>
      <w:r>
        <w:rPr>
          <w:rFonts w:ascii="Times New Roman" w:hAnsi="Times New Roman" w:cs="Times New Roman"/>
          <w:sz w:val="24"/>
          <w:szCs w:val="24"/>
        </w:rPr>
        <w:t>ación masiva de esta generación”</w:t>
      </w:r>
      <w:r w:rsidR="000803C7" w:rsidRPr="00AE3BF1">
        <w:rPr>
          <w:rFonts w:ascii="Times New Roman" w:hAnsi="Times New Roman" w:cs="Times New Roman"/>
          <w:sz w:val="24"/>
          <w:szCs w:val="24"/>
        </w:rPr>
        <w:t xml:space="preserve"> señalan.</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Los</w:t>
      </w:r>
      <w:r w:rsidR="0000577A">
        <w:rPr>
          <w:rFonts w:ascii="Times New Roman" w:hAnsi="Times New Roman" w:cs="Times New Roman"/>
          <w:sz w:val="24"/>
          <w:szCs w:val="24"/>
        </w:rPr>
        <w:t xml:space="preserve"> autores consideran que España “</w:t>
      </w:r>
      <w:r w:rsidRPr="00AE3BF1">
        <w:rPr>
          <w:rFonts w:ascii="Times New Roman" w:hAnsi="Times New Roman" w:cs="Times New Roman"/>
          <w:sz w:val="24"/>
          <w:szCs w:val="24"/>
        </w:rPr>
        <w:t>vivió una expansión económica artificial desde 1985, impulsada casi exclusivamente por factores demográficos. Durante este período, la economía española creció mientras la productividad laboral se estancaba. La principal explicación de esa bonanza es el aumento de la proporci</w:t>
      </w:r>
      <w:r w:rsidR="0000577A">
        <w:rPr>
          <w:rFonts w:ascii="Times New Roman" w:hAnsi="Times New Roman" w:cs="Times New Roman"/>
          <w:sz w:val="24"/>
          <w:szCs w:val="24"/>
        </w:rPr>
        <w:t>ón de personas en edad laboral”. Ese “bono demográfico”</w:t>
      </w:r>
      <w:r w:rsidRPr="00AE3BF1">
        <w:rPr>
          <w:rFonts w:ascii="Times New Roman" w:hAnsi="Times New Roman" w:cs="Times New Roman"/>
          <w:sz w:val="24"/>
          <w:szCs w:val="24"/>
        </w:rPr>
        <w:t xml:space="preserve"> España no lo supo aprovechar y, ahora, pagará las consecuencias con la jubilación de esas personas.</w:t>
      </w:r>
    </w:p>
    <w:p w:rsidR="000803C7" w:rsidRPr="00AE3BF1" w:rsidRDefault="0000577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803C7" w:rsidRPr="00AE3BF1">
        <w:rPr>
          <w:rFonts w:ascii="Times New Roman" w:hAnsi="Times New Roman" w:cs="Times New Roman"/>
          <w:sz w:val="24"/>
          <w:szCs w:val="24"/>
        </w:rPr>
        <w:t>España figura entre los países europeos que más gastan en pensiones. El nivel actual de las pensiones ya es insostenible, pero cuando se complete la jubilación de la generación del baby boom, la presión sobre las cuentas p</w:t>
      </w:r>
      <w:r>
        <w:rPr>
          <w:rFonts w:ascii="Times New Roman" w:hAnsi="Times New Roman" w:cs="Times New Roman"/>
          <w:sz w:val="24"/>
          <w:szCs w:val="24"/>
        </w:rPr>
        <w:t>úblicas se volverá insoportable”</w:t>
      </w:r>
      <w:r w:rsidR="000803C7" w:rsidRPr="00AE3BF1">
        <w:rPr>
          <w:rFonts w:ascii="Times New Roman" w:hAnsi="Times New Roman" w:cs="Times New Roman"/>
          <w:sz w:val="24"/>
          <w:szCs w:val="24"/>
        </w:rPr>
        <w:t xml:space="preserve"> vaticinan.</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El informe señala que una de las causas de la transición demográfica iniciada en España con la generación del baby boo</w:t>
      </w:r>
      <w:r w:rsidR="0000577A">
        <w:rPr>
          <w:rFonts w:ascii="Times New Roman" w:hAnsi="Times New Roman" w:cs="Times New Roman"/>
          <w:sz w:val="24"/>
          <w:szCs w:val="24"/>
        </w:rPr>
        <w:t>m es la caída en la natalidad. “</w:t>
      </w:r>
      <w:r w:rsidRPr="00AE3BF1">
        <w:rPr>
          <w:rFonts w:ascii="Times New Roman" w:hAnsi="Times New Roman" w:cs="Times New Roman"/>
          <w:sz w:val="24"/>
          <w:szCs w:val="24"/>
        </w:rPr>
        <w:t>El desplome en el número de nacimientos fue muy marcado en España desde el año 1975. En 1980, la tasa de fertilidad española traspasó la barrera del reemplazo generacional (2,1 hijos por mujer) p</w:t>
      </w:r>
      <w:r w:rsidR="0000577A">
        <w:rPr>
          <w:rFonts w:ascii="Times New Roman" w:hAnsi="Times New Roman" w:cs="Times New Roman"/>
          <w:sz w:val="24"/>
          <w:szCs w:val="24"/>
        </w:rPr>
        <w:t>ara no volver a superarla nunca”</w:t>
      </w:r>
      <w:r w:rsidRPr="00AE3BF1">
        <w:rPr>
          <w:rFonts w:ascii="Times New Roman" w:hAnsi="Times New Roman" w:cs="Times New Roman"/>
          <w:sz w:val="24"/>
          <w:szCs w:val="24"/>
        </w:rPr>
        <w:t xml:space="preserve"> explican.</w:t>
      </w:r>
    </w:p>
    <w:p w:rsidR="000803C7" w:rsidRPr="00AE3BF1" w:rsidRDefault="0000577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0803C7" w:rsidRPr="00AE3BF1">
        <w:rPr>
          <w:rFonts w:ascii="Times New Roman" w:hAnsi="Times New Roman" w:cs="Times New Roman"/>
          <w:sz w:val="24"/>
          <w:szCs w:val="24"/>
        </w:rPr>
        <w:t>Coincidiendo con la llegada a la madurez de la generación del baby boom, se dio otro fenómeno demográfico de calado en España: la remigración o vuelta de españoles qu</w:t>
      </w:r>
      <w:r>
        <w:rPr>
          <w:rFonts w:ascii="Times New Roman" w:hAnsi="Times New Roman" w:cs="Times New Roman"/>
          <w:sz w:val="24"/>
          <w:szCs w:val="24"/>
        </w:rPr>
        <w:t>e habían emigrado anteriormente”</w:t>
      </w:r>
      <w:r w:rsidR="000803C7" w:rsidRPr="00AE3BF1">
        <w:rPr>
          <w:rFonts w:ascii="Times New Roman" w:hAnsi="Times New Roman" w:cs="Times New Roman"/>
          <w:sz w:val="24"/>
          <w:szCs w:val="24"/>
        </w:rPr>
        <w:t xml:space="preserve"> reza el documento.</w:t>
      </w:r>
    </w:p>
    <w:p w:rsidR="000803C7" w:rsidRPr="00AE3BF1" w:rsidRDefault="0000577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Un asunto preocupante es que “</w:t>
      </w:r>
      <w:r w:rsidR="000803C7" w:rsidRPr="00AE3BF1">
        <w:rPr>
          <w:rFonts w:ascii="Times New Roman" w:hAnsi="Times New Roman" w:cs="Times New Roman"/>
          <w:sz w:val="24"/>
          <w:szCs w:val="24"/>
        </w:rPr>
        <w:t>las características demográficas de la generación del baby boom han provocado que la proporción de personas en edad de trabajar sobre personas de la tercera edad se dispare. Este hecho ocurre paulatinamente conforme la generación del baby boom envejece y las nuevas cohortes menos numerosas de las generaciones sigu</w:t>
      </w:r>
      <w:r>
        <w:rPr>
          <w:rFonts w:ascii="Times New Roman" w:hAnsi="Times New Roman" w:cs="Times New Roman"/>
          <w:sz w:val="24"/>
          <w:szCs w:val="24"/>
        </w:rPr>
        <w:t>ientes llegan a la edad laboral”</w:t>
      </w:r>
      <w:r w:rsidR="000803C7" w:rsidRPr="00AE3BF1">
        <w:rPr>
          <w:rFonts w:ascii="Times New Roman" w:hAnsi="Times New Roman" w:cs="Times New Roman"/>
          <w:sz w:val="24"/>
          <w:szCs w:val="24"/>
        </w:rPr>
        <w:t>. Según el informe, apenas hay 3,25 personas en edad de trabajar por cada anciano mientras que en el año 1975 había 6 personas en edad de trabajar por cada anciano.</w:t>
      </w:r>
    </w:p>
    <w:p w:rsidR="000803C7" w:rsidRPr="00AE3BF1" w:rsidRDefault="000803C7" w:rsidP="000803C7">
      <w:pPr>
        <w:spacing w:line="240" w:lineRule="auto"/>
        <w:jc w:val="both"/>
        <w:rPr>
          <w:rFonts w:ascii="Times New Roman" w:hAnsi="Times New Roman" w:cs="Times New Roman"/>
          <w:sz w:val="24"/>
          <w:szCs w:val="24"/>
        </w:rPr>
      </w:pPr>
      <w:r w:rsidRPr="00AE3BF1">
        <w:rPr>
          <w:noProof/>
          <w:lang w:eastAsia="es-ES"/>
        </w:rPr>
        <w:drawing>
          <wp:inline distT="0" distB="0" distL="0" distR="0" wp14:anchorId="092D26EC" wp14:editId="243AD087">
            <wp:extent cx="5733577" cy="2698750"/>
            <wp:effectExtent l="0" t="0" r="635" b="6350"/>
            <wp:docPr id="163" name="Imagen 163" descr="https://s.libertaddigital.com/2025/08/01/pension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libertaddigital.com/2025/08/01/pensiones2.jp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731510" cy="2697777"/>
                    </a:xfrm>
                    <a:prstGeom prst="rect">
                      <a:avLst/>
                    </a:prstGeom>
                    <a:noFill/>
                    <a:ln>
                      <a:noFill/>
                    </a:ln>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La proporción creciente de la tercera edad sobre la población en edad de trabajar no solo creció por la escasa natalidad de las pasadas décadas, sino también por la prolongación de la esperanza de vida de los ancianos. Una persona que cumplía 65 años en 1975 tenía una esperanza de vida extra de 15 años, es decir, podía esperar vivir hasta los 80 años. En 2023, la esperanza de vida de una persona de 65 años llegó a casi los 22 años, es decir, hasta los 87 años.</w:t>
      </w:r>
    </w:p>
    <w:p w:rsidR="000803C7" w:rsidRPr="00AE3BF1" w:rsidRDefault="000803C7" w:rsidP="000803C7">
      <w:pPr>
        <w:spacing w:line="240" w:lineRule="auto"/>
        <w:jc w:val="both"/>
        <w:rPr>
          <w:rFonts w:ascii="Times New Roman" w:hAnsi="Times New Roman" w:cs="Times New Roman"/>
          <w:sz w:val="24"/>
          <w:szCs w:val="24"/>
        </w:rPr>
      </w:pPr>
      <w:r w:rsidRPr="00AE3BF1">
        <w:rPr>
          <w:noProof/>
          <w:lang w:eastAsia="es-ES"/>
        </w:rPr>
        <w:drawing>
          <wp:inline distT="0" distB="0" distL="0" distR="0" wp14:anchorId="04CA5FFE" wp14:editId="62D13F54">
            <wp:extent cx="5727699" cy="2946400"/>
            <wp:effectExtent l="0" t="0" r="6985" b="6350"/>
            <wp:docPr id="164" name="Imagen 164" descr="https://s.libertaddigital.com/2025/08/01/pensione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libertaddigital.com/2025/08/01/pensiones-3.pn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731510" cy="2948360"/>
                    </a:xfrm>
                    <a:prstGeom prst="rect">
                      <a:avLst/>
                    </a:prstGeom>
                    <a:noFill/>
                    <a:ln>
                      <a:noFill/>
                    </a:ln>
                  </pic:spPr>
                </pic:pic>
              </a:graphicData>
            </a:graphic>
          </wp:inline>
        </w:drawing>
      </w:r>
    </w:p>
    <w:p w:rsidR="000803C7" w:rsidRPr="00AE3BF1" w:rsidRDefault="0000577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0803C7" w:rsidRPr="00AE3BF1">
        <w:rPr>
          <w:rFonts w:ascii="Times New Roman" w:hAnsi="Times New Roman" w:cs="Times New Roman"/>
          <w:sz w:val="24"/>
          <w:szCs w:val="24"/>
        </w:rPr>
        <w:t xml:space="preserve">A pesar de la creciente tasa de dependencia de la tercera edad, la mayor parte de la generación del baby boom no ha llegado todavía a la edad de jubilación. En los siguientes veinte años esta generación llegará escalonadamente a la edad de jubilación. Es decir, la pendiente demográfica apenas ha empezado a inclinarse. El principal reto demográfico y económico que tiene que afrontar </w:t>
      </w:r>
      <w:r>
        <w:rPr>
          <w:rFonts w:ascii="Times New Roman" w:hAnsi="Times New Roman" w:cs="Times New Roman"/>
          <w:sz w:val="24"/>
          <w:szCs w:val="24"/>
        </w:rPr>
        <w:t>España está todavía por delante”</w:t>
      </w:r>
      <w:r w:rsidR="000803C7" w:rsidRPr="00AE3BF1">
        <w:rPr>
          <w:rFonts w:ascii="Times New Roman" w:hAnsi="Times New Roman" w:cs="Times New Roman"/>
          <w:sz w:val="24"/>
          <w:szCs w:val="24"/>
        </w:rPr>
        <w:t xml:space="preserve"> señalan los autores.</w:t>
      </w:r>
    </w:p>
    <w:p w:rsidR="000803C7" w:rsidRPr="00AE3BF1" w:rsidRDefault="0000577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803C7" w:rsidRPr="00AE3BF1">
        <w:rPr>
          <w:rFonts w:ascii="Times New Roman" w:hAnsi="Times New Roman" w:cs="Times New Roman"/>
          <w:sz w:val="24"/>
          <w:szCs w:val="24"/>
        </w:rPr>
        <w:t>A pesar de que comparativamente España cuenta con pocos pensionistas, el gasto en pensiones como porcentaje de PIB es uno de los más elevados en Europa y se encuentra por encima del promedio europeo avisan. Esto provoca que "los trabajadores españoles soportan una cuña fiscal muy elevada en comparación con Europa y con otros países desarro</w:t>
      </w:r>
      <w:r>
        <w:rPr>
          <w:rFonts w:ascii="Times New Roman" w:hAnsi="Times New Roman" w:cs="Times New Roman"/>
          <w:sz w:val="24"/>
          <w:szCs w:val="24"/>
        </w:rPr>
        <w:t>llados pertenecientes a la OCDE”</w:t>
      </w:r>
      <w:r w:rsidR="000803C7" w:rsidRPr="00AE3BF1">
        <w:rPr>
          <w:rFonts w:ascii="Times New Roman" w:hAnsi="Times New Roman" w:cs="Times New Roman"/>
          <w:sz w:val="24"/>
          <w:szCs w:val="24"/>
        </w:rPr>
        <w:t>.</w:t>
      </w:r>
    </w:p>
    <w:p w:rsidR="000803C7" w:rsidRPr="00AE3BF1"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En definitiva, "España cuenta actualmente con 2,3 trabajadores por pensionista a pesar de que existen 3,3 personas en edad laboral por pensionista".</w:t>
      </w:r>
    </w:p>
    <w:p w:rsidR="000803C7" w:rsidRPr="00AE3BF1" w:rsidRDefault="0000577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En España, “</w:t>
      </w:r>
      <w:r w:rsidR="000803C7" w:rsidRPr="00AE3BF1">
        <w:rPr>
          <w:rFonts w:ascii="Times New Roman" w:hAnsi="Times New Roman" w:cs="Times New Roman"/>
          <w:sz w:val="24"/>
          <w:szCs w:val="24"/>
        </w:rPr>
        <w:t>esta guerra está siendo ganada, al menos aparentemente, por el colectivo de los jubilados. Ya hemos visto que sus pensiones son muy elevadas mientras que la extracción de ingreso a los trabajadores es también muy elevada. Esto se pone de relieve en la senda de i</w:t>
      </w:r>
      <w:r>
        <w:rPr>
          <w:rFonts w:ascii="Times New Roman" w:hAnsi="Times New Roman" w:cs="Times New Roman"/>
          <w:sz w:val="24"/>
          <w:szCs w:val="24"/>
        </w:rPr>
        <w:t>ngresos de uno y otro colectivo”</w:t>
      </w:r>
      <w:r w:rsidR="000803C7" w:rsidRPr="00AE3BF1">
        <w:rPr>
          <w:rFonts w:ascii="Times New Roman" w:hAnsi="Times New Roman" w:cs="Times New Roman"/>
          <w:sz w:val="24"/>
          <w:szCs w:val="24"/>
        </w:rPr>
        <w:t>. Pero los ju</w:t>
      </w:r>
      <w:r>
        <w:rPr>
          <w:rFonts w:ascii="Times New Roman" w:hAnsi="Times New Roman" w:cs="Times New Roman"/>
          <w:sz w:val="24"/>
          <w:szCs w:val="24"/>
        </w:rPr>
        <w:t>bilados también pierden porque “</w:t>
      </w:r>
      <w:r w:rsidR="000803C7" w:rsidRPr="00AE3BF1">
        <w:rPr>
          <w:rFonts w:ascii="Times New Roman" w:hAnsi="Times New Roman" w:cs="Times New Roman"/>
          <w:sz w:val="24"/>
          <w:szCs w:val="24"/>
        </w:rPr>
        <w:t>los pensionistas empezaron su vida laboral acumulando unos derechos que han sido unilateralmente mo</w:t>
      </w:r>
      <w:r>
        <w:rPr>
          <w:rFonts w:ascii="Times New Roman" w:hAnsi="Times New Roman" w:cs="Times New Roman"/>
          <w:sz w:val="24"/>
          <w:szCs w:val="24"/>
        </w:rPr>
        <w:t>dificados por el poder político”</w:t>
      </w:r>
      <w:r w:rsidR="000803C7" w:rsidRPr="00AE3BF1">
        <w:rPr>
          <w:rFonts w:ascii="Times New Roman" w:hAnsi="Times New Roman" w:cs="Times New Roman"/>
          <w:sz w:val="24"/>
          <w:szCs w:val="24"/>
        </w:rPr>
        <w:t>.</w:t>
      </w:r>
    </w:p>
    <w:p w:rsidR="000803C7" w:rsidRPr="00F42736" w:rsidRDefault="000803C7" w:rsidP="000803C7">
      <w:pPr>
        <w:spacing w:line="240" w:lineRule="auto"/>
        <w:jc w:val="both"/>
        <w:rPr>
          <w:rFonts w:ascii="Times New Roman" w:hAnsi="Times New Roman" w:cs="Times New Roman"/>
          <w:b/>
          <w:color w:val="FF0000"/>
          <w:sz w:val="24"/>
          <w:szCs w:val="24"/>
        </w:rPr>
      </w:pPr>
      <w:r w:rsidRPr="00F42736">
        <w:rPr>
          <w:rFonts w:ascii="Times New Roman" w:hAnsi="Times New Roman" w:cs="Times New Roman"/>
          <w:b/>
          <w:color w:val="FF0000"/>
          <w:sz w:val="24"/>
          <w:szCs w:val="24"/>
        </w:rPr>
        <w:t>Nota IV: “Pastoreando a la manada” - La Moncloa: Sic transit gloria “mindundi” (para que los mayores tengan muy en cuenta quién les paga la pensión)</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 xml:space="preserve">- </w:t>
      </w:r>
      <w:r w:rsidRPr="00AE3BF1">
        <w:rPr>
          <w:rFonts w:ascii="Times New Roman" w:eastAsia="Times New Roman" w:hAnsi="Times New Roman" w:cs="Times New Roman"/>
          <w:sz w:val="24"/>
          <w:szCs w:val="24"/>
          <w:u w:val="single"/>
          <w:lang w:eastAsia="es-ES"/>
        </w:rPr>
        <w:t>La Seguridad Social abona 10,3 millones de pensiones a 9,3 millones de pensionistas en diciembre</w:t>
      </w:r>
      <w:r w:rsidRPr="00AE3BF1">
        <w:rPr>
          <w:rFonts w:ascii="Times New Roman" w:eastAsia="Times New Roman" w:hAnsi="Times New Roman" w:cs="Times New Roman"/>
          <w:sz w:val="24"/>
          <w:szCs w:val="24"/>
          <w:lang w:eastAsia="es-ES"/>
        </w:rPr>
        <w:t xml:space="preserve"> (Fuente: La Moncloa - </w:t>
      </w:r>
      <w:r w:rsidRPr="00AE3BF1">
        <w:rPr>
          <w:rFonts w:ascii="Times New Roman" w:eastAsia="Times New Roman" w:hAnsi="Times New Roman" w:cs="Times New Roman"/>
          <w:b/>
          <w:sz w:val="24"/>
          <w:szCs w:val="24"/>
          <w:lang w:eastAsia="es-ES"/>
        </w:rPr>
        <w:t>27/12/24</w:t>
      </w:r>
      <w:r w:rsidRPr="00AE3BF1">
        <w:rPr>
          <w:rFonts w:ascii="Times New Roman" w:eastAsia="Times New Roman" w:hAnsi="Times New Roman" w:cs="Times New Roman"/>
          <w:sz w:val="24"/>
          <w:szCs w:val="24"/>
          <w:lang w:eastAsia="es-ES"/>
        </w:rPr>
        <w:t>)</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La pensión de jubilación es la principal prestación para 6,4 millones de personas que verán revalorizadas sus pensiones un 2,8% en términos generales.</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La Seguridad Social ha abonado 10.281.477 pensiones a 9,3 millones de personas en la nómina de diciembre, que ha ascendido a 12.974,2 millones de euros.</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El lunes 23 de diciembre el Consejo de Ministros aprobó la revalorización de las pensiones que será efectiva el próximo 1 de enero. La subida será del 2,8%, con carácter general, de acuerdo con el IPC medio entre diciembre de 2023 y noviembre de 2024, en aplicación de la Ley de garantía del poder adquisitivo de las pensiones aprobada en 2021. Por su parte, las pensiones mínimas subirán el 6% en 2025. Un porcentaje que será mayor para pensiones con cónyuge a cargo y de viudedad con cargas familiares, que aumentarán un 9,1%. Por su parte, las pensiones no contributivas se revalorizarán un 9%.</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Esta medida se aplicará a los 6,5 millones de pensiones de jubilación y a los 2,4 millones de pensiones de viudedad del sistema de Seguridad Social, además de a las pensiones de incapacidad permanente (995.503), orfandad (339.837) y en favor de familiares (46.312).</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La revalorización también se aplicará a las 721.275 pensiones de Clases Pasivas (fundamentalmente, funcionarios).</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En cuanto al número de pensionistas, en diciembre ascendió a 9,3 millones, que serán los que vean revalorizadas sus pensiones. De ellos, 4,7 millones son hombres y 4,6 millones, mujeres.</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lastRenderedPageBreak/>
        <w:t>La revalorización supondrá, aproximadamente, 600 euros adicionales al año para las personas con una pensión media de jubilación, mientras que las pensiones medias del sistema aumentarán en torno a 500 euros anuales. De esta forma, se garantiza el mantenimiento de su poder adquisitivo.</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Pensiones medias</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La pensión media del sistema de la Seguridad Social es de 1.261,9 euros este mes, un 5,3% más que en el mismo mes del año anterior. Esta media incluye la cuantía de las distintas clases de pensión (jubilación, incapacidad permanente, viudedad, orfandad y en favor de familiares). La pensión media de jubilación, que perciben más de dos tercios del total de pensionistas (6,4 millones de personas), se sitúa en 1.449,9 euros mensuales.</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Por regímenes, el importe de la pensión media de jubilación procedente del Régimen General es de 1.607,4 euros mensuales, mientras que en el Régimen Especial de Trabajadores Autónomos es de 967,4 euros. En la Minería del Carbón, la cuantía de la pensión media es de 2.812,2 euros, y de 1.605,4 euros en el Régimen del Mar. La cuantía mensual de las nuevas altas de jubilación en el sistema ascendió en noviembre a 1.548,5 euros de media, según los últimos datos disponibles.</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En cuanto a la pensión media de viudedad, en diciembre alcanzó los 899,3 euros al mes.</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Nómina y pensiones por clase</w:t>
      </w:r>
    </w:p>
    <w:p w:rsidR="000803C7"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La nómina mensual de pensiones contributivas de la Seguridad Social alcanzó los 12.974,2 millones de euros. Tres cuartas partes de la nómina de pensiones contributivas corresponden a pensiones de jubilación, como es habitual. En concreto, estas pensiones suponen el 73,1% de la nómina, 9.491,8 millones de euros. A pensiones de viudedad se han destinado 2.116 millones de euros, mientras que la nómina de las prestaciones por incapacidad permanente asciende a 1.160,8 millones; la de orfandad, a 171 millones de euros y la de las prestaciones en favor de familiares, a 34,5 millones.</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Crecen las jubilaciones demoradas y bajan las anticipadas</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Los datos de 2024 reflejan un cambio de tendencia en el momento de solicitar la pensión de jubilación.</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Entre enero y noviembre de 2024, último dato disponible, se han registrado 338.771 nuevas altas en pensiones de jubilación. Del análisis de los datos, se desprende que la cifra de jubilaciones anticipadas se ha reducido considerablemente y se sitúa por debajo del 30% del total (29%). Son 98.204, lo que supone un descenso del 11% de jubilaciones anticipadas respecto a 2019 cuando se anticipaba el 40% de las nuevas jubilaciones. El 71% accedieron con edad ordinaria (216.772).</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En este mismo período, el 9,4% de las altas correspondieron a la modalidad de jubilación demorada frente al 4,8% que suponían en 2019. Son 31.876 altas de este tipo, mientras que en 2024 no llegaron a 14.000. Como resultado del retraso voluntario del momento de retiro y del menor adelanto, la edad media de acceso a la jubilación se sitúa en 65,2 años, cuando en 2019 era de 64,4. Hay que recordar que en 2022 entraron en vigor nuevos incentivos la demora en el acceso a la jubilación y también se ha reconfigurado el marco de la jubilación anticipada.</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 xml:space="preserve">La media de tiempo de resolución de los expedientes en noviembre (último dato disponible) fue de 11 días en el caso de la pensión de jubilación y de 9,48 días en el caso de las pensiones </w:t>
      </w:r>
      <w:r w:rsidRPr="00AE3BF1">
        <w:rPr>
          <w:rFonts w:ascii="Times New Roman" w:eastAsia="Times New Roman" w:hAnsi="Times New Roman" w:cs="Times New Roman"/>
          <w:sz w:val="24"/>
          <w:szCs w:val="24"/>
          <w:lang w:eastAsia="es-ES"/>
        </w:rPr>
        <w:lastRenderedPageBreak/>
        <w:t>de viudedad. El plazo máximo de resolución en estos procedimientos, según el RD 286/2003 del 7 de marzo y el RD 1192/2021, de 3 de agosto, es de 90 días tanto en las prestaciones de jubilación como en las de viudedad.</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Con complemento para la reducción de la brecha de género</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En diciembre, 913.208 pensiones cuentan con el complemento para la reducción de la brecha de género, de las que en un 89% de sus titulares son mujeres (812.130). El importe medio mensual de este complemento en la pensión es de 70,1 euros. Del total de pensiones complementadas, el 24,7% corresponde a pensionistas con un hijo (225.927); el 47,1% de los beneficiarios, con dos hijos (429.967); el 18,5% lo percibe por tres hijos (168.855), y por cuatro hijos, el 9,7% (88.459).</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Este complemento, vigente desde febrero de 2021, consiste en una cuantía fija de 33,20 euros al mes por hijo, tras la revalorización aplicada en 2024. La solicitud debe realizarse en el momento en el que se solicita la pensión.</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Clases Pasivas</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Por otra parte, la nómina mensual de pensiones de Clases Pasivas ascendió a 1.612,6 millones de euros en el mes de noviembre (último dato disponible). Esta cifra supone un aumento de 106,4 millones de euros respecto a la del año anterior, un 7,1% más.</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El número de pensiones en vigor fue de 721.275, que son 14.810 pensiones más que en el mismo mes del año anterior (2,1% de variación anual).</w:t>
      </w:r>
    </w:p>
    <w:p w:rsidR="000803C7" w:rsidRPr="0000577A" w:rsidRDefault="000803C7" w:rsidP="0000577A">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El Régimen de Clases Pasivas del Estado incluye fundamentalmente al personal militar y al personal civil de la Administración General del Estado, de la Administración de Justicia, de las Cortes Generales y de otros órganos constitucionales o estatales, así como a los funcionarios transferidos a las comunidades autónomas.</w:t>
      </w:r>
    </w:p>
    <w:p w:rsidR="000803C7" w:rsidRPr="00F42736" w:rsidRDefault="000803C7" w:rsidP="000803C7">
      <w:pPr>
        <w:spacing w:line="240" w:lineRule="auto"/>
        <w:jc w:val="both"/>
        <w:rPr>
          <w:rFonts w:ascii="Times New Roman" w:hAnsi="Times New Roman" w:cs="Times New Roman"/>
          <w:b/>
          <w:color w:val="FF0000"/>
          <w:sz w:val="24"/>
          <w:szCs w:val="24"/>
        </w:rPr>
      </w:pPr>
      <w:r w:rsidRPr="00F42736">
        <w:rPr>
          <w:rFonts w:ascii="Times New Roman" w:hAnsi="Times New Roman" w:cs="Times New Roman"/>
          <w:b/>
          <w:color w:val="FF0000"/>
          <w:sz w:val="24"/>
          <w:szCs w:val="24"/>
        </w:rPr>
        <w:t xml:space="preserve">Nota V: Los “metadatos” de </w:t>
      </w:r>
      <w:r w:rsidRPr="00F42736">
        <w:rPr>
          <w:rFonts w:ascii="Times New Roman" w:eastAsia="Times New Roman" w:hAnsi="Times New Roman" w:cs="Times New Roman"/>
          <w:b/>
          <w:color w:val="FF0000"/>
          <w:sz w:val="24"/>
          <w:szCs w:val="24"/>
          <w:lang w:eastAsia="es-ES"/>
        </w:rPr>
        <w:t>las pensiones en España</w:t>
      </w:r>
      <w:r w:rsidRPr="00F42736">
        <w:rPr>
          <w:rFonts w:ascii="Times New Roman" w:hAnsi="Times New Roman" w:cs="Times New Roman"/>
          <w:b/>
          <w:color w:val="FF0000"/>
          <w:sz w:val="24"/>
          <w:szCs w:val="24"/>
        </w:rPr>
        <w:t xml:space="preserve"> </w:t>
      </w:r>
    </w:p>
    <w:p w:rsidR="000803C7" w:rsidRPr="00C9333E" w:rsidRDefault="000803C7" w:rsidP="000803C7">
      <w:pPr>
        <w:spacing w:line="240" w:lineRule="auto"/>
        <w:jc w:val="both"/>
        <w:rPr>
          <w:rFonts w:ascii="Times New Roman" w:hAnsi="Times New Roman" w:cs="Times New Roman"/>
          <w:sz w:val="24"/>
          <w:szCs w:val="24"/>
        </w:rPr>
      </w:pPr>
      <w:r w:rsidRPr="00C9333E">
        <w:rPr>
          <w:rFonts w:ascii="Times New Roman" w:hAnsi="Times New Roman" w:cs="Times New Roman"/>
          <w:sz w:val="24"/>
          <w:szCs w:val="24"/>
        </w:rPr>
        <w:t>En España, las pensiones se estructuran en dos grandes categorías: contributivas y no contributivas. Las pensiones contributivas se otorgan a quienes han cotizado un mínimo de años al sistema de Seguridad Social, basándose en las cotizaciones realizadas. Por otro lado, las pensiones no contributivas están dirigidas a personas que no cumplen los requisitos para acceder a una pensión contributiva y carecen de re</w:t>
      </w:r>
      <w:r>
        <w:rPr>
          <w:rFonts w:ascii="Times New Roman" w:hAnsi="Times New Roman" w:cs="Times New Roman"/>
          <w:sz w:val="24"/>
          <w:szCs w:val="24"/>
        </w:rPr>
        <w:t xml:space="preserve">cursos económicos suficientes. </w:t>
      </w:r>
    </w:p>
    <w:p w:rsidR="000803C7" w:rsidRPr="00C9333E"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Pensiones Contributivas</w:t>
      </w:r>
    </w:p>
    <w:p w:rsidR="000803C7" w:rsidRPr="00C9333E"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Requisitos: </w:t>
      </w:r>
      <w:r w:rsidRPr="00C9333E">
        <w:rPr>
          <w:rFonts w:ascii="Times New Roman" w:hAnsi="Times New Roman" w:cs="Times New Roman"/>
          <w:sz w:val="24"/>
          <w:szCs w:val="24"/>
        </w:rPr>
        <w:t xml:space="preserve">Haber cotizado un mínimo de tiempo al sistema de Seguridad Social. </w:t>
      </w:r>
    </w:p>
    <w:p w:rsidR="000803C7" w:rsidRPr="00C9333E"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Base de cálculo: </w:t>
      </w:r>
      <w:r w:rsidRPr="00C9333E">
        <w:rPr>
          <w:rFonts w:ascii="Times New Roman" w:hAnsi="Times New Roman" w:cs="Times New Roman"/>
          <w:sz w:val="24"/>
          <w:szCs w:val="24"/>
        </w:rPr>
        <w:t xml:space="preserve">La cuantía se calcula en función de los años cotizados y las bases de cotización, es decir, las aportaciones realizadas durante la vida laboral. </w:t>
      </w:r>
    </w:p>
    <w:p w:rsidR="000803C7" w:rsidRPr="00C9333E"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Tipos: </w:t>
      </w:r>
      <w:r w:rsidRPr="00C9333E">
        <w:rPr>
          <w:rFonts w:ascii="Times New Roman" w:hAnsi="Times New Roman" w:cs="Times New Roman"/>
          <w:sz w:val="24"/>
          <w:szCs w:val="24"/>
        </w:rPr>
        <w:t xml:space="preserve">Jubilación, incapacidad permanente, viudedad, orfandad y en favor de familiares. </w:t>
      </w:r>
    </w:p>
    <w:p w:rsidR="000803C7" w:rsidRPr="00C9333E"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Financiación: </w:t>
      </w:r>
      <w:r w:rsidRPr="00C9333E">
        <w:rPr>
          <w:rFonts w:ascii="Times New Roman" w:hAnsi="Times New Roman" w:cs="Times New Roman"/>
          <w:sz w:val="24"/>
          <w:szCs w:val="24"/>
        </w:rPr>
        <w:t xml:space="preserve">Se financian a través de las cotizaciones de los trabajadores y empresarios. </w:t>
      </w:r>
    </w:p>
    <w:p w:rsidR="000803C7" w:rsidRPr="00C9333E"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Revalorización: </w:t>
      </w:r>
      <w:r w:rsidRPr="00C9333E">
        <w:rPr>
          <w:rFonts w:ascii="Times New Roman" w:hAnsi="Times New Roman" w:cs="Times New Roman"/>
          <w:sz w:val="24"/>
          <w:szCs w:val="24"/>
        </w:rPr>
        <w:t xml:space="preserve">Se revalorizan anualmente, generalmente siguiendo el Índice de Precios al Consumo (IPC). </w:t>
      </w:r>
    </w:p>
    <w:p w:rsidR="000803C7" w:rsidRPr="00C9333E" w:rsidRDefault="000803C7" w:rsidP="000803C7">
      <w:pPr>
        <w:spacing w:line="240" w:lineRule="auto"/>
        <w:jc w:val="both"/>
        <w:rPr>
          <w:rFonts w:ascii="Times New Roman" w:hAnsi="Times New Roman" w:cs="Times New Roman"/>
          <w:sz w:val="24"/>
          <w:szCs w:val="24"/>
        </w:rPr>
      </w:pPr>
      <w:r w:rsidRPr="00C9333E">
        <w:rPr>
          <w:rFonts w:ascii="Times New Roman" w:hAnsi="Times New Roman" w:cs="Times New Roman"/>
          <w:sz w:val="24"/>
          <w:szCs w:val="24"/>
        </w:rPr>
        <w:t>Pensiones No Contributivas:</w:t>
      </w:r>
    </w:p>
    <w:p w:rsidR="000803C7" w:rsidRPr="00C9333E" w:rsidRDefault="000803C7" w:rsidP="000803C7">
      <w:pPr>
        <w:spacing w:line="240" w:lineRule="auto"/>
        <w:jc w:val="both"/>
        <w:rPr>
          <w:rFonts w:ascii="Times New Roman" w:hAnsi="Times New Roman" w:cs="Times New Roman"/>
          <w:sz w:val="24"/>
          <w:szCs w:val="24"/>
        </w:rPr>
      </w:pPr>
      <w:r w:rsidRPr="00C9333E">
        <w:rPr>
          <w:rFonts w:ascii="Times New Roman" w:hAnsi="Times New Roman" w:cs="Times New Roman"/>
          <w:sz w:val="24"/>
          <w:szCs w:val="24"/>
        </w:rPr>
        <w:lastRenderedPageBreak/>
        <w:t xml:space="preserve">Requisitos: Carecer de recursos económicos suficientes y no cumplir con los requisitos para acceder a una pensión contributiva. </w:t>
      </w:r>
    </w:p>
    <w:p w:rsidR="000803C7" w:rsidRPr="00C9333E" w:rsidRDefault="000803C7" w:rsidP="000803C7">
      <w:pPr>
        <w:spacing w:line="240" w:lineRule="auto"/>
        <w:jc w:val="both"/>
        <w:rPr>
          <w:rFonts w:ascii="Times New Roman" w:hAnsi="Times New Roman" w:cs="Times New Roman"/>
          <w:sz w:val="24"/>
          <w:szCs w:val="24"/>
        </w:rPr>
      </w:pPr>
      <w:r w:rsidRPr="00C9333E">
        <w:rPr>
          <w:rFonts w:ascii="Times New Roman" w:hAnsi="Times New Roman" w:cs="Times New Roman"/>
          <w:sz w:val="24"/>
          <w:szCs w:val="24"/>
        </w:rPr>
        <w:t xml:space="preserve">Tipos: Jubilación e invalidez. </w:t>
      </w:r>
    </w:p>
    <w:p w:rsidR="000803C7" w:rsidRPr="00C9333E" w:rsidRDefault="000803C7" w:rsidP="000803C7">
      <w:pPr>
        <w:spacing w:line="240" w:lineRule="auto"/>
        <w:jc w:val="both"/>
        <w:rPr>
          <w:rFonts w:ascii="Times New Roman" w:hAnsi="Times New Roman" w:cs="Times New Roman"/>
          <w:sz w:val="24"/>
          <w:szCs w:val="24"/>
        </w:rPr>
      </w:pPr>
      <w:r w:rsidRPr="00C9333E">
        <w:rPr>
          <w:rFonts w:ascii="Times New Roman" w:hAnsi="Times New Roman" w:cs="Times New Roman"/>
          <w:sz w:val="24"/>
          <w:szCs w:val="24"/>
        </w:rPr>
        <w:t xml:space="preserve">Requisitos específicos para jubilación: Tener 65 años o más y carecer de rentas o ingresos suficientes. </w:t>
      </w:r>
    </w:p>
    <w:p w:rsidR="000803C7" w:rsidRPr="00C9333E" w:rsidRDefault="000803C7" w:rsidP="000803C7">
      <w:pPr>
        <w:spacing w:line="240" w:lineRule="auto"/>
        <w:jc w:val="both"/>
        <w:rPr>
          <w:rFonts w:ascii="Times New Roman" w:hAnsi="Times New Roman" w:cs="Times New Roman"/>
          <w:sz w:val="24"/>
          <w:szCs w:val="24"/>
        </w:rPr>
      </w:pPr>
      <w:r w:rsidRPr="00C9333E">
        <w:rPr>
          <w:rFonts w:ascii="Times New Roman" w:hAnsi="Times New Roman" w:cs="Times New Roman"/>
          <w:sz w:val="24"/>
          <w:szCs w:val="24"/>
        </w:rPr>
        <w:t xml:space="preserve">Requisitos específicos para invalidez: Ser mayor de edad, tener una discapacidad igual o superior al 65% y carecer de rentas o ingresos suficientes. </w:t>
      </w:r>
    </w:p>
    <w:p w:rsidR="000803C7" w:rsidRPr="00C9333E" w:rsidRDefault="000803C7" w:rsidP="000803C7">
      <w:pPr>
        <w:spacing w:line="240" w:lineRule="auto"/>
        <w:jc w:val="both"/>
        <w:rPr>
          <w:rFonts w:ascii="Times New Roman" w:hAnsi="Times New Roman" w:cs="Times New Roman"/>
          <w:sz w:val="24"/>
          <w:szCs w:val="24"/>
        </w:rPr>
      </w:pPr>
      <w:r w:rsidRPr="00C9333E">
        <w:rPr>
          <w:rFonts w:ascii="Times New Roman" w:hAnsi="Times New Roman" w:cs="Times New Roman"/>
          <w:sz w:val="24"/>
          <w:szCs w:val="24"/>
        </w:rPr>
        <w:t xml:space="preserve">Cuantía: La cuantía de las pensiones no contributivas se fija anualmente en los Presupuestos Generales del Estado. En 2025, la cuantía anual íntegra es de 7.905,80 euros, distribuidos en 14 pagas mensuales de 564,70 euros. </w:t>
      </w:r>
    </w:p>
    <w:p w:rsidR="000803C7" w:rsidRPr="00C9333E" w:rsidRDefault="000803C7" w:rsidP="000803C7">
      <w:pPr>
        <w:spacing w:line="240" w:lineRule="auto"/>
        <w:jc w:val="both"/>
        <w:rPr>
          <w:rFonts w:ascii="Times New Roman" w:hAnsi="Times New Roman" w:cs="Times New Roman"/>
          <w:sz w:val="24"/>
          <w:szCs w:val="24"/>
        </w:rPr>
      </w:pPr>
      <w:r w:rsidRPr="00C9333E">
        <w:rPr>
          <w:rFonts w:ascii="Times New Roman" w:hAnsi="Times New Roman" w:cs="Times New Roman"/>
          <w:sz w:val="24"/>
          <w:szCs w:val="24"/>
        </w:rPr>
        <w:t xml:space="preserve">Financiación: Se financian a través de los Presupuestos Generales del Estado y se abonan a través de la Tesorería General de la Seguridad Social, aunque su gestión puede estar transferida a las Comunidades Autónomas. </w:t>
      </w:r>
    </w:p>
    <w:p w:rsidR="000803C7" w:rsidRPr="00C9333E" w:rsidRDefault="000803C7" w:rsidP="000803C7">
      <w:pPr>
        <w:spacing w:line="240" w:lineRule="auto"/>
        <w:jc w:val="both"/>
        <w:rPr>
          <w:rFonts w:ascii="Times New Roman" w:hAnsi="Times New Roman" w:cs="Times New Roman"/>
          <w:sz w:val="24"/>
          <w:szCs w:val="24"/>
        </w:rPr>
      </w:pPr>
      <w:r w:rsidRPr="00C9333E">
        <w:rPr>
          <w:rFonts w:ascii="Times New Roman" w:hAnsi="Times New Roman" w:cs="Times New Roman"/>
          <w:sz w:val="24"/>
          <w:szCs w:val="24"/>
        </w:rPr>
        <w:t xml:space="preserve">Incompatibilidades: Las pensiones no contributivas son incompatibles con otras pensiones no contributivas y con algunas pensiones asistenciales. </w:t>
      </w:r>
    </w:p>
    <w:p w:rsidR="000803C7" w:rsidRDefault="000803C7" w:rsidP="000803C7">
      <w:pPr>
        <w:spacing w:line="240" w:lineRule="auto"/>
        <w:jc w:val="both"/>
        <w:rPr>
          <w:rFonts w:ascii="Times New Roman" w:hAnsi="Times New Roman" w:cs="Times New Roman"/>
          <w:sz w:val="24"/>
          <w:szCs w:val="24"/>
        </w:rPr>
      </w:pPr>
      <w:r w:rsidRPr="00C9333E">
        <w:rPr>
          <w:rFonts w:ascii="Times New Roman" w:hAnsi="Times New Roman" w:cs="Times New Roman"/>
          <w:sz w:val="24"/>
          <w:szCs w:val="24"/>
        </w:rPr>
        <w:t>En resumen, la estructura del sistema de pensiones español distingue entre aquellas basadas en las cotizaciones (contributivas) y aquellas dirigidas a personas con bajos ingresos que no cumplen los requisitos de cotización (no contributivas).</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b/>
          <w:sz w:val="24"/>
          <w:szCs w:val="24"/>
          <w:lang w:eastAsia="es-ES"/>
        </w:rPr>
        <w:t>L</w:t>
      </w:r>
      <w:r w:rsidR="005608C2">
        <w:rPr>
          <w:rFonts w:ascii="Times New Roman" w:eastAsia="Times New Roman" w:hAnsi="Times New Roman" w:cs="Times New Roman"/>
          <w:b/>
          <w:sz w:val="24"/>
          <w:szCs w:val="24"/>
          <w:lang w:eastAsia="es-ES"/>
        </w:rPr>
        <w:t>as pensiones en España, “numerales”</w:t>
      </w:r>
      <w:r w:rsidRPr="00AE3BF1">
        <w:rPr>
          <w:rFonts w:ascii="Times New Roman" w:eastAsia="Times New Roman" w:hAnsi="Times New Roman" w:cs="Times New Roman"/>
          <w:b/>
          <w:sz w:val="24"/>
          <w:szCs w:val="24"/>
          <w:lang w:eastAsia="es-ES"/>
        </w:rPr>
        <w:t xml:space="preserve"> </w:t>
      </w:r>
      <w:r w:rsidRPr="00AE3BF1">
        <w:rPr>
          <w:rFonts w:ascii="Times New Roman" w:eastAsia="Times New Roman" w:hAnsi="Times New Roman" w:cs="Times New Roman"/>
          <w:sz w:val="24"/>
          <w:szCs w:val="24"/>
          <w:lang w:eastAsia="es-ES"/>
        </w:rPr>
        <w:t xml:space="preserve">(Fuente: epdata.es - </w:t>
      </w:r>
      <w:r w:rsidRPr="00AE3BF1">
        <w:rPr>
          <w:rFonts w:ascii="Times New Roman" w:eastAsia="Times New Roman" w:hAnsi="Times New Roman" w:cs="Times New Roman"/>
          <w:b/>
          <w:sz w:val="24"/>
          <w:szCs w:val="24"/>
          <w:lang w:eastAsia="es-ES"/>
        </w:rPr>
        <w:t>29/7/25</w:t>
      </w:r>
      <w:r w:rsidRPr="00AE3BF1">
        <w:rPr>
          <w:rFonts w:ascii="Times New Roman" w:eastAsia="Times New Roman" w:hAnsi="Times New Roman" w:cs="Times New Roman"/>
          <w:sz w:val="24"/>
          <w:szCs w:val="24"/>
          <w:lang w:eastAsia="es-ES"/>
        </w:rPr>
        <w:t>)</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Gasto en pensiones (Datos actualizados el 29 de julio de 2025)</w:t>
      </w:r>
    </w:p>
    <w:p w:rsidR="000803C7" w:rsidRPr="00AE3BF1" w:rsidRDefault="000803C7" w:rsidP="000803C7">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AE3BF1">
        <w:rPr>
          <w:rFonts w:ascii="Times New Roman" w:eastAsia="Times New Roman" w:hAnsi="Times New Roman" w:cs="Times New Roman"/>
          <w:sz w:val="24"/>
          <w:szCs w:val="24"/>
          <w:lang w:eastAsia="es-ES"/>
        </w:rPr>
        <w:t>El gasto total de pensiones en España fue de 13.588,77 millones de euros en julio de 2025, lo que supone un aumento del 6,21% con respecto al mismo mes del año pasado. Las pensiones de jubilación suponen el mayor gasto, acumulando 9.931,36 millones de euros por encima de las pensiones de viudedad (2.196,61 millones de euros), incapacidad permanente (1.245,68 millones), orfandad (178,69 millones) y las de favor familiar (36,43 millones).</w:t>
      </w:r>
    </w:p>
    <w:p w:rsidR="000803C7"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drawing>
          <wp:inline distT="0" distB="0" distL="0" distR="0" wp14:anchorId="534826D6" wp14:editId="1206D442">
            <wp:extent cx="5727697" cy="3048000"/>
            <wp:effectExtent l="0" t="0" r="6985"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5727697" cy="3048000"/>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drawing>
          <wp:inline distT="0" distB="0" distL="0" distR="0" wp14:anchorId="7939CBB1" wp14:editId="394843B5">
            <wp:extent cx="5734050" cy="3422650"/>
            <wp:effectExtent l="0" t="0" r="0" b="635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5731510" cy="3421134"/>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drawing>
          <wp:inline distT="0" distB="0" distL="0" distR="0" wp14:anchorId="348B4EA8" wp14:editId="5F554424">
            <wp:extent cx="5731510" cy="3672208"/>
            <wp:effectExtent l="0" t="0" r="2540" b="4445"/>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5731510" cy="3672208"/>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lastRenderedPageBreak/>
        <w:drawing>
          <wp:inline distT="0" distB="0" distL="0" distR="0" wp14:anchorId="22D3E10B" wp14:editId="356D39FD">
            <wp:extent cx="5731510" cy="3613423"/>
            <wp:effectExtent l="0" t="0" r="2540" b="635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5731510" cy="3613423"/>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drawing>
          <wp:inline distT="0" distB="0" distL="0" distR="0" wp14:anchorId="21B9970E" wp14:editId="67E4B413">
            <wp:extent cx="5731510" cy="3522797"/>
            <wp:effectExtent l="0" t="0" r="2540" b="1905"/>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5731510" cy="3522797"/>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lastRenderedPageBreak/>
        <w:drawing>
          <wp:inline distT="0" distB="0" distL="0" distR="0" wp14:anchorId="03055347" wp14:editId="7E5889F4">
            <wp:extent cx="5731510" cy="3531369"/>
            <wp:effectExtent l="0" t="0" r="254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5731510" cy="3531369"/>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drawing>
          <wp:inline distT="0" distB="0" distL="0" distR="0" wp14:anchorId="1FEC4013" wp14:editId="4562D2BF">
            <wp:extent cx="5731510" cy="3511775"/>
            <wp:effectExtent l="0" t="0" r="254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5731510" cy="3511775"/>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lastRenderedPageBreak/>
        <w:drawing>
          <wp:inline distT="0" distB="0" distL="0" distR="0" wp14:anchorId="7910A2E0" wp14:editId="0E457300">
            <wp:extent cx="5731510" cy="4071454"/>
            <wp:effectExtent l="0" t="0" r="2540" b="5715"/>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5731510" cy="4071454"/>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drawing>
          <wp:inline distT="0" distB="0" distL="0" distR="0" wp14:anchorId="176EFAFF" wp14:editId="179FCD59">
            <wp:extent cx="5731510" cy="3746913"/>
            <wp:effectExtent l="0" t="0" r="2540" b="635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731510" cy="3746913"/>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lastRenderedPageBreak/>
        <w:drawing>
          <wp:inline distT="0" distB="0" distL="0" distR="0" wp14:anchorId="75B99ECD" wp14:editId="6D0E0C3D">
            <wp:extent cx="5731510" cy="3501977"/>
            <wp:effectExtent l="0" t="0" r="2540" b="381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5731510" cy="3501977"/>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drawing>
          <wp:inline distT="0" distB="0" distL="0" distR="0" wp14:anchorId="2EFC7A8D" wp14:editId="26F634DD">
            <wp:extent cx="5731510" cy="3696089"/>
            <wp:effectExtent l="0" t="0" r="254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5731510" cy="3696089"/>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p>
    <w:p w:rsidR="000803C7" w:rsidRPr="00AE3BF1" w:rsidRDefault="000803C7" w:rsidP="000803C7">
      <w:pPr>
        <w:spacing w:line="240" w:lineRule="auto"/>
        <w:jc w:val="both"/>
        <w:rPr>
          <w:rFonts w:ascii="Times New Roman" w:hAnsi="Times New Roman" w:cs="Times New Roman"/>
          <w:sz w:val="24"/>
          <w:szCs w:val="24"/>
          <w:shd w:val="clear" w:color="auto" w:fill="FFFFFF"/>
        </w:rPr>
      </w:pP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lastRenderedPageBreak/>
        <w:drawing>
          <wp:inline distT="0" distB="0" distL="0" distR="0" wp14:anchorId="557AECA6" wp14:editId="67D581E8">
            <wp:extent cx="5731510" cy="3510550"/>
            <wp:effectExtent l="0" t="0" r="2540"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5731510" cy="3510550"/>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drawing>
          <wp:inline distT="0" distB="0" distL="0" distR="0" wp14:anchorId="747191C1" wp14:editId="43F1A228">
            <wp:extent cx="5731510" cy="2824116"/>
            <wp:effectExtent l="0" t="0" r="254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5731510" cy="2824116"/>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drawing>
          <wp:inline distT="0" distB="0" distL="0" distR="0" wp14:anchorId="599D6970" wp14:editId="06E2E401">
            <wp:extent cx="5731510" cy="719500"/>
            <wp:effectExtent l="0" t="0" r="2540" b="4445"/>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5731510" cy="719500"/>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lastRenderedPageBreak/>
        <w:drawing>
          <wp:inline distT="0" distB="0" distL="0" distR="0" wp14:anchorId="5208A64A" wp14:editId="30E03522">
            <wp:extent cx="5731510" cy="3358077"/>
            <wp:effectExtent l="0" t="0" r="254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5731510" cy="3358077"/>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drawing>
          <wp:inline distT="0" distB="0" distL="0" distR="0" wp14:anchorId="33E1E343" wp14:editId="7BD84380">
            <wp:extent cx="5731510" cy="3497691"/>
            <wp:effectExtent l="0" t="0" r="2540" b="762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5731510" cy="3497691"/>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lastRenderedPageBreak/>
        <w:drawing>
          <wp:inline distT="0" distB="0" distL="0" distR="0" wp14:anchorId="1C6C64B2" wp14:editId="055FB32B">
            <wp:extent cx="5731510" cy="3760997"/>
            <wp:effectExtent l="0" t="0" r="254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5731510" cy="3760997"/>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drawing>
          <wp:inline distT="0" distB="0" distL="0" distR="0" wp14:anchorId="37403090" wp14:editId="3493CDAB">
            <wp:extent cx="5731510" cy="3774469"/>
            <wp:effectExtent l="0" t="0" r="254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5731510" cy="3774469"/>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lastRenderedPageBreak/>
        <w:drawing>
          <wp:inline distT="0" distB="0" distL="0" distR="0" wp14:anchorId="0686C48E" wp14:editId="7B2F1DC0">
            <wp:extent cx="5731510" cy="3514224"/>
            <wp:effectExtent l="0" t="0" r="254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5731510" cy="3514224"/>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drawing>
          <wp:inline distT="0" distB="0" distL="0" distR="0" wp14:anchorId="4F05C3C4" wp14:editId="2B3427F2">
            <wp:extent cx="5731510" cy="3593828"/>
            <wp:effectExtent l="0" t="0" r="2540" b="6985"/>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5731510" cy="3593828"/>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lastRenderedPageBreak/>
        <w:drawing>
          <wp:inline distT="0" distB="0" distL="0" distR="0" wp14:anchorId="4A8037A2" wp14:editId="33E31480">
            <wp:extent cx="5729379" cy="3200400"/>
            <wp:effectExtent l="0" t="0" r="508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5731510" cy="3201590"/>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sz w:val="24"/>
          <w:szCs w:val="24"/>
          <w:shd w:val="clear" w:color="auto" w:fill="FFFFFF"/>
        </w:rPr>
      </w:pP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drawing>
          <wp:inline distT="0" distB="0" distL="0" distR="0" wp14:anchorId="2983FA98" wp14:editId="47315DC8">
            <wp:extent cx="5732145" cy="3511550"/>
            <wp:effectExtent l="0" t="0" r="1905"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5731510" cy="3511161"/>
                    </a:xfrm>
                    <a:prstGeom prst="rect">
                      <a:avLst/>
                    </a:prstGeom>
                  </pic:spPr>
                </pic:pic>
              </a:graphicData>
            </a:graphic>
          </wp:inline>
        </w:drawing>
      </w:r>
    </w:p>
    <w:p w:rsidR="000803C7" w:rsidRPr="00AE3BF1" w:rsidRDefault="000803C7" w:rsidP="000803C7">
      <w:pPr>
        <w:spacing w:line="240" w:lineRule="auto"/>
        <w:jc w:val="both"/>
        <w:rPr>
          <w:rFonts w:ascii="Times New Roman" w:hAnsi="Times New Roman" w:cs="Times New Roman"/>
          <w:sz w:val="24"/>
          <w:szCs w:val="24"/>
          <w:shd w:val="clear" w:color="auto" w:fill="FFFFFF"/>
        </w:rPr>
      </w:pPr>
      <w:r w:rsidRPr="00AE3BF1">
        <w:rPr>
          <w:rFonts w:ascii="Times New Roman" w:hAnsi="Times New Roman" w:cs="Times New Roman"/>
          <w:noProof/>
          <w:sz w:val="24"/>
          <w:szCs w:val="24"/>
          <w:shd w:val="clear" w:color="auto" w:fill="FFFFFF"/>
          <w:lang w:eastAsia="es-ES"/>
        </w:rPr>
        <w:lastRenderedPageBreak/>
        <w:drawing>
          <wp:inline distT="0" distB="0" distL="0" distR="0" wp14:anchorId="0E1FF601" wp14:editId="7B2D35BD">
            <wp:extent cx="5729891" cy="3143250"/>
            <wp:effectExtent l="0" t="0" r="4445"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5731510" cy="3144138"/>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b/>
          <w:color w:val="FF0000"/>
          <w:sz w:val="24"/>
          <w:szCs w:val="24"/>
        </w:rPr>
      </w:pPr>
    </w:p>
    <w:p w:rsidR="005608C2" w:rsidRDefault="000803C7" w:rsidP="000803C7">
      <w:pPr>
        <w:spacing w:line="240" w:lineRule="auto"/>
        <w:jc w:val="both"/>
        <w:rPr>
          <w:rFonts w:ascii="Times New Roman" w:hAnsi="Times New Roman" w:cs="Times New Roman"/>
          <w:color w:val="FF0000"/>
          <w:sz w:val="24"/>
          <w:szCs w:val="24"/>
        </w:rPr>
      </w:pPr>
      <w:r w:rsidRPr="00F42736">
        <w:rPr>
          <w:rFonts w:ascii="Times New Roman" w:hAnsi="Times New Roman" w:cs="Times New Roman"/>
          <w:b/>
          <w:color w:val="FF0000"/>
          <w:sz w:val="24"/>
          <w:szCs w:val="24"/>
        </w:rPr>
        <w:t>Nota VI: ¿Y cómo se paga todo esto?</w:t>
      </w:r>
      <w:r w:rsidRPr="00F42736">
        <w:rPr>
          <w:rFonts w:ascii="Times New Roman" w:hAnsi="Times New Roman" w:cs="Times New Roman"/>
          <w:color w:val="FF0000"/>
          <w:sz w:val="24"/>
          <w:szCs w:val="24"/>
        </w:rPr>
        <w:t xml:space="preserve"> </w:t>
      </w:r>
    </w:p>
    <w:p w:rsidR="000803C7" w:rsidRPr="0000577A" w:rsidRDefault="000803C7" w:rsidP="000803C7">
      <w:pPr>
        <w:spacing w:line="240" w:lineRule="auto"/>
        <w:jc w:val="both"/>
        <w:rPr>
          <w:rFonts w:ascii="Times New Roman" w:hAnsi="Times New Roman" w:cs="Times New Roman"/>
          <w:sz w:val="24"/>
          <w:szCs w:val="24"/>
        </w:rPr>
      </w:pPr>
      <w:r w:rsidRPr="00AE3BF1">
        <w:rPr>
          <w:rFonts w:ascii="Times New Roman" w:hAnsi="Times New Roman" w:cs="Times New Roman"/>
          <w:sz w:val="24"/>
          <w:szCs w:val="24"/>
        </w:rPr>
        <w:t>Las pensiones en España se pagan principalmente con las cotizaciones de los trabajadores y empresarios al sistema de Seguridad Social, a través de un modelo de solidaridad intergeneracional. Es decir, los trabajadores tienen derecho a estas prestaciones contributivas gracias a sus cotizaciones, pero estas pensiones no se pagan con el dinero que “han pagado” a lo largo de su vida laboral, sino con las cotizaciones de los trabajadores actuales. Las cotizaciones que paga cada trabajador varían en función de su base de cotización y del tipo de cotización que c</w:t>
      </w:r>
      <w:r w:rsidR="0000577A">
        <w:rPr>
          <w:rFonts w:ascii="Times New Roman" w:hAnsi="Times New Roman" w:cs="Times New Roman"/>
          <w:sz w:val="24"/>
          <w:szCs w:val="24"/>
        </w:rPr>
        <w:t>orresponde a cada contingencia.</w:t>
      </w:r>
    </w:p>
    <w:p w:rsidR="000803C7" w:rsidRPr="00697319" w:rsidRDefault="000803C7" w:rsidP="000803C7">
      <w:pPr>
        <w:spacing w:line="240" w:lineRule="auto"/>
        <w:jc w:val="both"/>
        <w:rPr>
          <w:rFonts w:ascii="Times New Roman" w:hAnsi="Times New Roman" w:cs="Times New Roman"/>
          <w:b/>
          <w:sz w:val="24"/>
          <w:szCs w:val="24"/>
        </w:rPr>
      </w:pPr>
      <w:r>
        <w:rPr>
          <w:rFonts w:ascii="Times New Roman" w:hAnsi="Times New Roman" w:cs="Times New Roman"/>
          <w:b/>
          <w:sz w:val="24"/>
          <w:szCs w:val="24"/>
        </w:rPr>
        <w:t>Una verdad incómoda</w:t>
      </w:r>
      <w:r w:rsidRPr="00697319">
        <w:rPr>
          <w:rFonts w:ascii="Times New Roman" w:hAnsi="Times New Roman" w:cs="Times New Roman"/>
          <w:b/>
          <w:sz w:val="24"/>
          <w:szCs w:val="24"/>
        </w:rPr>
        <w:t>: ¿con este mercado de trabajo se pueden pagar las pensiones?</w:t>
      </w:r>
    </w:p>
    <w:p w:rsidR="000803C7" w:rsidRDefault="000803C7" w:rsidP="000803C7">
      <w:pPr>
        <w:spacing w:line="240" w:lineRule="auto"/>
        <w:jc w:val="both"/>
        <w:rPr>
          <w:rFonts w:ascii="Times New Roman" w:hAnsi="Times New Roman" w:cs="Times New Roman"/>
          <w:b/>
          <w:color w:val="FF0000"/>
          <w:sz w:val="24"/>
          <w:szCs w:val="24"/>
        </w:rPr>
      </w:pPr>
      <w:r w:rsidRPr="00FB2278">
        <w:rPr>
          <w:rFonts w:ascii="Times New Roman" w:hAnsi="Times New Roman" w:cs="Times New Roman"/>
          <w:b/>
          <w:noProof/>
          <w:color w:val="FF0000"/>
          <w:sz w:val="24"/>
          <w:szCs w:val="24"/>
          <w:lang w:eastAsia="es-ES"/>
        </w:rPr>
        <w:drawing>
          <wp:inline distT="0" distB="0" distL="0" distR="0" wp14:anchorId="5E4BD6A7" wp14:editId="1E76B703">
            <wp:extent cx="5732672" cy="3175000"/>
            <wp:effectExtent l="0" t="0" r="1905" b="635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5731510" cy="3174356"/>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b/>
          <w:color w:val="FF0000"/>
          <w:sz w:val="24"/>
          <w:szCs w:val="24"/>
        </w:rPr>
      </w:pPr>
      <w:r w:rsidRPr="003A5C3A">
        <w:rPr>
          <w:rFonts w:ascii="Times New Roman" w:hAnsi="Times New Roman" w:cs="Times New Roman"/>
          <w:b/>
          <w:noProof/>
          <w:color w:val="FF0000"/>
          <w:sz w:val="24"/>
          <w:szCs w:val="24"/>
          <w:lang w:eastAsia="es-ES"/>
        </w:rPr>
        <w:lastRenderedPageBreak/>
        <w:drawing>
          <wp:inline distT="0" distB="0" distL="0" distR="0" wp14:anchorId="7CEC3D30" wp14:editId="0DF45672">
            <wp:extent cx="5727700" cy="2933700"/>
            <wp:effectExtent l="0" t="0" r="635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5731510" cy="2935651"/>
                    </a:xfrm>
                    <a:prstGeom prst="rect">
                      <a:avLst/>
                    </a:prstGeom>
                  </pic:spPr>
                </pic:pic>
              </a:graphicData>
            </a:graphic>
          </wp:inline>
        </w:drawing>
      </w:r>
    </w:p>
    <w:p w:rsidR="000803C7"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(Fuente: El Economista - 6/8/25)</w:t>
      </w:r>
    </w:p>
    <w:p w:rsidR="000803C7" w:rsidRPr="00697319" w:rsidRDefault="000803C7" w:rsidP="000803C7">
      <w:pPr>
        <w:spacing w:line="240" w:lineRule="auto"/>
        <w:jc w:val="both"/>
        <w:rPr>
          <w:rFonts w:ascii="Times New Roman" w:hAnsi="Times New Roman" w:cs="Times New Roman"/>
          <w:sz w:val="24"/>
          <w:szCs w:val="24"/>
        </w:rPr>
      </w:pPr>
      <w:r w:rsidRPr="00697319">
        <w:rPr>
          <w:rFonts w:ascii="Times New Roman" w:hAnsi="Times New Roman" w:cs="Times New Roman"/>
          <w:b/>
          <w:sz w:val="24"/>
          <w:szCs w:val="24"/>
        </w:rPr>
        <w:t>Nota</w:t>
      </w:r>
      <w:r w:rsidRPr="00697319">
        <w:rPr>
          <w:rFonts w:ascii="Times New Roman" w:hAnsi="Times New Roman" w:cs="Times New Roman"/>
          <w:sz w:val="24"/>
          <w:szCs w:val="24"/>
        </w:rPr>
        <w:t>: La mayoría de bajas de los indefinidos corresponde a trabajadores fijos discontinuos que pasan a la inactividad. Son trabajos estacionales que se interrumpen hasta que la empresa tiene a bien llamarles de nuevo, y explican el 56% de las bajas de los contratos, supuestamente, estables. Todo ello supone, en pocas palabras, que la temporalidad sigue siendo el motor de la volatilidad del mercado laboral, disimulada, eso sí, bajo otras categorías.</w:t>
      </w:r>
    </w:p>
    <w:p w:rsidR="000803C7" w:rsidRPr="00697319" w:rsidRDefault="000803C7" w:rsidP="000803C7">
      <w:pPr>
        <w:spacing w:line="240" w:lineRule="auto"/>
        <w:jc w:val="both"/>
        <w:rPr>
          <w:rFonts w:ascii="Times New Roman" w:hAnsi="Times New Roman" w:cs="Times New Roman"/>
          <w:sz w:val="24"/>
          <w:szCs w:val="24"/>
        </w:rPr>
      </w:pPr>
      <w:r w:rsidRPr="00697319">
        <w:rPr>
          <w:rFonts w:ascii="Times New Roman" w:hAnsi="Times New Roman" w:cs="Times New Roman"/>
          <w:sz w:val="24"/>
          <w:szCs w:val="24"/>
        </w:rPr>
        <w:t>Las estadísticas confirman esta hipótesis con otra variable relevante: el desproporcionado peso de los empleos que se interrumpen antes de llegar al mes. Suponen 12,8 millones, el 56% del total, solo cuatro puntos menos que en 2019 y uno más que hace un año.</w:t>
      </w:r>
    </w:p>
    <w:p w:rsidR="000803C7" w:rsidRPr="00697319" w:rsidRDefault="000803C7" w:rsidP="000803C7">
      <w:pPr>
        <w:spacing w:line="240" w:lineRule="auto"/>
        <w:jc w:val="both"/>
        <w:rPr>
          <w:rFonts w:ascii="Times New Roman" w:hAnsi="Times New Roman" w:cs="Times New Roman"/>
          <w:sz w:val="24"/>
          <w:szCs w:val="24"/>
        </w:rPr>
      </w:pPr>
      <w:r w:rsidRPr="00697319">
        <w:rPr>
          <w:rFonts w:ascii="Times New Roman" w:hAnsi="Times New Roman" w:cs="Times New Roman"/>
          <w:sz w:val="24"/>
          <w:szCs w:val="24"/>
        </w:rPr>
        <w:t>Pero recordemos que este porcentaje se alcanza en un escenario en el que el 45% de las bajas corresponde a trabajadores con contrato indefinido. Esto supondría un indicio claro del trasvase de la precariedad de los empleos temporales a los fijos, en el marco de un modelo productivo pensado para la estacionalidad. Algo que ninguna reforma laboral, por muy bien diseñada que esté, puede cambiar por sí sola.</w:t>
      </w:r>
    </w:p>
    <w:p w:rsidR="000803C7" w:rsidRPr="00697319" w:rsidRDefault="000335E9" w:rsidP="000803C7">
      <w:pPr>
        <w:pStyle w:val="NormalWeb"/>
        <w:shd w:val="clear" w:color="auto" w:fill="FFFFFF"/>
        <w:spacing w:before="0" w:beforeAutospacing="0" w:after="0" w:afterAutospacing="0"/>
        <w:jc w:val="both"/>
        <w:textAlignment w:val="baseline"/>
      </w:pPr>
      <w:hyperlink r:id="rId318" w:tgtFrame="_blank" w:history="1">
        <w:r w:rsidR="000803C7" w:rsidRPr="0000577A">
          <w:rPr>
            <w:rStyle w:val="Hipervnculo"/>
            <w:rFonts w:eastAsiaTheme="majorEastAsia"/>
            <w:color w:val="auto"/>
            <w:u w:val="none"/>
            <w:bdr w:val="none" w:sz="0" w:space="0" w:color="auto" w:frame="1"/>
          </w:rPr>
          <w:t>Desde la Fundación de las Cajas de Ahorros (Funcas) subrayan que la renta real de los hogares españoles en 2024 se mantiene aún por debajo del umbral de 2008</w:t>
        </w:r>
      </w:hyperlink>
      <w:r w:rsidR="000803C7" w:rsidRPr="0000577A">
        <w:t xml:space="preserve">. </w:t>
      </w:r>
      <w:r w:rsidR="000803C7" w:rsidRPr="00697319">
        <w:t>Es más, el organismo detalla que en este período de tiempo “los precios han crecido alrededor de 6 puntos más que la renta neta nominal, erosionando (...) la renta neta real”. En consecuencia, explican, “la renta neta real de 2024 equivale, aproximadamente, al 95,6% del valor que tomó en 2008”.</w:t>
      </w:r>
    </w:p>
    <w:p w:rsidR="000803C7" w:rsidRPr="00697319" w:rsidRDefault="000803C7" w:rsidP="000803C7">
      <w:pPr>
        <w:pStyle w:val="NormalWeb"/>
        <w:shd w:val="clear" w:color="auto" w:fill="FFFFFF"/>
        <w:spacing w:before="0" w:beforeAutospacing="0" w:after="0" w:afterAutospacing="0"/>
        <w:jc w:val="both"/>
        <w:textAlignment w:val="baseline"/>
      </w:pPr>
    </w:p>
    <w:p w:rsidR="000803C7" w:rsidRPr="00697319" w:rsidRDefault="000803C7" w:rsidP="000803C7">
      <w:pPr>
        <w:pStyle w:val="NormalWeb"/>
        <w:shd w:val="clear" w:color="auto" w:fill="FFFFFF"/>
        <w:spacing w:before="0" w:beforeAutospacing="0" w:after="0" w:afterAutospacing="0"/>
        <w:jc w:val="both"/>
        <w:textAlignment w:val="baseline"/>
      </w:pPr>
      <w:r w:rsidRPr="00697319">
        <w:t xml:space="preserve">Ahora bien, se podría pensar que, en este contexto, bajo el mandato de Sánchez la renta de los españoles ha experimentado una notable mejoría. Sin embargo, desde Funcas muestran que “el crecimiento de 2024 debería haber sido, aproximadamente, del 9% para conseguir la plena equiparación a la renta real de 2008”, y añaden que “desde 2019, la renta neta real ha crecido a un promedio de 1,9 puntos por año”, motivo por el cual, con las demás variables </w:t>
      </w:r>
      <w:r w:rsidRPr="0000577A">
        <w:t>constantes, “</w:t>
      </w:r>
      <w:r w:rsidRPr="0000577A">
        <w:rPr>
          <w:rStyle w:val="Textoennegrita"/>
          <w:b w:val="0"/>
          <w:bdr w:val="none" w:sz="0" w:space="0" w:color="auto" w:frame="1"/>
        </w:rPr>
        <w:t>la convergencia no se alcanzaría hasta 2027</w:t>
      </w:r>
      <w:r w:rsidRPr="0000577A">
        <w:t>, dos décadas después de la crisis</w:t>
      </w:r>
      <w:r w:rsidRPr="00697319">
        <w:t xml:space="preserve"> financiera”.</w:t>
      </w:r>
    </w:p>
    <w:p w:rsidR="000803C7" w:rsidRPr="00697319" w:rsidRDefault="000803C7" w:rsidP="000803C7">
      <w:pPr>
        <w:pStyle w:val="NormalWeb"/>
        <w:shd w:val="clear" w:color="auto" w:fill="FFFFFF"/>
        <w:spacing w:before="0" w:beforeAutospacing="0" w:after="0" w:afterAutospacing="0"/>
        <w:jc w:val="both"/>
        <w:textAlignment w:val="baseline"/>
      </w:pPr>
    </w:p>
    <w:p w:rsidR="000803C7" w:rsidRPr="00697319" w:rsidRDefault="000803C7" w:rsidP="000803C7">
      <w:pPr>
        <w:jc w:val="both"/>
        <w:rPr>
          <w:rFonts w:ascii="Times New Roman" w:hAnsi="Times New Roman" w:cs="Times New Roman"/>
          <w:sz w:val="24"/>
          <w:szCs w:val="24"/>
        </w:rPr>
      </w:pPr>
      <w:r w:rsidRPr="00697319">
        <w:rPr>
          <w:rFonts w:ascii="Times New Roman" w:hAnsi="Times New Roman" w:cs="Times New Roman"/>
          <w:noProof/>
          <w:sz w:val="24"/>
          <w:szCs w:val="24"/>
          <w:bdr w:val="none" w:sz="0" w:space="0" w:color="auto" w:frame="1"/>
          <w:lang w:eastAsia="es-ES"/>
        </w:rPr>
        <w:lastRenderedPageBreak/>
        <w:drawing>
          <wp:inline distT="0" distB="0" distL="0" distR="0" wp14:anchorId="42A6A973" wp14:editId="0EBF76CC">
            <wp:extent cx="5524500" cy="2832100"/>
            <wp:effectExtent l="0" t="0" r="0" b="6350"/>
            <wp:docPr id="132" name="Imagen 132" descr="funcas-renta.jpg">
              <a:hlinkClick xmlns:a="http://schemas.openxmlformats.org/drawingml/2006/main" r:id="rId31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ncas-renta.jpg">
                      <a:hlinkClick r:id="rId319" tooltip="&quot;&quot;"/>
                    </pic:cNvPr>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524500" cy="2832100"/>
                    </a:xfrm>
                    <a:prstGeom prst="rect">
                      <a:avLst/>
                    </a:prstGeom>
                    <a:noFill/>
                    <a:ln>
                      <a:noFill/>
                    </a:ln>
                  </pic:spPr>
                </pic:pic>
              </a:graphicData>
            </a:graphic>
          </wp:inline>
        </w:drawing>
      </w:r>
      <w:r w:rsidRPr="00697319">
        <w:rPr>
          <w:rFonts w:ascii="Times New Roman" w:hAnsi="Times New Roman" w:cs="Times New Roman"/>
          <w:sz w:val="24"/>
          <w:szCs w:val="24"/>
        </w:rPr>
        <w:t>Funcas</w:t>
      </w:r>
    </w:p>
    <w:p w:rsidR="000803C7" w:rsidRPr="00697319" w:rsidRDefault="000803C7" w:rsidP="000803C7">
      <w:pPr>
        <w:pStyle w:val="NormalWeb"/>
        <w:shd w:val="clear" w:color="auto" w:fill="FFFFFF"/>
        <w:spacing w:before="0" w:beforeAutospacing="0" w:after="0" w:afterAutospacing="0"/>
        <w:jc w:val="both"/>
        <w:textAlignment w:val="baseline"/>
      </w:pPr>
      <w:r w:rsidRPr="00697319">
        <w:t>Como puede observarse, tras el impacto de la crisis financiera de 2008, el crecimiento de la renta real de los españoles comenzó en el año 2013, experimentando </w:t>
      </w:r>
      <w:r w:rsidRPr="0000577A">
        <w:rPr>
          <w:rStyle w:val="Textoennegrita"/>
          <w:b w:val="0"/>
          <w:bdr w:val="none" w:sz="0" w:space="0" w:color="auto" w:frame="1"/>
        </w:rPr>
        <w:t>el mayor repunte entre 2014 y 2019, cuando se incrementó un 13,4%</w:t>
      </w:r>
      <w:r w:rsidRPr="0000577A">
        <w:rPr>
          <w:b/>
        </w:rPr>
        <w:t>.</w:t>
      </w:r>
      <w:r w:rsidRPr="00697319">
        <w:t xml:space="preserve"> Posteriormente, entre 2019 y 2024 esta subida ha sido del 5,4%. </w:t>
      </w:r>
    </w:p>
    <w:p w:rsidR="000803C7" w:rsidRPr="00697319" w:rsidRDefault="000803C7" w:rsidP="000803C7">
      <w:pPr>
        <w:pStyle w:val="NormalWeb"/>
        <w:shd w:val="clear" w:color="auto" w:fill="FFFFFF"/>
        <w:spacing w:before="0" w:beforeAutospacing="0" w:after="0" w:afterAutospacing="0"/>
        <w:jc w:val="both"/>
        <w:textAlignment w:val="baseline"/>
      </w:pPr>
    </w:p>
    <w:p w:rsidR="000803C7" w:rsidRPr="00697319" w:rsidRDefault="000803C7" w:rsidP="000803C7">
      <w:pPr>
        <w:pStyle w:val="NormalWeb"/>
        <w:shd w:val="clear" w:color="auto" w:fill="FFFFFF"/>
        <w:spacing w:before="0" w:beforeAutospacing="0" w:after="0" w:afterAutospacing="0"/>
        <w:jc w:val="both"/>
        <w:textAlignment w:val="baseline"/>
      </w:pPr>
      <w:r w:rsidRPr="00697319">
        <w:t xml:space="preserve">De acuerdo con </w:t>
      </w:r>
      <w:r w:rsidRPr="0000577A">
        <w:t>los </w:t>
      </w:r>
      <w:hyperlink r:id="rId321" w:tgtFrame="_blank" w:history="1">
        <w:r w:rsidRPr="0000577A">
          <w:rPr>
            <w:rStyle w:val="Hipervnculo"/>
            <w:rFonts w:eastAsiaTheme="majorEastAsia"/>
            <w:color w:val="auto"/>
            <w:u w:val="none"/>
            <w:bdr w:val="none" w:sz="0" w:space="0" w:color="auto" w:frame="1"/>
          </w:rPr>
          <w:t>datos ofrecidos por Eurostat</w:t>
        </w:r>
      </w:hyperlink>
      <w:r w:rsidRPr="00697319">
        <w:t>, entre el año 2002 y el año 2009 el PIB per cápita español fue superior a la media de la UE, y ya desde el año 2010 permaneció por debajo.</w:t>
      </w:r>
    </w:p>
    <w:p w:rsidR="000803C7" w:rsidRPr="00697319" w:rsidRDefault="000803C7" w:rsidP="000803C7">
      <w:pPr>
        <w:pStyle w:val="NormalWeb"/>
        <w:shd w:val="clear" w:color="auto" w:fill="FFFFFF"/>
        <w:spacing w:before="0" w:beforeAutospacing="0" w:after="0" w:afterAutospacing="0"/>
        <w:jc w:val="both"/>
        <w:textAlignment w:val="baseline"/>
      </w:pPr>
    </w:p>
    <w:p w:rsidR="000803C7" w:rsidRPr="00697319" w:rsidRDefault="000803C7" w:rsidP="000803C7">
      <w:pPr>
        <w:jc w:val="both"/>
        <w:rPr>
          <w:rFonts w:ascii="Times New Roman" w:hAnsi="Times New Roman" w:cs="Times New Roman"/>
          <w:sz w:val="24"/>
          <w:szCs w:val="24"/>
        </w:rPr>
      </w:pPr>
      <w:r w:rsidRPr="00697319">
        <w:rPr>
          <w:rFonts w:ascii="Times New Roman" w:hAnsi="Times New Roman" w:cs="Times New Roman"/>
          <w:noProof/>
          <w:sz w:val="24"/>
          <w:szCs w:val="24"/>
          <w:bdr w:val="none" w:sz="0" w:space="0" w:color="auto" w:frame="1"/>
          <w:lang w:eastAsia="es-ES"/>
        </w:rPr>
        <w:drawing>
          <wp:inline distT="0" distB="0" distL="0" distR="0" wp14:anchorId="471A19CC" wp14:editId="4F5C8B4A">
            <wp:extent cx="5632450" cy="3943350"/>
            <wp:effectExtent l="0" t="0" r="6350" b="0"/>
            <wp:docPr id="135" name="Imagen 135" descr="pib-ue-espana.jpg">
              <a:hlinkClick xmlns:a="http://schemas.openxmlformats.org/drawingml/2006/main" r:id="rId32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b-ue-espana.jpg">
                      <a:hlinkClick r:id="rId322" tooltip="&quot;&quot;"/>
                    </pic:cNvPr>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5632450" cy="3943350"/>
                    </a:xfrm>
                    <a:prstGeom prst="rect">
                      <a:avLst/>
                    </a:prstGeom>
                    <a:noFill/>
                    <a:ln>
                      <a:noFill/>
                    </a:ln>
                  </pic:spPr>
                </pic:pic>
              </a:graphicData>
            </a:graphic>
          </wp:inline>
        </w:drawing>
      </w:r>
      <w:r w:rsidRPr="00697319">
        <w:rPr>
          <w:rFonts w:ascii="Times New Roman" w:hAnsi="Times New Roman" w:cs="Times New Roman"/>
          <w:sz w:val="24"/>
          <w:szCs w:val="24"/>
        </w:rPr>
        <w:t>Eurostat</w:t>
      </w:r>
    </w:p>
    <w:p w:rsidR="000803C7" w:rsidRPr="0000577A" w:rsidRDefault="000803C7" w:rsidP="000803C7">
      <w:pPr>
        <w:pStyle w:val="NormalWeb"/>
        <w:shd w:val="clear" w:color="auto" w:fill="FFFFFF"/>
        <w:spacing w:before="0" w:beforeAutospacing="0" w:after="0" w:afterAutospacing="0"/>
        <w:jc w:val="both"/>
        <w:textAlignment w:val="baseline"/>
        <w:rPr>
          <w:b/>
        </w:rPr>
      </w:pPr>
      <w:r w:rsidRPr="00697319">
        <w:rPr>
          <w:b/>
        </w:rPr>
        <w:lastRenderedPageBreak/>
        <w:t>Nota</w:t>
      </w:r>
      <w:r w:rsidRPr="00697319">
        <w:t>: Así y todo, Hacienda cerró el año 2024 con récord de recaudación (casi 295.000 millones de euros), porque no deflactó la tarifa del IRPF (los españoles pagan por el Impuesto sobre la Renta de las Personas Físicas (IRPF) casi un 15% más que en 2008, mientras que la riqueza de los hogares es, de media, aún un 4% inferior a la del año en que estalló la burbuja inmobiliaria), además de haberse aprobado más de 90 subidas de impuestos, desde que el “gobierno de coalición progresista” (sic), llegó al poder (18/6/17). A pesar de ello, la</w:t>
      </w:r>
      <w:r w:rsidRPr="00697319">
        <w:rPr>
          <w:rStyle w:val="Textoennegrita"/>
          <w:bdr w:val="none" w:sz="0" w:space="0" w:color="auto" w:frame="1"/>
        </w:rPr>
        <w:t xml:space="preserve"> </w:t>
      </w:r>
      <w:r w:rsidRPr="0000577A">
        <w:rPr>
          <w:rStyle w:val="Textoennegrita"/>
          <w:b w:val="0"/>
          <w:bdr w:val="none" w:sz="0" w:space="0" w:color="auto" w:frame="1"/>
        </w:rPr>
        <w:t>deuda pública ha alcanzado los 1,62 billones de euros</w:t>
      </w:r>
      <w:r w:rsidRPr="0000577A">
        <w:rPr>
          <w:b/>
        </w:rPr>
        <w:t>.</w:t>
      </w:r>
    </w:p>
    <w:p w:rsidR="000803C7" w:rsidRDefault="000803C7" w:rsidP="000803C7">
      <w:pPr>
        <w:pStyle w:val="NormalWeb"/>
        <w:shd w:val="clear" w:color="auto" w:fill="FFFFFF"/>
        <w:spacing w:before="0" w:beforeAutospacing="0" w:after="0" w:afterAutospacing="0"/>
        <w:jc w:val="both"/>
        <w:textAlignment w:val="baseline"/>
      </w:pPr>
    </w:p>
    <w:p w:rsidR="000803C7" w:rsidRPr="0000577A" w:rsidRDefault="000803C7" w:rsidP="000803C7">
      <w:pPr>
        <w:pStyle w:val="NormalWeb"/>
        <w:shd w:val="clear" w:color="auto" w:fill="FFFFFF"/>
        <w:spacing w:before="0" w:beforeAutospacing="0" w:after="0" w:afterAutospacing="0"/>
        <w:jc w:val="both"/>
        <w:textAlignment w:val="baseline"/>
        <w:rPr>
          <w:b/>
          <w:color w:val="FF0000"/>
        </w:rPr>
      </w:pPr>
      <w:r w:rsidRPr="0000577A">
        <w:rPr>
          <w:b/>
          <w:color w:val="FF0000"/>
        </w:rPr>
        <w:t>Coda: (salto de página) ¿con este “valor añadido”, se pueden pagar las “pensiones”?</w:t>
      </w:r>
    </w:p>
    <w:p w:rsidR="000803C7" w:rsidRDefault="000803C7" w:rsidP="000803C7">
      <w:pPr>
        <w:pStyle w:val="NormalWeb"/>
        <w:shd w:val="clear" w:color="auto" w:fill="FFFFFF"/>
        <w:spacing w:before="0" w:beforeAutospacing="0" w:after="0" w:afterAutospacing="0"/>
        <w:jc w:val="both"/>
        <w:textAlignment w:val="baseline"/>
        <w:rPr>
          <w:b/>
        </w:rPr>
      </w:pPr>
    </w:p>
    <w:p w:rsidR="000803C7" w:rsidRDefault="000803C7" w:rsidP="000803C7">
      <w:pPr>
        <w:pStyle w:val="NormalWeb"/>
        <w:shd w:val="clear" w:color="auto" w:fill="FFFFFF"/>
        <w:spacing w:before="0" w:beforeAutospacing="0" w:after="0" w:afterAutospacing="0"/>
        <w:jc w:val="both"/>
        <w:textAlignment w:val="baseline"/>
      </w:pPr>
      <w:r>
        <w:t>(Se altera el orden cronológico de la información para mantener la homogeneidad temática)</w:t>
      </w:r>
    </w:p>
    <w:p w:rsidR="000803C7" w:rsidRPr="00946C7C" w:rsidRDefault="000803C7" w:rsidP="000803C7">
      <w:pPr>
        <w:pStyle w:val="NormalWeb"/>
        <w:shd w:val="clear" w:color="auto" w:fill="FFFFFF"/>
        <w:spacing w:before="0" w:beforeAutospacing="0" w:after="0" w:afterAutospacing="0"/>
        <w:jc w:val="both"/>
        <w:textAlignment w:val="baseline"/>
      </w:pP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 xml:space="preserve">- </w:t>
      </w:r>
      <w:r w:rsidRPr="00DE67E3">
        <w:rPr>
          <w:rFonts w:ascii="Times New Roman" w:hAnsi="Times New Roman" w:cs="Times New Roman"/>
          <w:sz w:val="24"/>
          <w:szCs w:val="24"/>
          <w:u w:val="single"/>
        </w:rPr>
        <w:t>El SEPE lo deja claro: España sigue siendo un país de camareros, peones y limpiadores</w:t>
      </w:r>
      <w:r w:rsidRPr="00DE67E3">
        <w:rPr>
          <w:rFonts w:ascii="Times New Roman" w:hAnsi="Times New Roman" w:cs="Times New Roman"/>
          <w:sz w:val="24"/>
          <w:szCs w:val="24"/>
        </w:rPr>
        <w:t xml:space="preserve"> (El Economista - </w:t>
      </w:r>
      <w:r w:rsidRPr="00DE67E3">
        <w:rPr>
          <w:rFonts w:ascii="Times New Roman" w:hAnsi="Times New Roman" w:cs="Times New Roman"/>
          <w:b/>
          <w:sz w:val="24"/>
          <w:szCs w:val="24"/>
        </w:rPr>
        <w:t>4/9/25</w:t>
      </w:r>
      <w:r w:rsidRPr="00DE67E3">
        <w:rPr>
          <w:rFonts w:ascii="Times New Roman" w:hAnsi="Times New Roman" w:cs="Times New Roman"/>
          <w:sz w:val="24"/>
          <w:szCs w:val="24"/>
        </w:rPr>
        <w:t>)</w:t>
      </w:r>
    </w:p>
    <w:p w:rsidR="000803C7" w:rsidRPr="00DE67E3" w:rsidRDefault="0000577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Las profesiones de “</w:t>
      </w:r>
      <w:r w:rsidR="000803C7" w:rsidRPr="00DE67E3">
        <w:rPr>
          <w:rFonts w:ascii="Times New Roman" w:hAnsi="Times New Roman" w:cs="Times New Roman"/>
          <w:sz w:val="24"/>
          <w:szCs w:val="24"/>
        </w:rPr>
        <w:t>alto valor añadi</w:t>
      </w:r>
      <w:r>
        <w:rPr>
          <w:rFonts w:ascii="Times New Roman" w:hAnsi="Times New Roman" w:cs="Times New Roman"/>
          <w:sz w:val="24"/>
          <w:szCs w:val="24"/>
        </w:rPr>
        <w:t>do”</w:t>
      </w:r>
      <w:r w:rsidR="000803C7" w:rsidRPr="00DE67E3">
        <w:rPr>
          <w:rFonts w:ascii="Times New Roman" w:hAnsi="Times New Roman" w:cs="Times New Roman"/>
          <w:sz w:val="24"/>
          <w:szCs w:val="24"/>
        </w:rPr>
        <w:t xml:space="preserve"> no están entre las que más buscan las empresas</w:t>
      </w:r>
    </w:p>
    <w:p w:rsidR="000803C7" w:rsidRPr="00DE67E3" w:rsidRDefault="0000577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Los</w:t>
      </w:r>
      <w:r w:rsidR="000803C7" w:rsidRPr="00DE67E3">
        <w:rPr>
          <w:rFonts w:ascii="Times New Roman" w:hAnsi="Times New Roman" w:cs="Times New Roman"/>
          <w:sz w:val="24"/>
          <w:szCs w:val="24"/>
        </w:rPr>
        <w:t xml:space="preserve"> contratos se concentran en hombres menores de 45 años</w:t>
      </w:r>
    </w:p>
    <w:p w:rsidR="000803C7" w:rsidRPr="00DE67E3" w:rsidRDefault="0000577A"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 xml:space="preserve"> </w:t>
      </w:r>
      <w:r w:rsidR="000803C7" w:rsidRPr="00DE67E3">
        <w:rPr>
          <w:rFonts w:ascii="Times New Roman" w:hAnsi="Times New Roman" w:cs="Times New Roman"/>
          <w:sz w:val="24"/>
          <w:szCs w:val="24"/>
        </w:rPr>
        <w:t>(Por Javier Esteban)</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El tópico de que España es un país de camareros tiene una importante base de realidad, al menos si nos atenemos al último análisis publicado por el Servicio Público de Empleo Estatal (SEPE). Esta fue la profesión más contratada en 2024, igual que en los ejercicios anteriores, con un 10,2% de los 15,4 millones de contratos acumulados. Le siguen los peones de la industria manufacturera, con un 6,8%; los peones agrícolas, con un 6,6%; los limpiadores, con un 5,7%; los vendedores, con un 5,2%; y los peones de logística y mozos de almacén, con un 2,3%.</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Los puestos más contratados no coinciden con los que buscan los parados. De hecho, la ocupación más solicitada es la de personal de limpieza, señalada por un 10,5% de los parados regis</w:t>
      </w:r>
      <w:r w:rsidR="0000577A">
        <w:rPr>
          <w:rFonts w:ascii="Times New Roman" w:hAnsi="Times New Roman" w:cs="Times New Roman"/>
          <w:sz w:val="24"/>
          <w:szCs w:val="24"/>
        </w:rPr>
        <w:t>trados, seguida por el 8,9% de “dependientes de comercio”</w:t>
      </w:r>
      <w:r w:rsidRPr="00DE67E3">
        <w:rPr>
          <w:rFonts w:ascii="Times New Roman" w:hAnsi="Times New Roman" w:cs="Times New Roman"/>
          <w:sz w:val="24"/>
          <w:szCs w:val="24"/>
        </w:rPr>
        <w:t>; empleados administrativos, con un 7,15%; los peones de la industria manufacturera, que anotan un 4,92%; y los camareros, con un 3,53%.</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La discrepancia tiene una explicación: según el análisis del organismo dependiente</w:t>
      </w:r>
      <w:r w:rsidR="0000577A">
        <w:rPr>
          <w:rFonts w:ascii="Times New Roman" w:hAnsi="Times New Roman" w:cs="Times New Roman"/>
          <w:sz w:val="24"/>
          <w:szCs w:val="24"/>
        </w:rPr>
        <w:t xml:space="preserve"> del Ministerio de Trabajo, el “</w:t>
      </w:r>
      <w:r w:rsidRPr="00DE67E3">
        <w:rPr>
          <w:rFonts w:ascii="Times New Roman" w:hAnsi="Times New Roman" w:cs="Times New Roman"/>
          <w:sz w:val="24"/>
          <w:szCs w:val="24"/>
        </w:rPr>
        <w:t>retrato r</w:t>
      </w:r>
      <w:r w:rsidR="0000577A">
        <w:rPr>
          <w:rFonts w:ascii="Times New Roman" w:hAnsi="Times New Roman" w:cs="Times New Roman"/>
          <w:sz w:val="24"/>
          <w:szCs w:val="24"/>
        </w:rPr>
        <w:t>obot”</w:t>
      </w:r>
      <w:r w:rsidRPr="00DE67E3">
        <w:rPr>
          <w:rFonts w:ascii="Times New Roman" w:hAnsi="Times New Roman" w:cs="Times New Roman"/>
          <w:sz w:val="24"/>
          <w:szCs w:val="24"/>
        </w:rPr>
        <w:t xml:space="preserve"> del parado corresponde a una mujer (son el 59,51% de los desempleados), mayor de 55 años (grupo de edad que aporta el 33,1% del paro), mientras que el perfil más frecuente de contratado corresponde a un hombre (ellos se llevan el 53,1% de los contratos) de entre 25 y 34 años (esta franja de edad recibe el 26,9% de los puestos).</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Pero tanto la lista de los 20 puestos más contratados como la de los más buscados por los parados tienen algo en común: todos son puestos de baja cualificación, la mayoría en actividades consideradas de 'bajo valor añadido' y que no encajan con el discurso del Gobierno de que España apuesta por la creación de empleo en sectores punteros como el tecnológico. Al menos, su peso en la oferta y demanda de mano de obra es muy reducido.</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El 76% de los parados no supera la educación general obligatoria, un porcentaje que se reduce al 53% entre los contratados, algo que confirma que el nivel formativo es relevante a la hora de encontrar trabajo, pero no es determinante debido a los reducidos requisitos para acceder a los puestos que ofrecen las empresas.</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lastRenderedPageBreak/>
        <w:t>De contratos y parados</w:t>
      </w:r>
    </w:p>
    <w:p w:rsidR="000803C7"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La denominada Síntesis Anual del Perfil de Usuarios del SEPE es un boletín que el departamento que dirige Yolanda Díaz empezó a publicar en 2022, con la idea de ofrecer un resumen claro y estructurado de los datos mensuales que publica el organismo, con el foco, por un lado, en la evolución y las características de los parados y demandantes de empleo, pero también en los contratos que registran los servicios públicos de empleo, de los que solo una pequeña parte se traduce en la colocación de un parado.</w:t>
      </w:r>
    </w:p>
    <w:p w:rsidR="0000577A" w:rsidRPr="00DE67E3" w:rsidRDefault="0000577A"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E67E3">
        <w:rPr>
          <w:rFonts w:ascii="Times New Roman" w:hAnsi="Times New Roman" w:cs="Times New Roman"/>
          <w:noProof/>
          <w:sz w:val="24"/>
          <w:szCs w:val="24"/>
          <w:lang w:eastAsia="es-ES"/>
        </w:rPr>
        <w:drawing>
          <wp:inline distT="0" distB="0" distL="0" distR="0" wp14:anchorId="3EAAD3A4" wp14:editId="3A861205">
            <wp:extent cx="4686954" cy="6039693"/>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4686954" cy="6039693"/>
                    </a:xfrm>
                    <a:prstGeom prst="rect">
                      <a:avLst/>
                    </a:prstGeom>
                  </pic:spPr>
                </pic:pic>
              </a:graphicData>
            </a:graphic>
          </wp:inline>
        </w:drawing>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En julio, por citar los datos más recientes, solo el 43% de los 1,9 millones de colocaciones registradas correspondió a un demandante de empleo, aunque solo un 2,3% de ese mismo total se produjo gracias a una oferta gestionada por una oficina pública de empleo. Por ello, la comparación entre los perfiles de contratados y de parados es tan relevante para entender este gap y mejorar el diseño de las políticas de empleo.</w:t>
      </w:r>
    </w:p>
    <w:p w:rsidR="000803C7"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lastRenderedPageBreak/>
        <w:t>Las veinte profesiones más demandadas sumaron 8,85 millones de contratos en 2024, el 57,4% del total, aunque el grueso se concentra en las seis primeras, que suman 5,567 millones, el 37%, encabezadas por los camareros, que acumulan 1,58 millones de contratos. Se da la paradoja de que es el único oficio de esta lista grupo que crea más puestos indefinidos que temporales, con un 52,03%, aunque la mayoría son a tiempo parcial o fijos discontinuos. Sin embargo, el 31,7% de los contratos con camareros fueron eventuales que duran menos de siete días.</w:t>
      </w:r>
    </w:p>
    <w:p w:rsidR="00AC200B" w:rsidRPr="00DE67E3" w:rsidRDefault="00AC200B"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E67E3">
        <w:rPr>
          <w:rFonts w:ascii="Times New Roman" w:hAnsi="Times New Roman" w:cs="Times New Roman"/>
          <w:noProof/>
          <w:sz w:val="24"/>
          <w:szCs w:val="24"/>
          <w:lang w:eastAsia="es-ES"/>
        </w:rPr>
        <w:drawing>
          <wp:inline distT="0" distB="0" distL="0" distR="0" wp14:anchorId="415E8B11" wp14:editId="6309D13B">
            <wp:extent cx="4677428" cy="4525007"/>
            <wp:effectExtent l="0" t="0" r="8890" b="9525"/>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4677428" cy="4525007"/>
                    </a:xfrm>
                    <a:prstGeom prst="rect">
                      <a:avLst/>
                    </a:prstGeom>
                  </pic:spPr>
                </pic:pic>
              </a:graphicData>
            </a:graphic>
          </wp:inline>
        </w:drawing>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Esto es especialmente relevante porque explica su alto peso en el volumen de contratación: pese a la reforma laboral y el incremento de la contratación indefinida, la creación de empleo sigue dependiendo de sectores con una mayor rotación y, por lo tanto, más demanda de nuevos contratos.</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En el caso de los puestos solicitados por los parados, las proporciones son similares. Las 20 ocupaciones más demandadas fueron solicitadas por el 53,3% de los parados, 1,36 millones, si bien el bien el grueso se concentra en las seis primeras, buscadas por casi un millón de personas. Algo llamativo en un momento en el que varios sectores alertan de cientos de miles de puestos por cubrir. Aquí existen dos importante variables a tener en cue</w:t>
      </w:r>
      <w:r w:rsidR="0000577A">
        <w:rPr>
          <w:rFonts w:ascii="Times New Roman" w:hAnsi="Times New Roman" w:cs="Times New Roman"/>
          <w:sz w:val="24"/>
          <w:szCs w:val="24"/>
        </w:rPr>
        <w:t>nta: el género y la edad.</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Mientras el 93% de las personas que solicitan un trabajo de limpiadoras son mujeres, el porcentaje se desploma al 2,7% en el caso de los peones de la construcción y al 0,6% entre los albañiles.</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lastRenderedPageBreak/>
        <w:t>Por otro lado, la brecha de edad entre desempleo y contratación es notable. El 57% de los parados registrados superan los 45 años, y el 33% los 55 años. Sin embargo, solo un 27% de los contratos tiene más de 45 años y apenas un 9% superan los 55 años. Algo que contribuye a explicar el estancamiento del paro en esas franjas de edad.</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Un análisis de las síntesis elaboradas sobre los datos de 2023 y 2022 arroja escasas variaciones, pese a la intensa reducción en ese tiempo tanto del paro como de la contratación. La reforma laboral ha reducido la firma de contratos, pero no ha alterado sustancialmente su distribución. Lo mismo se puede decir de los desempleados y su demanda de puestos de trabajo: menos personas buscando empleo, pero lo hacen en las mismas actividades.</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Un estancamiento que puede explicar las dificultades de la economía española para reducir la tasa de desempleo a niveles previos a la crisis financiera, pese al intenso momento de crecimiento económico y creación de empleo que nuestro país aún disfruta mientras en el resto de Europa se registran síntomas de enfriamiento. Una paradoja difícil de atajar en un país en el que el de la evolución de la oferta y demanda de mano de obra quedan cada vez más alejadas.</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 xml:space="preserve">- </w:t>
      </w:r>
      <w:r w:rsidRPr="00DE67E3">
        <w:rPr>
          <w:rFonts w:ascii="Times New Roman" w:hAnsi="Times New Roman" w:cs="Times New Roman"/>
          <w:sz w:val="24"/>
          <w:szCs w:val="24"/>
          <w:u w:val="single"/>
        </w:rPr>
        <w:t>Los jóvenes que ni trabajan ni buscan un empleo crecen más de un 10% desde 2021</w:t>
      </w:r>
      <w:r w:rsidRPr="00DE67E3">
        <w:rPr>
          <w:rFonts w:ascii="Times New Roman" w:hAnsi="Times New Roman" w:cs="Times New Roman"/>
          <w:sz w:val="24"/>
          <w:szCs w:val="24"/>
        </w:rPr>
        <w:t xml:space="preserve"> (El Economista - </w:t>
      </w:r>
      <w:r w:rsidRPr="00DE67E3">
        <w:rPr>
          <w:rFonts w:ascii="Times New Roman" w:hAnsi="Times New Roman" w:cs="Times New Roman"/>
          <w:b/>
          <w:sz w:val="24"/>
          <w:szCs w:val="24"/>
        </w:rPr>
        <w:t>4/9/25</w:t>
      </w:r>
      <w:r w:rsidRPr="00DE67E3">
        <w:rPr>
          <w:rFonts w:ascii="Times New Roman" w:hAnsi="Times New Roman" w:cs="Times New Roman"/>
          <w:sz w:val="24"/>
          <w:szCs w:val="24"/>
        </w:rPr>
        <w:t>)</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Este grupo representa un 45% del conjunto de personas con entre 16 y 30 años</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La amplia mayoría se sitúa fuera del mercado laboral por ampliar su formación</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(Por Noelia Casado)</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En España hay algo más de 17 millones de personas que ni trabajan ni están buscando activamente un nuevo empleo. Estas integran la población inactiva, que ha crecido en los últimos años impulsada por el incremento de las jubilaciones. Si bien, los datos recopilados por el INE ponen de manifiesto que esta cifra también crece del lado de los jóvenes, entre los que el número de inactivos ha aumentado más de un 10% en los últimos cuatro años.</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De acuerdo con los datos del segundo trimestre del año, hay cerca de 3,5 millones de jóvenes con edades comprendidas entre los 16 y los 30 años que se encuentran en esta situación, por motivos diversos. Siendo el grupo más mayoritario los menores de 20 años, que acostumbran a extender sus estudios. A modo de comparativa, estos representan un 45% del total de jóvenes, dado que los activos apenas superan los 4 millones (de los que 3,3 millones tienen un empleo).</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El cursar cursos de enseñanza o formación es la razón por la que más de un 83% de los jóvenes dicen no estar desarrollando ninguna actividad profesional ni buscar un nuevo empleo. De hecho, entre abril y junio había 283.900 jóvenes más que aludían a este motivo que en el mismo periodo de 2021, al inicio del periodo posterior a la pandemia. Y esta cifra crece especialmente entre el grupo de los que tienen menos de 20 años, que suma 180.000 jóvenes dentro de esta casilla.</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noProof/>
          <w:sz w:val="24"/>
          <w:szCs w:val="24"/>
          <w:lang w:eastAsia="es-ES"/>
        </w:rPr>
        <w:lastRenderedPageBreak/>
        <w:drawing>
          <wp:inline distT="0" distB="0" distL="0" distR="0" wp14:anchorId="0B55793E" wp14:editId="6918F326">
            <wp:extent cx="5727700" cy="3771900"/>
            <wp:effectExtent l="0" t="0" r="6350" b="0"/>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5731510" cy="3774409"/>
                    </a:xfrm>
                    <a:prstGeom prst="rect">
                      <a:avLst/>
                    </a:prstGeom>
                  </pic:spPr>
                </pic:pic>
              </a:graphicData>
            </a:graphic>
          </wp:inline>
        </w:drawing>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No obstante, este no es un fenómeno exclusivo de los menores de 30 años. El número de personas que están inactivas, con independencia de su edad, por estar dedicándose a tiempo completo a ampliar sus estudios se ha incrementado un 12% en este tiempo y hasta un 42% en la última década, lo que parece dar respuesta a las demandas crecientes de las empresas en habilidades y competencias, a través de los denominados reskilling (aprender nuevas herramientas) y upskilling (mejorar o ampliar formación).</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Más allá de esta justificación, en el análisis de los datos sobre los jóvenes recopilados por la última Encuesta de Población Activa (INE) destaca el incremento en un 55% de las personas que hacen referencia al cuidado de niños o adultos enfermos, incapacitados o mayores como principal impedimento para participar en el mercado laboral. Hay cerca de 90.000 los jóvenes que no emprenden una búsqueda de un empleo por hacerse cargo de sus familiares, en 2021 eran 56.000.</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En cambio, se da un marcado descenso en el volumen de jóvenes afectados por expediente de regulación de empleo, lo que viene explicado por la cercanía del periodo inicial observado con la crisis del coronavirus, en la que miles de empresas se vieron obligadas a iniciar procesos temporales de regulación para encarar el freno en su actividad. Si en el segundo trimestre de 2021 había 23.800 jóvenes que se encontraban en esta situación, en los mismos meses de 2025 apenas superaban las 3.000 personas.</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Con todo, todas las respuestas que no hacen referencia a estar cursando estudios para ampliar su formación</w:t>
      </w:r>
      <w:r>
        <w:rPr>
          <w:rFonts w:ascii="Times New Roman" w:hAnsi="Times New Roman" w:cs="Times New Roman"/>
          <w:sz w:val="24"/>
          <w:szCs w:val="24"/>
        </w:rPr>
        <w:t>, son minoritaria</w:t>
      </w:r>
      <w:r w:rsidRPr="00DE67E3">
        <w:rPr>
          <w:rFonts w:ascii="Times New Roman" w:hAnsi="Times New Roman" w:cs="Times New Roman"/>
          <w:sz w:val="24"/>
          <w:szCs w:val="24"/>
        </w:rPr>
        <w:t>s. De hecho, la segunda categoría que más jóvenes agrupa es la que se refiere a otros motivos, con 143.000. Después hay algo más de 120.000 menores de 30 años que no pueden participar del mercado de trabajo por estar atravesando una enfermedad o tener reconocido un grado de discapacidad que lo impide. Y no llegan a 18.000 los que mencionan que no han encontrado disponible un empleo adecuado, menos que los que hacían referencia a este motivo cuatro años atrás.</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lastRenderedPageBreak/>
        <w:t>Todo ello contribuye a poner en situación la evolución experimentada por los jóvenes que están inactivos en los últimos cuatro años, un avance de dos dígitos que solo es comparable con el de las personas que alcanzan la edad de jubilación. El grupo de entre 65 y 69 años creció un 10,8% en estos cuatro años y al igual que el de los jóvenes, triplica el aumento experimentado por el conjunto de las franjas de edad por el retiro de los babyboomers.</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Más población activa</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Esta es la otra cara de la moneda. El periodo posterior a la pandemia ha elevado en más de 1,3 millones el número de personas que están trabajando o están desempleadas. Un avance que viene dado por el papel de los flujos migratorios, que ha superado las expectativas de organismos como el Banco de España y que ha hecho que este grupo poblacional haya protagonizado la creación de empleo en los últimos ejercicios. También de la extensión de la población activa, puesto que la incorporación de inmigrantes al mercado laboral ha compensado la pérdida de casi 99.000 activos nacidos en España desde el periodo anterior al covid.</w:t>
      </w:r>
    </w:p>
    <w:p w:rsidR="000803C7" w:rsidRPr="00DE67E3" w:rsidRDefault="000803C7" w:rsidP="000803C7">
      <w:pPr>
        <w:spacing w:line="240" w:lineRule="auto"/>
        <w:jc w:val="both"/>
        <w:rPr>
          <w:rFonts w:ascii="Times New Roman" w:hAnsi="Times New Roman" w:cs="Times New Roman"/>
          <w:sz w:val="24"/>
          <w:szCs w:val="24"/>
        </w:rPr>
      </w:pPr>
      <w:r w:rsidRPr="00DE67E3">
        <w:rPr>
          <w:rFonts w:ascii="Times New Roman" w:hAnsi="Times New Roman" w:cs="Times New Roman"/>
          <w:sz w:val="24"/>
          <w:szCs w:val="24"/>
        </w:rPr>
        <w:t>Este ha sido valorado por los economistas como un fenómeno positivo, dado que aumenta la capacidad productiva del país. Pero también supone un reto respecto a la capacidad del mercado laboral de poder adaptarse y absorber nuevos trabajadores sin generar distorsiones.</w:t>
      </w:r>
    </w:p>
    <w:p w:rsidR="000803C7" w:rsidRPr="00AC200B" w:rsidRDefault="000803C7" w:rsidP="000803C7">
      <w:pPr>
        <w:spacing w:line="240" w:lineRule="auto"/>
        <w:jc w:val="both"/>
        <w:rPr>
          <w:rFonts w:ascii="Times New Roman" w:hAnsi="Times New Roman" w:cs="Times New Roman"/>
          <w:b/>
          <w:color w:val="FF0000"/>
          <w:sz w:val="24"/>
          <w:szCs w:val="24"/>
          <w:shd w:val="clear" w:color="auto" w:fill="FFFFFF"/>
        </w:rPr>
      </w:pPr>
      <w:r w:rsidRPr="00AC200B">
        <w:rPr>
          <w:rFonts w:ascii="Times New Roman" w:hAnsi="Times New Roman" w:cs="Times New Roman"/>
          <w:b/>
          <w:color w:val="FF0000"/>
          <w:sz w:val="24"/>
          <w:szCs w:val="24"/>
          <w:shd w:val="clear" w:color="auto" w:fill="FFFFFF"/>
        </w:rPr>
        <w:t>Posibles soluciones al problema de las pensiones, según San Google (con ayuda de la IA)</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sidRPr="00E61DF7">
        <w:rPr>
          <w:rFonts w:ascii="Times New Roman" w:hAnsi="Times New Roman" w:cs="Times New Roman"/>
          <w:color w:val="000000"/>
          <w:sz w:val="24"/>
          <w:szCs w:val="24"/>
          <w:shd w:val="clear" w:color="auto" w:fill="FFFFFF"/>
        </w:rPr>
        <w:t>El problema de las pensiones en España es complejo y multifacético, con diversas causas y posibles soluciones que se han debatido y propuesto. Entre las soluciones más destacadas se encuentran:</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Reformas del sistema</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sidRPr="00E61DF7">
        <w:rPr>
          <w:rFonts w:ascii="Times New Roman" w:hAnsi="Times New Roman" w:cs="Times New Roman"/>
          <w:color w:val="000000"/>
          <w:sz w:val="24"/>
          <w:szCs w:val="24"/>
          <w:shd w:val="clear" w:color="auto" w:fill="FFFFFF"/>
        </w:rPr>
        <w:t>Aumento de la edad de jubilación:</w:t>
      </w:r>
      <w:r>
        <w:rPr>
          <w:rFonts w:ascii="Times New Roman" w:hAnsi="Times New Roman" w:cs="Times New Roman"/>
          <w:color w:val="000000"/>
          <w:sz w:val="24"/>
          <w:szCs w:val="24"/>
          <w:shd w:val="clear" w:color="auto" w:fill="FFFFFF"/>
        </w:rPr>
        <w:t xml:space="preserve"> </w:t>
      </w:r>
      <w:r w:rsidRPr="00E61DF7">
        <w:rPr>
          <w:rFonts w:ascii="Times New Roman" w:hAnsi="Times New Roman" w:cs="Times New Roman"/>
          <w:color w:val="000000"/>
          <w:sz w:val="24"/>
          <w:szCs w:val="24"/>
          <w:shd w:val="clear" w:color="auto" w:fill="FFFFFF"/>
        </w:rPr>
        <w:t xml:space="preserve">Retrasar la edad de acceso a la jubilación para aumentar el período de cotización y reducir la presión sobre el sistema. </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sidRPr="00E61DF7">
        <w:rPr>
          <w:rFonts w:ascii="Times New Roman" w:hAnsi="Times New Roman" w:cs="Times New Roman"/>
          <w:color w:val="000000"/>
          <w:sz w:val="24"/>
          <w:szCs w:val="24"/>
          <w:shd w:val="clear" w:color="auto" w:fill="FFFFFF"/>
        </w:rPr>
        <w:t>Vincular las pe</w:t>
      </w:r>
      <w:r>
        <w:rPr>
          <w:rFonts w:ascii="Times New Roman" w:hAnsi="Times New Roman" w:cs="Times New Roman"/>
          <w:color w:val="000000"/>
          <w:sz w:val="24"/>
          <w:szCs w:val="24"/>
          <w:shd w:val="clear" w:color="auto" w:fill="FFFFFF"/>
        </w:rPr>
        <w:t xml:space="preserve">nsiones a la esperanza de vida: </w:t>
      </w:r>
      <w:r w:rsidRPr="00E61DF7">
        <w:rPr>
          <w:rFonts w:ascii="Times New Roman" w:hAnsi="Times New Roman" w:cs="Times New Roman"/>
          <w:color w:val="000000"/>
          <w:sz w:val="24"/>
          <w:szCs w:val="24"/>
          <w:shd w:val="clear" w:color="auto" w:fill="FFFFFF"/>
        </w:rPr>
        <w:t xml:space="preserve">Ajustar las cuantías de las pensiones en función de la evolución de la esperanza de vida de los pensionistas, lo que permitiría una mayor sostenibilidad. </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Transición a un sistema mixto: </w:t>
      </w:r>
      <w:r w:rsidRPr="00E61DF7">
        <w:rPr>
          <w:rFonts w:ascii="Times New Roman" w:hAnsi="Times New Roman" w:cs="Times New Roman"/>
          <w:color w:val="000000"/>
          <w:sz w:val="24"/>
          <w:szCs w:val="24"/>
          <w:shd w:val="clear" w:color="auto" w:fill="FFFFFF"/>
        </w:rPr>
        <w:t xml:space="preserve">Combinar el sistema de reparto actual con un sistema de capitalización (planes de pensiones privados) para diversificar las fuentes de financiación y reducir la dependencia del sistema público. </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Fomentar el ahorro privado: </w:t>
      </w:r>
      <w:r w:rsidRPr="00E61DF7">
        <w:rPr>
          <w:rFonts w:ascii="Times New Roman" w:hAnsi="Times New Roman" w:cs="Times New Roman"/>
          <w:color w:val="000000"/>
          <w:sz w:val="24"/>
          <w:szCs w:val="24"/>
          <w:shd w:val="clear" w:color="auto" w:fill="FFFFFF"/>
        </w:rPr>
        <w:t xml:space="preserve">Incentivar a los trabajadores a complementar sus pensiones públicas con planes de pensiones privados para asegurar un nivel de ingresos adecuado en la jubilación. </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sidRPr="00E61DF7">
        <w:rPr>
          <w:rFonts w:ascii="Times New Roman" w:hAnsi="Times New Roman" w:cs="Times New Roman"/>
          <w:color w:val="000000"/>
          <w:sz w:val="24"/>
          <w:szCs w:val="24"/>
          <w:shd w:val="clear" w:color="auto" w:fill="FFFFFF"/>
        </w:rPr>
        <w:t>Reformas estructurales para aumentar la productividad y el</w:t>
      </w:r>
      <w:r>
        <w:rPr>
          <w:rFonts w:ascii="Times New Roman" w:hAnsi="Times New Roman" w:cs="Times New Roman"/>
          <w:color w:val="000000"/>
          <w:sz w:val="24"/>
          <w:szCs w:val="24"/>
          <w:shd w:val="clear" w:color="auto" w:fill="FFFFFF"/>
        </w:rPr>
        <w:t xml:space="preserve"> empleo: </w:t>
      </w:r>
      <w:r w:rsidRPr="00E61DF7">
        <w:rPr>
          <w:rFonts w:ascii="Times New Roman" w:hAnsi="Times New Roman" w:cs="Times New Roman"/>
          <w:color w:val="000000"/>
          <w:sz w:val="24"/>
          <w:szCs w:val="24"/>
          <w:shd w:val="clear" w:color="auto" w:fill="FFFFFF"/>
        </w:rPr>
        <w:t xml:space="preserve">Mejorar la competitividad, reducir el desempleo y aumentar la tasa de actividad son medidas clave para fortalecer el sistema de pensiones a largo plazo. </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sidRPr="00E61DF7">
        <w:rPr>
          <w:rFonts w:ascii="Times New Roman" w:hAnsi="Times New Roman" w:cs="Times New Roman"/>
          <w:color w:val="000000"/>
          <w:sz w:val="24"/>
          <w:szCs w:val="24"/>
          <w:shd w:val="clear" w:color="auto" w:fill="FFFFFF"/>
        </w:rPr>
        <w:t>Mejorar l</w:t>
      </w:r>
      <w:r>
        <w:rPr>
          <w:rFonts w:ascii="Times New Roman" w:hAnsi="Times New Roman" w:cs="Times New Roman"/>
          <w:color w:val="000000"/>
          <w:sz w:val="24"/>
          <w:szCs w:val="24"/>
          <w:shd w:val="clear" w:color="auto" w:fill="FFFFFF"/>
        </w:rPr>
        <w:t xml:space="preserve">a eficiencia del gasto público: </w:t>
      </w:r>
      <w:r w:rsidRPr="00E61DF7">
        <w:rPr>
          <w:rFonts w:ascii="Times New Roman" w:hAnsi="Times New Roman" w:cs="Times New Roman"/>
          <w:color w:val="000000"/>
          <w:sz w:val="24"/>
          <w:szCs w:val="24"/>
          <w:shd w:val="clear" w:color="auto" w:fill="FFFFFF"/>
        </w:rPr>
        <w:t xml:space="preserve">Optimizar la gestión de los recursos públicos en otras áreas para liberar fondos que puedan destinarse a las pensiones. </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sidRPr="00E61DF7">
        <w:rPr>
          <w:rFonts w:ascii="Times New Roman" w:hAnsi="Times New Roman" w:cs="Times New Roman"/>
          <w:color w:val="000000"/>
          <w:sz w:val="24"/>
          <w:szCs w:val="24"/>
          <w:shd w:val="clear" w:color="auto" w:fill="FFFFFF"/>
        </w:rPr>
        <w:t>Revisar y a</w:t>
      </w:r>
      <w:r>
        <w:rPr>
          <w:rFonts w:ascii="Times New Roman" w:hAnsi="Times New Roman" w:cs="Times New Roman"/>
          <w:color w:val="000000"/>
          <w:sz w:val="24"/>
          <w:szCs w:val="24"/>
          <w:shd w:val="clear" w:color="auto" w:fill="FFFFFF"/>
        </w:rPr>
        <w:t xml:space="preserve">daptar las bases de cotización: </w:t>
      </w:r>
      <w:r w:rsidRPr="00E61DF7">
        <w:rPr>
          <w:rFonts w:ascii="Times New Roman" w:hAnsi="Times New Roman" w:cs="Times New Roman"/>
          <w:color w:val="000000"/>
          <w:sz w:val="24"/>
          <w:szCs w:val="24"/>
          <w:shd w:val="clear" w:color="auto" w:fill="FFFFFF"/>
        </w:rPr>
        <w:t xml:space="preserve">Ajustar las bases de cotización para que reflejen mejor la realidad del mercado laboral y garantizar una mayor equidad en las aportaciones al sistema. </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Promover la inmigración: </w:t>
      </w:r>
      <w:r w:rsidRPr="00E61DF7">
        <w:rPr>
          <w:rFonts w:ascii="Times New Roman" w:hAnsi="Times New Roman" w:cs="Times New Roman"/>
          <w:color w:val="000000"/>
          <w:sz w:val="24"/>
          <w:szCs w:val="24"/>
          <w:shd w:val="clear" w:color="auto" w:fill="FFFFFF"/>
        </w:rPr>
        <w:t xml:space="preserve">Un aumento de la inmigración con trabajadores jóvenes podría contribuir a equilibrar la pirámide poblacional y aumentar la base de cotización al sistema. </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sidRPr="00E61DF7">
        <w:rPr>
          <w:rFonts w:ascii="Times New Roman" w:hAnsi="Times New Roman" w:cs="Times New Roman"/>
          <w:color w:val="000000"/>
          <w:sz w:val="24"/>
          <w:szCs w:val="24"/>
          <w:shd w:val="clear" w:color="auto" w:fill="FFFFFF"/>
        </w:rPr>
        <w:t>Otras medidas:</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sidRPr="00E61DF7">
        <w:rPr>
          <w:rFonts w:ascii="Times New Roman" w:hAnsi="Times New Roman" w:cs="Times New Roman"/>
          <w:color w:val="000000"/>
          <w:sz w:val="24"/>
          <w:szCs w:val="24"/>
          <w:shd w:val="clear" w:color="auto" w:fill="FFFFFF"/>
        </w:rPr>
        <w:t>Aumentar la conciencia ciudadana sobre la sostenibilidad del sistema:</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sidRPr="00E61DF7">
        <w:rPr>
          <w:rFonts w:ascii="Times New Roman" w:hAnsi="Times New Roman" w:cs="Times New Roman"/>
          <w:color w:val="000000"/>
          <w:sz w:val="24"/>
          <w:szCs w:val="24"/>
          <w:shd w:val="clear" w:color="auto" w:fill="FFFFFF"/>
        </w:rPr>
        <w:t xml:space="preserve">Informar a la población sobre los desafíos del sistema y la importancia de tomar medidas para asegurar su futuro. </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Combatir el fraude fiscal: </w:t>
      </w:r>
      <w:r w:rsidRPr="00E61DF7">
        <w:rPr>
          <w:rFonts w:ascii="Times New Roman" w:hAnsi="Times New Roman" w:cs="Times New Roman"/>
          <w:color w:val="000000"/>
          <w:sz w:val="24"/>
          <w:szCs w:val="24"/>
          <w:shd w:val="clear" w:color="auto" w:fill="FFFFFF"/>
        </w:rPr>
        <w:t xml:space="preserve">Reducir el fraude fiscal y mejorar la recaudación de impuestos para generar mayores ingresos para el sistema. </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sidRPr="00E61DF7">
        <w:rPr>
          <w:rFonts w:ascii="Times New Roman" w:hAnsi="Times New Roman" w:cs="Times New Roman"/>
          <w:color w:val="000000"/>
          <w:sz w:val="24"/>
          <w:szCs w:val="24"/>
          <w:shd w:val="clear" w:color="auto" w:fill="FFFFFF"/>
        </w:rPr>
        <w:t>Invertir en políticas de for</w:t>
      </w:r>
      <w:r>
        <w:rPr>
          <w:rFonts w:ascii="Times New Roman" w:hAnsi="Times New Roman" w:cs="Times New Roman"/>
          <w:color w:val="000000"/>
          <w:sz w:val="24"/>
          <w:szCs w:val="24"/>
          <w:shd w:val="clear" w:color="auto" w:fill="FFFFFF"/>
        </w:rPr>
        <w:t xml:space="preserve">mación y reciclaje profesional: </w:t>
      </w:r>
      <w:r w:rsidRPr="00E61DF7">
        <w:rPr>
          <w:rFonts w:ascii="Times New Roman" w:hAnsi="Times New Roman" w:cs="Times New Roman"/>
          <w:color w:val="000000"/>
          <w:sz w:val="24"/>
          <w:szCs w:val="24"/>
          <w:shd w:val="clear" w:color="auto" w:fill="FFFFFF"/>
        </w:rPr>
        <w:t xml:space="preserve">Adaptar las habilidades de los trabajadores a las nuevas necesidades del mercado laboral para facilitar su acceso al empleo y prolongar su vida laboral. </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Fomentar la natalidad: </w:t>
      </w:r>
      <w:r w:rsidRPr="00E61DF7">
        <w:rPr>
          <w:rFonts w:ascii="Times New Roman" w:hAnsi="Times New Roman" w:cs="Times New Roman"/>
          <w:color w:val="000000"/>
          <w:sz w:val="24"/>
          <w:szCs w:val="24"/>
          <w:shd w:val="clear" w:color="auto" w:fill="FFFFFF"/>
        </w:rPr>
        <w:t xml:space="preserve">Implementar políticas que favorezcan la natalidad para evitar un envejecimiento acelerado de la población. </w:t>
      </w:r>
    </w:p>
    <w:p w:rsidR="000803C7" w:rsidRPr="00E61DF7" w:rsidRDefault="000803C7" w:rsidP="000803C7">
      <w:pPr>
        <w:spacing w:line="240" w:lineRule="auto"/>
        <w:jc w:val="both"/>
        <w:rPr>
          <w:rFonts w:ascii="Times New Roman" w:hAnsi="Times New Roman" w:cs="Times New Roman"/>
          <w:color w:val="000000"/>
          <w:sz w:val="24"/>
          <w:szCs w:val="24"/>
          <w:shd w:val="clear" w:color="auto" w:fill="FFFFFF"/>
        </w:rPr>
      </w:pPr>
      <w:r w:rsidRPr="00E61DF7">
        <w:rPr>
          <w:rFonts w:ascii="Times New Roman" w:hAnsi="Times New Roman" w:cs="Times New Roman"/>
          <w:color w:val="000000"/>
          <w:sz w:val="24"/>
          <w:szCs w:val="24"/>
          <w:shd w:val="clear" w:color="auto" w:fill="FFFFFF"/>
        </w:rPr>
        <w:t>Mayo</w:t>
      </w:r>
      <w:r>
        <w:rPr>
          <w:rFonts w:ascii="Times New Roman" w:hAnsi="Times New Roman" w:cs="Times New Roman"/>
          <w:color w:val="000000"/>
          <w:sz w:val="24"/>
          <w:szCs w:val="24"/>
          <w:shd w:val="clear" w:color="auto" w:fill="FFFFFF"/>
        </w:rPr>
        <w:t xml:space="preserve">r transparencia y comunicación: </w:t>
      </w:r>
      <w:r w:rsidRPr="00E61DF7">
        <w:rPr>
          <w:rFonts w:ascii="Times New Roman" w:hAnsi="Times New Roman" w:cs="Times New Roman"/>
          <w:color w:val="000000"/>
          <w:sz w:val="24"/>
          <w:szCs w:val="24"/>
          <w:shd w:val="clear" w:color="auto" w:fill="FFFFFF"/>
        </w:rPr>
        <w:t xml:space="preserve">Mejorar la transparencia en la gestión de las cuentas del sistema y comunicar de forma clara a los ciudadanos la situación y las medidas que se están adoptando, según Finanzas.com. </w:t>
      </w:r>
    </w:p>
    <w:p w:rsidR="000803C7" w:rsidRDefault="000803C7" w:rsidP="000803C7">
      <w:pPr>
        <w:spacing w:line="240" w:lineRule="auto"/>
        <w:jc w:val="both"/>
        <w:rPr>
          <w:rFonts w:ascii="Times New Roman" w:hAnsi="Times New Roman" w:cs="Times New Roman"/>
          <w:color w:val="000000"/>
          <w:sz w:val="24"/>
          <w:szCs w:val="24"/>
          <w:shd w:val="clear" w:color="auto" w:fill="FFFFFF"/>
        </w:rPr>
      </w:pPr>
      <w:r w:rsidRPr="00E61DF7">
        <w:rPr>
          <w:rFonts w:ascii="Times New Roman" w:hAnsi="Times New Roman" w:cs="Times New Roman"/>
          <w:color w:val="000000"/>
          <w:sz w:val="24"/>
          <w:szCs w:val="24"/>
          <w:shd w:val="clear" w:color="auto" w:fill="FFFFFF"/>
        </w:rPr>
        <w:t>Es importante señalar que no existe una única solución al problema de las pensiones, y que la combinación de diferentes medidas es probablemente la opción más efectiva para garantizar la sostenibilidad del sistema a largo plazo.</w:t>
      </w:r>
    </w:p>
    <w:p w:rsidR="000803C7" w:rsidRDefault="000803C7" w:rsidP="000803C7">
      <w:pPr>
        <w:spacing w:line="240" w:lineRule="auto"/>
        <w:jc w:val="both"/>
        <w:rPr>
          <w:rFonts w:ascii="Times New Roman" w:hAnsi="Times New Roman" w:cs="Times New Roman"/>
          <w:b/>
          <w:color w:val="FF0000"/>
          <w:sz w:val="24"/>
          <w:szCs w:val="24"/>
          <w:shd w:val="clear" w:color="auto" w:fill="FFFFFF"/>
        </w:rPr>
      </w:pPr>
      <w:r w:rsidRPr="00EA438D">
        <w:rPr>
          <w:rFonts w:ascii="Times New Roman" w:hAnsi="Times New Roman" w:cs="Times New Roman"/>
          <w:b/>
          <w:color w:val="FF0000"/>
          <w:sz w:val="24"/>
          <w:szCs w:val="24"/>
          <w:shd w:val="clear" w:color="auto" w:fill="FFFFFF"/>
        </w:rPr>
        <w:t>Unas cuentas “nocionales”: algunas verda</w:t>
      </w:r>
      <w:r>
        <w:rPr>
          <w:rFonts w:ascii="Times New Roman" w:hAnsi="Times New Roman" w:cs="Times New Roman"/>
          <w:b/>
          <w:color w:val="FF0000"/>
          <w:sz w:val="24"/>
          <w:szCs w:val="24"/>
          <w:shd w:val="clear" w:color="auto" w:fill="FFFFFF"/>
        </w:rPr>
        <w:t>des “políticamente incorrectas”</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 xml:space="preserve">- </w:t>
      </w:r>
      <w:r w:rsidRPr="00D7606D">
        <w:rPr>
          <w:rFonts w:ascii="Times New Roman" w:hAnsi="Times New Roman" w:cs="Times New Roman"/>
          <w:sz w:val="24"/>
          <w:szCs w:val="24"/>
          <w:u w:val="single"/>
        </w:rPr>
        <w:t>Las cotizaciones sociales cubren solo el 70% de los ingresos para pagar pensiones</w:t>
      </w:r>
      <w:r w:rsidRPr="00D7606D">
        <w:rPr>
          <w:rFonts w:ascii="Times New Roman" w:hAnsi="Times New Roman" w:cs="Times New Roman"/>
          <w:sz w:val="24"/>
          <w:szCs w:val="24"/>
        </w:rPr>
        <w:t xml:space="preserve"> (El Economista - </w:t>
      </w:r>
      <w:r w:rsidRPr="00D7606D">
        <w:rPr>
          <w:rFonts w:ascii="Times New Roman" w:hAnsi="Times New Roman" w:cs="Times New Roman"/>
          <w:b/>
          <w:sz w:val="24"/>
          <w:szCs w:val="24"/>
        </w:rPr>
        <w:t>18/8/25</w:t>
      </w:r>
      <w:r w:rsidRPr="00D7606D">
        <w:rPr>
          <w:rFonts w:ascii="Times New Roman" w:hAnsi="Times New Roman" w:cs="Times New Roman"/>
          <w:sz w:val="24"/>
          <w:szCs w:val="24"/>
        </w:rPr>
        <w:t>)</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Las transferencias del Estado a Seguridad Social han crecido 14 puntos porcentuales desde 2019</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El Consejo de Ministros aprobó en julio el traspaso de otros 6.800 millones de euros</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(Por Blanca Martínez Mingo)</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 xml:space="preserve">El dinero que el Estado aporta a la Seguridad Social para que esta pueda cumplir con sus obligaciones es cada vez mayor. Hasta el mes de junio, las transferencias totales recibidas por el Ministerio dirigido por Elma Saiz suponían casi el 30% de los ingresos (un 27% en concreto). Es decir, las cotizaciones sociales solo cubrieron el 70% de los recursos del Departamento encargado de pagar las pensiones. </w:t>
      </w:r>
      <w:r w:rsidR="00AC200B">
        <w:rPr>
          <w:rFonts w:ascii="Times New Roman" w:hAnsi="Times New Roman" w:cs="Times New Roman"/>
          <w:sz w:val="24"/>
          <w:szCs w:val="24"/>
        </w:rPr>
        <w:t>Esta partida de gasto se lleva -</w:t>
      </w:r>
      <w:r w:rsidRPr="00D7606D">
        <w:rPr>
          <w:rFonts w:ascii="Times New Roman" w:hAnsi="Times New Roman" w:cs="Times New Roman"/>
          <w:sz w:val="24"/>
          <w:szCs w:val="24"/>
        </w:rPr>
        <w:t>segú</w:t>
      </w:r>
      <w:r w:rsidR="00AC200B">
        <w:rPr>
          <w:rFonts w:ascii="Times New Roman" w:hAnsi="Times New Roman" w:cs="Times New Roman"/>
          <w:sz w:val="24"/>
          <w:szCs w:val="24"/>
        </w:rPr>
        <w:t>n el presupuesto del Ministerio-</w:t>
      </w:r>
      <w:r w:rsidRPr="00D7606D">
        <w:rPr>
          <w:rFonts w:ascii="Times New Roman" w:hAnsi="Times New Roman" w:cs="Times New Roman"/>
          <w:sz w:val="24"/>
          <w:szCs w:val="24"/>
        </w:rPr>
        <w:t xml:space="preserve"> el 88% del gasto total en el nivel contributivo de la Seguridad Social y el 55% en el no contributivo.</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Teniendo en cuenta e</w:t>
      </w:r>
      <w:r w:rsidR="00AC200B">
        <w:rPr>
          <w:rFonts w:ascii="Times New Roman" w:hAnsi="Times New Roman" w:cs="Times New Roman"/>
          <w:sz w:val="24"/>
          <w:szCs w:val="24"/>
        </w:rPr>
        <w:t>l dinero procedente del Estado -</w:t>
      </w:r>
      <w:r w:rsidRPr="00D7606D">
        <w:rPr>
          <w:rFonts w:ascii="Times New Roman" w:hAnsi="Times New Roman" w:cs="Times New Roman"/>
          <w:sz w:val="24"/>
          <w:szCs w:val="24"/>
        </w:rPr>
        <w:t>otras transferencias provienen de la propia Seguridad Social, comunidades autónomas y empresas privadas pero en conjunto solo suponen el 8% del total– estos envíos de dinero ya forman el 25% de los recursos. La proporción más elevada desde que existe registro. Estas transferencias son aportes de dinero procedentes de los Presupuestos Generales del Estado que se envían al sistema de Seguridad Social y que, por tanto, proceden de impuestos generales</w:t>
      </w:r>
      <w:r w:rsidR="005608C2">
        <w:rPr>
          <w:rFonts w:ascii="Times New Roman" w:hAnsi="Times New Roman" w:cs="Times New Roman"/>
          <w:sz w:val="24"/>
          <w:szCs w:val="24"/>
        </w:rPr>
        <w:t xml:space="preserve"> -</w:t>
      </w:r>
      <w:r w:rsidR="00AC200B">
        <w:rPr>
          <w:rFonts w:ascii="Times New Roman" w:hAnsi="Times New Roman" w:cs="Times New Roman"/>
          <w:sz w:val="24"/>
          <w:szCs w:val="24"/>
        </w:rPr>
        <w:t>no de cotizaciones-</w:t>
      </w:r>
      <w:r w:rsidRPr="00D7606D">
        <w:rPr>
          <w:rFonts w:ascii="Times New Roman" w:hAnsi="Times New Roman" w:cs="Times New Roman"/>
          <w:sz w:val="24"/>
          <w:szCs w:val="24"/>
        </w:rPr>
        <w:t>.</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lastRenderedPageBreak/>
        <w:t>En comparación con el porcentaje dedicado en 2024 (es decir, cuánta parte de los ingresos vienen de estas transferencias), el envío de más presupuesto por parte del Estado ha crecido en 5 puntos porcentuales, y al contrastar la cifra con 2019 el porcentaje sube en 14 puntos porcentuales.</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noProof/>
          <w:sz w:val="24"/>
          <w:szCs w:val="24"/>
          <w:lang w:eastAsia="es-ES"/>
        </w:rPr>
        <w:drawing>
          <wp:inline distT="0" distB="0" distL="0" distR="0" wp14:anchorId="4997306E" wp14:editId="4829CB32">
            <wp:extent cx="5683250" cy="3238500"/>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stretch>
                      <a:fillRect/>
                    </a:stretch>
                  </pic:blipFill>
                  <pic:spPr>
                    <a:xfrm>
                      <a:off x="0" y="0"/>
                      <a:ext cx="5680902" cy="3237162"/>
                    </a:xfrm>
                    <a:prstGeom prst="rect">
                      <a:avLst/>
                    </a:prstGeom>
                  </pic:spPr>
                </pic:pic>
              </a:graphicData>
            </a:graphic>
          </wp:inline>
        </w:drawing>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Así lo muestran los últimos datos disponibles del Ministerio de Seguridad Social, comprendidos en el documento de Resumen de Ejecución Presupuestaria, que llegan hasta el mes de junio. En concreto, en los primeros seis meses del año, el sistema ha necesitado 29.765,05 millones de euros en transferencias que proceden, exclusivamente, de la Administración Central.</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Más gasto</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Cabe destacar, sin embargo, que en uno de los últimos Consejos de Ministros, el Ejecutivo aprobó hasta cinco acuerdos para transferir a Seguridad Social 6.836 millones de euros extra. Una cuantía que, al haber sido aprobada en julio, todavía no ha sido incluida en el documento de ejecución presupuestaria y, por tanto, no forma parte de la proporción mencionada del 27% y que, probablemente, la incrementaría.</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El objetivo de estos 6.836 millones extra aprobados en julio es cubrir el complemento de pensiones mínimas; las prestaciones de protección familiar; las pensiones no contributivas por invalidez y jubilación, el Ingreso Mínimo Vital y otras aportaciones a las que obliga el Pacto de Toledo. En el sexto mes del año, el nivel no contributivo de la Seguridad Social había consumido un 57% de su presupuesto.</w:t>
      </w:r>
    </w:p>
    <w:p w:rsidR="000803C7"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Por otro lado, la extensión de los permisos retribuidos para el cuidado al menor dirigidos a los trabajadores y aprobada en el último Consejo de Ministros antes de septiembre, también implicará un gasto no contemplado en el presupuesto. La cifra concreta, ofrecida por la ministra de Trabajo, Yolanda Díaz, en la rueda de prensa del Consejo tras la aprobación de la medida, asciende hasta los 1.500 millones de euros y supera en un 40% al presupuesto que Seguridad Social destina actualmente a esta partida.</w:t>
      </w:r>
    </w:p>
    <w:p w:rsidR="005608C2" w:rsidRPr="00D7606D" w:rsidRDefault="005608C2" w:rsidP="000803C7">
      <w:pPr>
        <w:spacing w:line="240" w:lineRule="auto"/>
        <w:jc w:val="both"/>
        <w:rPr>
          <w:rFonts w:ascii="Times New Roman" w:hAnsi="Times New Roman" w:cs="Times New Roman"/>
          <w:sz w:val="24"/>
          <w:szCs w:val="24"/>
        </w:rPr>
      </w:pP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lastRenderedPageBreak/>
        <w:t>Separación de fuentes</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La separación de fuentes de financiación es la primera recomendación del Pacto de Toledo de 2020, un consenso entre todos los partidos y que debe servir de base para las reformas del Gobierno. Según este texto, las cotizaciones sociales deben ser destinadas exclusivamente a financiar prestaciones contributivas; mientras que la financiación de las prestaciones no contributivas ha de efectuarse exclusivamente a través de aportaciones del Estado al presupuesto de la Seguridad Social.</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En este sentido, defiende el documento, el hecho de que los ingresos por cotizaciones sociales se utilicen para financi</w:t>
      </w:r>
      <w:r w:rsidR="00AC200B">
        <w:rPr>
          <w:rFonts w:ascii="Times New Roman" w:hAnsi="Times New Roman" w:cs="Times New Roman"/>
          <w:sz w:val="24"/>
          <w:szCs w:val="24"/>
        </w:rPr>
        <w:t>ar las ayudas no contributivas “</w:t>
      </w:r>
      <w:r w:rsidRPr="00D7606D">
        <w:rPr>
          <w:rFonts w:ascii="Times New Roman" w:hAnsi="Times New Roman" w:cs="Times New Roman"/>
          <w:sz w:val="24"/>
          <w:szCs w:val="24"/>
        </w:rPr>
        <w:t>explicaría en buena medida e</w:t>
      </w:r>
      <w:r w:rsidR="00AC200B">
        <w:rPr>
          <w:rFonts w:ascii="Times New Roman" w:hAnsi="Times New Roman" w:cs="Times New Roman"/>
          <w:sz w:val="24"/>
          <w:szCs w:val="24"/>
        </w:rPr>
        <w:t>l déficit actualmente existente”</w:t>
      </w:r>
      <w:r w:rsidRPr="00D7606D">
        <w:rPr>
          <w:rFonts w:ascii="Times New Roman" w:hAnsi="Times New Roman" w:cs="Times New Roman"/>
          <w:sz w:val="24"/>
          <w:szCs w:val="24"/>
        </w:rPr>
        <w:t>. Esta recomendación es, precisamente el argumento que, según ha detallado la ministra, Elma Saiz, en diferentes ocasiones, explica el aumento de este recurso en los últimos años.</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 xml:space="preserve">De hecho, </w:t>
      </w:r>
      <w:r w:rsidR="00AC200B">
        <w:rPr>
          <w:rFonts w:ascii="Times New Roman" w:hAnsi="Times New Roman" w:cs="Times New Roman"/>
          <w:sz w:val="24"/>
          <w:szCs w:val="24"/>
        </w:rPr>
        <w:t>Saiz también ha defendido que, “los países de nuestro entorno”</w:t>
      </w:r>
      <w:r w:rsidRPr="00D7606D">
        <w:rPr>
          <w:rFonts w:ascii="Times New Roman" w:hAnsi="Times New Roman" w:cs="Times New Roman"/>
          <w:sz w:val="24"/>
          <w:szCs w:val="24"/>
        </w:rPr>
        <w:t xml:space="preserve"> no financian las pensiones únicamente a través de cotizaciones, sino que también recurr</w:t>
      </w:r>
      <w:r w:rsidR="00AC200B">
        <w:rPr>
          <w:rFonts w:ascii="Times New Roman" w:hAnsi="Times New Roman" w:cs="Times New Roman"/>
          <w:sz w:val="24"/>
          <w:szCs w:val="24"/>
        </w:rPr>
        <w:t>en a los impuestos. “</w:t>
      </w:r>
      <w:r w:rsidRPr="00D7606D">
        <w:rPr>
          <w:rFonts w:ascii="Times New Roman" w:hAnsi="Times New Roman" w:cs="Times New Roman"/>
          <w:sz w:val="24"/>
          <w:szCs w:val="24"/>
        </w:rPr>
        <w:t>De esta forma avanzamos en la progresiva homologación a los países de nuestro entorno, en los que la implicación del Estado en la financiación de las pensiones públicas sigue suponiendo un cuarto y un tercio, respectivamente, del gasto</w:t>
      </w:r>
      <w:r w:rsidR="00AC200B">
        <w:rPr>
          <w:rFonts w:ascii="Times New Roman" w:hAnsi="Times New Roman" w:cs="Times New Roman"/>
          <w:sz w:val="24"/>
          <w:szCs w:val="24"/>
        </w:rPr>
        <w:t xml:space="preserve"> en Francia o Alemania”</w:t>
      </w:r>
      <w:r w:rsidRPr="00D7606D">
        <w:rPr>
          <w:rFonts w:ascii="Times New Roman" w:hAnsi="Times New Roman" w:cs="Times New Roman"/>
          <w:sz w:val="24"/>
          <w:szCs w:val="24"/>
        </w:rPr>
        <w:t>, argumentaba Saiz en su última comparecencia en la Comisión del Pacto de Toledo.</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18.200 millones de euros en no contributivas</w:t>
      </w:r>
    </w:p>
    <w:p w:rsidR="000803C7" w:rsidRPr="00D7606D"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 xml:space="preserve">Para este 2025, el Ministerio de Seguridad Social cuenta con un presupuesto de 18.200 millones de euros para gastar en prestaciones no contributivas. Hasta ahora, según </w:t>
      </w:r>
      <w:r w:rsidR="00AC200B">
        <w:rPr>
          <w:rFonts w:ascii="Times New Roman" w:hAnsi="Times New Roman" w:cs="Times New Roman"/>
          <w:sz w:val="24"/>
          <w:szCs w:val="24"/>
        </w:rPr>
        <w:t>las últimas cifras disponibles -</w:t>
      </w:r>
      <w:r w:rsidRPr="00D7606D">
        <w:rPr>
          <w:rFonts w:ascii="Times New Roman" w:hAnsi="Times New Roman" w:cs="Times New Roman"/>
          <w:sz w:val="24"/>
          <w:szCs w:val="24"/>
        </w:rPr>
        <w:t>q</w:t>
      </w:r>
      <w:r w:rsidR="00AC200B">
        <w:rPr>
          <w:rFonts w:ascii="Times New Roman" w:hAnsi="Times New Roman" w:cs="Times New Roman"/>
          <w:sz w:val="24"/>
          <w:szCs w:val="24"/>
        </w:rPr>
        <w:t>ue llegan hasta el mes de junio-</w:t>
      </w:r>
      <w:r w:rsidRPr="00D7606D">
        <w:rPr>
          <w:rFonts w:ascii="Times New Roman" w:hAnsi="Times New Roman" w:cs="Times New Roman"/>
          <w:sz w:val="24"/>
          <w:szCs w:val="24"/>
        </w:rPr>
        <w:t xml:space="preserve"> el Departamento de Saiz ha gastado un total de 10.376,13 millones de euros, un 57%.</w:t>
      </w:r>
    </w:p>
    <w:p w:rsidR="000803C7" w:rsidRPr="00D7606D" w:rsidRDefault="00AC200B"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En contraste -</w:t>
      </w:r>
      <w:r w:rsidR="000803C7" w:rsidRPr="00D7606D">
        <w:rPr>
          <w:rFonts w:ascii="Times New Roman" w:hAnsi="Times New Roman" w:cs="Times New Roman"/>
          <w:sz w:val="24"/>
          <w:szCs w:val="24"/>
        </w:rPr>
        <w:t>y como se ha mencionado anter</w:t>
      </w:r>
      <w:r>
        <w:rPr>
          <w:rFonts w:ascii="Times New Roman" w:hAnsi="Times New Roman" w:cs="Times New Roman"/>
          <w:sz w:val="24"/>
          <w:szCs w:val="24"/>
        </w:rPr>
        <w:t>iormente-</w:t>
      </w:r>
      <w:r w:rsidR="000803C7" w:rsidRPr="00D7606D">
        <w:rPr>
          <w:rFonts w:ascii="Times New Roman" w:hAnsi="Times New Roman" w:cs="Times New Roman"/>
          <w:sz w:val="24"/>
          <w:szCs w:val="24"/>
        </w:rPr>
        <w:t xml:space="preserve"> Seguridad Social ha ingresado 29.765,05 millones de euros en conceptos de transferencias. Para este año, prevé recibir 38.688,51 millones, pero ya ha consumido el 77% de lo previsto.</w:t>
      </w:r>
    </w:p>
    <w:p w:rsidR="000803C7" w:rsidRDefault="000803C7" w:rsidP="000803C7">
      <w:pPr>
        <w:spacing w:line="240" w:lineRule="auto"/>
        <w:jc w:val="both"/>
        <w:rPr>
          <w:rFonts w:ascii="Times New Roman" w:hAnsi="Times New Roman" w:cs="Times New Roman"/>
          <w:sz w:val="24"/>
          <w:szCs w:val="24"/>
        </w:rPr>
      </w:pPr>
      <w:r w:rsidRPr="00D7606D">
        <w:rPr>
          <w:rFonts w:ascii="Times New Roman" w:hAnsi="Times New Roman" w:cs="Times New Roman"/>
          <w:sz w:val="24"/>
          <w:szCs w:val="24"/>
        </w:rPr>
        <w:t>Es decir, teniendo en cuenta lo gastado, el Ministerio habría dedicado solo el 34% de lo ingresado por transferencias a cubrir las</w:t>
      </w:r>
      <w:r w:rsidR="00AC200B">
        <w:rPr>
          <w:rFonts w:ascii="Times New Roman" w:hAnsi="Times New Roman" w:cs="Times New Roman"/>
          <w:sz w:val="24"/>
          <w:szCs w:val="24"/>
        </w:rPr>
        <w:t xml:space="preserve"> prestaciones no contributivas -</w:t>
      </w:r>
      <w:r w:rsidRPr="00D7606D">
        <w:rPr>
          <w:rFonts w:ascii="Times New Roman" w:hAnsi="Times New Roman" w:cs="Times New Roman"/>
          <w:sz w:val="24"/>
          <w:szCs w:val="24"/>
        </w:rPr>
        <w:t>suponiendo que se destina el 100% de lo recaudado po</w:t>
      </w:r>
      <w:r w:rsidR="00AC200B">
        <w:rPr>
          <w:rFonts w:ascii="Times New Roman" w:hAnsi="Times New Roman" w:cs="Times New Roman"/>
          <w:sz w:val="24"/>
          <w:szCs w:val="24"/>
        </w:rPr>
        <w:t>r este concepto a dichas ayudas-</w:t>
      </w:r>
      <w:r w:rsidRPr="00D7606D">
        <w:rPr>
          <w:rFonts w:ascii="Times New Roman" w:hAnsi="Times New Roman" w:cs="Times New Roman"/>
          <w:sz w:val="24"/>
          <w:szCs w:val="24"/>
        </w:rPr>
        <w:t xml:space="preserve">. Por otro lado, si se tiene en </w:t>
      </w:r>
      <w:r w:rsidR="00AC200B">
        <w:rPr>
          <w:rFonts w:ascii="Times New Roman" w:hAnsi="Times New Roman" w:cs="Times New Roman"/>
          <w:sz w:val="24"/>
          <w:szCs w:val="24"/>
        </w:rPr>
        <w:t>cuenta el dinero presupuestado -</w:t>
      </w:r>
      <w:r w:rsidRPr="00D7606D">
        <w:rPr>
          <w:rFonts w:ascii="Times New Roman" w:hAnsi="Times New Roman" w:cs="Times New Roman"/>
          <w:sz w:val="24"/>
          <w:szCs w:val="24"/>
        </w:rPr>
        <w:t>que luego puede ser incrementado a través de modificaciones aproba</w:t>
      </w:r>
      <w:r w:rsidR="00AC200B">
        <w:rPr>
          <w:rFonts w:ascii="Times New Roman" w:hAnsi="Times New Roman" w:cs="Times New Roman"/>
          <w:sz w:val="24"/>
          <w:szCs w:val="24"/>
        </w:rPr>
        <w:t>das por el Consejo de Ministros-</w:t>
      </w:r>
      <w:r w:rsidRPr="00D7606D">
        <w:rPr>
          <w:rFonts w:ascii="Times New Roman" w:hAnsi="Times New Roman" w:cs="Times New Roman"/>
          <w:sz w:val="24"/>
          <w:szCs w:val="24"/>
        </w:rPr>
        <w:t>, esta misma proporción aumentaría hasta el 47%.</w:t>
      </w:r>
    </w:p>
    <w:p w:rsidR="000803C7" w:rsidRPr="00740370" w:rsidRDefault="000803C7" w:rsidP="000803C7">
      <w:pPr>
        <w:spacing w:line="240" w:lineRule="auto"/>
        <w:jc w:val="both"/>
        <w:rPr>
          <w:rFonts w:ascii="Times New Roman" w:hAnsi="Times New Roman" w:cs="Times New Roman"/>
          <w:sz w:val="24"/>
          <w:szCs w:val="24"/>
        </w:rPr>
      </w:pPr>
      <w:r w:rsidRPr="00740370">
        <w:rPr>
          <w:rFonts w:ascii="Times New Roman" w:hAnsi="Times New Roman" w:cs="Times New Roman"/>
          <w:sz w:val="24"/>
          <w:szCs w:val="24"/>
        </w:rPr>
        <w:t xml:space="preserve">- </w:t>
      </w:r>
      <w:r w:rsidRPr="00740370">
        <w:rPr>
          <w:rFonts w:ascii="Times New Roman" w:hAnsi="Times New Roman" w:cs="Times New Roman"/>
          <w:sz w:val="24"/>
          <w:szCs w:val="24"/>
          <w:u w:val="single"/>
        </w:rPr>
        <w:t>Pensiones públicas: pagar más para recibir menos</w:t>
      </w:r>
      <w:r w:rsidRPr="00740370">
        <w:rPr>
          <w:rFonts w:ascii="Times New Roman" w:hAnsi="Times New Roman" w:cs="Times New Roman"/>
          <w:sz w:val="24"/>
          <w:szCs w:val="24"/>
        </w:rPr>
        <w:t xml:space="preserve"> (El Confidencial - </w:t>
      </w:r>
      <w:r w:rsidRPr="00740370">
        <w:rPr>
          <w:rFonts w:ascii="Times New Roman" w:hAnsi="Times New Roman" w:cs="Times New Roman"/>
          <w:b/>
          <w:sz w:val="24"/>
          <w:szCs w:val="24"/>
        </w:rPr>
        <w:t>16/8/25</w:t>
      </w:r>
      <w:r w:rsidRPr="00740370">
        <w:rPr>
          <w:rFonts w:ascii="Times New Roman" w:hAnsi="Times New Roman" w:cs="Times New Roman"/>
          <w:sz w:val="24"/>
          <w:szCs w:val="24"/>
        </w:rPr>
        <w:t>)</w:t>
      </w:r>
    </w:p>
    <w:p w:rsidR="000803C7" w:rsidRPr="00740370" w:rsidRDefault="000803C7" w:rsidP="000803C7">
      <w:pPr>
        <w:spacing w:line="240" w:lineRule="auto"/>
        <w:jc w:val="both"/>
        <w:rPr>
          <w:rFonts w:ascii="Times New Roman" w:hAnsi="Times New Roman" w:cs="Times New Roman"/>
          <w:sz w:val="24"/>
          <w:szCs w:val="24"/>
        </w:rPr>
      </w:pPr>
      <w:r w:rsidRPr="00740370">
        <w:rPr>
          <w:rFonts w:ascii="Times New Roman" w:hAnsi="Times New Roman" w:cs="Times New Roman"/>
          <w:sz w:val="24"/>
          <w:szCs w:val="24"/>
        </w:rPr>
        <w:t>Pagar más impuestos para recibir menos servicios públicos. Ésa es la consecuencia última de la crisis del sistema de pensiones español</w:t>
      </w:r>
    </w:p>
    <w:p w:rsidR="000803C7" w:rsidRPr="00740370" w:rsidRDefault="000803C7" w:rsidP="000803C7">
      <w:pPr>
        <w:spacing w:line="240" w:lineRule="auto"/>
        <w:jc w:val="both"/>
        <w:rPr>
          <w:rFonts w:ascii="Times New Roman" w:hAnsi="Times New Roman" w:cs="Times New Roman"/>
          <w:sz w:val="24"/>
          <w:szCs w:val="24"/>
        </w:rPr>
      </w:pPr>
      <w:r w:rsidRPr="00740370">
        <w:rPr>
          <w:rFonts w:ascii="Times New Roman" w:hAnsi="Times New Roman" w:cs="Times New Roman"/>
          <w:sz w:val="24"/>
          <w:szCs w:val="24"/>
        </w:rPr>
        <w:t>(Por Juan Ramón Rallo)</w:t>
      </w:r>
    </w:p>
    <w:p w:rsidR="000803C7" w:rsidRPr="00740370" w:rsidRDefault="000803C7" w:rsidP="000803C7">
      <w:pPr>
        <w:spacing w:line="240" w:lineRule="auto"/>
        <w:jc w:val="both"/>
        <w:rPr>
          <w:rFonts w:ascii="Times New Roman" w:hAnsi="Times New Roman" w:cs="Times New Roman"/>
          <w:sz w:val="24"/>
          <w:szCs w:val="24"/>
        </w:rPr>
      </w:pPr>
      <w:r w:rsidRPr="00740370">
        <w:rPr>
          <w:rFonts w:ascii="Times New Roman" w:hAnsi="Times New Roman" w:cs="Times New Roman"/>
          <w:sz w:val="24"/>
          <w:szCs w:val="24"/>
        </w:rPr>
        <w:t xml:space="preserve">En un reciente informe del Centro Ruth Richardson (de la Universidad de las Hespérides) se constata la realidad de la desastrosa situación financiera de nuestro sistema de pensiones: en 2024, los ingresos contributivos de la Seguridad Social fueron de 146.000 millones de euros, mientras que los gastos contributivos se ubicaron en 199.000 millones de euros, esto es, un déficit contributivo de 53.000 millones de euros. Teniendo en cuenta que el déficit del conjunto de las Administraciones Públicas de España ascendió en 2024 a 44.500 millones de </w:t>
      </w:r>
      <w:r w:rsidRPr="00740370">
        <w:rPr>
          <w:rFonts w:ascii="Times New Roman" w:hAnsi="Times New Roman" w:cs="Times New Roman"/>
          <w:sz w:val="24"/>
          <w:szCs w:val="24"/>
        </w:rPr>
        <w:lastRenderedPageBreak/>
        <w:t>euros, lo que estas cifras ponen de relieve es que, a día de hoy, todo el nuevo endeudamiento público del Estado español resulta explicable por el déficit contributivo del sistema de pensiones (de hecho, quitando ese déficit contributivo, incluso tendríamos un superávit en todos los restantes servicios que provee el Estado)…</w:t>
      </w:r>
    </w:p>
    <w:p w:rsidR="000803C7" w:rsidRDefault="000803C7" w:rsidP="000803C7">
      <w:pPr>
        <w:spacing w:line="240" w:lineRule="auto"/>
        <w:jc w:val="both"/>
        <w:rPr>
          <w:rFonts w:ascii="Times New Roman" w:hAnsi="Times New Roman" w:cs="Times New Roman"/>
          <w:sz w:val="24"/>
          <w:szCs w:val="24"/>
        </w:rPr>
      </w:pPr>
      <w:r w:rsidRPr="00740370">
        <w:rPr>
          <w:rFonts w:ascii="Times New Roman" w:hAnsi="Times New Roman" w:cs="Times New Roman"/>
          <w:sz w:val="24"/>
          <w:szCs w:val="24"/>
        </w:rPr>
        <w:t>(Artículo incompleto)</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 xml:space="preserve">- </w:t>
      </w:r>
      <w:r w:rsidRPr="000511ED">
        <w:rPr>
          <w:rFonts w:ascii="Times New Roman" w:hAnsi="Times New Roman" w:cs="Times New Roman"/>
          <w:sz w:val="24"/>
          <w:szCs w:val="24"/>
          <w:u w:val="single"/>
        </w:rPr>
        <w:t>Las cuatro provincias españolas que registran tantos pensionistas como asalariados</w:t>
      </w:r>
      <w:r w:rsidRPr="000511ED">
        <w:rPr>
          <w:rFonts w:ascii="Times New Roman" w:hAnsi="Times New Roman" w:cs="Times New Roman"/>
          <w:sz w:val="24"/>
          <w:szCs w:val="24"/>
        </w:rPr>
        <w:t xml:space="preserve"> (El Economista - </w:t>
      </w:r>
      <w:r w:rsidRPr="000511ED">
        <w:rPr>
          <w:rFonts w:ascii="Times New Roman" w:hAnsi="Times New Roman" w:cs="Times New Roman"/>
          <w:b/>
          <w:sz w:val="24"/>
          <w:szCs w:val="24"/>
        </w:rPr>
        <w:t>17/8/25</w:t>
      </w:r>
      <w:r w:rsidRPr="000511ED">
        <w:rPr>
          <w:rFonts w:ascii="Times New Roman" w:hAnsi="Times New Roman" w:cs="Times New Roman"/>
          <w:sz w:val="24"/>
          <w:szCs w:val="24"/>
        </w:rPr>
        <w:t>)</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Se les suma el Principado de Asturias, que muestra también la edad media más elevada del país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Provincias del noroeste peninsular como León, Zamora, Lugo u Orense, cuya media de edad supera los 50 años, tienen igual número de pensionistas y cotizantes a la Seguridad Social en su territorio, un registro que convive con factores que no atraen nueva población, como el pago de salarios inferiores a la media del país.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El Imserso confirma estos datos en términos de Comunidades Autónomas: las de mayor proporción de personas mayores son las del noroeste peninsular: Castilla y León y Galicia.</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Se les suma el Principado de Asturias, que muestra también la edad media más elevada del país y una ratio entre cotizantes y pensionistas cercana al 1/1, frente a unos datos nacionales que se sitúan en los 2,4 cotizantes por pensionista.</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Los datos proceden de cifras del Servicio Público de Empleo Estatal y del Instituto Nacional de la Seguridad Social (INE).</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El mismo diagnóstico de envejecimiento se alcanza si se consultan las cifras del INE: todas estas provincias tienen una edad media de su población muy superior a la del conjunto del territorio español, que es 44,3.</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Así, la edad media de la población de Lugo es 50,5 años; la de Orense, 51,33 años; la de Asturias 49,77 años; la de León, 50,03 años; y la de Zamora, 51,79 años. Soria, Salamanca, Valladolid, A Coruña o Pontevedra tienen también una población de edad media muy superior a la cota general en toda España.</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Riqueza y bajos salarios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Tanto Galicia como Castilla y León pagan salarios inferiores a la media nacional, un factor que no actúa como elemento de reclamo a nueva población joven.</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En Galicia se paga, de media, 2.075 euros al mes; y en Castilla y León, 2.076, frente a una media nacional de 2.128, a la que se acerca Asturias, con 2.115 euros al mes. Otras autonomías, como Andalucía o la Comunidad Valenciana, están por debajo de esas cantidades.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Así lo señalan las tablas d</w:t>
      </w:r>
      <w:r w:rsidR="00AC200B">
        <w:rPr>
          <w:rFonts w:ascii="Times New Roman" w:hAnsi="Times New Roman" w:cs="Times New Roman"/>
          <w:sz w:val="24"/>
          <w:szCs w:val="24"/>
        </w:rPr>
        <w:t>e “</w:t>
      </w:r>
      <w:r w:rsidRPr="000511ED">
        <w:rPr>
          <w:rFonts w:ascii="Times New Roman" w:hAnsi="Times New Roman" w:cs="Times New Roman"/>
          <w:sz w:val="24"/>
          <w:szCs w:val="24"/>
        </w:rPr>
        <w:t>Salarios medios brutos</w:t>
      </w:r>
      <w:r w:rsidR="00AC200B">
        <w:rPr>
          <w:rFonts w:ascii="Times New Roman" w:hAnsi="Times New Roman" w:cs="Times New Roman"/>
          <w:sz w:val="24"/>
          <w:szCs w:val="24"/>
        </w:rPr>
        <w:t xml:space="preserve"> mensuales del empleo principal”</w:t>
      </w:r>
      <w:r w:rsidRPr="000511ED">
        <w:rPr>
          <w:rFonts w:ascii="Times New Roman" w:hAnsi="Times New Roman" w:cs="Times New Roman"/>
          <w:sz w:val="24"/>
          <w:szCs w:val="24"/>
        </w:rPr>
        <w:t xml:space="preserve"> publicadas por el INE para el año 2022, las últimas disponibles.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Las comunidades del noroeste se encuentran ligeramente por debajo de la media española en cuanto a la riqueza agregada de los hogares (en la franja situada entre los 285.000 y los 345.000 euros, según</w:t>
      </w:r>
      <w:r w:rsidR="00AC200B">
        <w:rPr>
          <w:rFonts w:ascii="Times New Roman" w:hAnsi="Times New Roman" w:cs="Times New Roman"/>
          <w:sz w:val="24"/>
          <w:szCs w:val="24"/>
        </w:rPr>
        <w:t xml:space="preserve"> un reciente estudio de ESADE: “</w:t>
      </w:r>
      <w:r w:rsidRPr="000511ED">
        <w:rPr>
          <w:rFonts w:ascii="Times New Roman" w:hAnsi="Times New Roman" w:cs="Times New Roman"/>
          <w:sz w:val="24"/>
          <w:szCs w:val="24"/>
        </w:rPr>
        <w:t>La desigualdad de la riqueza en las Comunidades Autónomas</w:t>
      </w:r>
      <w:r w:rsidR="00AC200B">
        <w:rPr>
          <w:rFonts w:ascii="Times New Roman" w:hAnsi="Times New Roman" w:cs="Times New Roman"/>
          <w:sz w:val="24"/>
          <w:szCs w:val="24"/>
        </w:rPr>
        <w:t>”</w:t>
      </w:r>
      <w:r w:rsidRPr="000511ED">
        <w:rPr>
          <w:rFonts w:ascii="Times New Roman" w:hAnsi="Times New Roman" w:cs="Times New Roman"/>
          <w:sz w:val="24"/>
          <w:szCs w:val="24"/>
        </w:rPr>
        <w:t>, publicado en junio de 2025).</w:t>
      </w:r>
    </w:p>
    <w:p w:rsidR="000803C7"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lastRenderedPageBreak/>
        <w:t>Pero mientras que Castilla y León y Asturias muestran niveles más bien bajos tanto de desigualdad como de riqueza media, Galicia se diferencia, y resulta ser una de las autonomías de mayor concentración de la riqueza en pocas manos (el 1 % más rico de la población), se</w:t>
      </w:r>
      <w:r w:rsidR="00AC200B">
        <w:rPr>
          <w:rFonts w:ascii="Times New Roman" w:hAnsi="Times New Roman" w:cs="Times New Roman"/>
          <w:sz w:val="24"/>
          <w:szCs w:val="24"/>
        </w:rPr>
        <w:t xml:space="preserve">gún el citado estudio de ESADE. </w:t>
      </w:r>
      <w:r w:rsidRPr="000511ED">
        <w:rPr>
          <w:rFonts w:ascii="Times New Roman" w:hAnsi="Times New Roman" w:cs="Times New Roman"/>
          <w:sz w:val="24"/>
          <w:szCs w:val="24"/>
        </w:rPr>
        <w:t>Solo Madrid supera a Galicia en la riqueza en poder del 1% más afortunado, pero al menos en la capital se pagan los mejores salarios.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 xml:space="preserve">- </w:t>
      </w:r>
      <w:r w:rsidRPr="000511ED">
        <w:rPr>
          <w:rFonts w:ascii="Times New Roman" w:hAnsi="Times New Roman" w:cs="Times New Roman"/>
          <w:sz w:val="24"/>
          <w:szCs w:val="24"/>
          <w:u w:val="single"/>
        </w:rPr>
        <w:t xml:space="preserve">Uno de cada tres jubilados cobra ya más de 2.000 euros al mes </w:t>
      </w:r>
      <w:r w:rsidRPr="000511ED">
        <w:rPr>
          <w:rFonts w:ascii="Times New Roman" w:hAnsi="Times New Roman" w:cs="Times New Roman"/>
          <w:sz w:val="24"/>
          <w:szCs w:val="24"/>
        </w:rPr>
        <w:t xml:space="preserve">(Libertad Digital - </w:t>
      </w:r>
      <w:r w:rsidRPr="000511ED">
        <w:rPr>
          <w:rFonts w:ascii="Times New Roman" w:hAnsi="Times New Roman" w:cs="Times New Roman"/>
          <w:b/>
          <w:sz w:val="24"/>
          <w:szCs w:val="24"/>
        </w:rPr>
        <w:t>18/8/25</w:t>
      </w:r>
      <w:r w:rsidRPr="000511ED">
        <w:rPr>
          <w:rFonts w:ascii="Times New Roman" w:hAnsi="Times New Roman" w:cs="Times New Roman"/>
          <w:sz w:val="24"/>
          <w:szCs w:val="24"/>
        </w:rPr>
        <w:t>)</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Cada vez menos jubilados cobran una pensión inferior a 1.000 euros y casi se ha triplicado el número de jubilados que cobran más de 3.000 euros.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 xml:space="preserve">(Por Miguel Puga) </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Uno de los mayores desafíos a nivel económico a los que se enfrenta la sociedad española, y la del resto de países europeos en la medida de cada uno, es el de cómo solucionar el problema cada vez mayor que hay con el sistema de pensiones para lograr que el sistema no termine de colapsar de forma definitiva y pueda brindar unas pensiones más o menos justas a las siguientes generaciones, es decir, los actuales cotizantes.</w:t>
      </w:r>
    </w:p>
    <w:p w:rsidR="000803C7" w:rsidRPr="00AC200B" w:rsidRDefault="000803C7" w:rsidP="000803C7">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AC200B">
        <w:t>En </w:t>
      </w:r>
      <w:r w:rsidRPr="00AC200B">
        <w:rPr>
          <w:rStyle w:val="Textoennegrita"/>
          <w:b w:val="0"/>
          <w:bdr w:val="none" w:sz="0" w:space="0" w:color="auto" w:frame="1"/>
        </w:rPr>
        <w:t>Libre Mercado</w:t>
      </w:r>
      <w:r w:rsidRPr="00AC200B">
        <w:rPr>
          <w:rStyle w:val="Textoennegrita"/>
          <w:bdr w:val="none" w:sz="0" w:space="0" w:color="auto" w:frame="1"/>
        </w:rPr>
        <w:t> </w:t>
      </w:r>
      <w:r w:rsidRPr="00AC200B">
        <w:t>ya hemos contado muchas veces cuál es la evolución del estado del sistema público de pensiones y como cada vez hay un mayor número de pensionistas que cobran una pensión de jubilación y de mayor calidad. No obstante, esta mejoría de las pensiones presentes se estaría logrando a costa de dos cosas:</w:t>
      </w:r>
      <w:r w:rsidRPr="00AC200B">
        <w:rPr>
          <w:rStyle w:val="Textoennegrita"/>
          <w:bdr w:val="none" w:sz="0" w:space="0" w:color="auto" w:frame="1"/>
        </w:rPr>
        <w:t> </w:t>
      </w:r>
      <w:r w:rsidRPr="00AC200B">
        <w:rPr>
          <w:rStyle w:val="Textoennegrita"/>
          <w:b w:val="0"/>
          <w:bdr w:val="none" w:sz="0" w:space="0" w:color="auto" w:frame="1"/>
        </w:rPr>
        <w:t>1) aplicarle más impuestos en los salarios a los trabajadores actuales. 2) elevar aún más el gasto en pensiones y comprometer las pensiones futuras.</w:t>
      </w:r>
    </w:p>
    <w:p w:rsidR="000803C7" w:rsidRPr="000511ED" w:rsidRDefault="000803C7" w:rsidP="000803C7">
      <w:pPr>
        <w:pStyle w:val="NormalWeb"/>
        <w:shd w:val="clear" w:color="auto" w:fill="FFFFFF"/>
        <w:spacing w:before="0" w:beforeAutospacing="0" w:after="0" w:afterAutospacing="0"/>
        <w:jc w:val="both"/>
        <w:textAlignment w:val="baseline"/>
      </w:pPr>
    </w:p>
    <w:p w:rsidR="000803C7" w:rsidRDefault="000803C7" w:rsidP="000803C7">
      <w:pPr>
        <w:pStyle w:val="NormalWeb"/>
        <w:shd w:val="clear" w:color="auto" w:fill="FFFFFF"/>
        <w:spacing w:before="0" w:beforeAutospacing="0" w:after="0" w:afterAutospacing="0"/>
        <w:jc w:val="both"/>
        <w:textAlignment w:val="baseline"/>
      </w:pPr>
      <w:r w:rsidRPr="000511ED">
        <w:t>Que las pensiones públicas españolas se han vuelto cada vez más generosas es un hecho, hasta el punto de que </w:t>
      </w:r>
      <w:r w:rsidRPr="00AC200B">
        <w:rPr>
          <w:rStyle w:val="Textoennegrita"/>
          <w:b w:val="0"/>
          <w:bdr w:val="none" w:sz="0" w:space="0" w:color="auto" w:frame="1"/>
        </w:rPr>
        <w:t>en sólo cinco años ha cambiado completamente el panorama de las pensiones de jubilación</w:t>
      </w:r>
      <w:r w:rsidRPr="000511ED">
        <w:t>. En este primer gráfico vamos a ver las pensiones de jubilación por tramo de cantidad y el porcentaje de jubilados por cada tramo en julio de 2020.</w:t>
      </w:r>
    </w:p>
    <w:p w:rsidR="000803C7" w:rsidRPr="000511ED" w:rsidRDefault="000803C7" w:rsidP="000803C7">
      <w:pPr>
        <w:pStyle w:val="NormalWeb"/>
        <w:shd w:val="clear" w:color="auto" w:fill="FFFFFF"/>
        <w:spacing w:before="0" w:beforeAutospacing="0" w:after="0" w:afterAutospacing="0"/>
        <w:jc w:val="both"/>
        <w:textAlignment w:val="baseline"/>
      </w:pPr>
    </w:p>
    <w:p w:rsidR="000803C7" w:rsidRPr="005C128F" w:rsidRDefault="000803C7" w:rsidP="000803C7">
      <w:pPr>
        <w:shd w:val="clear" w:color="auto" w:fill="FFFFFF"/>
        <w:spacing w:line="240" w:lineRule="auto"/>
        <w:jc w:val="both"/>
        <w:textAlignment w:val="baseline"/>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00AC200B">
        <w:rPr>
          <w:rFonts w:ascii="Times New Roman" w:hAnsi="Times New Roman" w:cs="Times New Roman"/>
          <w:color w:val="FF0000"/>
          <w:sz w:val="24"/>
          <w:szCs w:val="24"/>
        </w:rPr>
        <w:t xml:space="preserve">            </w:t>
      </w:r>
      <w:r>
        <w:rPr>
          <w:rFonts w:ascii="Times New Roman" w:hAnsi="Times New Roman" w:cs="Times New Roman"/>
          <w:color w:val="FF0000"/>
          <w:sz w:val="24"/>
          <w:szCs w:val="24"/>
        </w:rPr>
        <w:t xml:space="preserve"> </w:t>
      </w:r>
      <w:r w:rsidRPr="005C128F">
        <w:rPr>
          <w:rFonts w:ascii="Times New Roman" w:hAnsi="Times New Roman" w:cs="Times New Roman"/>
          <w:noProof/>
          <w:color w:val="FF0000"/>
          <w:sz w:val="24"/>
          <w:szCs w:val="24"/>
          <w:bdr w:val="none" w:sz="0" w:space="0" w:color="auto" w:frame="1"/>
          <w:lang w:eastAsia="es-ES"/>
        </w:rPr>
        <w:drawing>
          <wp:inline distT="0" distB="0" distL="0" distR="0" wp14:anchorId="72FD401F" wp14:editId="7891C94A">
            <wp:extent cx="3752850" cy="3638550"/>
            <wp:effectExtent l="0" t="0" r="0" b="0"/>
            <wp:docPr id="271" name="Imagen 271" descr="gxhr8pswsaepgl2.jpg">
              <a:hlinkClick xmlns:a="http://schemas.openxmlformats.org/drawingml/2006/main" r:id="rId32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xhr8pswsaepgl2.jpg">
                      <a:hlinkClick r:id="rId328" tooltip="&quot;&quot;"/>
                    </pic:cNvPr>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3752850" cy="3638550"/>
                    </a:xfrm>
                    <a:prstGeom prst="rect">
                      <a:avLst/>
                    </a:prstGeom>
                    <a:noFill/>
                    <a:ln>
                      <a:noFill/>
                    </a:ln>
                  </pic:spPr>
                </pic:pic>
              </a:graphicData>
            </a:graphic>
          </wp:inline>
        </w:drawing>
      </w:r>
    </w:p>
    <w:p w:rsidR="000803C7" w:rsidRDefault="000803C7" w:rsidP="000803C7">
      <w:pPr>
        <w:pStyle w:val="NormalWeb"/>
        <w:shd w:val="clear" w:color="auto" w:fill="FFFFFF"/>
        <w:spacing w:before="0" w:beforeAutospacing="0" w:after="0" w:afterAutospacing="0"/>
        <w:jc w:val="both"/>
        <w:textAlignment w:val="baseline"/>
      </w:pPr>
    </w:p>
    <w:p w:rsidR="000803C7" w:rsidRDefault="000803C7" w:rsidP="000803C7">
      <w:pPr>
        <w:pStyle w:val="NormalWeb"/>
        <w:shd w:val="clear" w:color="auto" w:fill="FFFFFF"/>
        <w:spacing w:before="0" w:beforeAutospacing="0" w:after="0" w:afterAutospacing="0"/>
        <w:jc w:val="both"/>
        <w:textAlignment w:val="baseline"/>
      </w:pPr>
      <w:r w:rsidRPr="000511ED">
        <w:t>Tal y como se puede ver, </w:t>
      </w:r>
      <w:r w:rsidRPr="00AC200B">
        <w:rPr>
          <w:rStyle w:val="Textoennegrita"/>
          <w:b w:val="0"/>
          <w:bdr w:val="none" w:sz="0" w:space="0" w:color="auto" w:frame="1"/>
        </w:rPr>
        <w:t>en julio de 2020 casi la mitad de los jubilados percibían una pensión de menos de 1.000 euros al mes</w:t>
      </w:r>
      <w:r w:rsidRPr="000511ED">
        <w:t>, un 29,5% tenía una pensión de entre 1.000 y 2.000 euros, un 15% tenía una pensión de entre 2.000 y 3.000 euros y </w:t>
      </w:r>
      <w:r w:rsidRPr="00AC200B">
        <w:rPr>
          <w:rStyle w:val="Textoennegrita"/>
          <w:b w:val="0"/>
          <w:bdr w:val="none" w:sz="0" w:space="0" w:color="auto" w:frame="1"/>
        </w:rPr>
        <w:t>sólo un 6,5% percibía una pensión de más de 3.000 euros</w:t>
      </w:r>
      <w:r w:rsidRPr="00AC200B">
        <w:rPr>
          <w:b/>
        </w:rPr>
        <w:t>.</w:t>
      </w:r>
      <w:r w:rsidRPr="000511ED">
        <w:t xml:space="preserve"> El coste mensual de las pensiones contributivas del mes de julio de 2020 fue de 11.032 millones de euros.</w:t>
      </w:r>
    </w:p>
    <w:p w:rsidR="000803C7" w:rsidRPr="000511ED" w:rsidRDefault="000803C7" w:rsidP="000803C7">
      <w:pPr>
        <w:pStyle w:val="NormalWeb"/>
        <w:shd w:val="clear" w:color="auto" w:fill="FFFFFF"/>
        <w:spacing w:before="0" w:beforeAutospacing="0" w:after="0" w:afterAutospacing="0"/>
        <w:jc w:val="both"/>
        <w:textAlignment w:val="baseline"/>
      </w:pPr>
    </w:p>
    <w:p w:rsidR="000803C7" w:rsidRPr="000511ED" w:rsidRDefault="000803C7" w:rsidP="000803C7">
      <w:pPr>
        <w:pStyle w:val="NormalWeb"/>
        <w:shd w:val="clear" w:color="auto" w:fill="FFFFFF"/>
        <w:spacing w:before="0" w:beforeAutospacing="0" w:after="360" w:afterAutospacing="0"/>
        <w:jc w:val="both"/>
        <w:textAlignment w:val="baseline"/>
      </w:pPr>
      <w:r w:rsidRPr="000511ED">
        <w:t>Pues bien, este panorama ha cambiado por completo en apenas cinco años, quedando tal que así:</w:t>
      </w:r>
    </w:p>
    <w:p w:rsidR="000803C7" w:rsidRPr="005C128F" w:rsidRDefault="000803C7" w:rsidP="000803C7">
      <w:pPr>
        <w:shd w:val="clear" w:color="auto" w:fill="FFFFFF"/>
        <w:spacing w:line="240" w:lineRule="auto"/>
        <w:jc w:val="both"/>
        <w:textAlignment w:val="baseline"/>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00AC200B">
        <w:rPr>
          <w:rFonts w:ascii="Times New Roman" w:hAnsi="Times New Roman" w:cs="Times New Roman"/>
          <w:color w:val="FF0000"/>
          <w:sz w:val="24"/>
          <w:szCs w:val="24"/>
        </w:rPr>
        <w:t xml:space="preserve">         </w:t>
      </w:r>
      <w:r>
        <w:rPr>
          <w:rFonts w:ascii="Times New Roman" w:hAnsi="Times New Roman" w:cs="Times New Roman"/>
          <w:color w:val="FF0000"/>
          <w:sz w:val="24"/>
          <w:szCs w:val="24"/>
        </w:rPr>
        <w:t xml:space="preserve">  </w:t>
      </w:r>
      <w:r w:rsidRPr="005C128F">
        <w:rPr>
          <w:rFonts w:ascii="Times New Roman" w:hAnsi="Times New Roman" w:cs="Times New Roman"/>
          <w:noProof/>
          <w:color w:val="FF0000"/>
          <w:sz w:val="24"/>
          <w:szCs w:val="24"/>
          <w:bdr w:val="none" w:sz="0" w:space="0" w:color="auto" w:frame="1"/>
          <w:lang w:eastAsia="es-ES"/>
        </w:rPr>
        <w:drawing>
          <wp:inline distT="0" distB="0" distL="0" distR="0" wp14:anchorId="0FE5E0F1" wp14:editId="00F32B0A">
            <wp:extent cx="3638550" cy="3860800"/>
            <wp:effectExtent l="0" t="0" r="0" b="6350"/>
            <wp:docPr id="272" name="Imagen 272" descr="gxhr97pwsaayy2d.jpg">
              <a:hlinkClick xmlns:a="http://schemas.openxmlformats.org/drawingml/2006/main" r:id="rId33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xhr97pwsaayy2d.jpg">
                      <a:hlinkClick r:id="rId330" tooltip="&quot;&quot;"/>
                    </pic:cNvPr>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3638550" cy="3860800"/>
                    </a:xfrm>
                    <a:prstGeom prst="rect">
                      <a:avLst/>
                    </a:prstGeom>
                    <a:noFill/>
                    <a:ln>
                      <a:noFill/>
                    </a:ln>
                  </pic:spPr>
                </pic:pic>
              </a:graphicData>
            </a:graphic>
          </wp:inline>
        </w:drawing>
      </w:r>
    </w:p>
    <w:p w:rsidR="000803C7" w:rsidRDefault="000803C7" w:rsidP="000803C7">
      <w:pPr>
        <w:pStyle w:val="NormalWeb"/>
        <w:shd w:val="clear" w:color="auto" w:fill="FFFFFF"/>
        <w:spacing w:before="0" w:beforeAutospacing="0" w:after="0" w:afterAutospacing="0"/>
        <w:jc w:val="both"/>
        <w:textAlignment w:val="baseline"/>
      </w:pPr>
    </w:p>
    <w:p w:rsidR="000803C7" w:rsidRPr="000511ED" w:rsidRDefault="000803C7" w:rsidP="000803C7">
      <w:pPr>
        <w:pStyle w:val="NormalWeb"/>
        <w:shd w:val="clear" w:color="auto" w:fill="FFFFFF"/>
        <w:spacing w:before="0" w:beforeAutospacing="0" w:after="0" w:afterAutospacing="0"/>
        <w:jc w:val="both"/>
        <w:textAlignment w:val="baseline"/>
      </w:pPr>
      <w:r w:rsidRPr="000511ED">
        <w:t>Como podemos ver, </w:t>
      </w:r>
      <w:r w:rsidRPr="00AC200B">
        <w:rPr>
          <w:rStyle w:val="Textoennegrita"/>
          <w:b w:val="0"/>
          <w:bdr w:val="none" w:sz="0" w:space="0" w:color="auto" w:frame="1"/>
        </w:rPr>
        <w:t>el porcentaje de los que cobran menos de 1.000 euros ahora es del 24% del total de jubilados con pensión contributiva</w:t>
      </w:r>
      <w:r w:rsidRPr="000511ED">
        <w:t>, el 42,9% cobra entre 1.000 y 2.000 euros al mes, el 17,1% de los jubilados cobra entre 2.000 y 3.000 euros al mes y </w:t>
      </w:r>
      <w:r w:rsidRPr="00AC200B">
        <w:rPr>
          <w:rStyle w:val="Textoennegrita"/>
          <w:b w:val="0"/>
          <w:bdr w:val="none" w:sz="0" w:space="0" w:color="auto" w:frame="1"/>
        </w:rPr>
        <w:t>el 16% cobra más de 3.000 euros al mes</w:t>
      </w:r>
      <w:r w:rsidRPr="00AC200B">
        <w:rPr>
          <w:b/>
        </w:rPr>
        <w:t>.</w:t>
      </w:r>
      <w:r w:rsidRPr="000511ED">
        <w:t xml:space="preserve"> El coste mensual de las pensiones contributivas fue de 16.905 millones de euros en el mes de julio.</w:t>
      </w:r>
    </w:p>
    <w:p w:rsidR="000803C7" w:rsidRPr="000511ED" w:rsidRDefault="000803C7" w:rsidP="000803C7">
      <w:pPr>
        <w:pStyle w:val="NormalWeb"/>
        <w:shd w:val="clear" w:color="auto" w:fill="FFFFFF"/>
        <w:spacing w:before="0" w:beforeAutospacing="0" w:after="0" w:afterAutospacing="0"/>
        <w:jc w:val="both"/>
        <w:textAlignment w:val="baseline"/>
      </w:pPr>
    </w:p>
    <w:p w:rsidR="000803C7" w:rsidRPr="00AC200B" w:rsidRDefault="000803C7" w:rsidP="000803C7">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0511ED">
        <w:t>El cambio que se ha producido es notorio y beneficia enormemente a los jubilados, pues se ha reducido a la mitad el porcentaje de estos que cobra menos de 1.000 euros al mes, al tiempo que ahora el 42,9% de los jubilados cobra entre 1.000 y 2.000 euros al mes, cuando hace cinco años ese porcentaje era del 29,5%. </w:t>
      </w:r>
      <w:r w:rsidRPr="00AC200B">
        <w:rPr>
          <w:rStyle w:val="Textoennegrita"/>
          <w:b w:val="0"/>
          <w:bdr w:val="none" w:sz="0" w:space="0" w:color="auto" w:frame="1"/>
        </w:rPr>
        <w:t>En el caso de los jubilados que cobran más de 3.000 euros al mes, vemos que se ha casi triplicado esta cifra, pasando de un 6,5% del total de jubilados a un 16%.</w:t>
      </w:r>
    </w:p>
    <w:p w:rsidR="000803C7" w:rsidRPr="000511ED" w:rsidRDefault="000803C7" w:rsidP="000803C7">
      <w:pPr>
        <w:pStyle w:val="NormalWeb"/>
        <w:shd w:val="clear" w:color="auto" w:fill="FFFFFF"/>
        <w:spacing w:before="0" w:beforeAutospacing="0" w:after="0" w:afterAutospacing="0"/>
        <w:jc w:val="both"/>
        <w:textAlignment w:val="baseline"/>
      </w:pPr>
    </w:p>
    <w:p w:rsidR="000803C7" w:rsidRPr="000511ED" w:rsidRDefault="000803C7" w:rsidP="000803C7">
      <w:pPr>
        <w:pStyle w:val="NormalWeb"/>
        <w:shd w:val="clear" w:color="auto" w:fill="FFFFFF"/>
        <w:spacing w:before="0" w:beforeAutospacing="0" w:after="0" w:afterAutospacing="0"/>
        <w:jc w:val="both"/>
        <w:textAlignment w:val="baseline"/>
      </w:pPr>
      <w:r w:rsidRPr="000511ED">
        <w:t>Este incremento tan sustancial del gasto mensual en pensiones contributivas en tan sólo cinco años, pasando de 11.032 millones de euros a 16.905 millones de euros, es lo que explica </w:t>
      </w:r>
      <w:r w:rsidRPr="00AC200B">
        <w:rPr>
          <w:rStyle w:val="Textoennegrita"/>
          <w:b w:val="0"/>
          <w:bdr w:val="none" w:sz="0" w:space="0" w:color="auto" w:frame="1"/>
        </w:rPr>
        <w:t xml:space="preserve">el crecimiento tan acelerado de la deuda de la Seguridad Social y el incremento cada vez mayor </w:t>
      </w:r>
      <w:r w:rsidRPr="00AC200B">
        <w:rPr>
          <w:rStyle w:val="Textoennegrita"/>
          <w:b w:val="0"/>
          <w:bdr w:val="none" w:sz="0" w:space="0" w:color="auto" w:frame="1"/>
        </w:rPr>
        <w:lastRenderedPageBreak/>
        <w:t>de las transferencias del Estado a</w:t>
      </w:r>
      <w:r w:rsidR="00AC200B">
        <w:rPr>
          <w:rStyle w:val="Textoennegrita"/>
          <w:b w:val="0"/>
          <w:bdr w:val="none" w:sz="0" w:space="0" w:color="auto" w:frame="1"/>
        </w:rPr>
        <w:t xml:space="preserve"> la Seguridad Social para “equilibrar”</w:t>
      </w:r>
      <w:r w:rsidRPr="00AC200B">
        <w:rPr>
          <w:rStyle w:val="Textoennegrita"/>
          <w:b w:val="0"/>
          <w:bdr w:val="none" w:sz="0" w:space="0" w:color="auto" w:frame="1"/>
        </w:rPr>
        <w:t xml:space="preserve"> las cuentas</w:t>
      </w:r>
      <w:r w:rsidRPr="00AC200B">
        <w:rPr>
          <w:b/>
        </w:rPr>
        <w:t xml:space="preserve">. </w:t>
      </w:r>
      <w:r w:rsidRPr="000511ED">
        <w:t>En el siguiente gráfico, el ingeniero industrial y divulgador sobre economía Jon González explica la evolución de las cuentas de la Seguridad Social desde el año 2000 hasta el 2024.</w:t>
      </w:r>
    </w:p>
    <w:p w:rsidR="000803C7" w:rsidRPr="005C128F" w:rsidRDefault="000803C7" w:rsidP="000803C7">
      <w:pPr>
        <w:pStyle w:val="NormalWeb"/>
        <w:shd w:val="clear" w:color="auto" w:fill="FFFFFF"/>
        <w:spacing w:before="0" w:beforeAutospacing="0" w:after="0" w:afterAutospacing="0"/>
        <w:jc w:val="both"/>
        <w:textAlignment w:val="baseline"/>
        <w:rPr>
          <w:color w:val="FF0000"/>
        </w:rPr>
      </w:pPr>
      <w:r>
        <w:rPr>
          <w:noProof/>
        </w:rPr>
        <w:drawing>
          <wp:inline distT="0" distB="0" distL="0" distR="0" wp14:anchorId="5E76051B" wp14:editId="70AEC46F">
            <wp:extent cx="5731510" cy="2966899"/>
            <wp:effectExtent l="0" t="0" r="2540" b="5080"/>
            <wp:docPr id="273" name="Imagen 273"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n"/>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5731510" cy="2966899"/>
                    </a:xfrm>
                    <a:prstGeom prst="rect">
                      <a:avLst/>
                    </a:prstGeom>
                    <a:noFill/>
                    <a:ln>
                      <a:noFill/>
                    </a:ln>
                  </pic:spPr>
                </pic:pic>
              </a:graphicData>
            </a:graphic>
          </wp:inline>
        </w:drawing>
      </w:r>
    </w:p>
    <w:p w:rsidR="000803C7" w:rsidRDefault="000803C7" w:rsidP="000803C7">
      <w:pPr>
        <w:pStyle w:val="NormalWeb"/>
        <w:shd w:val="clear" w:color="auto" w:fill="FFFFFF"/>
        <w:spacing w:before="0" w:beforeAutospacing="0" w:after="0" w:afterAutospacing="0"/>
        <w:jc w:val="both"/>
        <w:textAlignment w:val="baseline"/>
        <w:rPr>
          <w:color w:val="FF0000"/>
        </w:rPr>
      </w:pPr>
    </w:p>
    <w:p w:rsidR="000803C7" w:rsidRPr="000511ED" w:rsidRDefault="000803C7" w:rsidP="000803C7">
      <w:pPr>
        <w:pStyle w:val="NormalWeb"/>
        <w:shd w:val="clear" w:color="auto" w:fill="FFFFFF"/>
        <w:spacing w:before="0" w:beforeAutospacing="0" w:after="0" w:afterAutospacing="0"/>
        <w:jc w:val="both"/>
        <w:textAlignment w:val="baseline"/>
      </w:pPr>
      <w:r w:rsidRPr="000511ED">
        <w:t>Visto lo visto, </w:t>
      </w:r>
      <w:r w:rsidRPr="00AC200B">
        <w:rPr>
          <w:rStyle w:val="Textoennegrita"/>
          <w:b w:val="0"/>
          <w:bdr w:val="none" w:sz="0" w:space="0" w:color="auto" w:frame="1"/>
        </w:rPr>
        <w:t>resulta evidente que el sistema necesita urgentemente de una reforma que permita su viabilidad de cara al futuro</w:t>
      </w:r>
      <w:r w:rsidRPr="000511ED">
        <w:t xml:space="preserve">, algo que se antoja </w:t>
      </w:r>
      <w:r w:rsidR="005608C2" w:rsidRPr="000511ED">
        <w:t>difícilmente</w:t>
      </w:r>
      <w:r w:rsidRPr="000511ED">
        <w:t xml:space="preserve"> aplicable ya que los partidos políticos miran a corto plazo y una reforma efectiva del sistema de pensiones lo más probable es que le restara votos a quien tratara de llevar a cabo dicha reforma.</w:t>
      </w:r>
    </w:p>
    <w:p w:rsidR="000803C7" w:rsidRPr="000511ED" w:rsidRDefault="000803C7" w:rsidP="000803C7">
      <w:pPr>
        <w:pStyle w:val="ecl-social-media-sharedescription"/>
        <w:jc w:val="both"/>
      </w:pPr>
      <w:r w:rsidRPr="000511ED">
        <w:t xml:space="preserve">- </w:t>
      </w:r>
      <w:r w:rsidRPr="000511ED">
        <w:rPr>
          <w:u w:val="single"/>
        </w:rPr>
        <w:t>Tres jubilaciones por cada nuevo joven trabajador: la brecha imparable del sistema de pensiones</w:t>
      </w:r>
      <w:r w:rsidRPr="000511ED">
        <w:t xml:space="preserve"> (Vozpópuli - </w:t>
      </w:r>
      <w:r w:rsidRPr="000511ED">
        <w:rPr>
          <w:b/>
        </w:rPr>
        <w:t>22/8/25</w:t>
      </w:r>
      <w:r w:rsidRPr="000511ED">
        <w:t>)</w:t>
      </w:r>
    </w:p>
    <w:p w:rsidR="000803C7" w:rsidRPr="000511ED" w:rsidRDefault="000803C7" w:rsidP="000803C7">
      <w:pPr>
        <w:pStyle w:val="ecl-social-media-sharedescription"/>
        <w:jc w:val="both"/>
      </w:pPr>
      <w:r w:rsidRPr="000511ED">
        <w:t>En la próxima década se jubilarán 5,3 millones de personas en España, pero solo 1,8 millones de jóvenes entrarán al mercado laboral, según Adecco</w:t>
      </w:r>
    </w:p>
    <w:p w:rsidR="000803C7" w:rsidRPr="000511ED" w:rsidRDefault="000803C7" w:rsidP="000803C7">
      <w:pPr>
        <w:pStyle w:val="ecl-social-media-sharedescription"/>
        <w:jc w:val="both"/>
      </w:pPr>
      <w:r w:rsidRPr="000511ED">
        <w:t>(Por Beatriz Triguero)</w:t>
      </w:r>
    </w:p>
    <w:p w:rsidR="000803C7" w:rsidRPr="000511ED" w:rsidRDefault="000803C7" w:rsidP="000803C7">
      <w:pPr>
        <w:pStyle w:val="ecl-social-media-sharedescription"/>
        <w:jc w:val="both"/>
      </w:pPr>
      <w:r w:rsidRPr="000511ED">
        <w:t>Las pensiones se afianzan como el gran reto económico de España. El gasto no deja de crecer porque cada vez hay más jubilaciones, con nóminas más altas y que perduran más tiempo, como consecuencia de la esperanza de vida. Mientras tanto, la natalidad continúa en caída libre, con cada vez menos futuros trabajadores que aporten al sistema con sus cotizaciones. Según los cálculos de la Fundación Adecco, en la próxima década se jubilarán 5,3 millones de personas en España, pero solo 1,8 millones de jóvenes entrarán al mercado laboral.</w:t>
      </w:r>
    </w:p>
    <w:p w:rsidR="000803C7" w:rsidRPr="000511ED" w:rsidRDefault="00AC200B" w:rsidP="000803C7">
      <w:pPr>
        <w:pStyle w:val="ecl-social-media-sharedescription"/>
        <w:jc w:val="both"/>
      </w:pPr>
      <w:r>
        <w:t>El análisis incide en lo “decisivos”</w:t>
      </w:r>
      <w:r w:rsidR="000803C7" w:rsidRPr="000511ED">
        <w:t xml:space="preserve"> que serán los próximos años para el relevo generacional. Actualmente hay 4,8 millones personas entre 6 y 15 años en España que en la próxima década alcanzarán la edad legal para incorporarse al mercado laboral. Teniendo en cuenta la tasa de actividad del 37,8% registrada en la última Encuesta de Población Activa (EPA) para los menores de 25 años, se estima que solo 1,8 millones de estos jóvenes pasarán a formar parte de la población activa en los próximos diez años.</w:t>
      </w:r>
    </w:p>
    <w:p w:rsidR="000803C7" w:rsidRPr="000511ED" w:rsidRDefault="000803C7" w:rsidP="000803C7">
      <w:pPr>
        <w:pStyle w:val="ecl-social-media-sharedescription"/>
        <w:jc w:val="both"/>
      </w:pPr>
      <w:r w:rsidRPr="000511ED">
        <w:t xml:space="preserve">Esta cifra contrasta de forma significativa con las 5,3 millones de personas de 55 años o más que abandonarán la actividad laboral en ese mismo periodo, según los datos actuales de </w:t>
      </w:r>
      <w:r w:rsidRPr="000511ED">
        <w:lastRenderedPageBreak/>
        <w:t>población activa que publica trimestralmente el Instituto Nacional de Estadística (INE). En otras palabras, por cada tres personas que se jubilen, solo una se incorporará al mercado laboral, lo que evidencia un llamativo desequilibrio en el relevo generacional.</w:t>
      </w:r>
    </w:p>
    <w:p w:rsidR="000803C7" w:rsidRPr="000511ED" w:rsidRDefault="000803C7" w:rsidP="000803C7">
      <w:pPr>
        <w:pStyle w:val="ecl-social-media-sharedescription"/>
        <w:jc w:val="both"/>
      </w:pPr>
      <w:r w:rsidRPr="000511ED">
        <w:t>Este de</w:t>
      </w:r>
      <w:r w:rsidR="00AC200B">
        <w:t>sequilibrio o brecha creciente “</w:t>
      </w:r>
      <w:r w:rsidRPr="000511ED">
        <w:t>amenaza con agravar la escasez de talento e</w:t>
      </w:r>
      <w:r w:rsidR="00AC200B">
        <w:t>n sectores clave de la economía”</w:t>
      </w:r>
      <w:r w:rsidRPr="000511ED">
        <w:t>, alertan desde la Fundación Adecco. En este contexto, inciden en la necesidad de activar todo el potencial disponible a través de la integración de la mano de obra migrante, la incorporación de talento con menor presencia en el mercado laboral (como mujeres, personas con discapacidad o profesionales</w:t>
      </w:r>
      <w:r>
        <w:t xml:space="preserve"> </w:t>
      </w:r>
      <w:r w:rsidR="00AC200B">
        <w:t>se</w:t>
      </w:r>
      <w:r w:rsidRPr="000511ED">
        <w:t xml:space="preserve">nior), y el impulso de tecnologías como la inteligencia artificial. </w:t>
      </w:r>
    </w:p>
    <w:p w:rsidR="000803C7" w:rsidRPr="000511ED" w:rsidRDefault="000803C7" w:rsidP="000803C7">
      <w:pPr>
        <w:pStyle w:val="ecl-social-media-sharedescription"/>
        <w:jc w:val="both"/>
      </w:pPr>
      <w:r w:rsidRPr="000511ED">
        <w:t>Un giro necesario en la próxima década</w:t>
      </w:r>
    </w:p>
    <w:p w:rsidR="000803C7" w:rsidRPr="000511ED" w:rsidRDefault="000803C7" w:rsidP="000803C7">
      <w:pPr>
        <w:pStyle w:val="ecl-social-media-sharedescription"/>
        <w:jc w:val="both"/>
      </w:pPr>
      <w:r w:rsidRPr="000511ED">
        <w:t>España experimenta flujos migratorios intensos que no solo han evitado una caída demográfica, sino que han elevado de forma significativa el número de personas en edad de trabajar. La mitad del empleo creado en los últimos años viene ocupándose por extranjeros. Y esta tendencia no hará sino acentuarse en los próximos años. Según proyecciones del INE, entre 2026 y 2035 llegarán cerca de 4,6 millones de extranjeros más, de los que el 80% estará en edad laboral y 2,5 millones se incorporarán activamente al mercado de trabajo.</w:t>
      </w:r>
    </w:p>
    <w:p w:rsidR="000803C7" w:rsidRPr="000511ED" w:rsidRDefault="000803C7" w:rsidP="000803C7">
      <w:pPr>
        <w:pStyle w:val="ecl-social-media-sharedescription"/>
        <w:jc w:val="both"/>
      </w:pPr>
      <w:r w:rsidRPr="000511ED">
        <w:t xml:space="preserve">El reto en este primer objetivo será, como señalan desde Adecco, acoplar la oferta con la demanda. Es decir, que la formación y la experiencia de los nuevos inmigrantes que busquen un empleo en España en los próximos años case con las necesidades que emergen en el mercado laboral. Actualmente existe un desacople evidente, que se están traduciendo en un creciente número de vacantes, especialmente llamativo con un paro superior al 10%. </w:t>
      </w:r>
    </w:p>
    <w:p w:rsidR="000803C7" w:rsidRPr="000511ED" w:rsidRDefault="000803C7" w:rsidP="000803C7">
      <w:pPr>
        <w:pStyle w:val="ecl-social-media-sharedescription"/>
        <w:jc w:val="both"/>
      </w:pPr>
      <w:r w:rsidRPr="000511ED">
        <w:t>En cuanto al talento sénior, el de los trabajadores mayores de 50 años, se plantean medidas para promover su capacitación y reactivar su empleabilidad, especialmente en competencias digitales y adaptadas al nuevo entorno laboral. Y, por último, desde Adecco defienden que la inteligencia artificial puede ayudar a absorber parte del vacío de capacidad que deja el envejecimiento, automatizando tareas repetitivas, reduciendo errores y tiempos de ciclo, y liberando horas para actividades de mayor valor.</w:t>
      </w:r>
    </w:p>
    <w:p w:rsidR="000803C7" w:rsidRPr="000511ED" w:rsidRDefault="00AC200B" w:rsidP="000803C7">
      <w:pPr>
        <w:pStyle w:val="ecl-social-media-sharedescription"/>
        <w:jc w:val="both"/>
      </w:pPr>
      <w:r>
        <w:t>“</w:t>
      </w:r>
      <w:r w:rsidR="000803C7" w:rsidRPr="000511ED">
        <w:t>Con ello, la fuerza laboral existente puede cubrir mejor vacantes en sectores como cuidados, logística, industria, agricultura, administración y turismo. No sustituyen el relevo generacional, pero sí elevan la productividad y la calidad de</w:t>
      </w:r>
      <w:r>
        <w:t>l servicio en la próxima década”</w:t>
      </w:r>
      <w:r w:rsidR="000803C7" w:rsidRPr="000511ED">
        <w:t>, comentan. Cada vez son más los que plantean medidas en una u otra dirección para atajar el problema crec</w:t>
      </w:r>
      <w:r>
        <w:t>iente de las pensiones, que se “comen”</w:t>
      </w:r>
      <w:r w:rsidR="000803C7" w:rsidRPr="000511ED">
        <w:t xml:space="preserve"> ya más de 200.000 millones al año del presupuesto público y conducen a España hacia el endeudamiento.</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 xml:space="preserve">- </w:t>
      </w:r>
      <w:r w:rsidRPr="000511ED">
        <w:rPr>
          <w:rFonts w:ascii="Times New Roman" w:hAnsi="Times New Roman" w:cs="Times New Roman"/>
          <w:sz w:val="24"/>
          <w:szCs w:val="24"/>
          <w:u w:val="single"/>
        </w:rPr>
        <w:t>Zamora, Lugo y Vizcaya sumarán más de cinco pensionistas por cada nuevo activo hasta 2035</w:t>
      </w:r>
      <w:r w:rsidRPr="000511ED">
        <w:rPr>
          <w:rFonts w:ascii="Times New Roman" w:hAnsi="Times New Roman" w:cs="Times New Roman"/>
          <w:sz w:val="24"/>
          <w:szCs w:val="24"/>
        </w:rPr>
        <w:t xml:space="preserve"> (The Objective - </w:t>
      </w:r>
      <w:r w:rsidRPr="000511ED">
        <w:rPr>
          <w:rFonts w:ascii="Times New Roman" w:hAnsi="Times New Roman" w:cs="Times New Roman"/>
          <w:b/>
          <w:sz w:val="24"/>
          <w:szCs w:val="24"/>
        </w:rPr>
        <w:t>24/8/25</w:t>
      </w:r>
      <w:r w:rsidRPr="000511ED">
        <w:rPr>
          <w:rFonts w:ascii="Times New Roman" w:hAnsi="Times New Roman" w:cs="Times New Roman"/>
          <w:sz w:val="24"/>
          <w:szCs w:val="24"/>
        </w:rPr>
        <w:t>)</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Hasta 2035 se jubilarán 5,3 millones de personas, pero solo 1,8 millones de jóvenes entrarán al mercado laboral</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(Por Rocío Regidor)</w:t>
      </w:r>
    </w:p>
    <w:p w:rsidR="000803C7" w:rsidRPr="000511ED" w:rsidRDefault="00AC200B"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El “</w:t>
      </w:r>
      <w:r w:rsidR="000803C7" w:rsidRPr="000511ED">
        <w:rPr>
          <w:rFonts w:ascii="Times New Roman" w:hAnsi="Times New Roman" w:cs="Times New Roman"/>
          <w:sz w:val="24"/>
          <w:szCs w:val="24"/>
        </w:rPr>
        <w:t>invierno dem</w:t>
      </w:r>
      <w:r>
        <w:rPr>
          <w:rFonts w:ascii="Times New Roman" w:hAnsi="Times New Roman" w:cs="Times New Roman"/>
          <w:sz w:val="24"/>
          <w:szCs w:val="24"/>
        </w:rPr>
        <w:t>ográfico”</w:t>
      </w:r>
      <w:r w:rsidR="000803C7">
        <w:rPr>
          <w:rFonts w:ascii="Times New Roman" w:hAnsi="Times New Roman" w:cs="Times New Roman"/>
          <w:sz w:val="24"/>
          <w:szCs w:val="24"/>
        </w:rPr>
        <w:t xml:space="preserve"> en el que está inmersa</w:t>
      </w:r>
      <w:r w:rsidR="000803C7" w:rsidRPr="000511ED">
        <w:rPr>
          <w:rFonts w:ascii="Times New Roman" w:hAnsi="Times New Roman" w:cs="Times New Roman"/>
          <w:sz w:val="24"/>
          <w:szCs w:val="24"/>
        </w:rPr>
        <w:t xml:space="preserve"> España, con una situación de envejecimiento poblacional por la baja natalidad y el aumento de la esperanza de vida, aprieta cada vez más las costuras del sistema de pensiones. Una cuestión que es mucho más grave en </w:t>
      </w:r>
      <w:r w:rsidR="000803C7" w:rsidRPr="000511ED">
        <w:rPr>
          <w:rFonts w:ascii="Times New Roman" w:hAnsi="Times New Roman" w:cs="Times New Roman"/>
          <w:sz w:val="24"/>
          <w:szCs w:val="24"/>
        </w:rPr>
        <w:lastRenderedPageBreak/>
        <w:t>las comunidades del norte del país. En la próxima década se jubilarán 5,3 millones de personas en España, pero solo 1,8 millones de jóvenes entrarán al mercado laboral, según el análisis desarrollado por el Observatorio de la Vulnerabilidad y el Empleo de la Fundación Adecco con datos de la EPA.</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En este contexto, hay comunidades que presentan una previsión de relevo generacional más desfavorable de la media, que ya es compleja. Es el caso del País Vasco, donde 4,6 personas se jubilarán en los próximos diez años por cada una que se incorporará al mercado; Castilla y León, con una ratio de 4,6; Galicia (4,4) y Asturias (4). En general, se trata de regiones que presentan una tasa de envejecimiento alta y/o una tasa de actividad de las personas jóvenes inferior a la nacional. Dentro de ellas hay cuatro provincias que, si nada cambia, superarán esta ratio ya difícil de digerir. En Zamora está previsto que se jubilen 5,7 personas por cada joven que entre en el mercado laboral en la próxima década. Situación similar viven en Lugo (5,3), Vizcaya (5,2) y Salamanca (5).</w:t>
      </w:r>
    </w:p>
    <w:p w:rsidR="000803C7" w:rsidRPr="000511ED"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511ED">
        <w:rPr>
          <w:rFonts w:ascii="Times New Roman" w:hAnsi="Times New Roman" w:cs="Times New Roman"/>
          <w:noProof/>
          <w:sz w:val="24"/>
          <w:szCs w:val="24"/>
          <w:lang w:eastAsia="es-ES"/>
        </w:rPr>
        <w:drawing>
          <wp:inline distT="0" distB="0" distL="0" distR="0" wp14:anchorId="3A97A330" wp14:editId="665C4785">
            <wp:extent cx="4730750" cy="4724400"/>
            <wp:effectExtent l="0" t="0" r="0" b="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stretch>
                      <a:fillRect/>
                    </a:stretch>
                  </pic:blipFill>
                  <pic:spPr>
                    <a:xfrm>
                      <a:off x="0" y="0"/>
                      <a:ext cx="4734586" cy="4728231"/>
                    </a:xfrm>
                    <a:prstGeom prst="rect">
                      <a:avLst/>
                    </a:prstGeom>
                  </pic:spPr>
                </pic:pic>
              </a:graphicData>
            </a:graphic>
          </wp:inline>
        </w:drawing>
      </w:r>
    </w:p>
    <w:p w:rsidR="000803C7" w:rsidRDefault="00AC200B"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803C7" w:rsidRPr="000511ED">
        <w:rPr>
          <w:rFonts w:ascii="Times New Roman" w:hAnsi="Times New Roman" w:cs="Times New Roman"/>
          <w:sz w:val="24"/>
          <w:szCs w:val="24"/>
        </w:rPr>
        <w:t>En la parte del sistema de pensiones en realidad lo que pase en una provincia no es necesariamente importante, lo importante es el total, se puede compensar con otras comunidades, pero al final el problema es a nivel nacional. Cada vez entran menos trabajadores por cada jubilado que sale, sobre todo en</w:t>
      </w:r>
      <w:r>
        <w:rPr>
          <w:rFonts w:ascii="Times New Roman" w:hAnsi="Times New Roman" w:cs="Times New Roman"/>
          <w:sz w:val="24"/>
          <w:szCs w:val="24"/>
        </w:rPr>
        <w:t>tre los nativos”</w:t>
      </w:r>
      <w:r w:rsidR="000803C7" w:rsidRPr="000511ED">
        <w:rPr>
          <w:rFonts w:ascii="Times New Roman" w:hAnsi="Times New Roman" w:cs="Times New Roman"/>
          <w:sz w:val="24"/>
          <w:szCs w:val="24"/>
        </w:rPr>
        <w:t>, explica el director de la Fundación de Estudios de Economía Aplicada (Fedea), Ángel de la Fuente, e</w:t>
      </w:r>
      <w:r w:rsidR="000803C7">
        <w:rPr>
          <w:rFonts w:ascii="Times New Roman" w:hAnsi="Times New Roman" w:cs="Times New Roman"/>
          <w:sz w:val="24"/>
          <w:szCs w:val="24"/>
        </w:rPr>
        <w:t>n conversación con The Objective</w:t>
      </w:r>
      <w:r w:rsidR="000803C7" w:rsidRPr="000511ED">
        <w:rPr>
          <w:rFonts w:ascii="Times New Roman" w:hAnsi="Times New Roman" w:cs="Times New Roman"/>
          <w:sz w:val="24"/>
          <w:szCs w:val="24"/>
        </w:rPr>
        <w:t>.</w:t>
      </w:r>
    </w:p>
    <w:p w:rsidR="00AC200B" w:rsidRPr="000511ED" w:rsidRDefault="00AC200B" w:rsidP="000803C7">
      <w:pPr>
        <w:spacing w:line="240" w:lineRule="auto"/>
        <w:jc w:val="both"/>
        <w:rPr>
          <w:rFonts w:ascii="Times New Roman" w:hAnsi="Times New Roman" w:cs="Times New Roman"/>
          <w:sz w:val="24"/>
          <w:szCs w:val="24"/>
        </w:rPr>
      </w:pP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lastRenderedPageBreak/>
        <w:t>Población envejecida y con menos inmigrantes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 xml:space="preserve">En el otro lado se sitúan regiones como Murcia (2), Cataluña (2,2) y Balares (2,6), que presentan una previsión de relevo generacional algo más favorable, aunque igualmente </w:t>
      </w:r>
      <w:r w:rsidR="00AC200B">
        <w:rPr>
          <w:rFonts w:ascii="Times New Roman" w:hAnsi="Times New Roman" w:cs="Times New Roman"/>
          <w:sz w:val="24"/>
          <w:szCs w:val="24"/>
        </w:rPr>
        <w:t>crítica. La provincia que sale “</w:t>
      </w:r>
      <w:r w:rsidR="00C9309F">
        <w:rPr>
          <w:rFonts w:ascii="Times New Roman" w:hAnsi="Times New Roman" w:cs="Times New Roman"/>
          <w:sz w:val="24"/>
          <w:szCs w:val="24"/>
        </w:rPr>
        <w:t>mejor parada”</w:t>
      </w:r>
      <w:r w:rsidRPr="000511ED">
        <w:rPr>
          <w:rFonts w:ascii="Times New Roman" w:hAnsi="Times New Roman" w:cs="Times New Roman"/>
          <w:sz w:val="24"/>
          <w:szCs w:val="24"/>
        </w:rPr>
        <w:t xml:space="preserve"> en esta foto generacional es Tarragona, con una ratio pensionista/nuevo trabajador de 1,8. Se trata de comunidades más jóvenes y con más población inmigrante. De hecho, tal y como apuntan desde Adecco, el fenómeno migratorio será clave para paliar la falta de relevo generacional. Se espera que entre 2026 y 2035 lleguen a España 4.593.871 personas extranjeras, de las cuales aproximadamente un 80% estará en edad laboral y el 70% de ellas buscarán activamente empl</w:t>
      </w:r>
      <w:r w:rsidR="00C9309F">
        <w:rPr>
          <w:rFonts w:ascii="Times New Roman" w:hAnsi="Times New Roman" w:cs="Times New Roman"/>
          <w:sz w:val="24"/>
          <w:szCs w:val="24"/>
        </w:rPr>
        <w:t>eo (2,5 millones de personas). “</w:t>
      </w:r>
      <w:r w:rsidRPr="000511ED">
        <w:rPr>
          <w:rFonts w:ascii="Times New Roman" w:hAnsi="Times New Roman" w:cs="Times New Roman"/>
          <w:sz w:val="24"/>
          <w:szCs w:val="24"/>
        </w:rPr>
        <w:t>Entran más inmigrantes, pero tamb</w:t>
      </w:r>
      <w:r w:rsidR="00C9309F">
        <w:rPr>
          <w:rFonts w:ascii="Times New Roman" w:hAnsi="Times New Roman" w:cs="Times New Roman"/>
          <w:sz w:val="24"/>
          <w:szCs w:val="24"/>
        </w:rPr>
        <w:t>ién son comunidades más jóvenes”</w:t>
      </w:r>
      <w:r w:rsidRPr="000511ED">
        <w:rPr>
          <w:rFonts w:ascii="Times New Roman" w:hAnsi="Times New Roman" w:cs="Times New Roman"/>
          <w:sz w:val="24"/>
          <w:szCs w:val="24"/>
        </w:rPr>
        <w:t>, añade De la Fuente.</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El doctor en Ciencias Económicas Enrique Devesa comparte las tesis defend</w:t>
      </w:r>
      <w:r w:rsidR="00C9309F">
        <w:rPr>
          <w:rFonts w:ascii="Times New Roman" w:hAnsi="Times New Roman" w:cs="Times New Roman"/>
          <w:sz w:val="24"/>
          <w:szCs w:val="24"/>
        </w:rPr>
        <w:t>idas por el director de Fedea. “</w:t>
      </w:r>
      <w:r w:rsidRPr="000511ED">
        <w:rPr>
          <w:rFonts w:ascii="Times New Roman" w:hAnsi="Times New Roman" w:cs="Times New Roman"/>
          <w:sz w:val="24"/>
          <w:szCs w:val="24"/>
        </w:rPr>
        <w:t>Es un problema que se agrava en la parte norte de España, que tienen una ratio jubilados/afiliados muy alta y va a seguir en el futuro. Hay mucha gente población cercana a la edad de jubilación y los jóvenes en edad de trabajar se marchan fue</w:t>
      </w:r>
      <w:r w:rsidR="00C9309F">
        <w:rPr>
          <w:rFonts w:ascii="Times New Roman" w:hAnsi="Times New Roman" w:cs="Times New Roman"/>
          <w:sz w:val="24"/>
          <w:szCs w:val="24"/>
        </w:rPr>
        <w:t>ra buscando otras oportunidades”</w:t>
      </w:r>
      <w:r w:rsidRPr="000511ED">
        <w:rPr>
          <w:rFonts w:ascii="Times New Roman" w:hAnsi="Times New Roman" w:cs="Times New Roman"/>
          <w:sz w:val="24"/>
          <w:szCs w:val="24"/>
        </w:rPr>
        <w:t>, añade en conversación con este diario. Por ejemplo, en el caso de País Vasco, que lidera el ranking, la participación de los menores</w:t>
      </w:r>
      <w:r w:rsidR="00C9309F">
        <w:rPr>
          <w:rFonts w:ascii="Times New Roman" w:hAnsi="Times New Roman" w:cs="Times New Roman"/>
          <w:sz w:val="24"/>
          <w:szCs w:val="24"/>
        </w:rPr>
        <w:t xml:space="preserve"> </w:t>
      </w:r>
      <w:r w:rsidRPr="000511ED">
        <w:rPr>
          <w:rFonts w:ascii="Times New Roman" w:hAnsi="Times New Roman" w:cs="Times New Roman"/>
          <w:sz w:val="24"/>
          <w:szCs w:val="24"/>
        </w:rPr>
        <w:t>de 25 años en el mercado laboral es del 27%, cifra inferior a la media nacional, del 37,8%.</w:t>
      </w:r>
    </w:p>
    <w:p w:rsidR="000803C7" w:rsidRPr="000511ED" w:rsidRDefault="00C9309F"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803C7" w:rsidRPr="000511ED">
        <w:rPr>
          <w:rFonts w:ascii="Times New Roman" w:hAnsi="Times New Roman" w:cs="Times New Roman"/>
          <w:sz w:val="24"/>
          <w:szCs w:val="24"/>
        </w:rPr>
        <w:t>En cuanto al mercado de trabajo, si se van muchos más de los que entran, habrá una escasez de mano de obra que uno tiende a pensar que la cubrirá la inmigración, si hay demanda de trabajo, pero eso es más complicado. Es posible que haya sitios en los que no sean capaces de cubr</w:t>
      </w:r>
      <w:r>
        <w:rPr>
          <w:rFonts w:ascii="Times New Roman" w:hAnsi="Times New Roman" w:cs="Times New Roman"/>
          <w:sz w:val="24"/>
          <w:szCs w:val="24"/>
        </w:rPr>
        <w:t>ir las pérdidas de mano de obra”</w:t>
      </w:r>
      <w:r w:rsidR="000803C7" w:rsidRPr="000511ED">
        <w:rPr>
          <w:rFonts w:ascii="Times New Roman" w:hAnsi="Times New Roman" w:cs="Times New Roman"/>
          <w:sz w:val="24"/>
          <w:szCs w:val="24"/>
        </w:rPr>
        <w:t xml:space="preserve">, añade De la Fuente. Esto, a la larga, implicará una menor producción, menor productividad y caída del PIB. Pero no es fácil adivinar lo </w:t>
      </w:r>
      <w:r>
        <w:rPr>
          <w:rFonts w:ascii="Times New Roman" w:hAnsi="Times New Roman" w:cs="Times New Roman"/>
          <w:sz w:val="24"/>
          <w:szCs w:val="24"/>
        </w:rPr>
        <w:t>que va a ocurrir en cada caso. “</w:t>
      </w:r>
      <w:r w:rsidR="000803C7" w:rsidRPr="000511ED">
        <w:rPr>
          <w:rFonts w:ascii="Times New Roman" w:hAnsi="Times New Roman" w:cs="Times New Roman"/>
          <w:sz w:val="24"/>
          <w:szCs w:val="24"/>
        </w:rPr>
        <w:t>Están entrando muchos inmigrantes, pero el problema es que suelen ir a tareas que son poco productivas, que tienen poco</w:t>
      </w:r>
      <w:r>
        <w:rPr>
          <w:rFonts w:ascii="Times New Roman" w:hAnsi="Times New Roman" w:cs="Times New Roman"/>
          <w:sz w:val="24"/>
          <w:szCs w:val="24"/>
        </w:rPr>
        <w:t xml:space="preserve"> poder de generación de riqueza”</w:t>
      </w:r>
      <w:r w:rsidR="000803C7" w:rsidRPr="000511ED">
        <w:rPr>
          <w:rFonts w:ascii="Times New Roman" w:hAnsi="Times New Roman" w:cs="Times New Roman"/>
          <w:sz w:val="24"/>
          <w:szCs w:val="24"/>
        </w:rPr>
        <w:t>, añade por su parte Devesa.</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Pensiones cada vez más altas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En este sentido, Devesa señala el coste cada vez más elevado de las pensiones. El déficit contributivo se sitúa ya en dos puntos de PIB y, según los principales estu</w:t>
      </w:r>
      <w:r w:rsidR="00C9309F">
        <w:rPr>
          <w:rFonts w:ascii="Times New Roman" w:hAnsi="Times New Roman" w:cs="Times New Roman"/>
          <w:sz w:val="24"/>
          <w:szCs w:val="24"/>
        </w:rPr>
        <w:t>dios, va a seguir ampliándose. “</w:t>
      </w:r>
      <w:r w:rsidRPr="000511ED">
        <w:rPr>
          <w:rFonts w:ascii="Times New Roman" w:hAnsi="Times New Roman" w:cs="Times New Roman"/>
          <w:sz w:val="24"/>
          <w:szCs w:val="24"/>
        </w:rPr>
        <w:t xml:space="preserve">Hasta 2060 no se espera una mejoría, pero son muchos años, hablamos de 35 años y hay que adoptar medidas </w:t>
      </w:r>
      <w:r w:rsidR="00C9309F" w:rsidRPr="000511ED">
        <w:rPr>
          <w:rFonts w:ascii="Times New Roman" w:hAnsi="Times New Roman" w:cs="Times New Roman"/>
          <w:sz w:val="24"/>
          <w:szCs w:val="24"/>
        </w:rPr>
        <w:t>más</w:t>
      </w:r>
      <w:r w:rsidRPr="000511ED">
        <w:rPr>
          <w:rFonts w:ascii="Times New Roman" w:hAnsi="Times New Roman" w:cs="Times New Roman"/>
          <w:sz w:val="24"/>
          <w:szCs w:val="24"/>
        </w:rPr>
        <w:t xml:space="preserve"> drásticas de que lo que se hizo en la última r</w:t>
      </w:r>
      <w:r w:rsidR="00C9309F">
        <w:rPr>
          <w:rFonts w:ascii="Times New Roman" w:hAnsi="Times New Roman" w:cs="Times New Roman"/>
          <w:sz w:val="24"/>
          <w:szCs w:val="24"/>
        </w:rPr>
        <w:t>eforma del sistema de pensiones”</w:t>
      </w:r>
      <w:r w:rsidRPr="000511ED">
        <w:rPr>
          <w:rFonts w:ascii="Times New Roman" w:hAnsi="Times New Roman" w:cs="Times New Roman"/>
          <w:sz w:val="24"/>
          <w:szCs w:val="24"/>
        </w:rPr>
        <w:t xml:space="preserve"> de José Luis Escrivá. Mientras, sigue aumentando la esperanza de vida y los pensionistas cobran pensiones más altas durante más tiempo. Pero los ingresos al sistema son cada vez menores con los trabajadores en retroceso.</w:t>
      </w:r>
    </w:p>
    <w:p w:rsidR="000803C7" w:rsidRDefault="00C9309F"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803C7" w:rsidRPr="000511ED">
        <w:rPr>
          <w:rFonts w:ascii="Times New Roman" w:hAnsi="Times New Roman" w:cs="Times New Roman"/>
          <w:sz w:val="24"/>
          <w:szCs w:val="24"/>
        </w:rPr>
        <w:t>No hay ningún mecanismo en el sistema de pensiones que utilice algún factor para corregir ese aumento de la esperanza de vida. Esto todo lo agrava. Las últimas reformas se han centrado en incrementar los ingresos mediante el Mecanismo de Equidad Intergenerac</w:t>
      </w:r>
      <w:r>
        <w:rPr>
          <w:rFonts w:ascii="Times New Roman" w:hAnsi="Times New Roman" w:cs="Times New Roman"/>
          <w:sz w:val="24"/>
          <w:szCs w:val="24"/>
        </w:rPr>
        <w:t>ional y la cuota de Solidaridad”</w:t>
      </w:r>
      <w:r w:rsidR="000803C7" w:rsidRPr="000511ED">
        <w:rPr>
          <w:rFonts w:ascii="Times New Roman" w:hAnsi="Times New Roman" w:cs="Times New Roman"/>
          <w:sz w:val="24"/>
          <w:szCs w:val="24"/>
        </w:rPr>
        <w:t>, añade el doctor en Ciencias Económicas. Sin embargo, a su juicio, hay que atacar desde otros puntos de vista para que ese gasto no siga creciendo a este ritmo. «Pero eso es menos atractivo para los políticos y optan por la solución fácil que es que paguen más los afiliados. Pero esto influye en el mercado laboral, lo hace menos productivos», añade. A esto hay que unir la situación precaria en la que se encuentran muchos jóvenes durante sus primeros años de vida laboral que les hace abandonar el país en busca de mejores oportunidades.</w:t>
      </w:r>
    </w:p>
    <w:p w:rsidR="00C9309F" w:rsidRPr="000511ED" w:rsidRDefault="00C9309F" w:rsidP="000803C7">
      <w:pPr>
        <w:spacing w:line="240" w:lineRule="auto"/>
        <w:jc w:val="both"/>
        <w:rPr>
          <w:rFonts w:ascii="Times New Roman" w:hAnsi="Times New Roman" w:cs="Times New Roman"/>
          <w:sz w:val="24"/>
          <w:szCs w:val="24"/>
        </w:rPr>
      </w:pP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lastRenderedPageBreak/>
        <w:t xml:space="preserve">- </w:t>
      </w:r>
      <w:r w:rsidRPr="000511ED">
        <w:rPr>
          <w:rFonts w:ascii="Times New Roman" w:hAnsi="Times New Roman" w:cs="Times New Roman"/>
          <w:sz w:val="24"/>
          <w:szCs w:val="24"/>
          <w:u w:val="single"/>
        </w:rPr>
        <w:t>Un 26% de los jubilados recibe una pensión superior a los 2.000 euros al mes</w:t>
      </w:r>
      <w:r w:rsidRPr="000511ED">
        <w:rPr>
          <w:rFonts w:ascii="Times New Roman" w:hAnsi="Times New Roman" w:cs="Times New Roman"/>
          <w:sz w:val="24"/>
          <w:szCs w:val="24"/>
        </w:rPr>
        <w:t xml:space="preserve"> (El Economista - </w:t>
      </w:r>
      <w:r w:rsidRPr="000511ED">
        <w:rPr>
          <w:rFonts w:ascii="Times New Roman" w:hAnsi="Times New Roman" w:cs="Times New Roman"/>
          <w:b/>
          <w:sz w:val="24"/>
          <w:szCs w:val="24"/>
        </w:rPr>
        <w:t>25/8/25</w:t>
      </w:r>
      <w:r w:rsidRPr="000511ED">
        <w:rPr>
          <w:rFonts w:ascii="Times New Roman" w:hAnsi="Times New Roman" w:cs="Times New Roman"/>
          <w:sz w:val="24"/>
          <w:szCs w:val="24"/>
        </w:rPr>
        <w:t>)</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Desde el año 2021, el número de pensionistas con mayores rentas ha crecido hasta un 64%</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Su proporción hace dos décadas, cuando se inició la estadística, no alcanzaba el 2%</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Saiz prevé que el 14% de los nuevos jubilados vuelva a trabajar a partir de 2030</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(Por Blanca Martínez Mingo)</w:t>
      </w:r>
    </w:p>
    <w:p w:rsidR="000803C7"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La proporción de jubilados en España que cobran más de 2.000 euros al mes ha aumentado de forma constante en los últimos años. Los nuevos jubilados entran en el sistema con nóminas más elevadas y la revalorización vinculada al IPC también ha incrementado esta cuantía. El re</w:t>
      </w:r>
      <w:r w:rsidR="00C9309F">
        <w:rPr>
          <w:rFonts w:ascii="Times New Roman" w:hAnsi="Times New Roman" w:cs="Times New Roman"/>
          <w:sz w:val="24"/>
          <w:szCs w:val="24"/>
        </w:rPr>
        <w:t>sultado es que, a mes de julio -última cifra disponible-</w:t>
      </w:r>
      <w:r w:rsidRPr="000511ED">
        <w:rPr>
          <w:rFonts w:ascii="Times New Roman" w:hAnsi="Times New Roman" w:cs="Times New Roman"/>
          <w:sz w:val="24"/>
          <w:szCs w:val="24"/>
        </w:rPr>
        <w:t xml:space="preserve"> un 26% de los jubilados cuentan con pensiones que superan este tramo. Es decir, uno de cada cuatro.</w:t>
      </w:r>
    </w:p>
    <w:p w:rsidR="000803C7" w:rsidRPr="000511ED" w:rsidRDefault="000803C7"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2439E">
        <w:rPr>
          <w:rFonts w:ascii="Times New Roman" w:hAnsi="Times New Roman" w:cs="Times New Roman"/>
          <w:noProof/>
          <w:color w:val="FF0000"/>
          <w:sz w:val="24"/>
          <w:szCs w:val="24"/>
          <w:lang w:eastAsia="es-ES"/>
        </w:rPr>
        <w:drawing>
          <wp:inline distT="0" distB="0" distL="0" distR="0" wp14:anchorId="0A89D9C4" wp14:editId="6573F8FC">
            <wp:extent cx="4641850" cy="4216400"/>
            <wp:effectExtent l="0" t="0" r="6350" b="0"/>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a:stretch>
                      <a:fillRect/>
                    </a:stretch>
                  </pic:blipFill>
                  <pic:spPr>
                    <a:xfrm>
                      <a:off x="0" y="0"/>
                      <a:ext cx="4642498" cy="4216989"/>
                    </a:xfrm>
                    <a:prstGeom prst="rect">
                      <a:avLst/>
                    </a:prstGeom>
                  </pic:spPr>
                </pic:pic>
              </a:graphicData>
            </a:graphic>
          </wp:inline>
        </w:drawing>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La proporción ha crecido en los últimos años, pasando de apenas un 2% en el primer año del registro (2005) al 26% de 2025. El incremento ha sido paulatino, sumando un punto porcentual todos los años hasta 2021, cuando el incremento de esta proporción empezó a sumar dos puntos porcentuales cada año.</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 xml:space="preserve">Proporción aparte, el número bruto de jubilados que cobran más de 2.000 euros al mes también ha crecido. </w:t>
      </w:r>
      <w:r w:rsidR="00C9309F">
        <w:rPr>
          <w:rFonts w:ascii="Times New Roman" w:hAnsi="Times New Roman" w:cs="Times New Roman"/>
          <w:sz w:val="24"/>
          <w:szCs w:val="24"/>
        </w:rPr>
        <w:t>En concreto, un 64% desde 2021 -</w:t>
      </w:r>
      <w:r w:rsidRPr="000511ED">
        <w:rPr>
          <w:rFonts w:ascii="Times New Roman" w:hAnsi="Times New Roman" w:cs="Times New Roman"/>
          <w:sz w:val="24"/>
          <w:szCs w:val="24"/>
        </w:rPr>
        <w:t xml:space="preserve">antes de que entrase en vigor la primera </w:t>
      </w:r>
      <w:r w:rsidR="00C9309F">
        <w:rPr>
          <w:rFonts w:ascii="Times New Roman" w:hAnsi="Times New Roman" w:cs="Times New Roman"/>
          <w:sz w:val="24"/>
          <w:szCs w:val="24"/>
        </w:rPr>
        <w:t>pata de la reforma de pensiones-</w:t>
      </w:r>
      <w:r w:rsidRPr="000511ED">
        <w:rPr>
          <w:rFonts w:ascii="Times New Roman" w:hAnsi="Times New Roman" w:cs="Times New Roman"/>
          <w:sz w:val="24"/>
          <w:szCs w:val="24"/>
        </w:rPr>
        <w:t>. En comparación, y aunque los pensionistas que cobr</w:t>
      </w:r>
      <w:r w:rsidR="00C9309F">
        <w:rPr>
          <w:rFonts w:ascii="Times New Roman" w:hAnsi="Times New Roman" w:cs="Times New Roman"/>
          <w:sz w:val="24"/>
          <w:szCs w:val="24"/>
        </w:rPr>
        <w:t>an menos de 1.000 euros al mes -</w:t>
      </w:r>
      <w:r w:rsidRPr="000511ED">
        <w:rPr>
          <w:rFonts w:ascii="Times New Roman" w:hAnsi="Times New Roman" w:cs="Times New Roman"/>
          <w:sz w:val="24"/>
          <w:szCs w:val="24"/>
        </w:rPr>
        <w:t xml:space="preserve">es decir, menos que el </w:t>
      </w:r>
      <w:r w:rsidR="00C9309F">
        <w:rPr>
          <w:rFonts w:ascii="Times New Roman" w:hAnsi="Times New Roman" w:cs="Times New Roman"/>
          <w:sz w:val="24"/>
          <w:szCs w:val="24"/>
        </w:rPr>
        <w:t>salario mínimo interprofesional-</w:t>
      </w:r>
      <w:r w:rsidRPr="000511ED">
        <w:rPr>
          <w:rFonts w:ascii="Times New Roman" w:hAnsi="Times New Roman" w:cs="Times New Roman"/>
          <w:sz w:val="24"/>
          <w:szCs w:val="24"/>
        </w:rPr>
        <w:t xml:space="preserve"> siguen siendo la mayoría (un 40%), esta proporción ha caído a lo largo de los años. La </w:t>
      </w:r>
      <w:r w:rsidRPr="000511ED">
        <w:rPr>
          <w:rFonts w:ascii="Times New Roman" w:hAnsi="Times New Roman" w:cs="Times New Roman"/>
          <w:sz w:val="24"/>
          <w:szCs w:val="24"/>
        </w:rPr>
        <w:lastRenderedPageBreak/>
        <w:t>proporción de jubilados que se encuentran en este tramo ha pasado del 80% en 2005, al 62% diez años más tarde (en 2015) y al 40% de ahora.</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En este sentido, los que quedan entre los dos tramos ya mencionados (entre los 1.000 euros al mes y los 2.000) son un 35% del total. Una proporción que al igual que la de los que más ganan, ha ido creciendo con el paso del tiempo. En términos brutos, es decir, en número total de pensionistas, los que se encuentran en el tramo entre los 1.000 y los 2.000 euros han crecido más lento. En comparación con 2021 estos pensionistas han crecido un 27% en número. Un aumento mucho menor al experimentado en el tramo de más de 2.000 euros al mes.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Un sistema generoso</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En la reforma de pensiones pactada en 2021, el exministro de Seguridad Social, José Luis Escrivá, blindó la revalorización al IPC. Una medida cuyo objetivo era que los pensionistas no perdieran poder adquisitivo en los momentos de mayor presión inflacionaria. El blindaje, sumado a que los nuevos pensionistas que entran en el sistema llegan con carreras de cotización más largas y bases más elevadas h</w:t>
      </w:r>
      <w:r w:rsidR="00C9309F">
        <w:rPr>
          <w:rFonts w:ascii="Times New Roman" w:hAnsi="Times New Roman" w:cs="Times New Roman"/>
          <w:sz w:val="24"/>
          <w:szCs w:val="24"/>
        </w:rPr>
        <w:t>a incrementado la nómina media -</w:t>
      </w:r>
      <w:r w:rsidRPr="000511ED">
        <w:rPr>
          <w:rFonts w:ascii="Times New Roman" w:hAnsi="Times New Roman" w:cs="Times New Roman"/>
          <w:sz w:val="24"/>
          <w:szCs w:val="24"/>
        </w:rPr>
        <w:t xml:space="preserve">sobre </w:t>
      </w:r>
      <w:r w:rsidR="00C9309F">
        <w:rPr>
          <w:rFonts w:ascii="Times New Roman" w:hAnsi="Times New Roman" w:cs="Times New Roman"/>
          <w:sz w:val="24"/>
          <w:szCs w:val="24"/>
        </w:rPr>
        <w:t>todo la de los nuevos jubilados-</w:t>
      </w:r>
      <w:r w:rsidRPr="000511ED">
        <w:rPr>
          <w:rFonts w:ascii="Times New Roman" w:hAnsi="Times New Roman" w:cs="Times New Roman"/>
          <w:sz w:val="24"/>
          <w:szCs w:val="24"/>
        </w:rPr>
        <w:t>.</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Según la última nómina publicada por el Departamento de Elma Saiz, los jubilados cobran, de media, 1.506,5 euros al mes (una prestación que perciben cerca de 6,5 millones de personas). Sin embargo, la nómina media de los que se dieron de alta por primera vez en el sistema llegó a 1.547 euros al mes. Una cuantía que asciende a 1.650 euros de media en el caso de los asalariados.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El resultado, según las previsiones de la Airef expuestas en la Opinión sobre la sostenibilidad de las AAPP, la tasa de generosidad del sistema de pensiones (entendida como la división de pensión media entre el salario medio) llegará a su punto más elevado en 2029, cuando se situará en el 67%. A partir de este año, descenderá hasta el 56,7% en 2050 por la evolución de los salarios por encima del IPC que marca la revalorización.</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El último informe que analizaba la generosidad del sistema de pensiones fue publicado en el mes de febrero por el Instituto de Actuarios. Según este documento, los que se jubilen este año recibirán 1,62 euros por cada euro aportado al sistema. Es decir, recibirán más de lo que han cotizado. Hace cinco años, indica el informe, este mismo indicador se encontraba en 1,55. En este sentido, el análisis apunta a que la mayor generosidad del sistema se explica, en parte, por el envejecimiento de la población (que implica que los jubilados cobran durante más años la pensión).</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Por otro lado, otros documentos más anticuados, como el último informe de la OCDE que trataba est</w:t>
      </w:r>
      <w:r w:rsidR="00C9309F">
        <w:rPr>
          <w:rFonts w:ascii="Times New Roman" w:hAnsi="Times New Roman" w:cs="Times New Roman"/>
          <w:sz w:val="24"/>
          <w:szCs w:val="24"/>
        </w:rPr>
        <w:t>a cuestión indicaba que España -junto a Grecia-</w:t>
      </w:r>
      <w:r w:rsidRPr="000511ED">
        <w:rPr>
          <w:rFonts w:ascii="Times New Roman" w:hAnsi="Times New Roman" w:cs="Times New Roman"/>
          <w:sz w:val="24"/>
          <w:szCs w:val="24"/>
        </w:rPr>
        <w:t xml:space="preserve"> tiene uno de los sistemas más generosos.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Una pensión más elevada</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La diferencia entre las nóminas de los que llegan a la edad de retiro en comparación con la de los pensionistas que f</w:t>
      </w:r>
      <w:r w:rsidR="00C9309F">
        <w:rPr>
          <w:rFonts w:ascii="Times New Roman" w:hAnsi="Times New Roman" w:cs="Times New Roman"/>
          <w:sz w:val="24"/>
          <w:szCs w:val="24"/>
        </w:rPr>
        <w:t>allecen -</w:t>
      </w:r>
      <w:r w:rsidRPr="000511ED">
        <w:rPr>
          <w:rFonts w:ascii="Times New Roman" w:hAnsi="Times New Roman" w:cs="Times New Roman"/>
          <w:sz w:val="24"/>
          <w:szCs w:val="24"/>
        </w:rPr>
        <w:t>conocida técnicam</w:t>
      </w:r>
      <w:r w:rsidR="00C9309F">
        <w:rPr>
          <w:rFonts w:ascii="Times New Roman" w:hAnsi="Times New Roman" w:cs="Times New Roman"/>
          <w:sz w:val="24"/>
          <w:szCs w:val="24"/>
        </w:rPr>
        <w:t>ente como el efecto sustitución-</w:t>
      </w:r>
      <w:r w:rsidRPr="000511ED">
        <w:rPr>
          <w:rFonts w:ascii="Times New Roman" w:hAnsi="Times New Roman" w:cs="Times New Roman"/>
          <w:sz w:val="24"/>
          <w:szCs w:val="24"/>
        </w:rPr>
        <w:t xml:space="preserve"> se situó de media en los 294,81 euros en el primer semestre. Es decir, los nuevos jubilados cobraron casi 300 euros más de media que los que fallecieron, con una nómina de 1.611,69 euros al mes. Una cuantía que ha contribuido a elevar la media total hasta los 1.506,5 euros (según las últimas cifras disponibles), pero que ha variado entre enero y junio.</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lastRenderedPageBreak/>
        <w:t>En concreto, los nuevos jubilados entraron en enero con una nómina media de 1.754,24 euros al mes; en febrero de 1.654,76; en marzo de 1.600,21; en abril de 1.562,15; en mayo de 1.551,73 y en junio de 1.547,03. Al mismo tiempo, los que fallecieron y, por tanto, salieron del sistema de pensiones contaban con nóminas medias de 1.298,02 euros al mes en enero; 1.306,06 en febrero; 1.317,98 en marzo; 1.324,24 en abril; 1.329,88 en mayo y 1.325,07 en junio, resultando en una cifra media para el primer semestre de 1.316,88 euros al mes.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Según las últimas previsiones de la Airef el incremento en el número de jubilados derivado del envejecimiento de la población y de la llegada de la generación baby boom a la edad de retiro sumará 1,4 puntos porcentuales al crecimiento en el gasto de este año. Una</w:t>
      </w:r>
      <w:r w:rsidR="00C9309F">
        <w:rPr>
          <w:rFonts w:ascii="Times New Roman" w:hAnsi="Times New Roman" w:cs="Times New Roman"/>
          <w:sz w:val="24"/>
          <w:szCs w:val="24"/>
        </w:rPr>
        <w:t xml:space="preserve"> subida que el organismo cifra -</w:t>
      </w:r>
      <w:r w:rsidRPr="000511ED">
        <w:rPr>
          <w:rFonts w:ascii="Times New Roman" w:hAnsi="Times New Roman" w:cs="Times New Roman"/>
          <w:sz w:val="24"/>
          <w:szCs w:val="24"/>
        </w:rPr>
        <w:t>según las últimas previsiones dispo</w:t>
      </w:r>
      <w:r w:rsidR="00C9309F">
        <w:rPr>
          <w:rFonts w:ascii="Times New Roman" w:hAnsi="Times New Roman" w:cs="Times New Roman"/>
          <w:sz w:val="24"/>
          <w:szCs w:val="24"/>
        </w:rPr>
        <w:t>nibles-</w:t>
      </w:r>
      <w:r w:rsidRPr="000511ED">
        <w:rPr>
          <w:rFonts w:ascii="Times New Roman" w:hAnsi="Times New Roman" w:cs="Times New Roman"/>
          <w:sz w:val="24"/>
          <w:szCs w:val="24"/>
        </w:rPr>
        <w:t xml:space="preserve"> en un 5,8% para 2025. La revalorización, por su parte, sumará 1,2 puntos y otras cuestiones 0,8.</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 xml:space="preserve">- </w:t>
      </w:r>
      <w:r w:rsidRPr="000511ED">
        <w:rPr>
          <w:rFonts w:ascii="Times New Roman" w:hAnsi="Times New Roman" w:cs="Times New Roman"/>
          <w:sz w:val="24"/>
          <w:szCs w:val="24"/>
          <w:u w:val="single"/>
        </w:rPr>
        <w:t>Falta de previsión en pensiones</w:t>
      </w:r>
      <w:r w:rsidRPr="000511ED">
        <w:rPr>
          <w:rFonts w:ascii="Times New Roman" w:hAnsi="Times New Roman" w:cs="Times New Roman"/>
          <w:sz w:val="24"/>
          <w:szCs w:val="24"/>
        </w:rPr>
        <w:t xml:space="preserve"> (Editorial - El Economista - </w:t>
      </w:r>
      <w:r w:rsidRPr="000511ED">
        <w:rPr>
          <w:rFonts w:ascii="Times New Roman" w:hAnsi="Times New Roman" w:cs="Times New Roman"/>
          <w:b/>
          <w:sz w:val="24"/>
          <w:szCs w:val="24"/>
        </w:rPr>
        <w:t>25/8/25</w:t>
      </w:r>
      <w:r w:rsidRPr="000511ED">
        <w:rPr>
          <w:rFonts w:ascii="Times New Roman" w:hAnsi="Times New Roman" w:cs="Times New Roman"/>
          <w:sz w:val="24"/>
          <w:szCs w:val="24"/>
        </w:rPr>
        <w:t>)</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El porcentaje de trabajadores retirados que en España cobra pensiones superiores a los 2.000 euros mensuales ya supone el 26% del total de jubilados. Se trata de una cota inédita, lograda después de que los perceptores de prestaciones de esta cuantía crezcan a ritmos cercanos al 65% en tan solo cuatro años.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El fenómeno irá a más en los próximos ejercicios. Las generaciones que ahora salen de la población activa cuentan con carreras laborales más largas que las propias de sus predecesores, que las hacen acreedoras de salarios más elevados. No debe olvidarse, además, que por altas que puedan parecer en algunos casos sus pensiones, no compensan lo que sus beneficiarios han aportado, en términos netos, a la Seguridad Social.</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Al contrario, la subida constante de las bases máximas de cotización en los últimos años no se ve correspondida por un alza equivalente de la pensión a la que tienen derecho esos contribuyentes cuando se jubilan. El problema, por tanto, no radica en que la cuantía de las pensiones crezca, sino en el modo en que las últimas reformas de la Seguridad Social han ignorado un fenómeno como éste, sobre el que los expertos llevan años avisando. Dichos incrementos son sostenibles si se toman, con la antelación necesaria, medidas racionalizadoras del gasto en otros aspectos, tan fácilmente controlables como la revalorización de estas prestaciones.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El regreso a su indexación automática al promedio del IPC anual constituye una decisión rentable políticamente a corto plazo, pero muy costosa en los años venideros. Lo mismo ocurre con la eliminación de todo mecanismo corrector ligado a la evolución del PIB o del empleo. Es esa falta deliberada de previsión la que realmente pone en apuros al sistema de pensiones.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 xml:space="preserve">- </w:t>
      </w:r>
      <w:r w:rsidRPr="000511ED">
        <w:rPr>
          <w:rFonts w:ascii="Times New Roman" w:hAnsi="Times New Roman" w:cs="Times New Roman"/>
          <w:sz w:val="24"/>
          <w:szCs w:val="24"/>
          <w:u w:val="single"/>
        </w:rPr>
        <w:t>El gasto en pensiones anota un nuevo récord al crecer un 6% en agosto y lleva la nómina media a 1.507 euros</w:t>
      </w:r>
      <w:r w:rsidRPr="000511ED">
        <w:rPr>
          <w:rFonts w:ascii="Times New Roman" w:hAnsi="Times New Roman" w:cs="Times New Roman"/>
          <w:sz w:val="24"/>
          <w:szCs w:val="24"/>
        </w:rPr>
        <w:t xml:space="preserve"> (El Economista - </w:t>
      </w:r>
      <w:r w:rsidRPr="000511ED">
        <w:rPr>
          <w:rFonts w:ascii="Times New Roman" w:hAnsi="Times New Roman" w:cs="Times New Roman"/>
          <w:b/>
          <w:sz w:val="24"/>
          <w:szCs w:val="24"/>
        </w:rPr>
        <w:t>26/8/25</w:t>
      </w:r>
      <w:r w:rsidRPr="000511ED">
        <w:rPr>
          <w:rFonts w:ascii="Times New Roman" w:hAnsi="Times New Roman" w:cs="Times New Roman"/>
          <w:sz w:val="24"/>
          <w:szCs w:val="24"/>
        </w:rPr>
        <w:t>)</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 xml:space="preserve">Seguridad Social destina un total de 9.954,9 millones de euros a las prestaciones por jubilación </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El gasto por incapacidad permanente aumenta un 10,5% respecto al mismo periodo del año anterior</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 xml:space="preserve">El gasto en pensiones anota un nuevo récord al crecer un 6% en agosto </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(Por Noelia Casado)</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lastRenderedPageBreak/>
        <w:t>El pago de la nómina correspondiente al mes de agosto deja un nuevo récord en el gasto en pensiones. El Ministerio de Inclusión, Seguridad Social y Migraciones ha informado este martes de que el presupuesto destinado a las prestaciones contributivas por jubilación ascendió a 9.954 millones de euros, un 6,1% de lo abonado en agosto de 2024. Este incremento responde al aumento de los perceptores y a la revalorización de las nóminas con el IPC, que se ha traducido en un aumento del 4,4% de la pensión media por jubilación que asciende a 1.507,55 euros.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Las cuantías destinadas a los trabajadores que pusieron fin a su carrera profesional suponen casi tres cuartas partes del gasto en pensiones contributivas, si bien, el total asciende a 13.620,9 millones de euros al sumar las pensiones por viudedad, incapacidad permanente, orfandad y en favor de familiares del sistema contributivo. Estas acostumbran a ser más reducidas, por lo que la pensión media de este esquema se sitúa en agosto en 1.312,9 euros al mes.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El presupuesto destinado a las nóminas por incapacidad permanente es el que más crece respecto al mismo periodo de 2024, en concreto aumenta un 10,5% y asciende a 1.252,6 millones de euros mientras el departamento que encabeza Elma Saiz trata de buscar fórmulas que pongan solución al incremento de las bajas por incapacidad temporal que las organizaciones empresariales vienen señalando como el principal problema del mercado de trabajo en los últimos meses.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El gasto de pensiones de viudedad crece un 4,1% hasta los 2.198 millones, las que son en favor de familiares un 6,5% hasta los 36,5 millones de euros y las de orfandad un 4%, que suman 178,8 millones. Todas ellas, así como la de jubilación incorporan la revalorización del 2,8% aplicada de acuerdo con el IPC medio del pasado 2024 y el 6% o 9% pautado para las pensiones mínimas.</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En conjunto, la Seguridad Social ha abonado 10,3 millones de pensiones contributivas en el último mes, una cifra que supera en un 1,3% la del año pasado. En paralelo, crece el número de perceptores hasta los 9,38 millones de personas, un 1,6% más que en agosto de 2024.</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El Ministerio ha informado de que hasta el mes de julio se han registrado 215.971 altas de jubilación, de las que el 11,4% ya son demoradas. Es decir, corresponden a personas que han decidido acceder a la jubilación después de alcanzar la edad legal para hacerlo, algo que la cartera atribuye a los incentivos introducidos en la última reforma de las pensiones (un tanto alzado en el momento de la jubilación, una mejora de la cuantía de la pensión o una fórmula mixta).</w:t>
      </w:r>
    </w:p>
    <w:p w:rsidR="000803C7" w:rsidRPr="000511ED" w:rsidRDefault="00D85658" w:rsidP="000803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803C7" w:rsidRPr="000511ED">
        <w:rPr>
          <w:rFonts w:ascii="Times New Roman" w:hAnsi="Times New Roman" w:cs="Times New Roman"/>
          <w:sz w:val="24"/>
          <w:szCs w:val="24"/>
        </w:rPr>
        <w:t>Este cambio refleja el impacto de los incentivos de demora vigentes desde 2022 y la reconfiguración del marco de la pensión de jubilación anticipada. Como resultado, la edad media de acceso a la jubilación se sitúa en 65,3 años,</w:t>
      </w:r>
      <w:r>
        <w:rPr>
          <w:rFonts w:ascii="Times New Roman" w:hAnsi="Times New Roman" w:cs="Times New Roman"/>
          <w:sz w:val="24"/>
          <w:szCs w:val="24"/>
        </w:rPr>
        <w:t xml:space="preserve"> frente a los 64,4 años de 2019”</w:t>
      </w:r>
      <w:r w:rsidR="000803C7" w:rsidRPr="000511ED">
        <w:rPr>
          <w:rFonts w:ascii="Times New Roman" w:hAnsi="Times New Roman" w:cs="Times New Roman"/>
          <w:sz w:val="24"/>
          <w:szCs w:val="24"/>
        </w:rPr>
        <w:t xml:space="preserve"> explica el departamento de Seguridad Social. No obstante, como contó este periódico, los hombres siguen jubilándose antes de los 65 años de forma que son las mujeres las que impulsan el promedio por encima de esta barrera con 65,8 años de media.</w:t>
      </w:r>
    </w:p>
    <w:p w:rsidR="000803C7" w:rsidRPr="000511ED" w:rsidRDefault="000803C7" w:rsidP="000803C7">
      <w:pPr>
        <w:spacing w:line="240" w:lineRule="auto"/>
        <w:jc w:val="both"/>
        <w:rPr>
          <w:rFonts w:ascii="Times New Roman" w:hAnsi="Times New Roman" w:cs="Times New Roman"/>
          <w:sz w:val="24"/>
          <w:szCs w:val="24"/>
        </w:rPr>
      </w:pPr>
      <w:r w:rsidRPr="000511ED">
        <w:rPr>
          <w:rFonts w:ascii="Times New Roman" w:hAnsi="Times New Roman" w:cs="Times New Roman"/>
          <w:sz w:val="24"/>
          <w:szCs w:val="24"/>
        </w:rPr>
        <w:t>Las nuevas nóminas de jubilación son, de media, más elevadas. De acuerdo con los datos del mes de julio (los últimos disponibles) estas ascienden a 1.613 euros de media, siendo las más elevadas las de los pensionistas que proceden del Régimen General de la Seguridad Social, en el que cotizan los asalariados, donde llega a 1.722,5 euros al mes. Así se aprecia una brecha significativa con los trabajadores autónomos que perciben de media, 1.010 euros por jubilación, una diferencia que trata de paliar la reforma introducida en el año 2022.</w:t>
      </w:r>
    </w:p>
    <w:p w:rsidR="000803C7" w:rsidRDefault="000803C7" w:rsidP="000803C7">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lastRenderedPageBreak/>
        <w:t>“</w:t>
      </w:r>
      <w:r w:rsidRPr="0063529F">
        <w:rPr>
          <w:rFonts w:ascii="Times New Roman" w:hAnsi="Times New Roman" w:cs="Times New Roman"/>
          <w:b/>
          <w:color w:val="FF0000"/>
          <w:sz w:val="24"/>
          <w:szCs w:val="24"/>
        </w:rPr>
        <w:t>La verdad de la milanesa</w:t>
      </w:r>
      <w:r>
        <w:rPr>
          <w:rFonts w:ascii="Times New Roman" w:hAnsi="Times New Roman" w:cs="Times New Roman"/>
          <w:b/>
          <w:color w:val="FF0000"/>
          <w:sz w:val="24"/>
          <w:szCs w:val="24"/>
        </w:rPr>
        <w:t>”</w:t>
      </w:r>
      <w:r w:rsidRPr="0063529F">
        <w:rPr>
          <w:rFonts w:ascii="Times New Roman" w:hAnsi="Times New Roman" w:cs="Times New Roman"/>
          <w:b/>
          <w:color w:val="FF0000"/>
          <w:sz w:val="24"/>
          <w:szCs w:val="24"/>
        </w:rPr>
        <w:t xml:space="preserve"> (lo diga Agamenón, o su porquero)</w:t>
      </w:r>
    </w:p>
    <w:p w:rsidR="000803C7" w:rsidRPr="009506BA" w:rsidRDefault="000803C7" w:rsidP="000803C7">
      <w:pPr>
        <w:spacing w:line="240" w:lineRule="auto"/>
        <w:jc w:val="both"/>
        <w:rPr>
          <w:rFonts w:ascii="Times New Roman" w:hAnsi="Times New Roman" w:cs="Times New Roman"/>
          <w:sz w:val="24"/>
          <w:szCs w:val="24"/>
        </w:rPr>
      </w:pPr>
      <w:r w:rsidRPr="009506BA">
        <w:rPr>
          <w:rFonts w:ascii="Times New Roman" w:hAnsi="Times New Roman" w:cs="Times New Roman"/>
          <w:sz w:val="24"/>
          <w:szCs w:val="24"/>
        </w:rPr>
        <w:t xml:space="preserve">- </w:t>
      </w:r>
      <w:r w:rsidRPr="009506BA">
        <w:rPr>
          <w:rFonts w:ascii="Times New Roman" w:hAnsi="Times New Roman" w:cs="Times New Roman"/>
          <w:sz w:val="24"/>
          <w:szCs w:val="24"/>
          <w:u w:val="single"/>
        </w:rPr>
        <w:t>La pensión media de los jubilados durante 2025 ya es superior al sueldo de la mitad de los asalariados españoles</w:t>
      </w:r>
      <w:r w:rsidRPr="009506BA">
        <w:rPr>
          <w:rFonts w:ascii="Times New Roman" w:hAnsi="Times New Roman" w:cs="Times New Roman"/>
          <w:sz w:val="24"/>
          <w:szCs w:val="24"/>
        </w:rPr>
        <w:t xml:space="preserve"> (El Español - </w:t>
      </w:r>
      <w:r w:rsidRPr="009506BA">
        <w:rPr>
          <w:rFonts w:ascii="Times New Roman" w:hAnsi="Times New Roman" w:cs="Times New Roman"/>
          <w:b/>
          <w:sz w:val="24"/>
          <w:szCs w:val="24"/>
        </w:rPr>
        <w:t>28/8/25</w:t>
      </w:r>
      <w:r w:rsidRPr="009506BA">
        <w:rPr>
          <w:rFonts w:ascii="Times New Roman" w:hAnsi="Times New Roman" w:cs="Times New Roman"/>
          <w:sz w:val="24"/>
          <w:szCs w:val="24"/>
        </w:rPr>
        <w:t>)</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Los datos de la Seguridad Social apuntan a que la pensión anual media de los baby boomers recién jubilados está en los 24.108 euros, un 3,2% más que la mediana salarial española.</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La jubilación de la generación del baby-boom (los nacidos entre 1957 y 1977) cada vez se deja sentir más en el gasto público en pensiones, que todos los meses toca nuevo máximo histórico…</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(Artículo incompleto)</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 xml:space="preserve">- </w:t>
      </w:r>
      <w:r w:rsidRPr="00192123">
        <w:rPr>
          <w:rFonts w:ascii="Times New Roman" w:hAnsi="Times New Roman" w:cs="Times New Roman"/>
          <w:sz w:val="24"/>
          <w:szCs w:val="24"/>
          <w:u w:val="single"/>
        </w:rPr>
        <w:t>10.000 millones de euros al mes: las pensiones de jubilación romperán el récord antes de fin de año</w:t>
      </w:r>
      <w:r w:rsidRPr="00192123">
        <w:rPr>
          <w:rFonts w:ascii="Times New Roman" w:hAnsi="Times New Roman" w:cs="Times New Roman"/>
          <w:sz w:val="24"/>
          <w:szCs w:val="24"/>
        </w:rPr>
        <w:t xml:space="preserve"> (Vozpópuli - </w:t>
      </w:r>
      <w:r w:rsidRPr="00192123">
        <w:rPr>
          <w:rFonts w:ascii="Times New Roman" w:hAnsi="Times New Roman" w:cs="Times New Roman"/>
          <w:b/>
          <w:sz w:val="24"/>
          <w:szCs w:val="24"/>
        </w:rPr>
        <w:t>28/8/25</w:t>
      </w:r>
      <w:r w:rsidRPr="00192123">
        <w:rPr>
          <w:rFonts w:ascii="Times New Roman" w:hAnsi="Times New Roman" w:cs="Times New Roman"/>
          <w:sz w:val="24"/>
          <w:szCs w:val="24"/>
        </w:rPr>
        <w:t>)</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El gasto está muy cerca de superar esta barrera, que ya se rebasa si se suman las no contributivas y las clases pasivas</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(Por Beatriz Triguero)</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La factura de las pensiones de jubilación contributivas -aquellas de quienes han cotizado lo suficiente, la gran mayoría- está cerca de romper la barrera de los 10.000 millones de euros. Lo hará, previsiblemente, antes de que finalice el año. A esta conclusión se llega aplicando la variación anual que han registrado estas pensiones en lo que va de año.</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 xml:space="preserve">Si se mantiene la tendencia, como es habitual, la nómina mensual de las pensiones de jubilación contributivas superaría los 10.000 millones en el mes de noviembre, según los cálculos realizados por este periódico. Las jubilaciones conforman la partida más cuantiosa de todo el gasto en pensiones contributivas, que asciende ya a 13.600 millones de euros. </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A esta cantidad hay que sumar las pensiones no contributivas (271 millones de euros adicionales entre las pensiones de jubilación y de incapacidad) y las de clases pasivas (1.660 millones más), lo que eleva la nómina que afronta la Seguridad Social cada mes hasta los 15.500 millones de euros.</w:t>
      </w:r>
    </w:p>
    <w:p w:rsidR="000803C7"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 xml:space="preserve">Las jubilaciones suponen más del 70% de esa nómina mensual total (11.400 millones). Es decir, que si se suman las pensiones de jubilación de las clases pasivas (casi medio millón de funcionarios retirados que se encuadran en ese otro régimen en extinción) y las no contributivas, en la actualidad ya se rebasan con creces los 10.000 millones de gasto. </w:t>
      </w:r>
    </w:p>
    <w:p w:rsidR="00C9309F" w:rsidRPr="00192123" w:rsidRDefault="00C9309F" w:rsidP="00C9309F">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El gasto en pensiones crece a un ritmo acelerado por varias razones: se revalorizan anualmente con la inflación, que ha sido especialmente alta en los últimos ejercicios; cada vez hay más pensionistas por la jubilación de los baby boomers y el aumento de la esperanza de vida; y además entran con nóminas más elevadas que los que salen del sistema.</w:t>
      </w:r>
    </w:p>
    <w:p w:rsidR="00C9309F" w:rsidRPr="00192123" w:rsidRDefault="00C9309F" w:rsidP="00C9309F">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Hasta julio (último mes del que se disponen datos completos), las pensiones han costado ya 124.000 millones de euros. El Instituto Santalucía, en colaboración con investigadores de la Universidad de Valencia y de Extremadura, publicó en enero un informe en el que estimaba un gasto total este año de 216.000 millones, frente a los 204.000 millones de 2024.</w:t>
      </w:r>
    </w:p>
    <w:p w:rsidR="00C9309F" w:rsidRDefault="00C9309F" w:rsidP="000803C7">
      <w:pPr>
        <w:spacing w:line="240" w:lineRule="auto"/>
        <w:jc w:val="both"/>
        <w:rPr>
          <w:rFonts w:ascii="Times New Roman" w:hAnsi="Times New Roman" w:cs="Times New Roman"/>
          <w:sz w:val="24"/>
          <w:szCs w:val="24"/>
        </w:rPr>
      </w:pPr>
    </w:p>
    <w:p w:rsidR="000803C7"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noProof/>
          <w:sz w:val="24"/>
          <w:szCs w:val="24"/>
          <w:lang w:eastAsia="es-ES"/>
        </w:rPr>
        <w:lastRenderedPageBreak/>
        <w:drawing>
          <wp:inline distT="0" distB="0" distL="0" distR="0" wp14:anchorId="38761B3A" wp14:editId="25FF56C4">
            <wp:extent cx="5731510" cy="3082290"/>
            <wp:effectExtent l="0" t="0" r="2540" b="381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stretch>
                      <a:fillRect/>
                    </a:stretch>
                  </pic:blipFill>
                  <pic:spPr>
                    <a:xfrm>
                      <a:off x="0" y="0"/>
                      <a:ext cx="5731510" cy="3082290"/>
                    </a:xfrm>
                    <a:prstGeom prst="rect">
                      <a:avLst/>
                    </a:prstGeom>
                  </pic:spPr>
                </pic:pic>
              </a:graphicData>
            </a:graphic>
          </wp:inline>
        </w:drawing>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Pensiones financiadas con deuda</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Las cotizaciones a la Seguridad Social de los trabajadores actuales también aumentan anualmente, con una contribución cada vez mayor, en algunos casos sin generar más derechos en el futuro. En 20</w:t>
      </w:r>
      <w:r w:rsidR="00C9309F">
        <w:rPr>
          <w:rFonts w:ascii="Times New Roman" w:hAnsi="Times New Roman" w:cs="Times New Roman"/>
          <w:sz w:val="24"/>
          <w:szCs w:val="24"/>
        </w:rPr>
        <w:t>25 ha comenzado a aplicarse la “cuota de solidaridad”</w:t>
      </w:r>
      <w:r w:rsidRPr="00192123">
        <w:rPr>
          <w:rFonts w:ascii="Times New Roman" w:hAnsi="Times New Roman" w:cs="Times New Roman"/>
          <w:sz w:val="24"/>
          <w:szCs w:val="24"/>
        </w:rPr>
        <w:t>, una cotización adicional sobre los salarios más altos, aquellos que superan la base máxima (59.000 euros anuales).</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 xml:space="preserve">El destope de las bases máximas de cotización y las cotizaciones por ingresos reales de los autónomos también incrementan la aportación al sistema. Y el Mecanismo de Equidad Intergeneracional (MEI), una sobrecotización que se aplica a todos los trabajadores desde 2023, se ha incrementado este año un 0,1% (hasta el 0,8%). </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 xml:space="preserve">El problema es que el ritmo de crecimiento de la factura es tal que no llega a compensarse con estas medidas. Es decir, pese a haberse realizado una reforma recientemente, impulsada por el exministro de Seguridad Social y actual gobernador del Banco de España, José Luis Escrivá, los números no salen y el déficit contributivo de la Seguridad Social crece. </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 xml:space="preserve">Esta situación está llevando al Estado a inyectar cada vez más recursos adicionales propios, que consigue a través de impuestos o deuda pública. Además de las transferencias, los préstamos del Estado a la Seguridad Social también se han normalizado y han engordado la deuda de este subsector hasta los 126.000 millones de euros. </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Mientras tanto, parte de las nuevas cotizaciones, las que se ingresan desde 2023 a través del Mecanismo de Equidad Intergeneracional, llenan el Fo</w:t>
      </w:r>
      <w:r w:rsidR="00C9309F">
        <w:rPr>
          <w:rFonts w:ascii="Times New Roman" w:hAnsi="Times New Roman" w:cs="Times New Roman"/>
          <w:sz w:val="24"/>
          <w:szCs w:val="24"/>
        </w:rPr>
        <w:t>ndo de Reserva, una especie de “hucha”</w:t>
      </w:r>
      <w:r w:rsidRPr="00192123">
        <w:rPr>
          <w:rFonts w:ascii="Times New Roman" w:hAnsi="Times New Roman" w:cs="Times New Roman"/>
          <w:sz w:val="24"/>
          <w:szCs w:val="24"/>
        </w:rPr>
        <w:t xml:space="preserve"> para pensiones que, según el Ministerio, cerrará el año con 14.000 millones de euros. Pero no hay un excedente real sino déficit, por lo que crece de manera ficticia, a base de deuda.</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La Autoridad Fiscal calcula que el gasto en pensiones aumentará hasta el 16,1% de Producto Interior Bruto (PIB) en 2050, con un máximo de 17,3 millones de pensiones activas en 2056</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 xml:space="preserve">La Autoridad Independiente de Responsabilidad Fiscal (AIReF) ha realizado la primera evaluación y ha constatado que aunque se cumplirá la regla de gasto, la reforma no mejora la </w:t>
      </w:r>
      <w:r w:rsidRPr="00192123">
        <w:rPr>
          <w:rFonts w:ascii="Times New Roman" w:hAnsi="Times New Roman" w:cs="Times New Roman"/>
          <w:sz w:val="24"/>
          <w:szCs w:val="24"/>
        </w:rPr>
        <w:lastRenderedPageBreak/>
        <w:t>sostenibilidad del sistema. Estima que elevará un 25% la pensión media por la revalorización con la inflación y la eliminación del factor de sostenibilidad.</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En el conjunto del año 2024, con las 14 pagas correspondientes, un jubilado medio del sistema contributivo de la Seguridad Social recibió 20.200 euros brutos, frente a los 19.200 euros del año anterior (un 5% más). Es decir, que de media los jubilados ya cobran más de 20.000 euros al año (en 2025 la pensión media anual ya rondará los 21.000 millones).</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 xml:space="preserve">Además, este año se cumplió un nuevo hito en las pensiones contributivas: más de la mitad superan ya los 1.000 euros al mes. La Autoridad Fiscal calcula que el gasto en pensiones aumentará hasta el 16,1% de Producto Interior Bruto (PIB) en 2050, con un máximo de 17,3 millones de pensiones activas en 2056. </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Mientras tanto, la natalidad sigue cayendo, lo que evidencia un llamativo desequilibrio en el relevo generacional. Según los cálculos recientes de Adecco, en la próxima década se jubilarán 5,3 millones de personas en España, pero solo 1,8 millones de jóvenes entrarán al mercado laboral. En otras palabras: por cada tres personas que se jubilen, solo una se incorporará y cotizará.</w:t>
      </w:r>
    </w:p>
    <w:p w:rsidR="000803C7" w:rsidRPr="009506BA" w:rsidRDefault="000803C7" w:rsidP="000803C7">
      <w:pPr>
        <w:spacing w:line="240" w:lineRule="auto"/>
        <w:jc w:val="both"/>
        <w:rPr>
          <w:rFonts w:ascii="Times New Roman" w:hAnsi="Times New Roman" w:cs="Times New Roman"/>
          <w:sz w:val="24"/>
          <w:szCs w:val="24"/>
        </w:rPr>
      </w:pPr>
      <w:r w:rsidRPr="009506BA">
        <w:rPr>
          <w:rFonts w:ascii="Times New Roman" w:hAnsi="Times New Roman" w:cs="Times New Roman"/>
          <w:sz w:val="24"/>
          <w:szCs w:val="24"/>
        </w:rPr>
        <w:t xml:space="preserve">- </w:t>
      </w:r>
      <w:r w:rsidR="00C9309F">
        <w:rPr>
          <w:rFonts w:ascii="Times New Roman" w:hAnsi="Times New Roman" w:cs="Times New Roman"/>
          <w:sz w:val="24"/>
          <w:szCs w:val="24"/>
          <w:u w:val="single"/>
        </w:rPr>
        <w:t>La cuota para llenar la “hucha de pensiones”</w:t>
      </w:r>
      <w:r w:rsidRPr="009506BA">
        <w:rPr>
          <w:rFonts w:ascii="Times New Roman" w:hAnsi="Times New Roman" w:cs="Times New Roman"/>
          <w:sz w:val="24"/>
          <w:szCs w:val="24"/>
          <w:u w:val="single"/>
        </w:rPr>
        <w:t xml:space="preserve"> sube a 245 euros por trabajador al año</w:t>
      </w:r>
      <w:r w:rsidRPr="009506BA">
        <w:rPr>
          <w:rFonts w:ascii="Times New Roman" w:hAnsi="Times New Roman" w:cs="Times New Roman"/>
          <w:sz w:val="24"/>
          <w:szCs w:val="24"/>
        </w:rPr>
        <w:t xml:space="preserve"> (El Economista - </w:t>
      </w:r>
      <w:r w:rsidRPr="009506BA">
        <w:rPr>
          <w:rFonts w:ascii="Times New Roman" w:hAnsi="Times New Roman" w:cs="Times New Roman"/>
          <w:b/>
          <w:sz w:val="24"/>
          <w:szCs w:val="24"/>
        </w:rPr>
        <w:t>28/8/25</w:t>
      </w:r>
      <w:r w:rsidRPr="009506BA">
        <w:rPr>
          <w:rFonts w:ascii="Times New Roman" w:hAnsi="Times New Roman" w:cs="Times New Roman"/>
          <w:sz w:val="24"/>
          <w:szCs w:val="24"/>
        </w:rPr>
        <w:t>)</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El incremento por asalariado con respecto a 2025 rondará los 20 euros el año próximo</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El Fondo de Reserva cuenta ahora con recursos acumulados por valor de 11.751 millones</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El gasto en pensiones anota un nuevo récord al crecer un 6% en agosto y lleva la nómina media a 1.507 euros</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(Por Blanca Martínez Mingo)</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El año 2026 se acerca con una nueva subida en las cotizaciones que pagan las empresas y los trabajadores a la Seguridad Social. Tal y como establece el real decreto que regula el Mecanismo de Equidad Intergeneracional (MEI), cuando comience el nuevo año, llenar la hucha d</w:t>
      </w:r>
      <w:r w:rsidR="00C9309F">
        <w:rPr>
          <w:rFonts w:ascii="Times New Roman" w:hAnsi="Times New Roman" w:cs="Times New Roman"/>
          <w:sz w:val="24"/>
          <w:szCs w:val="24"/>
        </w:rPr>
        <w:t>e pensiones -</w:t>
      </w:r>
      <w:r w:rsidRPr="00192123">
        <w:rPr>
          <w:rFonts w:ascii="Times New Roman" w:hAnsi="Times New Roman" w:cs="Times New Roman"/>
          <w:sz w:val="24"/>
          <w:szCs w:val="24"/>
        </w:rPr>
        <w:t>conocida forma</w:t>
      </w:r>
      <w:r w:rsidR="00C9309F">
        <w:rPr>
          <w:rFonts w:ascii="Times New Roman" w:hAnsi="Times New Roman" w:cs="Times New Roman"/>
          <w:sz w:val="24"/>
          <w:szCs w:val="24"/>
        </w:rPr>
        <w:t>lmente como el Fondo de Reserva-</w:t>
      </w:r>
      <w:r w:rsidRPr="00192123">
        <w:rPr>
          <w:rFonts w:ascii="Times New Roman" w:hAnsi="Times New Roman" w:cs="Times New Roman"/>
          <w:sz w:val="24"/>
          <w:szCs w:val="24"/>
        </w:rPr>
        <w:t xml:space="preserve"> costará, de media, 245 euros por trabajador, una cifra que supone en torno a veinte euros más por empleado al año respecto a 2025.</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 xml:space="preserve">La subida del MEI del 0,1% elevará la cuota finalista al 0,9% en 2026. Como consecuencia, teniendo en cuenta que la base de cotización media (la remuneración mensual bruta de un trabajador) en España es de 2.276 euros al mes, según la Estadística de Bases de Cotización al Régimen </w:t>
      </w:r>
      <w:r w:rsidR="00C9309F">
        <w:rPr>
          <w:rFonts w:ascii="Times New Roman" w:hAnsi="Times New Roman" w:cs="Times New Roman"/>
          <w:sz w:val="24"/>
          <w:szCs w:val="24"/>
        </w:rPr>
        <w:t>General de la Seguridad Social -</w:t>
      </w:r>
      <w:r w:rsidRPr="00192123">
        <w:rPr>
          <w:rFonts w:ascii="Times New Roman" w:hAnsi="Times New Roman" w:cs="Times New Roman"/>
          <w:sz w:val="24"/>
          <w:szCs w:val="24"/>
        </w:rPr>
        <w:t>la cifra más actualizada</w:t>
      </w:r>
      <w:r w:rsidR="00C9309F">
        <w:rPr>
          <w:rFonts w:ascii="Times New Roman" w:hAnsi="Times New Roman" w:cs="Times New Roman"/>
          <w:sz w:val="24"/>
          <w:szCs w:val="24"/>
        </w:rPr>
        <w:t>, que data de marzo de este año-</w:t>
      </w:r>
      <w:r w:rsidRPr="00192123">
        <w:rPr>
          <w:rFonts w:ascii="Times New Roman" w:hAnsi="Times New Roman" w:cs="Times New Roman"/>
          <w:sz w:val="24"/>
          <w:szCs w:val="24"/>
        </w:rPr>
        <w:t>, el Fondo de Reserva ingresará unos 245 euros por persona. De estos, el trabajador aportará 40,97 euros; mientras que la empresa abonará 204,84 euros al año. Al mes el empleado sumará 3,41 euros extras a la hucha y las compañías agregaran 17,07 euros de media, veinte más al año en total.</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Se trata, no obstante, de un incremento ya esperado por las empresas, ya que lleva en fu</w:t>
      </w:r>
      <w:r w:rsidR="00C9309F">
        <w:rPr>
          <w:rFonts w:ascii="Times New Roman" w:hAnsi="Times New Roman" w:cs="Times New Roman"/>
          <w:sz w:val="24"/>
          <w:szCs w:val="24"/>
        </w:rPr>
        <w:t>ncionamiento desde el año 2023 -aunque aumenta cada año-</w:t>
      </w:r>
      <w:r w:rsidRPr="00192123">
        <w:rPr>
          <w:rFonts w:ascii="Times New Roman" w:hAnsi="Times New Roman" w:cs="Times New Roman"/>
          <w:sz w:val="24"/>
          <w:szCs w:val="24"/>
        </w:rPr>
        <w:t>.</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Hasta un 1,2% más en 2030</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 xml:space="preserve">El mecanismo de equidad es una cotización finalista que creó el Ministerio de Seguridad Social durante la pasada reforma de pensiones para afrontar la jubilación masiva de la </w:t>
      </w:r>
      <w:r w:rsidRPr="00192123">
        <w:rPr>
          <w:rFonts w:ascii="Times New Roman" w:hAnsi="Times New Roman" w:cs="Times New Roman"/>
          <w:sz w:val="24"/>
          <w:szCs w:val="24"/>
        </w:rPr>
        <w:lastRenderedPageBreak/>
        <w:t>generación del baby boom. Es decir, la cuota es aplicable en todos los regímenes, pero no da derecho a ninguna prestación. El dinero recaudado a través del MEI va dirigido directamente al Fondo de Reserva, comúnmente conocido como la hucha de pensiones.</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Según la norma que regula la cuota, el MEI será del 0,9% en 2026; del 1% en 2027; del 1,1% en 2028, y del 1,2% de 2029 en adelante. Es decir, aumentará una décima cada año. La cuota tiene efectos desde enero de 2023 y durará, según está previsto en la ley, hasta el 31 de diciembre de 2050. La parte que suma el trabajador irá aumentando de forma progresiva hasta un máximo de 0,2 puntos porcentuales. Por lo tant</w:t>
      </w:r>
      <w:r w:rsidR="00D85658">
        <w:rPr>
          <w:rFonts w:ascii="Times New Roman" w:hAnsi="Times New Roman" w:cs="Times New Roman"/>
          <w:sz w:val="24"/>
          <w:szCs w:val="24"/>
        </w:rPr>
        <w:t>o, en toda su aplicación, el MEI</w:t>
      </w:r>
      <w:r w:rsidRPr="00192123">
        <w:rPr>
          <w:rFonts w:ascii="Times New Roman" w:hAnsi="Times New Roman" w:cs="Times New Roman"/>
          <w:sz w:val="24"/>
          <w:szCs w:val="24"/>
        </w:rPr>
        <w:t xml:space="preserve"> recibirá recursos, principalmente, de las empresas (que llegarán a aportar un 1%).</w:t>
      </w:r>
    </w:p>
    <w:p w:rsidR="000803C7" w:rsidRPr="00192123" w:rsidRDefault="000803C7" w:rsidP="000803C7">
      <w:pPr>
        <w:spacing w:line="240" w:lineRule="auto"/>
        <w:jc w:val="both"/>
        <w:rPr>
          <w:rFonts w:ascii="Times New Roman" w:hAnsi="Times New Roman" w:cs="Times New Roman"/>
          <w:sz w:val="24"/>
          <w:szCs w:val="24"/>
        </w:rPr>
      </w:pPr>
      <w:r w:rsidRPr="00192123">
        <w:rPr>
          <w:noProof/>
          <w:lang w:eastAsia="es-ES"/>
        </w:rPr>
        <w:drawing>
          <wp:inline distT="0" distB="0" distL="0" distR="0" wp14:anchorId="5AFC38BB" wp14:editId="1919421E">
            <wp:extent cx="5731510" cy="5771209"/>
            <wp:effectExtent l="0" t="0" r="2540" b="1270"/>
            <wp:docPr id="277" name="Imagen 277" descr="https://s03.s3c.es/imag/_v0/2310x2325/9/2/2/770x_gobiern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2325/9/2/2/770x_gobierno.gif"/>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731510" cy="5771209"/>
                    </a:xfrm>
                    <a:prstGeom prst="rect">
                      <a:avLst/>
                    </a:prstGeom>
                    <a:noFill/>
                    <a:ln>
                      <a:noFill/>
                    </a:ln>
                  </pic:spPr>
                </pic:pic>
              </a:graphicData>
            </a:graphic>
          </wp:inline>
        </w:drawing>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El dinero recaudado en la hucha solo se podrá utilizar a partir del año 2033. Entonces, el Ejecutivo podrá disponer de una cantidad anual del Fondo de Reserva para afrontar el pago de las pensiones. Una extracción de dinero que necesitará la aprobación del Consejo de Ministros.</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lastRenderedPageBreak/>
        <w:t>De este ahorro hasta mitad de siglo, el Gobierno de turno podrá disponer de hasta un máximo del 0,91% del PIB anual en la etapa de mayor tensión financiera por el retiro del baby boom, a finales de la década de 2040. En 2033, la Seguridad Social podrá disponer desde un 0,1% del PIB, una cantidad que subirá progresivamente hasta casi un punto del PIB a finales de la década siguiente, en 2047.</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Las previsiones demográficas utilizadas en la Opinión sobre la Sostenibilidad de las AAPP por la Airef indican que la tasa de dependencia de mayores de 65 años crecerá hasta finales de 2050 casi duplicando el valor actual, debido al progresivo envejecimiento de la población. En concreto, esta proporción pasaría del 26,6% actual, al 48,2% en 2050, cuando se alcanzará el punto de mayor tensionamiento del sistema de</w:t>
      </w:r>
      <w:r w:rsidR="00C9309F">
        <w:rPr>
          <w:rFonts w:ascii="Times New Roman" w:hAnsi="Times New Roman" w:cs="Times New Roman"/>
          <w:sz w:val="24"/>
          <w:szCs w:val="24"/>
        </w:rPr>
        <w:t xml:space="preserve"> pensiones -</w:t>
      </w:r>
      <w:r w:rsidRPr="00192123">
        <w:rPr>
          <w:rFonts w:ascii="Times New Roman" w:hAnsi="Times New Roman" w:cs="Times New Roman"/>
          <w:sz w:val="24"/>
          <w:szCs w:val="24"/>
        </w:rPr>
        <w:t>par</w:t>
      </w:r>
      <w:r w:rsidR="00C9309F">
        <w:rPr>
          <w:rFonts w:ascii="Times New Roman" w:hAnsi="Times New Roman" w:cs="Times New Roman"/>
          <w:sz w:val="24"/>
          <w:szCs w:val="24"/>
        </w:rPr>
        <w:t>a el que está previsto el fondo-</w:t>
      </w:r>
      <w:r w:rsidRPr="00192123">
        <w:rPr>
          <w:rFonts w:ascii="Times New Roman" w:hAnsi="Times New Roman" w:cs="Times New Roman"/>
          <w:sz w:val="24"/>
          <w:szCs w:val="24"/>
        </w:rPr>
        <w:t>. Según informó el Ministerio de Seguridad Social en la última Comisión de Seguimiento del Fondo de Reserva, que tuvo lugar el pasado 28 de febrero, la hucha ya cuenta con un ahorro de 10.006 millones de euros, el nivel más alto desde diciembre de 2017. Entre enero y febrero, el fondo había recibido aportaciones por un valor de 629 millones de euros procedentes del MEI.</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En esta misma reunión, el departamento dirigido por Elma Saiz trasladó que sus previsiones son que este fondo termine el año con un valor de 14.000 millones de euros. Las proyecciones de la reforma establecían además que, a mitad de siglo, la hucha de pensiones tendría 130.000 millones de euros.</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Aunque los últimos datos comunicados por Seguridad Social se dieron en febrero y solo trasladaban la recaudación hasta finales del mes de febrero, el Resumen de Ejecución Presupuestaria de Seguridad Social muestra unas cifras más actualizadas. En concreto, según este documento, hasta finales de junio el Departamento de Saiz habría recaudado un total de 2.374 millones. Una cifra que supone que, en los primeros seis meses del año, la Seguridad Social ya había ingresado el 85% de lo previsto inicialmente. La dinámica del empleo, más la subida del tipo aplicada en enero (del 0,7% al 0,8%) explica un incremento de los ingresos por la cuota.</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Como con</w:t>
      </w:r>
      <w:r w:rsidR="00C9309F">
        <w:rPr>
          <w:rFonts w:ascii="Times New Roman" w:hAnsi="Times New Roman" w:cs="Times New Roman"/>
          <w:sz w:val="24"/>
          <w:szCs w:val="24"/>
        </w:rPr>
        <w:t>secuencia, el Fondo de Reserva -</w:t>
      </w:r>
      <w:r w:rsidRPr="00192123">
        <w:rPr>
          <w:rFonts w:ascii="Times New Roman" w:hAnsi="Times New Roman" w:cs="Times New Roman"/>
          <w:sz w:val="24"/>
          <w:szCs w:val="24"/>
        </w:rPr>
        <w:t>que hasta ahora se nutre únicame</w:t>
      </w:r>
      <w:r w:rsidR="00C9309F">
        <w:rPr>
          <w:rFonts w:ascii="Times New Roman" w:hAnsi="Times New Roman" w:cs="Times New Roman"/>
          <w:sz w:val="24"/>
          <w:szCs w:val="24"/>
        </w:rPr>
        <w:t>nte de las cotizaciones del MEI-</w:t>
      </w:r>
      <w:r w:rsidRPr="00192123">
        <w:rPr>
          <w:rFonts w:ascii="Times New Roman" w:hAnsi="Times New Roman" w:cs="Times New Roman"/>
          <w:sz w:val="24"/>
          <w:szCs w:val="24"/>
        </w:rPr>
        <w:t xml:space="preserve"> contaría ya con un ahorro acumulado de unos 11.751 millones de euros (teniendo en cuenta solo los ingresos de la hucha y no la rentabilidad que este fondo haya podido generar). Es decir, a mes de junio, el ahorro acumulado estaría a 2.249 millones de euros del objetivo establecido por Saiz.</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Además del mecanismo de equidad intergeneracional, cuyo objetivo es ayudar al sistema en su momento de mayor tensionamiento, el Ministerio de Seguridad Social también ha incorporado otras nuevas medidas para reforzar los ingresos.</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Entre las reformas aprobadas para incrementar las fuentes de financiación está la del Régimen Espe</w:t>
      </w:r>
      <w:r w:rsidR="00C9309F">
        <w:rPr>
          <w:rFonts w:ascii="Times New Roman" w:hAnsi="Times New Roman" w:cs="Times New Roman"/>
          <w:sz w:val="24"/>
          <w:szCs w:val="24"/>
        </w:rPr>
        <w:t>cial de Trabajadores Autónomos -</w:t>
      </w:r>
      <w:r w:rsidRPr="00192123">
        <w:rPr>
          <w:rFonts w:ascii="Times New Roman" w:hAnsi="Times New Roman" w:cs="Times New Roman"/>
          <w:sz w:val="24"/>
          <w:szCs w:val="24"/>
        </w:rPr>
        <w:t>que pretende ajustar las cotizaciones de los trabajadores por cuent</w:t>
      </w:r>
      <w:r w:rsidR="00C9309F">
        <w:rPr>
          <w:rFonts w:ascii="Times New Roman" w:hAnsi="Times New Roman" w:cs="Times New Roman"/>
          <w:sz w:val="24"/>
          <w:szCs w:val="24"/>
        </w:rPr>
        <w:t>a propia a su nivel de ingresos-</w:t>
      </w:r>
      <w:r w:rsidRPr="00192123">
        <w:rPr>
          <w:rFonts w:ascii="Times New Roman" w:hAnsi="Times New Roman" w:cs="Times New Roman"/>
          <w:sz w:val="24"/>
          <w:szCs w:val="24"/>
        </w:rPr>
        <w:t>, la Cotización adicional de Solidaridad –en vigor desde enero de este año y que afecta a las nóminas que superen la base máxima, actualmente en 56.600– y el incremento de l</w:t>
      </w:r>
      <w:r w:rsidR="00C9309F">
        <w:rPr>
          <w:rFonts w:ascii="Times New Roman" w:hAnsi="Times New Roman" w:cs="Times New Roman"/>
          <w:sz w:val="24"/>
          <w:szCs w:val="24"/>
        </w:rPr>
        <w:t>as bases máximas de cotización -</w:t>
      </w:r>
      <w:r w:rsidRPr="00192123">
        <w:rPr>
          <w:rFonts w:ascii="Times New Roman" w:hAnsi="Times New Roman" w:cs="Times New Roman"/>
          <w:sz w:val="24"/>
          <w:szCs w:val="24"/>
        </w:rPr>
        <w:t>que desde 2024 y hasta el año 2050 se revaloriza en función del I</w:t>
      </w:r>
      <w:r w:rsidR="00C9309F">
        <w:rPr>
          <w:rFonts w:ascii="Times New Roman" w:hAnsi="Times New Roman" w:cs="Times New Roman"/>
          <w:sz w:val="24"/>
          <w:szCs w:val="24"/>
        </w:rPr>
        <w:t>PC y más un 1,2% extra cada año-</w:t>
      </w:r>
      <w:r w:rsidRPr="00192123">
        <w:rPr>
          <w:rFonts w:ascii="Times New Roman" w:hAnsi="Times New Roman" w:cs="Times New Roman"/>
          <w:sz w:val="24"/>
          <w:szCs w:val="24"/>
        </w:rPr>
        <w:t>.</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El ahorro equivale al gasto de un mes</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 xml:space="preserve">Aunque los ingresos del sistema de Seguridad Social crecen y también lo hace el ahorro acumulado en la hucha de pensiones, el gasto marca nuevos récords todos los meses. En el </w:t>
      </w:r>
      <w:r w:rsidRPr="00192123">
        <w:rPr>
          <w:rFonts w:ascii="Times New Roman" w:hAnsi="Times New Roman" w:cs="Times New Roman"/>
          <w:sz w:val="24"/>
          <w:szCs w:val="24"/>
        </w:rPr>
        <w:lastRenderedPageBreak/>
        <w:t>mes de agosto, según el dato difundido esta semana, el desembolso para pagar las pensiones creció un 6,2% hasta los 13.620 millones. Y solo teniendo en cuenta la nómina de jubilación este gasto fue de casi 10.000 millones. Es decir, aunque se llegase a los ingresos previstos de 14.000 millones de euros, el ahorro de los últimos años solo serviría para pagar el gasto en pensiones de un mes.</w:t>
      </w:r>
    </w:p>
    <w:p w:rsidR="000803C7" w:rsidRPr="009506BA" w:rsidRDefault="000803C7" w:rsidP="000803C7">
      <w:pPr>
        <w:spacing w:line="240" w:lineRule="auto"/>
        <w:jc w:val="both"/>
        <w:rPr>
          <w:rFonts w:ascii="Times New Roman" w:hAnsi="Times New Roman" w:cs="Times New Roman"/>
          <w:sz w:val="24"/>
          <w:szCs w:val="24"/>
        </w:rPr>
      </w:pPr>
      <w:r w:rsidRPr="009506BA">
        <w:rPr>
          <w:rFonts w:ascii="Times New Roman" w:hAnsi="Times New Roman" w:cs="Times New Roman"/>
          <w:sz w:val="24"/>
          <w:szCs w:val="24"/>
        </w:rPr>
        <w:t xml:space="preserve">- </w:t>
      </w:r>
      <w:r w:rsidRPr="009506BA">
        <w:rPr>
          <w:rFonts w:ascii="Times New Roman" w:hAnsi="Times New Roman" w:cs="Times New Roman"/>
          <w:sz w:val="24"/>
          <w:szCs w:val="24"/>
          <w:u w:val="single"/>
        </w:rPr>
        <w:t>Alza sin techo de las cotizaciones</w:t>
      </w:r>
      <w:r w:rsidRPr="009506BA">
        <w:rPr>
          <w:rFonts w:ascii="Times New Roman" w:hAnsi="Times New Roman" w:cs="Times New Roman"/>
          <w:sz w:val="24"/>
          <w:szCs w:val="24"/>
        </w:rPr>
        <w:t xml:space="preserve"> (Editorial - El Economista - </w:t>
      </w:r>
      <w:r w:rsidRPr="009506BA">
        <w:rPr>
          <w:rFonts w:ascii="Times New Roman" w:hAnsi="Times New Roman" w:cs="Times New Roman"/>
          <w:b/>
          <w:sz w:val="24"/>
          <w:szCs w:val="24"/>
        </w:rPr>
        <w:t>28/8/25</w:t>
      </w:r>
      <w:r w:rsidRPr="009506BA">
        <w:rPr>
          <w:rFonts w:ascii="Times New Roman" w:hAnsi="Times New Roman" w:cs="Times New Roman"/>
          <w:sz w:val="24"/>
          <w:szCs w:val="24"/>
        </w:rPr>
        <w:t>)</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Los pagos asociados al Mecanismo de Equidad se aproximan a los 250 euros por trabajador en cada ejercicio</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En cuatro meses, la cotización social creada ex profeso para nutrir el Fondo de Reserva de la Seguridad Social, volverá a incrementar el tipo que aplica sobre asalariados, autónomos</w:t>
      </w:r>
      <w:r w:rsidR="00D85658">
        <w:rPr>
          <w:rFonts w:ascii="Times New Roman" w:hAnsi="Times New Roman" w:cs="Times New Roman"/>
          <w:sz w:val="24"/>
          <w:szCs w:val="24"/>
        </w:rPr>
        <w:t>,</w:t>
      </w:r>
      <w:r w:rsidRPr="00192123">
        <w:rPr>
          <w:rFonts w:ascii="Times New Roman" w:hAnsi="Times New Roman" w:cs="Times New Roman"/>
          <w:sz w:val="24"/>
          <w:szCs w:val="24"/>
        </w:rPr>
        <w:t xml:space="preserve"> y empresas. Desde 2023 hasta 2029, se eleva una décima anual y el año próximo situará el gravamen del Mecanismo de Equidad Intergeneracional (MEI) en el 0,9%. Un porcentaje a primera vista tan reducido tiene, sin embargo, un efecto notable si se calibra el desembolso en euros al que ya aboca. Aunque el efecto será variable según el nivel de sueldos que se considere, puede ya hablarse de un desembolso promedio que rozará los 250 euros por cada trabajador al año. Mermará de este modo las nóminas, al tiempo que subirá los costes laborales, todo ello pese a que no supondrá mejora alguna en las prestaciones a las que tendrán derecho los futuros jubilados. Es más, resulta razonable poner en duda los supuestos efectos beneficiosos del Mecanismo de Equidad sobre la capacidad real del Fondo de Reserva.</w:t>
      </w:r>
    </w:p>
    <w:p w:rsidR="000803C7" w:rsidRPr="00192123" w:rsidRDefault="000803C7" w:rsidP="000803C7">
      <w:pPr>
        <w:spacing w:line="240" w:lineRule="auto"/>
        <w:jc w:val="both"/>
        <w:rPr>
          <w:rFonts w:ascii="Times New Roman" w:hAnsi="Times New Roman" w:cs="Times New Roman"/>
          <w:sz w:val="24"/>
          <w:szCs w:val="24"/>
        </w:rPr>
      </w:pPr>
      <w:r w:rsidRPr="00192123">
        <w:rPr>
          <w:rFonts w:ascii="Times New Roman" w:hAnsi="Times New Roman" w:cs="Times New Roman"/>
          <w:sz w:val="24"/>
          <w:szCs w:val="24"/>
        </w:rPr>
        <w:t>Los expertos coinciden en que la hucha de las pensiones contará, pese a todo, con recursos insuficientes para afrontar el reto de tanta envergadura como supone el retiro de la generación del baby boom. Ese desafío requiere medidas de contención del gasto que la reforma de pensiones ignoró, dando prioridad a una mayor presión para elevar los ingresos de la Seguridad Social, mediante el propio MEI, la nueva cuota de solidaridad o el constante incremento de las bases máximas de cotización. Es una receta equivocada por su incapacidad de responder a los retos del sistema público de protección, al tiempo que plantea otros aún mayores al mercado de trabajo y al crecimiento económico en su conjunto.</w:t>
      </w:r>
    </w:p>
    <w:p w:rsidR="000803C7" w:rsidRPr="00D7606D" w:rsidRDefault="000803C7" w:rsidP="000803C7">
      <w:pPr>
        <w:spacing w:line="240" w:lineRule="auto"/>
        <w:jc w:val="both"/>
        <w:rPr>
          <w:rFonts w:ascii="Times New Roman" w:hAnsi="Times New Roman" w:cs="Times New Roman"/>
          <w:b/>
          <w:color w:val="FF0000"/>
          <w:sz w:val="24"/>
          <w:szCs w:val="24"/>
          <w:shd w:val="clear" w:color="auto" w:fill="FFFFFF"/>
        </w:rPr>
      </w:pPr>
      <w:r w:rsidRPr="00D7606D">
        <w:rPr>
          <w:rFonts w:ascii="Times New Roman" w:hAnsi="Times New Roman" w:cs="Times New Roman"/>
          <w:b/>
          <w:color w:val="FF0000"/>
          <w:sz w:val="24"/>
          <w:szCs w:val="24"/>
          <w:shd w:val="clear" w:color="auto" w:fill="FFFFFF"/>
        </w:rPr>
        <w:t>El sistema público de p</w:t>
      </w:r>
      <w:r>
        <w:rPr>
          <w:rFonts w:ascii="Times New Roman" w:hAnsi="Times New Roman" w:cs="Times New Roman"/>
          <w:b/>
          <w:color w:val="FF0000"/>
          <w:sz w:val="24"/>
          <w:szCs w:val="24"/>
          <w:shd w:val="clear" w:color="auto" w:fill="FFFFFF"/>
        </w:rPr>
        <w:t>ensiones está “quebrado</w:t>
      </w:r>
      <w:r w:rsidRPr="00D7606D">
        <w:rPr>
          <w:rFonts w:ascii="Times New Roman" w:hAnsi="Times New Roman" w:cs="Times New Roman"/>
          <w:b/>
          <w:color w:val="FF0000"/>
          <w:sz w:val="24"/>
          <w:szCs w:val="24"/>
          <w:shd w:val="clear" w:color="auto" w:fill="FFFFFF"/>
        </w:rPr>
        <w:t>” (fundido, arruinado, roto, “kaput”…)</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Solo sobrevive por medio de la “respiración asistida”, que le suministra el sector público (todos los meses). Cuanto más se prolongue esta situación de desequilibrio entre ingresos (aportaciones al sistema), y egresos (pago de pensiones), más profundo se hará el abismo (déficit), y más grave la caída (menores pensiones, o colapso total del régimen de S.S.).</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 xml:space="preserve">Es una situación muy compleja, y cualquier medida que se tome para reducir el déficit del sistema, tiene un alto costo político, que ningún dirigente -de izquierda o derecha- quiere asumir (dada la importancia electoral que tienen 9 millones de pensionistas). Lo que han hecho (y siguen haciendo), es huir hacia adelante (ir cubriendo el déficit del sistema de pensiones, con fondos provenientes del presupuesto nacional), y el que venga detrás (próximo gobierno) que arre con el problema. Todas las partes interesadas “hacen el Tancredo”. </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Como el papel lo aguanta todo, y no me tengo que presentar a las elecciones, hago mi propuesta, sin esperanza y sin miedo, dejando constancia, que por mi edad (80 años), de un modo u otro, soy uno de los convocados a perder ingresos para salvar el futuro.</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1 - Congelar las pensiones hasta que la inflación absorba los ajustes preferenciales pasados.</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lastRenderedPageBreak/>
        <w:t>2 - Sacar del cálculo del sistema público de pensiones todas las pensiones no contributivas.</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3 - Las pensiones no contributivas se abonarán con cargo al presupuesto nacional.</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4 - Realizar una auditoría personalizada de todas las pensiones no contributivas.</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 xml:space="preserve">5 - Las personas viudas deberán optar por una sola de las pensiones (la suya, o la del consorte fallecido). </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6 - Llevar la edad de jubilación a los 70 años.</w:t>
      </w:r>
      <w:r>
        <w:rPr>
          <w:rFonts w:ascii="Times New Roman" w:hAnsi="Times New Roman" w:cs="Times New Roman"/>
          <w:color w:val="FF0000"/>
          <w:sz w:val="24"/>
          <w:szCs w:val="24"/>
          <w:shd w:val="clear" w:color="auto" w:fill="FFFFFF"/>
        </w:rPr>
        <w:t xml:space="preserve"> Ampliar el período de cálculo de las pensiones a toda la vida laboral.</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7 - Penalizar las prejubilaciones con una pérdida del 50% de la pensión en término.</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8 - Eliminar la opción de jubilarse con 15 años cotizados, con el 50% de la base reguladora.</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9 - No permitir las prejubilaciones pactadas por empresas, sindicatos, y seguridad social, donde, la empresa paga un salario disminuido, que sumado al paro, permite al trabajador alcanzar un ingreso equivalente al 60 o 70% del salario, hasta que llega la edad de jubilación.</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10 - Todos los ajustes futuros de las pensiones (después del período de congelación), no deben superar el incremento de la renta media nacional.</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11 - Reducir los días festivos (pasar de 14 -España-, a 9 -Alemania, Países Bajos, Dinamarca), y la Renta Nacional generada (en los 5 días extras de trabajo), se aportará a un “Fondo Nocional de Reparación del Sistema de Pensiones”.</w:t>
      </w:r>
    </w:p>
    <w:p w:rsidR="000803C7" w:rsidRPr="00EA438D" w:rsidRDefault="000803C7" w:rsidP="000803C7">
      <w:pPr>
        <w:spacing w:line="240" w:lineRule="auto"/>
        <w:jc w:val="both"/>
        <w:rPr>
          <w:rFonts w:ascii="Times New Roman" w:hAnsi="Times New Roman" w:cs="Times New Roman"/>
          <w:color w:val="FF0000"/>
          <w:sz w:val="24"/>
          <w:szCs w:val="24"/>
          <w:shd w:val="clear" w:color="auto" w:fill="FFFFFF"/>
        </w:rPr>
      </w:pPr>
      <w:r w:rsidRPr="00EA438D">
        <w:rPr>
          <w:rFonts w:ascii="Times New Roman" w:hAnsi="Times New Roman" w:cs="Times New Roman"/>
          <w:color w:val="FF0000"/>
          <w:sz w:val="24"/>
          <w:szCs w:val="24"/>
          <w:shd w:val="clear" w:color="auto" w:fill="FFFFFF"/>
        </w:rPr>
        <w:t>12 - Desgravar el 100% de las aportaciones que los trabajadores hagan a los sistemas privados de pensiones.</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7F3DD1">
        <w:rPr>
          <w:rFonts w:ascii="Times New Roman" w:hAnsi="Times New Roman" w:cs="Times New Roman"/>
          <w:color w:val="FF0000"/>
          <w:sz w:val="24"/>
          <w:szCs w:val="24"/>
          <w:shd w:val="clear" w:color="auto" w:fill="FFFFFF"/>
        </w:rPr>
        <w:t>Recortar todas las prestaciones sociales hasta alcanzar la media de la OCDE</w:t>
      </w:r>
    </w:p>
    <w:p w:rsidR="00043F6A" w:rsidRPr="00EB7D28" w:rsidRDefault="00043F6A" w:rsidP="00043F6A">
      <w:pPr>
        <w:spacing w:line="240" w:lineRule="auto"/>
        <w:jc w:val="both"/>
        <w:rPr>
          <w:rFonts w:ascii="Times New Roman" w:hAnsi="Times New Roman" w:cs="Times New Roman"/>
          <w:sz w:val="24"/>
          <w:szCs w:val="24"/>
          <w:shd w:val="clear" w:color="auto" w:fill="FFFFFF"/>
        </w:rPr>
      </w:pPr>
      <w:r w:rsidRPr="00EB7D28">
        <w:rPr>
          <w:rFonts w:ascii="Times New Roman" w:hAnsi="Times New Roman" w:cs="Times New Roman"/>
          <w:sz w:val="24"/>
          <w:szCs w:val="24"/>
          <w:shd w:val="clear" w:color="auto" w:fill="FFFFFF"/>
        </w:rPr>
        <w:t>¿</w:t>
      </w:r>
      <w:r w:rsidRPr="00EB7D28">
        <w:rPr>
          <w:rFonts w:ascii="Times New Roman" w:hAnsi="Times New Roman" w:cs="Times New Roman"/>
          <w:sz w:val="24"/>
          <w:szCs w:val="24"/>
          <w:u w:val="single"/>
          <w:shd w:val="clear" w:color="auto" w:fill="FFFFFF"/>
        </w:rPr>
        <w:t>Cuánto varía el gasto social en los países de la OCDE</w:t>
      </w:r>
      <w:r w:rsidRPr="00EB7D28">
        <w:rPr>
          <w:rFonts w:ascii="Times New Roman" w:hAnsi="Times New Roman" w:cs="Times New Roman"/>
          <w:sz w:val="24"/>
          <w:szCs w:val="24"/>
          <w:shd w:val="clear" w:color="auto" w:fill="FFFFFF"/>
        </w:rPr>
        <w:t xml:space="preserve">? (Fuente: Statista - </w:t>
      </w:r>
      <w:r w:rsidRPr="00EB7D28">
        <w:rPr>
          <w:rFonts w:ascii="Times New Roman" w:hAnsi="Times New Roman" w:cs="Times New Roman"/>
          <w:b/>
          <w:sz w:val="24"/>
          <w:szCs w:val="24"/>
          <w:shd w:val="clear" w:color="auto" w:fill="FFFFFF"/>
        </w:rPr>
        <w:t>22/2/23</w:t>
      </w:r>
      <w:r w:rsidRPr="00EB7D28">
        <w:rPr>
          <w:rFonts w:ascii="Times New Roman" w:hAnsi="Times New Roman" w:cs="Times New Roman"/>
          <w:sz w:val="24"/>
          <w:szCs w:val="24"/>
          <w:shd w:val="clear" w:color="auto" w:fill="FFFFFF"/>
        </w:rPr>
        <w:t>)</w:t>
      </w:r>
    </w:p>
    <w:p w:rsidR="00043F6A" w:rsidRPr="00EB7D28"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María Florencia Melo)</w:t>
      </w:r>
    </w:p>
    <w:p w:rsidR="00043F6A" w:rsidRDefault="00043F6A" w:rsidP="00043F6A">
      <w:pPr>
        <w:spacing w:line="240" w:lineRule="auto"/>
        <w:jc w:val="both"/>
        <w:rPr>
          <w:rFonts w:ascii="Times New Roman" w:hAnsi="Times New Roman" w:cs="Times New Roman"/>
          <w:sz w:val="24"/>
          <w:szCs w:val="24"/>
          <w:shd w:val="clear" w:color="auto" w:fill="FFFFFF"/>
        </w:rPr>
      </w:pPr>
      <w:r w:rsidRPr="00EB7D28">
        <w:rPr>
          <w:rFonts w:ascii="Times New Roman" w:hAnsi="Times New Roman" w:cs="Times New Roman"/>
          <w:sz w:val="24"/>
          <w:szCs w:val="24"/>
          <w:shd w:val="clear" w:color="auto" w:fill="FFFFFF"/>
        </w:rPr>
        <w:t>Francia sigue siendo el país de la OCDE (Organización para la Cooperación y el Desarrollo Económicos) que más gasta en prestaciones sociales, como revelan los últimos datos publicados por el organismo. El gasto social en Francia representó el 31,6% del PIB en 2022. Este gasto cubre todas las prestaciones sociales públicas: jubilación, salud, familia, empleo, etc.</w:t>
      </w:r>
    </w:p>
    <w:p w:rsidR="00043F6A" w:rsidRDefault="00043F6A" w:rsidP="00043F6A">
      <w:pPr>
        <w:spacing w:line="240" w:lineRule="auto"/>
        <w:jc w:val="both"/>
        <w:rPr>
          <w:rFonts w:ascii="Times New Roman" w:hAnsi="Times New Roman" w:cs="Times New Roman"/>
          <w:sz w:val="24"/>
          <w:szCs w:val="24"/>
          <w:shd w:val="clear" w:color="auto" w:fill="FFFFFF"/>
        </w:rPr>
      </w:pPr>
      <w:r w:rsidRPr="00EB7D28">
        <w:rPr>
          <w:rFonts w:ascii="Times New Roman" w:hAnsi="Times New Roman" w:cs="Times New Roman"/>
          <w:sz w:val="24"/>
          <w:szCs w:val="24"/>
          <w:shd w:val="clear" w:color="auto" w:fill="FFFFFF"/>
        </w:rPr>
        <w:t>Cerca del nivel de Francia se encuentran países vecinos como Italia (30,1% del PIB) y España (28,1%). La medi</w:t>
      </w:r>
      <w:r>
        <w:rPr>
          <w:rFonts w:ascii="Times New Roman" w:hAnsi="Times New Roman" w:cs="Times New Roman"/>
          <w:sz w:val="24"/>
          <w:szCs w:val="24"/>
          <w:shd w:val="clear" w:color="auto" w:fill="FFFFFF"/>
        </w:rPr>
        <w:t>a de la OCDE (conocida como el “club de los países ricos”</w:t>
      </w:r>
      <w:r w:rsidRPr="00EB7D28">
        <w:rPr>
          <w:rFonts w:ascii="Times New Roman" w:hAnsi="Times New Roman" w:cs="Times New Roman"/>
          <w:sz w:val="24"/>
          <w:szCs w:val="24"/>
          <w:shd w:val="clear" w:color="auto" w:fill="FFFFFF"/>
        </w:rPr>
        <w:t xml:space="preserve"> y que reúne a 38 de los estados considerados más desarrollados del mundo) es de 21,1%. Países de Latinoamérica, como Chile, Colombia y Costa Rica no alcanzan la media, y México, por su parte, es el país de la OCDE que menos gasto público social tiene en relación con su PIB.</w:t>
      </w:r>
    </w:p>
    <w:p w:rsidR="00043F6A" w:rsidRPr="00EB7D28" w:rsidRDefault="00043F6A" w:rsidP="00043F6A">
      <w:pPr>
        <w:spacing w:line="240" w:lineRule="auto"/>
        <w:jc w:val="both"/>
        <w:rPr>
          <w:rFonts w:ascii="Times New Roman" w:hAnsi="Times New Roman" w:cs="Times New Roman"/>
          <w:sz w:val="24"/>
          <w:szCs w:val="24"/>
          <w:shd w:val="clear" w:color="auto" w:fill="FFFFFF"/>
        </w:rPr>
      </w:pPr>
      <w:r w:rsidRPr="00EB7D28">
        <w:rPr>
          <w:rFonts w:ascii="Times New Roman" w:hAnsi="Times New Roman" w:cs="Times New Roman"/>
          <w:sz w:val="24"/>
          <w:szCs w:val="24"/>
          <w:shd w:val="clear" w:color="auto" w:fill="FFFFFF"/>
        </w:rPr>
        <w:t>Esta infografía muestra el gasto público social del PIB en 20</w:t>
      </w:r>
      <w:r>
        <w:rPr>
          <w:rFonts w:ascii="Times New Roman" w:hAnsi="Times New Roman" w:cs="Times New Roman"/>
          <w:sz w:val="24"/>
          <w:szCs w:val="24"/>
          <w:shd w:val="clear" w:color="auto" w:fill="FFFFFF"/>
        </w:rPr>
        <w:t xml:space="preserve">22 (en %) para una selección de </w:t>
      </w:r>
      <w:r w:rsidRPr="00EB7D28">
        <w:rPr>
          <w:rFonts w:ascii="Times New Roman" w:hAnsi="Times New Roman" w:cs="Times New Roman"/>
          <w:sz w:val="24"/>
          <w:szCs w:val="24"/>
          <w:shd w:val="clear" w:color="auto" w:fill="FFFFFF"/>
        </w:rPr>
        <w:t>países de la OCDE.</w:t>
      </w:r>
    </w:p>
    <w:p w:rsidR="00043F6A"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EB7D28">
        <w:rPr>
          <w:noProof/>
          <w:lang w:eastAsia="es-ES"/>
        </w:rPr>
        <w:drawing>
          <wp:inline distT="0" distB="0" distL="0" distR="0" wp14:anchorId="390E88FA" wp14:editId="7DA9A7DF">
            <wp:extent cx="4679950" cy="3670300"/>
            <wp:effectExtent l="0" t="0" r="6350" b="6350"/>
            <wp:docPr id="189" name="Imagen 189" descr="Infografía: ¿Cuánto varía el gasto social en los países de la OCDE?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nfografía: ¿Cuánto varía el gasto social en los países de la OCDE? | Statista"/>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4677878" cy="3668675"/>
                    </a:xfrm>
                    <a:prstGeom prst="rect">
                      <a:avLst/>
                    </a:prstGeom>
                    <a:noFill/>
                    <a:ln>
                      <a:noFill/>
                    </a:ln>
                  </pic:spPr>
                </pic:pic>
              </a:graphicData>
            </a:graphic>
          </wp:inline>
        </w:drawing>
      </w:r>
    </w:p>
    <w:p w:rsidR="00043F6A" w:rsidRPr="00EB7D28" w:rsidRDefault="00043F6A" w:rsidP="00043F6A">
      <w:pPr>
        <w:spacing w:line="240" w:lineRule="auto"/>
        <w:jc w:val="both"/>
        <w:rPr>
          <w:rFonts w:ascii="Times New Roman" w:hAnsi="Times New Roman" w:cs="Times New Roman"/>
          <w:sz w:val="24"/>
          <w:szCs w:val="24"/>
          <w:u w:val="single"/>
          <w:shd w:val="clear" w:color="auto" w:fill="FFFFFF"/>
        </w:rPr>
      </w:pPr>
      <w:r w:rsidRPr="00EB7D28">
        <w:rPr>
          <w:rFonts w:ascii="Times New Roman" w:hAnsi="Times New Roman" w:cs="Times New Roman"/>
          <w:sz w:val="24"/>
          <w:szCs w:val="24"/>
          <w:u w:val="single"/>
          <w:shd w:val="clear" w:color="auto" w:fill="FFFFFF"/>
        </w:rPr>
        <w:t>La prestación de servicios sociales en los países de la UE</w:t>
      </w:r>
    </w:p>
    <w:p w:rsidR="00043F6A" w:rsidRPr="00192123" w:rsidRDefault="00043F6A" w:rsidP="00043F6A">
      <w:pPr>
        <w:spacing w:line="240" w:lineRule="auto"/>
        <w:jc w:val="both"/>
        <w:rPr>
          <w:rFonts w:ascii="Times New Roman" w:hAnsi="Times New Roman" w:cs="Times New Roman"/>
          <w:sz w:val="24"/>
          <w:szCs w:val="24"/>
          <w:shd w:val="clear" w:color="auto" w:fill="FFFFFF"/>
          <w:lang w:val="en-GB"/>
        </w:rPr>
      </w:pPr>
      <w:r w:rsidRPr="00EB7D28">
        <w:rPr>
          <w:rFonts w:ascii="Times New Roman" w:hAnsi="Times New Roman" w:cs="Times New Roman"/>
          <w:sz w:val="24"/>
          <w:szCs w:val="24"/>
          <w:shd w:val="clear" w:color="auto" w:fill="FFFFFF"/>
          <w:lang w:val="en-GB"/>
        </w:rPr>
        <w:t>(Fuente: oecd.org/content/dam/oecd/es/publications/reports/2022/09)</w:t>
      </w:r>
    </w:p>
    <w:p w:rsidR="00043F6A" w:rsidRDefault="00043F6A" w:rsidP="00043F6A">
      <w:pPr>
        <w:spacing w:line="240" w:lineRule="auto"/>
        <w:jc w:val="both"/>
        <w:rPr>
          <w:rFonts w:ascii="Times New Roman" w:hAnsi="Times New Roman" w:cs="Times New Roman"/>
          <w:sz w:val="24"/>
          <w:szCs w:val="24"/>
          <w:shd w:val="clear" w:color="auto" w:fill="FFFFFF"/>
        </w:rPr>
      </w:pPr>
      <w:r w:rsidRPr="00EB7D28">
        <w:rPr>
          <w:rFonts w:ascii="Times New Roman" w:hAnsi="Times New Roman" w:cs="Times New Roman"/>
          <w:noProof/>
          <w:sz w:val="24"/>
          <w:szCs w:val="24"/>
          <w:shd w:val="clear" w:color="auto" w:fill="FFFFFF"/>
          <w:lang w:eastAsia="es-ES"/>
        </w:rPr>
        <w:drawing>
          <wp:inline distT="0" distB="0" distL="0" distR="0" wp14:anchorId="5E5A84B7" wp14:editId="51A23D17">
            <wp:extent cx="5727699" cy="3810000"/>
            <wp:effectExtent l="0" t="0" r="6985"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5731510" cy="3812535"/>
                    </a:xfrm>
                    <a:prstGeom prst="rect">
                      <a:avLst/>
                    </a:prstGeom>
                  </pic:spPr>
                </pic:pic>
              </a:graphicData>
            </a:graphic>
          </wp:inline>
        </w:drawing>
      </w:r>
    </w:p>
    <w:p w:rsidR="00043F6A" w:rsidRPr="00EB7D28" w:rsidRDefault="00043F6A" w:rsidP="00043F6A">
      <w:pPr>
        <w:spacing w:line="240" w:lineRule="auto"/>
        <w:jc w:val="both"/>
        <w:rPr>
          <w:rFonts w:ascii="Times New Roman" w:hAnsi="Times New Roman" w:cs="Times New Roman"/>
          <w:sz w:val="24"/>
          <w:szCs w:val="24"/>
          <w:shd w:val="clear" w:color="auto" w:fill="FFFFFF"/>
        </w:rPr>
      </w:pPr>
    </w:p>
    <w:p w:rsidR="00043F6A" w:rsidRPr="00EB7D28" w:rsidRDefault="00043F6A" w:rsidP="00043F6A">
      <w:pPr>
        <w:spacing w:line="240" w:lineRule="auto"/>
        <w:jc w:val="both"/>
        <w:rPr>
          <w:rFonts w:ascii="Times New Roman" w:hAnsi="Times New Roman" w:cs="Times New Roman"/>
          <w:sz w:val="24"/>
          <w:szCs w:val="24"/>
          <w:shd w:val="clear" w:color="auto" w:fill="FFFFFF"/>
        </w:rPr>
      </w:pPr>
      <w:r w:rsidRPr="00EB7D28">
        <w:rPr>
          <w:rFonts w:ascii="Times New Roman" w:hAnsi="Times New Roman" w:cs="Times New Roman"/>
          <w:noProof/>
          <w:sz w:val="24"/>
          <w:szCs w:val="24"/>
          <w:shd w:val="clear" w:color="auto" w:fill="FFFFFF"/>
          <w:lang w:eastAsia="es-ES"/>
        </w:rPr>
        <w:lastRenderedPageBreak/>
        <w:drawing>
          <wp:inline distT="0" distB="0" distL="0" distR="0" wp14:anchorId="0F8606B5" wp14:editId="23BC0A4C">
            <wp:extent cx="5727700" cy="2165350"/>
            <wp:effectExtent l="0" t="0" r="6350" b="635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stretch>
                      <a:fillRect/>
                    </a:stretch>
                  </pic:blipFill>
                  <pic:spPr>
                    <a:xfrm>
                      <a:off x="0" y="0"/>
                      <a:ext cx="5731510" cy="2166790"/>
                    </a:xfrm>
                    <a:prstGeom prst="rect">
                      <a:avLst/>
                    </a:prstGeom>
                  </pic:spPr>
                </pic:pic>
              </a:graphicData>
            </a:graphic>
          </wp:inline>
        </w:drawing>
      </w:r>
    </w:p>
    <w:p w:rsidR="00043F6A" w:rsidRPr="00EB7D28" w:rsidRDefault="00043F6A" w:rsidP="00043F6A">
      <w:pPr>
        <w:spacing w:line="240" w:lineRule="auto"/>
        <w:jc w:val="both"/>
        <w:rPr>
          <w:rFonts w:ascii="Times New Roman" w:hAnsi="Times New Roman" w:cs="Times New Roman"/>
          <w:sz w:val="24"/>
          <w:szCs w:val="24"/>
          <w:shd w:val="clear" w:color="auto" w:fill="FFFFFF"/>
        </w:rPr>
      </w:pPr>
      <w:r w:rsidRPr="00EB7D28">
        <w:rPr>
          <w:rFonts w:ascii="Times New Roman" w:hAnsi="Times New Roman" w:cs="Times New Roman"/>
          <w:noProof/>
          <w:sz w:val="24"/>
          <w:szCs w:val="24"/>
          <w:shd w:val="clear" w:color="auto" w:fill="FFFFFF"/>
          <w:lang w:eastAsia="es-ES"/>
        </w:rPr>
        <w:drawing>
          <wp:inline distT="0" distB="0" distL="0" distR="0" wp14:anchorId="62A71FF7" wp14:editId="40824270">
            <wp:extent cx="5732879" cy="2749550"/>
            <wp:effectExtent l="0" t="0" r="127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5731510" cy="2748893"/>
                    </a:xfrm>
                    <a:prstGeom prst="rect">
                      <a:avLst/>
                    </a:prstGeom>
                  </pic:spPr>
                </pic:pic>
              </a:graphicData>
            </a:graphic>
          </wp:inline>
        </w:drawing>
      </w:r>
    </w:p>
    <w:p w:rsidR="00043F6A" w:rsidRPr="00EB7D28" w:rsidRDefault="00043F6A" w:rsidP="00043F6A">
      <w:pPr>
        <w:spacing w:line="240" w:lineRule="auto"/>
        <w:jc w:val="both"/>
        <w:rPr>
          <w:rFonts w:ascii="Times New Roman" w:hAnsi="Times New Roman" w:cs="Times New Roman"/>
          <w:sz w:val="24"/>
          <w:szCs w:val="24"/>
          <w:shd w:val="clear" w:color="auto" w:fill="FFFFFF"/>
        </w:rPr>
      </w:pPr>
      <w:r w:rsidRPr="00EB7D28">
        <w:rPr>
          <w:rFonts w:ascii="Times New Roman" w:hAnsi="Times New Roman" w:cs="Times New Roman"/>
          <w:noProof/>
          <w:sz w:val="24"/>
          <w:szCs w:val="24"/>
          <w:shd w:val="clear" w:color="auto" w:fill="FFFFFF"/>
          <w:lang w:eastAsia="es-ES"/>
        </w:rPr>
        <w:drawing>
          <wp:inline distT="0" distB="0" distL="0" distR="0" wp14:anchorId="694CE016" wp14:editId="453D8A1A">
            <wp:extent cx="5734017" cy="3117850"/>
            <wp:effectExtent l="0" t="0" r="635" b="635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stretch>
                      <a:fillRect/>
                    </a:stretch>
                  </pic:blipFill>
                  <pic:spPr>
                    <a:xfrm>
                      <a:off x="0" y="0"/>
                      <a:ext cx="5734017" cy="3117850"/>
                    </a:xfrm>
                    <a:prstGeom prst="rect">
                      <a:avLst/>
                    </a:prstGeom>
                  </pic:spPr>
                </pic:pic>
              </a:graphicData>
            </a:graphic>
          </wp:inline>
        </w:drawing>
      </w:r>
    </w:p>
    <w:p w:rsidR="00043F6A" w:rsidRDefault="00043F6A" w:rsidP="00043F6A">
      <w:pPr>
        <w:spacing w:line="240" w:lineRule="auto"/>
        <w:jc w:val="both"/>
        <w:rPr>
          <w:rFonts w:ascii="Times New Roman" w:hAnsi="Times New Roman" w:cs="Times New Roman"/>
          <w:sz w:val="24"/>
          <w:szCs w:val="24"/>
          <w:shd w:val="clear" w:color="auto" w:fill="FFFFFF"/>
        </w:rPr>
      </w:pPr>
      <w:r w:rsidRPr="00EB7D28">
        <w:rPr>
          <w:rFonts w:ascii="Times New Roman" w:hAnsi="Times New Roman" w:cs="Times New Roman"/>
          <w:noProof/>
          <w:sz w:val="24"/>
          <w:szCs w:val="24"/>
          <w:shd w:val="clear" w:color="auto" w:fill="FFFFFF"/>
          <w:lang w:eastAsia="es-ES"/>
        </w:rPr>
        <w:lastRenderedPageBreak/>
        <w:drawing>
          <wp:inline distT="0" distB="0" distL="0" distR="0" wp14:anchorId="2F8975E2" wp14:editId="477C1C51">
            <wp:extent cx="5727700" cy="3384550"/>
            <wp:effectExtent l="0" t="0" r="6350" b="635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5731510" cy="3386801"/>
                    </a:xfrm>
                    <a:prstGeom prst="rect">
                      <a:avLst/>
                    </a:prstGeom>
                  </pic:spPr>
                </pic:pic>
              </a:graphicData>
            </a:graphic>
          </wp:inline>
        </w:drawing>
      </w:r>
    </w:p>
    <w:p w:rsidR="00043F6A" w:rsidRPr="00EB7D28" w:rsidRDefault="00043F6A" w:rsidP="00043F6A">
      <w:pPr>
        <w:spacing w:line="240" w:lineRule="auto"/>
        <w:jc w:val="both"/>
        <w:rPr>
          <w:rFonts w:ascii="Times New Roman" w:hAnsi="Times New Roman" w:cs="Times New Roman"/>
          <w:sz w:val="24"/>
          <w:szCs w:val="24"/>
          <w:shd w:val="clear" w:color="auto" w:fill="FFFFFF"/>
        </w:rPr>
      </w:pPr>
    </w:p>
    <w:p w:rsidR="00043F6A" w:rsidRDefault="00043F6A" w:rsidP="00043F6A">
      <w:pPr>
        <w:spacing w:line="240" w:lineRule="auto"/>
        <w:jc w:val="both"/>
        <w:rPr>
          <w:rFonts w:ascii="Times New Roman" w:hAnsi="Times New Roman" w:cs="Times New Roman"/>
          <w:sz w:val="24"/>
          <w:szCs w:val="24"/>
          <w:shd w:val="clear" w:color="auto" w:fill="FFFFFF"/>
        </w:rPr>
      </w:pPr>
      <w:r w:rsidRPr="00EB7D28">
        <w:rPr>
          <w:rFonts w:ascii="Times New Roman" w:hAnsi="Times New Roman" w:cs="Times New Roman"/>
          <w:noProof/>
          <w:sz w:val="24"/>
          <w:szCs w:val="24"/>
          <w:shd w:val="clear" w:color="auto" w:fill="FFFFFF"/>
          <w:lang w:eastAsia="es-ES"/>
        </w:rPr>
        <w:drawing>
          <wp:inline distT="0" distB="0" distL="0" distR="0" wp14:anchorId="50242CDD" wp14:editId="16D9F2EE">
            <wp:extent cx="5727698" cy="3644900"/>
            <wp:effectExtent l="0" t="0" r="6985"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3"/>
                    <a:stretch>
                      <a:fillRect/>
                    </a:stretch>
                  </pic:blipFill>
                  <pic:spPr>
                    <a:xfrm>
                      <a:off x="0" y="0"/>
                      <a:ext cx="5731510" cy="3647326"/>
                    </a:xfrm>
                    <a:prstGeom prst="rect">
                      <a:avLst/>
                    </a:prstGeom>
                  </pic:spPr>
                </pic:pic>
              </a:graphicData>
            </a:graphic>
          </wp:inline>
        </w:drawing>
      </w:r>
    </w:p>
    <w:p w:rsidR="00043F6A" w:rsidRDefault="00043F6A" w:rsidP="00043F6A">
      <w:pPr>
        <w:spacing w:line="240" w:lineRule="auto"/>
        <w:jc w:val="both"/>
        <w:rPr>
          <w:rFonts w:ascii="Times New Roman" w:hAnsi="Times New Roman" w:cs="Times New Roman"/>
          <w:sz w:val="24"/>
          <w:szCs w:val="24"/>
          <w:u w:val="single"/>
          <w:shd w:val="clear" w:color="auto" w:fill="FFFFFF"/>
        </w:rPr>
      </w:pPr>
    </w:p>
    <w:p w:rsidR="00043F6A" w:rsidRDefault="00043F6A" w:rsidP="00043F6A">
      <w:pPr>
        <w:spacing w:line="240" w:lineRule="auto"/>
        <w:jc w:val="both"/>
        <w:rPr>
          <w:rFonts w:ascii="Times New Roman" w:hAnsi="Times New Roman" w:cs="Times New Roman"/>
          <w:sz w:val="24"/>
          <w:szCs w:val="24"/>
          <w:u w:val="single"/>
          <w:shd w:val="clear" w:color="auto" w:fill="FFFFFF"/>
        </w:rPr>
      </w:pPr>
    </w:p>
    <w:p w:rsidR="00043F6A" w:rsidRDefault="00043F6A" w:rsidP="00043F6A">
      <w:pPr>
        <w:spacing w:line="240" w:lineRule="auto"/>
        <w:jc w:val="both"/>
        <w:rPr>
          <w:rFonts w:ascii="Times New Roman" w:hAnsi="Times New Roman" w:cs="Times New Roman"/>
          <w:sz w:val="24"/>
          <w:szCs w:val="24"/>
          <w:u w:val="single"/>
          <w:shd w:val="clear" w:color="auto" w:fill="FFFFFF"/>
        </w:rPr>
      </w:pPr>
    </w:p>
    <w:p w:rsidR="00043F6A" w:rsidRDefault="00043F6A" w:rsidP="00043F6A">
      <w:pPr>
        <w:spacing w:line="240" w:lineRule="auto"/>
        <w:jc w:val="both"/>
        <w:rPr>
          <w:rFonts w:ascii="Times New Roman" w:hAnsi="Times New Roman" w:cs="Times New Roman"/>
          <w:sz w:val="24"/>
          <w:szCs w:val="24"/>
          <w:u w:val="single"/>
          <w:shd w:val="clear" w:color="auto" w:fill="FFFFFF"/>
        </w:rPr>
      </w:pPr>
    </w:p>
    <w:p w:rsidR="00043F6A" w:rsidRPr="00EB7D28" w:rsidRDefault="00043F6A" w:rsidP="00043F6A">
      <w:pPr>
        <w:spacing w:line="240" w:lineRule="auto"/>
        <w:jc w:val="both"/>
        <w:rPr>
          <w:rFonts w:ascii="Times New Roman" w:hAnsi="Times New Roman" w:cs="Times New Roman"/>
          <w:sz w:val="24"/>
          <w:szCs w:val="24"/>
          <w:shd w:val="clear" w:color="auto" w:fill="FFFFFF"/>
        </w:rPr>
      </w:pPr>
      <w:r w:rsidRPr="00EB7D28">
        <w:rPr>
          <w:rFonts w:ascii="Times New Roman" w:hAnsi="Times New Roman" w:cs="Times New Roman"/>
          <w:sz w:val="24"/>
          <w:szCs w:val="24"/>
          <w:u w:val="single"/>
          <w:shd w:val="clear" w:color="auto" w:fill="FFFFFF"/>
        </w:rPr>
        <w:lastRenderedPageBreak/>
        <w:t>Gasto Social Público</w:t>
      </w:r>
      <w:r w:rsidRPr="00EB7D28">
        <w:rPr>
          <w:rFonts w:ascii="Times New Roman" w:hAnsi="Times New Roman" w:cs="Times New Roman"/>
          <w:sz w:val="24"/>
          <w:szCs w:val="24"/>
          <w:shd w:val="clear" w:color="auto" w:fill="FFFFFF"/>
        </w:rPr>
        <w:t xml:space="preserve"> (Fuente: compareyourcountry.org/social-expenditure/es/0/547/ranking)</w:t>
      </w:r>
    </w:p>
    <w:p w:rsidR="00043F6A" w:rsidRDefault="00043F6A" w:rsidP="00043F6A">
      <w:pPr>
        <w:spacing w:line="240" w:lineRule="auto"/>
        <w:jc w:val="both"/>
        <w:rPr>
          <w:rFonts w:ascii="Times New Roman" w:hAnsi="Times New Roman" w:cs="Times New Roman"/>
          <w:sz w:val="24"/>
          <w:szCs w:val="24"/>
          <w:shd w:val="clear" w:color="auto" w:fill="FFFFFF"/>
        </w:rPr>
      </w:pPr>
      <w:r w:rsidRPr="00EB7D28">
        <w:rPr>
          <w:rFonts w:ascii="Times New Roman" w:hAnsi="Times New Roman" w:cs="Times New Roman"/>
          <w:noProof/>
          <w:sz w:val="24"/>
          <w:szCs w:val="24"/>
          <w:shd w:val="clear" w:color="auto" w:fill="FFFFFF"/>
          <w:lang w:eastAsia="es-ES"/>
        </w:rPr>
        <w:drawing>
          <wp:inline distT="0" distB="0" distL="0" distR="0" wp14:anchorId="10C2FCFC" wp14:editId="237006EC">
            <wp:extent cx="2419688" cy="295316"/>
            <wp:effectExtent l="0" t="0" r="0" b="9525"/>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a:stretch>
                      <a:fillRect/>
                    </a:stretch>
                  </pic:blipFill>
                  <pic:spPr>
                    <a:xfrm>
                      <a:off x="0" y="0"/>
                      <a:ext cx="2419688" cy="295316"/>
                    </a:xfrm>
                    <a:prstGeom prst="rect">
                      <a:avLst/>
                    </a:prstGeom>
                  </pic:spPr>
                </pic:pic>
              </a:graphicData>
            </a:graphic>
          </wp:inline>
        </w:drawing>
      </w:r>
    </w:p>
    <w:p w:rsidR="00043F6A" w:rsidRDefault="00043F6A" w:rsidP="00043F6A">
      <w:pPr>
        <w:spacing w:line="240" w:lineRule="auto"/>
        <w:jc w:val="both"/>
        <w:rPr>
          <w:rFonts w:ascii="Times New Roman" w:hAnsi="Times New Roman" w:cs="Times New Roman"/>
          <w:sz w:val="24"/>
          <w:szCs w:val="24"/>
          <w:shd w:val="clear" w:color="auto" w:fill="FFFFFF"/>
        </w:rPr>
      </w:pPr>
      <w:r w:rsidRPr="00EB7D28">
        <w:rPr>
          <w:rFonts w:ascii="Times New Roman" w:hAnsi="Times New Roman" w:cs="Times New Roman"/>
          <w:noProof/>
          <w:sz w:val="24"/>
          <w:szCs w:val="24"/>
          <w:shd w:val="clear" w:color="auto" w:fill="FFFFFF"/>
          <w:lang w:eastAsia="es-ES"/>
        </w:rPr>
        <w:drawing>
          <wp:inline distT="0" distB="0" distL="0" distR="0" wp14:anchorId="20C9DCE7" wp14:editId="7B2C4542">
            <wp:extent cx="2419350" cy="3917950"/>
            <wp:effectExtent l="0" t="0" r="0" b="6350"/>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stretch>
                      <a:fillRect/>
                    </a:stretch>
                  </pic:blipFill>
                  <pic:spPr>
                    <a:xfrm>
                      <a:off x="0" y="0"/>
                      <a:ext cx="2423860" cy="3925254"/>
                    </a:xfrm>
                    <a:prstGeom prst="rect">
                      <a:avLst/>
                    </a:prstGeom>
                  </pic:spPr>
                </pic:pic>
              </a:graphicData>
            </a:graphic>
          </wp:inline>
        </w:drawing>
      </w:r>
      <w:r w:rsidRPr="00EB7D28">
        <w:rPr>
          <w:rFonts w:ascii="Times New Roman" w:hAnsi="Times New Roman" w:cs="Times New Roman"/>
          <w:noProof/>
          <w:sz w:val="24"/>
          <w:szCs w:val="24"/>
          <w:shd w:val="clear" w:color="auto" w:fill="FFFFFF"/>
          <w:lang w:eastAsia="es-ES"/>
        </w:rPr>
        <w:drawing>
          <wp:inline distT="0" distB="0" distL="0" distR="0" wp14:anchorId="6C69EFC8" wp14:editId="3720C0C5">
            <wp:extent cx="2114550" cy="3867150"/>
            <wp:effectExtent l="0" t="0" r="0" b="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6"/>
                    <a:stretch>
                      <a:fillRect/>
                    </a:stretch>
                  </pic:blipFill>
                  <pic:spPr>
                    <a:xfrm>
                      <a:off x="0" y="0"/>
                      <a:ext cx="2116007" cy="3869815"/>
                    </a:xfrm>
                    <a:prstGeom prst="rect">
                      <a:avLst/>
                    </a:prstGeom>
                  </pic:spPr>
                </pic:pic>
              </a:graphicData>
            </a:graphic>
          </wp:inline>
        </w:drawing>
      </w:r>
    </w:p>
    <w:p w:rsidR="00043F6A" w:rsidRPr="00EB7D28"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ab/>
      </w:r>
      <w:r w:rsidRPr="00EB7D28">
        <w:rPr>
          <w:rFonts w:ascii="Times New Roman" w:hAnsi="Times New Roman" w:cs="Times New Roman"/>
          <w:noProof/>
          <w:sz w:val="24"/>
          <w:szCs w:val="24"/>
          <w:shd w:val="clear" w:color="auto" w:fill="FFFFFF"/>
          <w:lang w:eastAsia="es-ES"/>
        </w:rPr>
        <w:drawing>
          <wp:inline distT="0" distB="0" distL="0" distR="0" wp14:anchorId="7987B0A8" wp14:editId="659122ED">
            <wp:extent cx="1524000" cy="469900"/>
            <wp:effectExtent l="0" t="0" r="0" b="635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7"/>
                    <a:stretch>
                      <a:fillRect/>
                    </a:stretch>
                  </pic:blipFill>
                  <pic:spPr>
                    <a:xfrm>
                      <a:off x="0" y="0"/>
                      <a:ext cx="1526851" cy="470779"/>
                    </a:xfrm>
                    <a:prstGeom prst="rect">
                      <a:avLst/>
                    </a:prstGeom>
                  </pic:spPr>
                </pic:pic>
              </a:graphicData>
            </a:graphic>
          </wp:inline>
        </w:drawing>
      </w:r>
    </w:p>
    <w:p w:rsidR="00043F6A" w:rsidRPr="00EB7D28" w:rsidRDefault="00043F6A" w:rsidP="00043F6A">
      <w:pPr>
        <w:spacing w:line="240" w:lineRule="auto"/>
        <w:jc w:val="both"/>
        <w:rPr>
          <w:rFonts w:ascii="Times New Roman" w:hAnsi="Times New Roman" w:cs="Times New Roman"/>
          <w:sz w:val="24"/>
          <w:szCs w:val="24"/>
          <w:shd w:val="clear" w:color="auto" w:fill="FFFFFF"/>
        </w:rPr>
      </w:pPr>
    </w:p>
    <w:p w:rsidR="00043F6A" w:rsidRPr="002B2CF6" w:rsidRDefault="00043F6A" w:rsidP="00043F6A">
      <w:pPr>
        <w:spacing w:line="240" w:lineRule="auto"/>
        <w:jc w:val="both"/>
        <w:rPr>
          <w:rFonts w:ascii="Times New Roman" w:hAnsi="Times New Roman" w:cs="Times New Roman"/>
          <w:sz w:val="24"/>
          <w:szCs w:val="24"/>
          <w:shd w:val="clear" w:color="auto" w:fill="FFFFFF"/>
        </w:rPr>
      </w:pPr>
      <w:r w:rsidRPr="00FC1BA9">
        <w:rPr>
          <w:rFonts w:ascii="Times New Roman" w:hAnsi="Times New Roman" w:cs="Times New Roman"/>
          <w:b/>
          <w:color w:val="FF0000"/>
          <w:sz w:val="24"/>
          <w:szCs w:val="24"/>
          <w:shd w:val="clear" w:color="auto" w:fill="FFFFFF"/>
        </w:rPr>
        <w:t>Nota I</w:t>
      </w:r>
      <w:r w:rsidRPr="00FC1BA9">
        <w:rPr>
          <w:rFonts w:ascii="Times New Roman" w:hAnsi="Times New Roman" w:cs="Times New Roman"/>
          <w:color w:val="FF0000"/>
          <w:sz w:val="24"/>
          <w:szCs w:val="24"/>
          <w:shd w:val="clear" w:color="auto" w:fill="FFFFFF"/>
        </w:rPr>
        <w:t xml:space="preserve">: La media del gasto social sobre el Producto Interno Bruto (PIB) en los países de la OCDE se situó en torno al 21,1% en 2022. Este porcentaje representa el promedio de lo que los países miembros de la OCDE destinan a diversas prestaciones sociales como pensiones, salud, familia, empleo, entre otros.  (Fuente: Google - Vista creada por IA) </w:t>
      </w:r>
    </w:p>
    <w:p w:rsidR="00043F6A" w:rsidRPr="00FC1BA9" w:rsidRDefault="00043F6A" w:rsidP="00043F6A">
      <w:pPr>
        <w:spacing w:line="240" w:lineRule="auto"/>
        <w:jc w:val="both"/>
        <w:rPr>
          <w:rFonts w:ascii="Times New Roman" w:hAnsi="Times New Roman" w:cs="Times New Roman"/>
          <w:color w:val="FF0000"/>
          <w:sz w:val="24"/>
          <w:szCs w:val="24"/>
          <w:shd w:val="clear" w:color="auto" w:fill="FFFFFF"/>
        </w:rPr>
      </w:pPr>
      <w:r w:rsidRPr="00FC1BA9">
        <w:rPr>
          <w:rFonts w:ascii="Times New Roman" w:hAnsi="Times New Roman" w:cs="Times New Roman"/>
          <w:color w:val="FF0000"/>
          <w:sz w:val="24"/>
          <w:szCs w:val="24"/>
          <w:shd w:val="clear" w:color="auto" w:fill="FFFFFF"/>
        </w:rPr>
        <w:t>En comparación con años anteriores, el gasto social sobre el PIB en la OCDE ha experimentado algunas fluctuaciones:</w:t>
      </w:r>
    </w:p>
    <w:p w:rsidR="00043F6A" w:rsidRPr="00FC1BA9" w:rsidRDefault="00043F6A" w:rsidP="00043F6A">
      <w:pPr>
        <w:spacing w:line="240" w:lineRule="auto"/>
        <w:jc w:val="both"/>
        <w:rPr>
          <w:rFonts w:ascii="Times New Roman" w:hAnsi="Times New Roman" w:cs="Times New Roman"/>
          <w:color w:val="FF0000"/>
          <w:sz w:val="24"/>
          <w:szCs w:val="24"/>
          <w:shd w:val="clear" w:color="auto" w:fill="FFFFFF"/>
        </w:rPr>
      </w:pPr>
      <w:r w:rsidRPr="00FC1BA9">
        <w:rPr>
          <w:rFonts w:ascii="Times New Roman" w:hAnsi="Times New Roman" w:cs="Times New Roman"/>
          <w:color w:val="FF0000"/>
          <w:sz w:val="24"/>
          <w:szCs w:val="24"/>
          <w:shd w:val="clear" w:color="auto" w:fill="FFFFFF"/>
        </w:rPr>
        <w:t xml:space="preserve">2020: La cifra se incrementó hasta aproximadamente el 23%, principalmente debido a la pandemia de COVID-19. </w:t>
      </w:r>
    </w:p>
    <w:p w:rsidR="00043F6A" w:rsidRPr="00FC1BA9" w:rsidRDefault="00043F6A" w:rsidP="00043F6A">
      <w:pPr>
        <w:spacing w:line="240" w:lineRule="auto"/>
        <w:jc w:val="both"/>
        <w:rPr>
          <w:rFonts w:ascii="Times New Roman" w:hAnsi="Times New Roman" w:cs="Times New Roman"/>
          <w:color w:val="FF0000"/>
          <w:sz w:val="24"/>
          <w:szCs w:val="24"/>
          <w:shd w:val="clear" w:color="auto" w:fill="FFFFFF"/>
        </w:rPr>
      </w:pPr>
      <w:r w:rsidRPr="00FC1BA9">
        <w:rPr>
          <w:rFonts w:ascii="Times New Roman" w:hAnsi="Times New Roman" w:cs="Times New Roman"/>
          <w:color w:val="FF0000"/>
          <w:sz w:val="24"/>
          <w:szCs w:val="24"/>
          <w:shd w:val="clear" w:color="auto" w:fill="FFFFFF"/>
        </w:rPr>
        <w:t xml:space="preserve">2021: Se registró un descenso, situándose en torno al 22%. </w:t>
      </w:r>
    </w:p>
    <w:p w:rsidR="00043F6A" w:rsidRPr="00FC1BA9" w:rsidRDefault="00043F6A" w:rsidP="00043F6A">
      <w:pPr>
        <w:spacing w:line="240" w:lineRule="auto"/>
        <w:jc w:val="both"/>
        <w:rPr>
          <w:rFonts w:ascii="Times New Roman" w:hAnsi="Times New Roman" w:cs="Times New Roman"/>
          <w:color w:val="FF0000"/>
          <w:sz w:val="24"/>
          <w:szCs w:val="24"/>
          <w:shd w:val="clear" w:color="auto" w:fill="FFFFFF"/>
        </w:rPr>
      </w:pPr>
      <w:r w:rsidRPr="00FC1BA9">
        <w:rPr>
          <w:rFonts w:ascii="Times New Roman" w:hAnsi="Times New Roman" w:cs="Times New Roman"/>
          <w:color w:val="FF0000"/>
          <w:sz w:val="24"/>
          <w:szCs w:val="24"/>
          <w:shd w:val="clear" w:color="auto" w:fill="FFFFFF"/>
        </w:rPr>
        <w:t xml:space="preserve">2022: La media se redujo aún más, alcanzando el 21,1%. </w:t>
      </w:r>
    </w:p>
    <w:p w:rsidR="00043F6A" w:rsidRPr="00FC1BA9" w:rsidRDefault="00043F6A" w:rsidP="00043F6A">
      <w:pPr>
        <w:spacing w:line="240" w:lineRule="auto"/>
        <w:jc w:val="both"/>
        <w:rPr>
          <w:rFonts w:ascii="Times New Roman" w:hAnsi="Times New Roman" w:cs="Times New Roman"/>
          <w:color w:val="FF0000"/>
          <w:sz w:val="24"/>
          <w:szCs w:val="24"/>
          <w:shd w:val="clear" w:color="auto" w:fill="FFFFFF"/>
        </w:rPr>
      </w:pPr>
      <w:r w:rsidRPr="00FC1BA9">
        <w:rPr>
          <w:rFonts w:ascii="Times New Roman" w:hAnsi="Times New Roman" w:cs="Times New Roman"/>
          <w:color w:val="FF0000"/>
          <w:sz w:val="24"/>
          <w:szCs w:val="24"/>
          <w:shd w:val="clear" w:color="auto" w:fill="FFFFFF"/>
        </w:rPr>
        <w:t xml:space="preserve">Es importante destacar que la distribución del gasto social varía entre los países de la OCDE, con algunos destinando una proporción mayor de su PIB a ciertas áreas, como pensiones o salud. Por ejemplo, Grecia e Italia son los países con mayor gasto público en pensiones (más </w:t>
      </w:r>
      <w:r w:rsidRPr="00FC1BA9">
        <w:rPr>
          <w:rFonts w:ascii="Times New Roman" w:hAnsi="Times New Roman" w:cs="Times New Roman"/>
          <w:color w:val="FF0000"/>
          <w:sz w:val="24"/>
          <w:szCs w:val="24"/>
          <w:shd w:val="clear" w:color="auto" w:fill="FFFFFF"/>
        </w:rPr>
        <w:lastRenderedPageBreak/>
        <w:t>del 15% del PIB), mientras que México es el país de la OCDE que menos gasta en relación a su PIB, según Statista.</w:t>
      </w:r>
    </w:p>
    <w:p w:rsidR="00043F6A" w:rsidRPr="00FC1BA9" w:rsidRDefault="00043F6A" w:rsidP="00043F6A">
      <w:pPr>
        <w:spacing w:line="240" w:lineRule="auto"/>
        <w:jc w:val="both"/>
        <w:rPr>
          <w:rFonts w:ascii="Times New Roman" w:hAnsi="Times New Roman" w:cs="Times New Roman"/>
          <w:color w:val="FF0000"/>
          <w:sz w:val="24"/>
          <w:szCs w:val="24"/>
          <w:shd w:val="clear" w:color="auto" w:fill="FFFFFF"/>
        </w:rPr>
      </w:pPr>
      <w:r w:rsidRPr="00FC1BA9">
        <w:rPr>
          <w:rFonts w:ascii="Times New Roman" w:hAnsi="Times New Roman" w:cs="Times New Roman"/>
          <w:b/>
          <w:color w:val="FF0000"/>
          <w:sz w:val="24"/>
          <w:szCs w:val="24"/>
          <w:shd w:val="clear" w:color="auto" w:fill="FFFFFF"/>
        </w:rPr>
        <w:t>Nota II</w:t>
      </w:r>
      <w:r w:rsidRPr="00FC1BA9">
        <w:rPr>
          <w:rFonts w:ascii="Times New Roman" w:hAnsi="Times New Roman" w:cs="Times New Roman"/>
          <w:color w:val="FF0000"/>
          <w:sz w:val="24"/>
          <w:szCs w:val="24"/>
          <w:shd w:val="clear" w:color="auto" w:fill="FFFFFF"/>
        </w:rPr>
        <w:t>: Para no superar la media del gasto social sobre el Producto Interno Bruto (PIB) de los países de la OCDE (21,1% en 2022), España debería reducir sus prestaciones asistenciales en el equivalente a un 7% del PIB (28,1% - 21,1%, con referencia al mismo año base).</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EB7D28">
        <w:rPr>
          <w:rFonts w:ascii="Times New Roman" w:hAnsi="Times New Roman" w:cs="Times New Roman"/>
          <w:color w:val="FF0000"/>
          <w:sz w:val="24"/>
          <w:szCs w:val="24"/>
          <w:shd w:val="clear" w:color="auto" w:fill="FFFFFF"/>
        </w:rPr>
        <w:t>- Desgravar las inversiones en propiedades para alquilar y la renta del alquiler</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w:t>
      </w:r>
      <w:r w:rsidRPr="003E455D">
        <w:rPr>
          <w:rFonts w:ascii="Times New Roman" w:hAnsi="Times New Roman" w:cs="Times New Roman"/>
          <w:sz w:val="24"/>
          <w:szCs w:val="24"/>
          <w:u w:val="single"/>
          <w:shd w:val="clear" w:color="auto" w:fill="FFFFFF"/>
        </w:rPr>
        <w:t>Qué soluciones hay para el problema de la vivienda en España</w:t>
      </w:r>
      <w:r w:rsidRPr="003E455D">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(Fuente: immoaugusta.com - </w:t>
      </w:r>
      <w:r w:rsidRPr="002B2CF6">
        <w:rPr>
          <w:rFonts w:ascii="Times New Roman" w:hAnsi="Times New Roman" w:cs="Times New Roman"/>
          <w:b/>
          <w:sz w:val="24"/>
          <w:szCs w:val="24"/>
          <w:shd w:val="clear" w:color="auto" w:fill="FFFFFF"/>
        </w:rPr>
        <w:t>8/8/24</w:t>
      </w:r>
      <w:r>
        <w:rPr>
          <w:rFonts w:ascii="Times New Roman" w:hAnsi="Times New Roman" w:cs="Times New Roman"/>
          <w:sz w:val="24"/>
          <w:szCs w:val="24"/>
          <w:shd w:val="clear" w:color="auto" w:fill="FFFFFF"/>
        </w:rPr>
        <w:t>)</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La vivienda se ha convertido en uno de los problemas más serios en España. La falta de oferta es cada vez mayor y los precios no dejan de subir, volviéndose inaccesibles para muchas personas. Pero, ¿son los precios altos o los s</w:t>
      </w:r>
      <w:r>
        <w:rPr>
          <w:rFonts w:ascii="Times New Roman" w:hAnsi="Times New Roman" w:cs="Times New Roman"/>
          <w:sz w:val="24"/>
          <w:szCs w:val="24"/>
          <w:shd w:val="clear" w:color="auto" w:fill="FFFFFF"/>
        </w:rPr>
        <w:t>alarios bajos el problema real?</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Déficit de Viviendas y Causas</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Según Idealista, el Banco de España asegura que se necesitan 600,000 viviendas hasta 2025 para suplir el déficit de inmuebles en el país. Actualmente, hay casi 4 millones de viviendas vacías o desocupadas. Los expertos consultados por el portal inmobiliario líder han analizado las soluciones para poner fin a este problema. Una de las razones clave es la falta de construcción de nuevas viviendas en zonas de alta demanda, y las soluciones propuestas incluyen un entorno fiscal</w:t>
      </w:r>
      <w:r>
        <w:rPr>
          <w:rFonts w:ascii="Times New Roman" w:hAnsi="Times New Roman" w:cs="Times New Roman"/>
          <w:sz w:val="24"/>
          <w:szCs w:val="24"/>
          <w:shd w:val="clear" w:color="auto" w:fill="FFFFFF"/>
        </w:rPr>
        <w:t xml:space="preserve"> favorable para los promotores.</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Desajuste entre Oferta y Demanda</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Causas del Desajuste: </w:t>
      </w:r>
      <w:r w:rsidRPr="003E455D">
        <w:rPr>
          <w:rFonts w:ascii="Times New Roman" w:hAnsi="Times New Roman" w:cs="Times New Roman"/>
          <w:sz w:val="24"/>
          <w:szCs w:val="24"/>
          <w:shd w:val="clear" w:color="auto" w:fill="FFFFFF"/>
        </w:rPr>
        <w:t>El desajuste entre oferta y demanda de viviendas en España no es un problema nuevo. El Banco de España ha advertido sobre esto, destacando un importante desajuste entre la oferta y la demanda de viviendas.</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Factores Contribuyentes: </w:t>
      </w:r>
      <w:r w:rsidRPr="003E455D">
        <w:rPr>
          <w:rFonts w:ascii="Times New Roman" w:hAnsi="Times New Roman" w:cs="Times New Roman"/>
          <w:sz w:val="24"/>
          <w:szCs w:val="24"/>
          <w:shd w:val="clear" w:color="auto" w:fill="FFFFFF"/>
        </w:rPr>
        <w:t>Ricardo Gulias, CEO de RN Tu Solución Hipotecaria, cree que este problema se debe principalmente a la falta de construcción de nuevas viviendas en áreas de alta demanda, exacerbada por la complejidad burocrática y los cambios frecuentes en las regulaciones gubernamentales que desincentivan la inversión en el sector inmobiliario. Iñaki Unsain, Personal Shopper Inmobiliario, señala que la inversión en viviendas de protección oficial y en proyectos sociales ha sido insuficiente, mientras que los obstáculos burocráticos en el proceso de desarrollo han contribuido a agravar la problemática.</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Falta de Suelo Disponible: </w:t>
      </w:r>
      <w:r w:rsidRPr="003E455D">
        <w:rPr>
          <w:rFonts w:ascii="Times New Roman" w:hAnsi="Times New Roman" w:cs="Times New Roman"/>
          <w:sz w:val="24"/>
          <w:szCs w:val="24"/>
          <w:shd w:val="clear" w:color="auto" w:fill="FFFFFF"/>
        </w:rPr>
        <w:t>La falta de suelo disponible es una de las razones identificadas tanto por el Banco de España como por Alfa Inmobiliaria como un problema crítico para la escasez de vivienda. “Es necesario recalificar más suelo y hacer que los trámites administrativos sean más ágiles. Es inadmisible que se lleguen a tardar más de 10 años en estos trámites”, afirma Gulias.</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Soluciones para Aumentar el Stock de Viviendas</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Recomendaciones del Ban</w:t>
      </w:r>
      <w:r>
        <w:rPr>
          <w:rFonts w:ascii="Times New Roman" w:hAnsi="Times New Roman" w:cs="Times New Roman"/>
          <w:sz w:val="24"/>
          <w:szCs w:val="24"/>
          <w:shd w:val="clear" w:color="auto" w:fill="FFFFFF"/>
        </w:rPr>
        <w:t xml:space="preserve">co de España: </w:t>
      </w:r>
      <w:r w:rsidRPr="003E455D">
        <w:rPr>
          <w:rFonts w:ascii="Times New Roman" w:hAnsi="Times New Roman" w:cs="Times New Roman"/>
          <w:sz w:val="24"/>
          <w:szCs w:val="24"/>
          <w:shd w:val="clear" w:color="auto" w:fill="FFFFFF"/>
        </w:rPr>
        <w:t>El Banco de España recomienda medidas como la protección de los propietarios, la promoción de la inversión y la creación de viviendas de protección oficial para abordar la crisis de vivienda. Estas recomendaciones serán efectivas si se implementan de manera coherente y se ofrece un marco regulatorio estable.</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Reducción de Cargas Fiscales</w:t>
      </w:r>
      <w:r>
        <w:rPr>
          <w:rFonts w:ascii="Times New Roman" w:hAnsi="Times New Roman" w:cs="Times New Roman"/>
          <w:sz w:val="24"/>
          <w:szCs w:val="24"/>
          <w:shd w:val="clear" w:color="auto" w:fill="FFFFFF"/>
        </w:rPr>
        <w:t xml:space="preserve">: </w:t>
      </w:r>
      <w:r w:rsidRPr="003E455D">
        <w:rPr>
          <w:rFonts w:ascii="Times New Roman" w:hAnsi="Times New Roman" w:cs="Times New Roman"/>
          <w:sz w:val="24"/>
          <w:szCs w:val="24"/>
          <w:shd w:val="clear" w:color="auto" w:fill="FFFFFF"/>
        </w:rPr>
        <w:t xml:space="preserve">Una de las soluciones propuestas es que el gobierno y las comunidades autónomas proporcionen un entorno favorable para los promotores, agilizando </w:t>
      </w:r>
      <w:r w:rsidRPr="003E455D">
        <w:rPr>
          <w:rFonts w:ascii="Times New Roman" w:hAnsi="Times New Roman" w:cs="Times New Roman"/>
          <w:sz w:val="24"/>
          <w:szCs w:val="24"/>
          <w:shd w:val="clear" w:color="auto" w:fill="FFFFFF"/>
        </w:rPr>
        <w:lastRenderedPageBreak/>
        <w:t>los procesos de licencias y reduciendo la carga fiscal sobre la construcción. “Se necesita una legislación que proteja los intereses de propietarios, inversores y promotores, brindando estabilidad y seguridad jurídica para fomentar la inversión en el sector”, explica Gulias.</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 xml:space="preserve">Incremento de </w:t>
      </w:r>
      <w:r>
        <w:rPr>
          <w:rFonts w:ascii="Times New Roman" w:hAnsi="Times New Roman" w:cs="Times New Roman"/>
          <w:sz w:val="24"/>
          <w:szCs w:val="24"/>
          <w:shd w:val="clear" w:color="auto" w:fill="FFFFFF"/>
        </w:rPr>
        <w:t xml:space="preserve">Viviendas de Protección Oficial: </w:t>
      </w:r>
      <w:r w:rsidRPr="003E455D">
        <w:rPr>
          <w:rFonts w:ascii="Times New Roman" w:hAnsi="Times New Roman" w:cs="Times New Roman"/>
          <w:sz w:val="24"/>
          <w:szCs w:val="24"/>
          <w:shd w:val="clear" w:color="auto" w:fill="FFFFFF"/>
        </w:rPr>
        <w:t>Los expertos también abogan por aumentar la inversión en viviendas de protección oficial y social, con el objetivo de alcanzar los estándares europeos. “En España, solo alrededor del 2% de las viviendas son de protección oficial, una cifra alarmantemente baja”, dice Unsain. El gobierno debe invertir más en la construcción de vivienda de protección oficial para evitar la especulación.</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Colaboración Público-Privada: </w:t>
      </w:r>
      <w:r w:rsidRPr="003E455D">
        <w:rPr>
          <w:rFonts w:ascii="Times New Roman" w:hAnsi="Times New Roman" w:cs="Times New Roman"/>
          <w:sz w:val="24"/>
          <w:szCs w:val="24"/>
          <w:shd w:val="clear" w:color="auto" w:fill="FFFFFF"/>
        </w:rPr>
        <w:t>La colaboración público-privada es esencial para la promoción del alquiler social y el desarrollo de viviendas asequibles. Esta colaboración puede incluir la cesión de suelo público y la concesión de avales para proyectos de vivienda social. Según Jesús Duque, es fundamental fomentar la rehabilitación de viviendas vacías o en mal estado, ofreciendo incentivos económicos y apoyo técnico para mejorar su accesibilidad y eficiencia energética.</w:t>
      </w:r>
    </w:p>
    <w:p w:rsidR="00043F6A"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Cambio</w:t>
      </w:r>
      <w:r>
        <w:rPr>
          <w:rFonts w:ascii="Times New Roman" w:hAnsi="Times New Roman" w:cs="Times New Roman"/>
          <w:sz w:val="24"/>
          <w:szCs w:val="24"/>
          <w:shd w:val="clear" w:color="auto" w:fill="FFFFFF"/>
        </w:rPr>
        <w:t xml:space="preserve"> de Uso de Comercial a Vivienda: </w:t>
      </w:r>
      <w:r w:rsidRPr="003E455D">
        <w:rPr>
          <w:rFonts w:ascii="Times New Roman" w:hAnsi="Times New Roman" w:cs="Times New Roman"/>
          <w:sz w:val="24"/>
          <w:szCs w:val="24"/>
          <w:shd w:val="clear" w:color="auto" w:fill="FFFFFF"/>
        </w:rPr>
        <w:t>Para aumentar el stock de viviendas, se podrían establecer medidas para facilitar el cambio de uso de locales comerciales y edificios de oficinas obsoletos a viviendas, especialmente en las grandes ciudades. Esta acción generaría un importante incremento en el suministro de viviendas.</w:t>
      </w:r>
    </w:p>
    <w:p w:rsidR="00043F6A"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 xml:space="preserve">Se lleva señalando durante años el problema, pero hasta la fecha nadie ha querido atajarlo. El mercado inmobiliario español presenta una escasez de vivienda histórica. Un </w:t>
      </w:r>
      <w:r>
        <w:rPr>
          <w:rFonts w:ascii="Times New Roman" w:hAnsi="Times New Roman" w:cs="Times New Roman"/>
          <w:sz w:val="24"/>
          <w:szCs w:val="24"/>
          <w:shd w:val="clear" w:color="auto" w:fill="FFFFFF"/>
        </w:rPr>
        <w:t>dato publicado a mediados de enero (2025)</w:t>
      </w:r>
      <w:r w:rsidRPr="003E455D">
        <w:rPr>
          <w:rFonts w:ascii="Times New Roman" w:hAnsi="Times New Roman" w:cs="Times New Roman"/>
          <w:sz w:val="24"/>
          <w:szCs w:val="24"/>
          <w:shd w:val="clear" w:color="auto" w:fill="FFFFFF"/>
        </w:rPr>
        <w:t xml:space="preserve"> da la mejor magnitud de lo que está ocurriendo. La oferta de viviendas en venta se ha reducido un 15% durante el último trimestre de 2024, en comparación con el mismo trimestre de 2023, según un estudio publicado por Idealista. Se trata de la mayor caída interanual jamás registrada desde que idealista publica los datos. Los detalles del informe son demoledores: todas las capitales tienen ahora menos viviendas en venta que hace un año, con la excepción de Girona, donde hay un 5% más. La mayor caída se ha producido en Zaragoza, con un desplome de la oferta que ha</w:t>
      </w:r>
      <w:r>
        <w:rPr>
          <w:rFonts w:ascii="Times New Roman" w:hAnsi="Times New Roman" w:cs="Times New Roman"/>
          <w:sz w:val="24"/>
          <w:szCs w:val="24"/>
          <w:shd w:val="clear" w:color="auto" w:fill="FFFFFF"/>
        </w:rPr>
        <w:t xml:space="preserve"> llegado a un espectacular 40%.</w:t>
      </w:r>
    </w:p>
    <w:p w:rsidR="00043F6A" w:rsidRDefault="00043F6A" w:rsidP="00043F6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4748AF77" wp14:editId="4A804451">
            <wp:extent cx="5727699" cy="2908300"/>
            <wp:effectExtent l="0" t="0" r="6985" b="6350"/>
            <wp:docPr id="201" name="Imagen 201" descr="https://s03.s3c.es/imag/_v0/2310x1500/3/c/2/770x_vivienda-desajus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03.s3c.es/imag/_v0/2310x1500/3/c/2/770x_vivienda-desajuste.gif"/>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731510" cy="2910235"/>
                    </a:xfrm>
                    <a:prstGeom prst="rect">
                      <a:avLst/>
                    </a:prstGeom>
                    <a:noFill/>
                    <a:ln>
                      <a:noFill/>
                    </a:ln>
                  </pic:spPr>
                </pic:pic>
              </a:graphicData>
            </a:graphic>
          </wp:inline>
        </w:drawing>
      </w:r>
    </w:p>
    <w:p w:rsidR="00043F6A"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(Fuente: El Economista - </w:t>
      </w:r>
      <w:r w:rsidRPr="002B2CF6">
        <w:rPr>
          <w:rFonts w:ascii="Times New Roman" w:hAnsi="Times New Roman" w:cs="Times New Roman"/>
          <w:b/>
          <w:sz w:val="24"/>
          <w:szCs w:val="24"/>
          <w:shd w:val="clear" w:color="auto" w:fill="FFFFFF"/>
        </w:rPr>
        <w:t>22/1/25</w:t>
      </w:r>
      <w:r>
        <w:rPr>
          <w:rFonts w:ascii="Times New Roman" w:hAnsi="Times New Roman" w:cs="Times New Roman"/>
          <w:sz w:val="24"/>
          <w:szCs w:val="24"/>
          <w:shd w:val="clear" w:color="auto" w:fill="FFFFFF"/>
        </w:rPr>
        <w:t>)</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lastRenderedPageBreak/>
        <w:t>Esto provoca que los compradores sufran de cierta ansiedad. Si no compran hoy, mañana puede ser peor, sobre todo en lo que se refiere a obra nueva, que presenta u</w:t>
      </w:r>
      <w:r>
        <w:rPr>
          <w:rFonts w:ascii="Times New Roman" w:hAnsi="Times New Roman" w:cs="Times New Roman"/>
          <w:sz w:val="24"/>
          <w:szCs w:val="24"/>
          <w:shd w:val="clear" w:color="auto" w:fill="FFFFFF"/>
        </w:rPr>
        <w:t>na demanda relativa aún mayor. “</w:t>
      </w:r>
      <w:r w:rsidRPr="003E455D">
        <w:rPr>
          <w:rFonts w:ascii="Times New Roman" w:hAnsi="Times New Roman" w:cs="Times New Roman"/>
          <w:sz w:val="24"/>
          <w:szCs w:val="24"/>
          <w:shd w:val="clear" w:color="auto" w:fill="FFFFFF"/>
        </w:rPr>
        <w:t xml:space="preserve">La vivienda de nueva construcción está atravesando un gran auge de demanda, al ser la tipología más requerida por los compradores. Sin embargo, la producción de la vivienda de obra nueva es insuficiente para satisfacer la demanda. Las dificultades a las que se enfrentan los promotores y constructores inmobiliarios como la falta y el precio del suelo, la normativa urbanística, la excesiva burocracia y lentitud de los trámites, el reciente aumento del coste de los materiales o la falta de mano de obra hacen que llevemos más de 15 años </w:t>
      </w:r>
      <w:r>
        <w:rPr>
          <w:rFonts w:ascii="Times New Roman" w:hAnsi="Times New Roman" w:cs="Times New Roman"/>
          <w:sz w:val="24"/>
          <w:szCs w:val="24"/>
          <w:shd w:val="clear" w:color="auto" w:fill="FFFFFF"/>
        </w:rPr>
        <w:t>infra produciendo viviendas”</w:t>
      </w:r>
      <w:r w:rsidRPr="003E455D">
        <w:rPr>
          <w:rFonts w:ascii="Times New Roman" w:hAnsi="Times New Roman" w:cs="Times New Roman"/>
          <w:sz w:val="24"/>
          <w:szCs w:val="24"/>
          <w:shd w:val="clear" w:color="auto" w:fill="FFFFFF"/>
        </w:rPr>
        <w:t>, comenta María Matos, directora de Estudios y portavoz de Fotocasa. Los compradores aceleran para adquirir su vivienda porque cada vez cuesta más comprar una casa. Ahora mismo, solo el 39% de los compradores de primera mano logra hacerse con una vivienda en menos de cuatro meses. El otro 61% tarda más tiempo ante la dificultad para encontrar el inmueble adecuado, según el últim</w:t>
      </w:r>
      <w:r>
        <w:rPr>
          <w:rFonts w:ascii="Times New Roman" w:hAnsi="Times New Roman" w:cs="Times New Roman"/>
          <w:sz w:val="24"/>
          <w:szCs w:val="24"/>
          <w:shd w:val="clear" w:color="auto" w:fill="FFFFFF"/>
        </w:rPr>
        <w:t>o informe de Fotocasa Research.</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En España no se construye</w:t>
      </w:r>
    </w:p>
    <w:p w:rsidR="00043F6A"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 xml:space="preserve">La clave está en la nueva construcción y en España apenas se construye. Mientras que la mayor parte de los países desarrollados levantan de media unas cuatro viviendas por cada 1.000 habitantes al año (tal y como señalaba la Comisión Europea en un informe reciente), en España este ratio ha sido de alrededor </w:t>
      </w:r>
      <w:r>
        <w:rPr>
          <w:rFonts w:ascii="Times New Roman" w:hAnsi="Times New Roman" w:cs="Times New Roman"/>
          <w:sz w:val="24"/>
          <w:szCs w:val="24"/>
          <w:shd w:val="clear" w:color="auto" w:fill="FFFFFF"/>
        </w:rPr>
        <w:t>de dos en los últimos 15 años. “</w:t>
      </w:r>
      <w:r w:rsidRPr="003E455D">
        <w:rPr>
          <w:rFonts w:ascii="Times New Roman" w:hAnsi="Times New Roman" w:cs="Times New Roman"/>
          <w:sz w:val="24"/>
          <w:szCs w:val="24"/>
          <w:shd w:val="clear" w:color="auto" w:fill="FFFFFF"/>
        </w:rPr>
        <w:t>No se está construyendo suficientes viviendas, principalmente debido a la limitada disponibilidad de suelo finalista (resultado de regulaciones estrictas), los largos plazos de tramitación provocados por ineficiencias regulato</w:t>
      </w:r>
      <w:r>
        <w:rPr>
          <w:rFonts w:ascii="Times New Roman" w:hAnsi="Times New Roman" w:cs="Times New Roman"/>
          <w:sz w:val="24"/>
          <w:szCs w:val="24"/>
          <w:shd w:val="clear" w:color="auto" w:fill="FFFFFF"/>
        </w:rPr>
        <w:t>rias y la falta de financiación”</w:t>
      </w:r>
      <w:r w:rsidRPr="003E455D">
        <w:rPr>
          <w:rFonts w:ascii="Times New Roman" w:hAnsi="Times New Roman" w:cs="Times New Roman"/>
          <w:sz w:val="24"/>
          <w:szCs w:val="24"/>
          <w:shd w:val="clear" w:color="auto" w:fill="FFFFFF"/>
        </w:rPr>
        <w:t>, señalan los economistas de Arcano Research en un denso informe sobre el e</w:t>
      </w:r>
      <w:r>
        <w:rPr>
          <w:rFonts w:ascii="Times New Roman" w:hAnsi="Times New Roman" w:cs="Times New Roman"/>
          <w:sz w:val="24"/>
          <w:szCs w:val="24"/>
          <w:shd w:val="clear" w:color="auto" w:fill="FFFFFF"/>
        </w:rPr>
        <w:t>stado del inmobiliario español.</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3FD0A0A3" wp14:editId="41AF6AA7">
            <wp:extent cx="5730532" cy="3879850"/>
            <wp:effectExtent l="0" t="0" r="3810" b="6350"/>
            <wp:docPr id="266" name="Imagen 266" descr="https://s03.s3c.es/imag/_v0/2310x1500/1/c/9/770x_vivienda-europa-escase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03.s3c.es/imag/_v0/2310x1500/1/c/9/770x_vivienda-europa-escasez.gif"/>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5731510" cy="3880512"/>
                    </a:xfrm>
                    <a:prstGeom prst="rect">
                      <a:avLst/>
                    </a:prstGeom>
                    <a:noFill/>
                    <a:ln>
                      <a:noFill/>
                    </a:ln>
                  </pic:spPr>
                </pic:pic>
              </a:graphicData>
            </a:graphic>
          </wp:inline>
        </w:drawing>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Como señalan desde Arcano en un nuevo in</w:t>
      </w:r>
      <w:r>
        <w:rPr>
          <w:rFonts w:ascii="Times New Roman" w:hAnsi="Times New Roman" w:cs="Times New Roman"/>
          <w:sz w:val="24"/>
          <w:szCs w:val="24"/>
          <w:shd w:val="clear" w:color="auto" w:fill="FFFFFF"/>
        </w:rPr>
        <w:t>forme exclusivo para clientes, “</w:t>
      </w:r>
      <w:r w:rsidRPr="003E455D">
        <w:rPr>
          <w:rFonts w:ascii="Times New Roman" w:hAnsi="Times New Roman" w:cs="Times New Roman"/>
          <w:sz w:val="24"/>
          <w:szCs w:val="24"/>
          <w:shd w:val="clear" w:color="auto" w:fill="FFFFFF"/>
        </w:rPr>
        <w:t xml:space="preserve">cualquier propuesta que no esté destinada a atajar la escasez de oferta será ineficaz para solucionar la </w:t>
      </w:r>
      <w:r w:rsidRPr="003E455D">
        <w:rPr>
          <w:rFonts w:ascii="Times New Roman" w:hAnsi="Times New Roman" w:cs="Times New Roman"/>
          <w:sz w:val="24"/>
          <w:szCs w:val="24"/>
          <w:shd w:val="clear" w:color="auto" w:fill="FFFFFF"/>
        </w:rPr>
        <w:lastRenderedPageBreak/>
        <w:t>crisis de vivienda. En cualquier sector, la oferta se incrementa creando las condiciones que faciliten la actividad de los proveedores. En el sector de la vivienda, los proveedores son principalmente los promotores</w:t>
      </w:r>
      <w:r>
        <w:rPr>
          <w:rFonts w:ascii="Times New Roman" w:hAnsi="Times New Roman" w:cs="Times New Roman"/>
          <w:sz w:val="24"/>
          <w:szCs w:val="24"/>
          <w:shd w:val="clear" w:color="auto" w:fill="FFFFFF"/>
        </w:rPr>
        <w:t xml:space="preserve"> inmobiliarios y los inversores”</w:t>
      </w:r>
      <w:r w:rsidRPr="003E455D">
        <w:rPr>
          <w:rFonts w:ascii="Times New Roman" w:hAnsi="Times New Roman" w:cs="Times New Roman"/>
          <w:sz w:val="24"/>
          <w:szCs w:val="24"/>
          <w:shd w:val="clear" w:color="auto" w:fill="FFFFFF"/>
        </w:rPr>
        <w:t>, señalan estos expertos. De modo que para solucionar el problema se necesita que estos agentes tengan los incentivos adecuados para comenzar a construir vivienda en mayores cantidades. ¿Cuál es ese incentivo? Pues el mismo incentivo que mueve a otros sectores o agentes: la rentabilidad. El capital se mueve en busca de los sectores donde hay mayor rentabilidad en el menor espacio de tiempo. Hoy, pese al auge de precios, el inmobiliario es un sector tedioso (exceso de burocracia y trabas), que requiere una inversión inicial elevada (con costes crecientes)</w:t>
      </w:r>
      <w:r>
        <w:rPr>
          <w:rFonts w:ascii="Times New Roman" w:hAnsi="Times New Roman" w:cs="Times New Roman"/>
          <w:sz w:val="24"/>
          <w:szCs w:val="24"/>
          <w:shd w:val="clear" w:color="auto" w:fill="FFFFFF"/>
        </w:rPr>
        <w:t xml:space="preserve"> que lleva tiempo rentabilizar.</w:t>
      </w:r>
    </w:p>
    <w:p w:rsidR="00043F6A"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No se construye suficiente.</w:t>
      </w:r>
    </w:p>
    <w:p w:rsidR="00043F6A"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Pero aun así, los expertos de la firma creen que para aliviar algo la situación en el corto plazo se necesitan algunas medidas más aud</w:t>
      </w:r>
      <w:r>
        <w:rPr>
          <w:rFonts w:ascii="Times New Roman" w:hAnsi="Times New Roman" w:cs="Times New Roman"/>
          <w:sz w:val="24"/>
          <w:szCs w:val="24"/>
          <w:shd w:val="clear" w:color="auto" w:fill="FFFFFF"/>
        </w:rPr>
        <w:t>aces (a la par que polémicas): “</w:t>
      </w:r>
      <w:r w:rsidRPr="003E455D">
        <w:rPr>
          <w:rFonts w:ascii="Times New Roman" w:hAnsi="Times New Roman" w:cs="Times New Roman"/>
          <w:sz w:val="24"/>
          <w:szCs w:val="24"/>
          <w:shd w:val="clear" w:color="auto" w:fill="FFFFFF"/>
        </w:rPr>
        <w:t>Medidas directas que permitan aumentar la altura de los edificios o introducir la fragment</w:t>
      </w:r>
      <w:r>
        <w:rPr>
          <w:rFonts w:ascii="Times New Roman" w:hAnsi="Times New Roman" w:cs="Times New Roman"/>
          <w:sz w:val="24"/>
          <w:szCs w:val="24"/>
          <w:shd w:val="clear" w:color="auto" w:fill="FFFFFF"/>
        </w:rPr>
        <w:t>ación de viviendas, entre otras”</w:t>
      </w:r>
      <w:r w:rsidRPr="003E455D">
        <w:rPr>
          <w:rFonts w:ascii="Times New Roman" w:hAnsi="Times New Roman" w:cs="Times New Roman"/>
          <w:sz w:val="24"/>
          <w:szCs w:val="24"/>
          <w:shd w:val="clear" w:color="auto" w:fill="FFFFFF"/>
        </w:rPr>
        <w:t>.</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Medidas que no resolverán el problema</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Marcelo Siqueira, jefe de operaciones e Bayteca, explica que el reciente anuncio del presidente del Gobierno español, Pedro Sánchez, sobre un p</w:t>
      </w:r>
      <w:r>
        <w:rPr>
          <w:rFonts w:ascii="Times New Roman" w:hAnsi="Times New Roman" w:cs="Times New Roman"/>
          <w:sz w:val="24"/>
          <w:szCs w:val="24"/>
          <w:shd w:val="clear" w:color="auto" w:fill="FFFFFF"/>
        </w:rPr>
        <w:t>osible aumento de impuestos de “</w:t>
      </w:r>
      <w:r w:rsidRPr="003E455D">
        <w:rPr>
          <w:rFonts w:ascii="Times New Roman" w:hAnsi="Times New Roman" w:cs="Times New Roman"/>
          <w:sz w:val="24"/>
          <w:szCs w:val="24"/>
          <w:shd w:val="clear" w:color="auto" w:fill="FFFFFF"/>
        </w:rPr>
        <w:t>hasta el</w:t>
      </w:r>
      <w:r>
        <w:rPr>
          <w:rFonts w:ascii="Times New Roman" w:hAnsi="Times New Roman" w:cs="Times New Roman"/>
          <w:sz w:val="24"/>
          <w:szCs w:val="24"/>
          <w:shd w:val="clear" w:color="auto" w:fill="FFFFFF"/>
        </w:rPr>
        <w:t xml:space="preserve"> 100% del valor de la propiedad”</w:t>
      </w:r>
      <w:r w:rsidRPr="003E455D">
        <w:rPr>
          <w:rFonts w:ascii="Times New Roman" w:hAnsi="Times New Roman" w:cs="Times New Roman"/>
          <w:sz w:val="24"/>
          <w:szCs w:val="24"/>
          <w:shd w:val="clear" w:color="auto" w:fill="FFFFFF"/>
        </w:rPr>
        <w:t xml:space="preserve"> para compras de inmuebles por parte de compradores no pertenecientes a la UE ha encendido las alarmas en el mercado inmobiliario esp</w:t>
      </w:r>
      <w:r>
        <w:rPr>
          <w:rFonts w:ascii="Times New Roman" w:hAnsi="Times New Roman" w:cs="Times New Roman"/>
          <w:sz w:val="24"/>
          <w:szCs w:val="24"/>
          <w:shd w:val="clear" w:color="auto" w:fill="FFFFFF"/>
        </w:rPr>
        <w:t>añol. Desde Bayteca creen que, “</w:t>
      </w:r>
      <w:r w:rsidRPr="003E455D">
        <w:rPr>
          <w:rFonts w:ascii="Times New Roman" w:hAnsi="Times New Roman" w:cs="Times New Roman"/>
          <w:sz w:val="24"/>
          <w:szCs w:val="24"/>
          <w:shd w:val="clear" w:color="auto" w:fill="FFFFFF"/>
        </w:rPr>
        <w:t>irónicamente, esto podría generar un aumento a corto plazo en el interés de residentes no pertenecientes a la UE que estaban considerando comprar en España y que ahora buscarían evitar un posible aumento de impuestos. Ya observamos un aumento de actividad en el mercado cuando se anunció que se eliminaría el programa de la Golden Visa española, por lo que no sería una sorpresa ver algo similar en es</w:t>
      </w:r>
      <w:r>
        <w:rPr>
          <w:rFonts w:ascii="Times New Roman" w:hAnsi="Times New Roman" w:cs="Times New Roman"/>
          <w:sz w:val="24"/>
          <w:szCs w:val="24"/>
          <w:shd w:val="clear" w:color="auto" w:fill="FFFFFF"/>
        </w:rPr>
        <w:t>te caso, por supuesto”</w:t>
      </w:r>
      <w:r w:rsidRPr="003E455D">
        <w:rPr>
          <w:rFonts w:ascii="Times New Roman" w:hAnsi="Times New Roman" w:cs="Times New Roman"/>
          <w:sz w:val="24"/>
          <w:szCs w:val="24"/>
          <w:shd w:val="clear" w:color="auto" w:fill="FFFFFF"/>
        </w:rPr>
        <w:t>, señalan, por lo que el problema de escasez podr</w:t>
      </w:r>
      <w:r>
        <w:rPr>
          <w:rFonts w:ascii="Times New Roman" w:hAnsi="Times New Roman" w:cs="Times New Roman"/>
          <w:sz w:val="24"/>
          <w:szCs w:val="24"/>
          <w:shd w:val="clear" w:color="auto" w:fill="FFFFFF"/>
        </w:rPr>
        <w:t>ía agravarse en el corto plazo.</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Ninguna de las medidas que propone el Gobierno va a ser la solución al cada vez más grave problema de la vivienda. Una de las medidas más anunciadas fue la transferencia de 13.000 viviendas de la Sareb a una empresa pública. Los expertos creen que esta medida no tendrá prácticamente ningún impacto, puesto que el déficit de viviendas</w:t>
      </w:r>
      <w:r>
        <w:rPr>
          <w:rFonts w:ascii="Times New Roman" w:hAnsi="Times New Roman" w:cs="Times New Roman"/>
          <w:sz w:val="24"/>
          <w:szCs w:val="24"/>
          <w:shd w:val="clear" w:color="auto" w:fill="FFFFFF"/>
        </w:rPr>
        <w:t xml:space="preserve"> supera el medio millón al año.</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Por otro lado, Sánchez anunció que se construirían unos 2 millones de metros cuadrados para intentar incrementar la oferta y la vivienda social. A primera vista, esta rimbo</w:t>
      </w:r>
      <w:r>
        <w:rPr>
          <w:rFonts w:ascii="Times New Roman" w:hAnsi="Times New Roman" w:cs="Times New Roman"/>
          <w:sz w:val="24"/>
          <w:szCs w:val="24"/>
          <w:shd w:val="clear" w:color="auto" w:fill="FFFFFF"/>
        </w:rPr>
        <w:t>mbante cifra podría parecer un “game changer”</w:t>
      </w:r>
      <w:r w:rsidRPr="003E455D">
        <w:rPr>
          <w:rFonts w:ascii="Times New Roman" w:hAnsi="Times New Roman" w:cs="Times New Roman"/>
          <w:sz w:val="24"/>
          <w:szCs w:val="24"/>
          <w:shd w:val="clear" w:color="auto" w:fill="FFFFFF"/>
        </w:rPr>
        <w:t xml:space="preserve"> para el mercado inmobiliario. Pero teniendo en cuenta que la Operación Chamartín supera con creces los 2 millones de metros cuadrados y solo se levantarán 10.500 viviendas, la realidad es que el impacto será también mínimo en caso de que finalmente se levanten esas viviendas.</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También está la subida de impuestos para la compra de vivienda por parte de extranjeros. En este caso, los analistas de Arcano Research explican que buena parte de esta demanda impactará en</w:t>
      </w:r>
      <w:r>
        <w:rPr>
          <w:rFonts w:ascii="Times New Roman" w:hAnsi="Times New Roman" w:cs="Times New Roman"/>
          <w:sz w:val="24"/>
          <w:szCs w:val="24"/>
          <w:shd w:val="clear" w:color="auto" w:fill="FFFFFF"/>
        </w:rPr>
        <w:t xml:space="preserve"> zonas vacacionales y en zonas “prime”</w:t>
      </w:r>
      <w:r w:rsidRPr="003E455D">
        <w:rPr>
          <w:rFonts w:ascii="Times New Roman" w:hAnsi="Times New Roman" w:cs="Times New Roman"/>
          <w:sz w:val="24"/>
          <w:szCs w:val="24"/>
          <w:shd w:val="clear" w:color="auto" w:fill="FFFFFF"/>
        </w:rPr>
        <w:t xml:space="preserve"> de la costa, por lo que no resolverá el problema de la vivienda en ciudades como Madr</w:t>
      </w:r>
      <w:r>
        <w:rPr>
          <w:rFonts w:ascii="Times New Roman" w:hAnsi="Times New Roman" w:cs="Times New Roman"/>
          <w:sz w:val="24"/>
          <w:szCs w:val="24"/>
          <w:shd w:val="clear" w:color="auto" w:fill="FFFFFF"/>
        </w:rPr>
        <w:t>id, Barcelona o Sevilla.</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Tampoco lo hará la deducción del 100% del impuesto de la renta para personas físicas arrendadoras que alquilen su vivienda, según el Ín</w:t>
      </w:r>
      <w:r>
        <w:rPr>
          <w:rFonts w:ascii="Times New Roman" w:hAnsi="Times New Roman" w:cs="Times New Roman"/>
          <w:sz w:val="24"/>
          <w:szCs w:val="24"/>
          <w:shd w:val="clear" w:color="auto" w:fill="FFFFFF"/>
        </w:rPr>
        <w:t>dice de Precios de Referencia. “</w:t>
      </w:r>
      <w:r w:rsidRPr="003E455D">
        <w:rPr>
          <w:rFonts w:ascii="Times New Roman" w:hAnsi="Times New Roman" w:cs="Times New Roman"/>
          <w:sz w:val="24"/>
          <w:szCs w:val="24"/>
          <w:shd w:val="clear" w:color="auto" w:fill="FFFFFF"/>
        </w:rPr>
        <w:t xml:space="preserve">La principal consideración que se debe tener en cuenta es si la ventaja fiscal compensa la </w:t>
      </w:r>
      <w:r w:rsidRPr="003E455D">
        <w:rPr>
          <w:rFonts w:ascii="Times New Roman" w:hAnsi="Times New Roman" w:cs="Times New Roman"/>
          <w:sz w:val="24"/>
          <w:szCs w:val="24"/>
          <w:shd w:val="clear" w:color="auto" w:fill="FFFFFF"/>
        </w:rPr>
        <w:lastRenderedPageBreak/>
        <w:t>diferencia entre el precio de mercado y el fijado por el Gobierno, lo cual es una cuestión muy local. Además, muchos propietarios son reacios a poner en el mercado sus propiedades debido a la inseguridad jurídica y a los vaivene</w:t>
      </w:r>
      <w:r>
        <w:rPr>
          <w:rFonts w:ascii="Times New Roman" w:hAnsi="Times New Roman" w:cs="Times New Roman"/>
          <w:sz w:val="24"/>
          <w:szCs w:val="24"/>
          <w:shd w:val="clear" w:color="auto" w:fill="FFFFFF"/>
        </w:rPr>
        <w:t>s de las políticas de alquiler”, sentencian desde Arcano.</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Entre las medidas anunciadas, también ha llamado la atención el anuncio de ventajas fiscales para socimis (Sociedades Anónimas Cotizadas de Inversión Inmobiliarias) que hagan promoción de vivienda asequible. El Ejecutivo quiere cambiar el régimen de ventajas fiscales de estos vehículos de inversión para que sólo se aplique a las sociedades que gestionen alquiler asequible. Sin embargo, señalan desde Arcano, la mayoría de las socimis no se dedican al segmento residencial, sino al de oficinas o centros comerciales, como es el caso de las dos más conocidas en España y cotizadas del Ibex 35: Merlin Properties y Colonial. Según cálculos de la firma de análisis con datos de Armanext, los activos de las socimis dedicadas al sector residencial en España, que ascienden a casi 7.000 millones, darían para solo 35.000 casas, teniendo en cuenta que el precio medio es de unos 200.000 euros. Una cifra pírrica para el teórico déficit de 600.000 viviendas que ha estim</w:t>
      </w:r>
      <w:r>
        <w:rPr>
          <w:rFonts w:ascii="Times New Roman" w:hAnsi="Times New Roman" w:cs="Times New Roman"/>
          <w:sz w:val="24"/>
          <w:szCs w:val="24"/>
          <w:shd w:val="clear" w:color="auto" w:fill="FFFFFF"/>
        </w:rPr>
        <w:t>ado el Banco de España.</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Otra disposición avanzada por el gabinete de Sánchez promete garantías estatales para los propietarios que alquilen a menores de 35 años. El sistema de garantías públicas, previsto para entrar en funcionamiento este año, tiene como objetivo facilitar el acceso al alquiler para jóvenes menores de 35 años, asegurando a los propietarios el cobro de la renta y fomentando precios asequibles para los inquilinos. La iniciativa española se basa en el programa Garantie Visale, vigente en Francia desde 2016. Los analistas de Arcano reseñan el éxito de la medida en Francia, pero advierten de qu</w:t>
      </w:r>
      <w:r>
        <w:rPr>
          <w:rFonts w:ascii="Times New Roman" w:hAnsi="Times New Roman" w:cs="Times New Roman"/>
          <w:sz w:val="24"/>
          <w:szCs w:val="24"/>
          <w:shd w:val="clear" w:color="auto" w:fill="FFFFFF"/>
        </w:rPr>
        <w:t>e en España juega en contra la “imprevisible y errática”</w:t>
      </w:r>
      <w:r w:rsidRPr="003E455D">
        <w:rPr>
          <w:rFonts w:ascii="Times New Roman" w:hAnsi="Times New Roman" w:cs="Times New Roman"/>
          <w:sz w:val="24"/>
          <w:szCs w:val="24"/>
          <w:shd w:val="clear" w:color="auto" w:fill="FFFFFF"/>
        </w:rPr>
        <w:t xml:space="preserve"> normativa gubernamental solo</w:t>
      </w:r>
      <w:r>
        <w:rPr>
          <w:rFonts w:ascii="Times New Roman" w:hAnsi="Times New Roman" w:cs="Times New Roman"/>
          <w:sz w:val="24"/>
          <w:szCs w:val="24"/>
          <w:shd w:val="clear" w:color="auto" w:fill="FFFFFF"/>
        </w:rPr>
        <w:t xml:space="preserve"> alquileres y riesgo de impago.</w:t>
      </w:r>
    </w:p>
    <w:p w:rsidR="00043F6A" w:rsidRPr="003E455D"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Respecto a los cambios en la fiscalidad de los alojamientos turísticos, que pasan a tener la consideración de actividad económica y tributarán como tal (incluyendo la aplicación del IVA en zonas tensionadas o con saturación turística), en Arcano creen que poner más impuestos no desincentivará esta actividad si sigue dando más rentabilidad al propietario que no llevarla a cabo. Del mismo modo, ese propietario tendría pocos alicientes para reconvertir esa vivienda a un uso tradicional si persiste la sen</w:t>
      </w:r>
      <w:r>
        <w:rPr>
          <w:rFonts w:ascii="Times New Roman" w:hAnsi="Times New Roman" w:cs="Times New Roman"/>
          <w:sz w:val="24"/>
          <w:szCs w:val="24"/>
          <w:shd w:val="clear" w:color="auto" w:fill="FFFFFF"/>
        </w:rPr>
        <w:t>sación de inseguridad jurídica.</w:t>
      </w:r>
    </w:p>
    <w:p w:rsidR="00043F6A" w:rsidRDefault="00043F6A" w:rsidP="00043F6A">
      <w:pPr>
        <w:spacing w:line="240" w:lineRule="auto"/>
        <w:jc w:val="both"/>
        <w:rPr>
          <w:rFonts w:ascii="Times New Roman" w:hAnsi="Times New Roman" w:cs="Times New Roman"/>
          <w:sz w:val="24"/>
          <w:szCs w:val="24"/>
          <w:shd w:val="clear" w:color="auto" w:fill="FFFFFF"/>
        </w:rPr>
      </w:pPr>
      <w:r w:rsidRPr="003E455D">
        <w:rPr>
          <w:rFonts w:ascii="Times New Roman" w:hAnsi="Times New Roman" w:cs="Times New Roman"/>
          <w:sz w:val="24"/>
          <w:szCs w:val="24"/>
          <w:shd w:val="clear" w:color="auto" w:fill="FFFFFF"/>
        </w:rPr>
        <w:t>La crisis de vivienda en España sigue su curso, impulsada por un desequilibrio estructural entre la oferta y la demanda que las políticas actuales no logran corregir. A pesar de los anuncios gubernamentales y las medidas propuestas, como la construcción de viviendas sociales, las ventajas fiscales para alquileres asequibles y la transferencia de activos de la Sareb, los expertos coinciden en que estas iniciativas no atacan la raíz del problema: la insuficiente construcción de nuevas viviendas. Con un déficit estimado de 600.000 unidades al año, las intervenciones actuales no alcanzan, ni de lejos, a paliar la creciente escasez que alimenta el aumento de precios. La consecuencia: una vivienda cada vez más cara e inaccesible para aquellos que no tienen inmuebles en propiedad.</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A612F5">
        <w:rPr>
          <w:rFonts w:ascii="Times New Roman" w:hAnsi="Times New Roman" w:cs="Times New Roman"/>
          <w:b/>
          <w:color w:val="FF0000"/>
          <w:sz w:val="24"/>
          <w:szCs w:val="24"/>
          <w:shd w:val="clear" w:color="auto" w:fill="FFFFFF"/>
        </w:rPr>
        <w:t>Nota</w:t>
      </w:r>
      <w:r w:rsidRPr="00A612F5">
        <w:rPr>
          <w:rFonts w:ascii="Times New Roman" w:hAnsi="Times New Roman" w:cs="Times New Roman"/>
          <w:color w:val="FF0000"/>
          <w:sz w:val="24"/>
          <w:szCs w:val="24"/>
          <w:shd w:val="clear" w:color="auto" w:fill="FFFFFF"/>
        </w:rPr>
        <w:t>: Para aumentar la oferta de viviendas en alquiler mi propuesta es desgravar en su totalidad (100%) las inversiones en propiedades para alquilar, y la renta del alquiler. El mismo criterio (desgravación del 100%) se puede extender a la construcción de edificios d</w:t>
      </w:r>
      <w:r>
        <w:rPr>
          <w:rFonts w:ascii="Times New Roman" w:hAnsi="Times New Roman" w:cs="Times New Roman"/>
          <w:color w:val="FF0000"/>
          <w:sz w:val="24"/>
          <w:szCs w:val="24"/>
          <w:shd w:val="clear" w:color="auto" w:fill="FFFFFF"/>
        </w:rPr>
        <w:t>e precio tasado</w:t>
      </w:r>
      <w:r w:rsidRPr="00A612F5">
        <w:rPr>
          <w:rFonts w:ascii="Times New Roman" w:hAnsi="Times New Roman" w:cs="Times New Roman"/>
          <w:color w:val="FF0000"/>
          <w:sz w:val="24"/>
          <w:szCs w:val="24"/>
          <w:shd w:val="clear" w:color="auto" w:fill="FFFFFF"/>
        </w:rPr>
        <w:t xml:space="preserve"> para venta o alquiler, hasta que se alcance un equilibrio razonable entre la oferta y demanda (se puede establecer una escala temporal descendente - tiempo/porcentaje). </w:t>
      </w:r>
    </w:p>
    <w:p w:rsidR="007051FB" w:rsidRDefault="007051FB" w:rsidP="00043F6A">
      <w:pPr>
        <w:spacing w:line="240" w:lineRule="auto"/>
        <w:jc w:val="both"/>
        <w:rPr>
          <w:rFonts w:ascii="Times New Roman" w:hAnsi="Times New Roman" w:cs="Times New Roman"/>
          <w:color w:val="FF0000"/>
          <w:sz w:val="24"/>
          <w:szCs w:val="24"/>
          <w:shd w:val="clear" w:color="auto" w:fill="FFFFFF"/>
        </w:rPr>
      </w:pPr>
    </w:p>
    <w:p w:rsidR="007051FB" w:rsidRDefault="007051FB" w:rsidP="00043F6A">
      <w:pPr>
        <w:spacing w:line="240" w:lineRule="auto"/>
        <w:jc w:val="both"/>
        <w:rPr>
          <w:rFonts w:ascii="Times New Roman" w:hAnsi="Times New Roman" w:cs="Times New Roman"/>
          <w:color w:val="FF0000"/>
          <w:sz w:val="24"/>
          <w:szCs w:val="24"/>
          <w:shd w:val="clear" w:color="auto" w:fill="FFFFFF"/>
        </w:rPr>
      </w:pP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D7606D">
        <w:rPr>
          <w:rFonts w:ascii="Times New Roman" w:hAnsi="Times New Roman" w:cs="Times New Roman"/>
          <w:b/>
          <w:color w:val="FF0000"/>
          <w:sz w:val="24"/>
          <w:szCs w:val="24"/>
          <w:shd w:val="clear" w:color="auto" w:fill="FFFFFF"/>
        </w:rPr>
        <w:lastRenderedPageBreak/>
        <w:t>Información complementaria</w:t>
      </w:r>
      <w:r>
        <w:rPr>
          <w:rFonts w:ascii="Times New Roman" w:hAnsi="Times New Roman" w:cs="Times New Roman"/>
          <w:color w:val="FF0000"/>
          <w:sz w:val="24"/>
          <w:szCs w:val="24"/>
          <w:shd w:val="clear" w:color="auto" w:fill="FFFFFF"/>
        </w:rPr>
        <w:t>: “por si alguna deuda chica, sin querer se me ha olvidado”…</w:t>
      </w:r>
    </w:p>
    <w:p w:rsidR="00043F6A" w:rsidRPr="00E220F1" w:rsidRDefault="00043F6A" w:rsidP="00043F6A">
      <w:pPr>
        <w:spacing w:line="240" w:lineRule="auto"/>
        <w:jc w:val="both"/>
        <w:rPr>
          <w:rFonts w:ascii="Times New Roman" w:hAnsi="Times New Roman" w:cs="Times New Roman"/>
          <w:sz w:val="24"/>
          <w:szCs w:val="24"/>
        </w:rPr>
      </w:pPr>
      <w:r w:rsidRPr="000629DF">
        <w:rPr>
          <w:rFonts w:ascii="Times New Roman" w:hAnsi="Times New Roman" w:cs="Times New Roman"/>
          <w:sz w:val="24"/>
          <w:szCs w:val="24"/>
        </w:rPr>
        <w:t>-</w:t>
      </w:r>
      <w:r w:rsidRPr="000629DF">
        <w:rPr>
          <w:rFonts w:ascii="Times New Roman" w:hAnsi="Times New Roman" w:cs="Times New Roman"/>
          <w:color w:val="FF0000"/>
          <w:sz w:val="24"/>
          <w:szCs w:val="24"/>
        </w:rPr>
        <w:t xml:space="preserve"> </w:t>
      </w:r>
      <w:r w:rsidRPr="00E220F1">
        <w:rPr>
          <w:rFonts w:ascii="Times New Roman" w:hAnsi="Times New Roman" w:cs="Times New Roman"/>
          <w:sz w:val="24"/>
          <w:szCs w:val="24"/>
          <w:u w:val="single"/>
        </w:rPr>
        <w:t>La tributación efectiva por vivienda en España es 24 puntos mayor que la media de la UE</w:t>
      </w:r>
      <w:r>
        <w:rPr>
          <w:rFonts w:ascii="Times New Roman" w:hAnsi="Times New Roman" w:cs="Times New Roman"/>
          <w:sz w:val="24"/>
          <w:szCs w:val="24"/>
        </w:rPr>
        <w:t xml:space="preserve"> (El Economista - </w:t>
      </w:r>
      <w:r w:rsidRPr="00E220F1">
        <w:rPr>
          <w:rFonts w:ascii="Times New Roman" w:hAnsi="Times New Roman" w:cs="Times New Roman"/>
          <w:b/>
          <w:sz w:val="24"/>
          <w:szCs w:val="24"/>
        </w:rPr>
        <w:t>19/5/25</w:t>
      </w:r>
      <w:r>
        <w:rPr>
          <w:rFonts w:ascii="Times New Roman" w:hAnsi="Times New Roman" w:cs="Times New Roman"/>
          <w:sz w:val="24"/>
          <w:szCs w:val="24"/>
        </w:rPr>
        <w:t>)</w:t>
      </w:r>
    </w:p>
    <w:p w:rsidR="00043F6A" w:rsidRPr="00E220F1" w:rsidRDefault="00043F6A" w:rsidP="00043F6A">
      <w:pPr>
        <w:spacing w:line="240" w:lineRule="auto"/>
        <w:jc w:val="both"/>
        <w:rPr>
          <w:rFonts w:ascii="Times New Roman" w:hAnsi="Times New Roman" w:cs="Times New Roman"/>
          <w:sz w:val="24"/>
          <w:szCs w:val="24"/>
        </w:rPr>
      </w:pPr>
      <w:r w:rsidRPr="00E220F1">
        <w:rPr>
          <w:rFonts w:ascii="Times New Roman" w:hAnsi="Times New Roman" w:cs="Times New Roman"/>
          <w:sz w:val="24"/>
          <w:szCs w:val="24"/>
        </w:rPr>
        <w:t>Por cada compra antes de impuestos se pierde el 30,3% debido a las tasas nacionales</w:t>
      </w:r>
    </w:p>
    <w:p w:rsidR="00043F6A" w:rsidRPr="00E220F1" w:rsidRDefault="00043F6A" w:rsidP="00043F6A">
      <w:pPr>
        <w:spacing w:line="240" w:lineRule="auto"/>
        <w:jc w:val="both"/>
        <w:rPr>
          <w:rFonts w:ascii="Times New Roman" w:hAnsi="Times New Roman" w:cs="Times New Roman"/>
          <w:sz w:val="24"/>
          <w:szCs w:val="24"/>
        </w:rPr>
      </w:pPr>
      <w:r w:rsidRPr="00E220F1">
        <w:rPr>
          <w:rFonts w:ascii="Times New Roman" w:hAnsi="Times New Roman" w:cs="Times New Roman"/>
          <w:sz w:val="24"/>
          <w:szCs w:val="24"/>
        </w:rPr>
        <w:t>Hacienda aclara que las viviendas heredadas tributan por el valor de referencia del catastro</w:t>
      </w:r>
    </w:p>
    <w:p w:rsidR="00043F6A" w:rsidRPr="00E220F1" w:rsidRDefault="00043F6A" w:rsidP="00043F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220F1">
        <w:rPr>
          <w:rFonts w:ascii="Times New Roman" w:hAnsi="Times New Roman" w:cs="Times New Roman"/>
          <w:sz w:val="24"/>
          <w:szCs w:val="24"/>
        </w:rPr>
        <w:t>Esther Zamora Torralba</w:t>
      </w:r>
      <w:r>
        <w:rPr>
          <w:rFonts w:ascii="Times New Roman" w:hAnsi="Times New Roman" w:cs="Times New Roman"/>
          <w:sz w:val="24"/>
          <w:szCs w:val="24"/>
        </w:rPr>
        <w:t>)</w:t>
      </w:r>
    </w:p>
    <w:p w:rsidR="00043F6A" w:rsidRDefault="00043F6A" w:rsidP="00043F6A">
      <w:pPr>
        <w:spacing w:line="240" w:lineRule="auto"/>
        <w:jc w:val="both"/>
        <w:rPr>
          <w:rFonts w:ascii="Times New Roman" w:hAnsi="Times New Roman" w:cs="Times New Roman"/>
          <w:sz w:val="24"/>
          <w:szCs w:val="24"/>
        </w:rPr>
      </w:pPr>
      <w:r w:rsidRPr="00E220F1">
        <w:rPr>
          <w:rFonts w:ascii="Times New Roman" w:hAnsi="Times New Roman" w:cs="Times New Roman"/>
          <w:sz w:val="24"/>
          <w:szCs w:val="24"/>
        </w:rPr>
        <w:t>La tributación efectiva -que mide los incentivos fiscales para invertir en vivienda para ser ocupada por los propietarios- que los españoles pagan por su vivienda es la más alta de los países de la Unión Europea y la segunda de los países de la OCDE -por delante solo se encuentra Canadá-. Así lo confirma el informe La fiscalidad de la vivienda en España. Una propuesta de mejora elaborado por el Institut</w:t>
      </w:r>
      <w:r>
        <w:rPr>
          <w:rFonts w:ascii="Times New Roman" w:hAnsi="Times New Roman" w:cs="Times New Roman"/>
          <w:sz w:val="24"/>
          <w:szCs w:val="24"/>
        </w:rPr>
        <w:t>o de Estudios Económicos (IEE).</w:t>
      </w:r>
    </w:p>
    <w:p w:rsidR="00043F6A" w:rsidRDefault="00043F6A" w:rsidP="00043F6A">
      <w:pPr>
        <w:spacing w:line="240" w:lineRule="auto"/>
        <w:jc w:val="both"/>
        <w:rPr>
          <w:rFonts w:ascii="Times New Roman" w:hAnsi="Times New Roman" w:cs="Times New Roman"/>
          <w:sz w:val="24"/>
          <w:szCs w:val="24"/>
        </w:rPr>
      </w:pPr>
      <w:r w:rsidRPr="00E220F1">
        <w:rPr>
          <w:rFonts w:ascii="Times New Roman" w:hAnsi="Times New Roman" w:cs="Times New Roman"/>
          <w:sz w:val="24"/>
          <w:szCs w:val="24"/>
        </w:rPr>
        <w:t>En España, la tributación efectiva marginal sobre vivienda en propiedad es del 30,3%, lo que significa que, por cada compra antes de impuestos, se pierde el 30,3% debido a la carga fiscal, dejando al inversor con solo el 69,7% de lo que habría obtenido en un escenario sin imposición sobre la vivienda. Asegura el informe del think tank de la CEOE. Por lo que España es el país menos atractivo para invertir de la Unión Europea -o el segundo de la OCDE- o que cuenta con el sistema tributario menos competitivo de los 27</w:t>
      </w:r>
      <w:r>
        <w:rPr>
          <w:rFonts w:ascii="Times New Roman" w:hAnsi="Times New Roman" w:cs="Times New Roman"/>
          <w:sz w:val="24"/>
          <w:szCs w:val="24"/>
        </w:rPr>
        <w:t>…</w:t>
      </w:r>
    </w:p>
    <w:p w:rsidR="00043F6A" w:rsidRPr="00E220F1" w:rsidRDefault="00043F6A" w:rsidP="00043F6A">
      <w:pPr>
        <w:spacing w:line="240" w:lineRule="auto"/>
        <w:jc w:val="both"/>
        <w:rPr>
          <w:rFonts w:ascii="Times New Roman" w:hAnsi="Times New Roman" w:cs="Times New Roman"/>
          <w:sz w:val="24"/>
          <w:szCs w:val="24"/>
        </w:rPr>
      </w:pPr>
      <w:r w:rsidRPr="00E220F1">
        <w:rPr>
          <w:rFonts w:ascii="Times New Roman" w:hAnsi="Times New Roman" w:cs="Times New Roman"/>
          <w:noProof/>
          <w:sz w:val="24"/>
          <w:szCs w:val="24"/>
          <w:lang w:eastAsia="es-ES"/>
        </w:rPr>
        <w:drawing>
          <wp:inline distT="0" distB="0" distL="0" distR="0" wp14:anchorId="44D40423" wp14:editId="14AF7F12">
            <wp:extent cx="5454649" cy="4845050"/>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a:stretch>
                      <a:fillRect/>
                    </a:stretch>
                  </pic:blipFill>
                  <pic:spPr>
                    <a:xfrm>
                      <a:off x="0" y="0"/>
                      <a:ext cx="5458587" cy="4848548"/>
                    </a:xfrm>
                    <a:prstGeom prst="rect">
                      <a:avLst/>
                    </a:prstGeom>
                  </pic:spPr>
                </pic:pic>
              </a:graphicData>
            </a:graphic>
          </wp:inline>
        </w:drawing>
      </w:r>
    </w:p>
    <w:p w:rsidR="00043F6A" w:rsidRDefault="00043F6A" w:rsidP="00043F6A">
      <w:pPr>
        <w:spacing w:line="240" w:lineRule="auto"/>
        <w:jc w:val="both"/>
        <w:rPr>
          <w:rFonts w:ascii="Times New Roman" w:hAnsi="Times New Roman" w:cs="Times New Roman"/>
          <w:sz w:val="24"/>
          <w:szCs w:val="24"/>
        </w:rPr>
      </w:pPr>
    </w:p>
    <w:p w:rsidR="00043F6A" w:rsidRDefault="00043F6A" w:rsidP="00043F6A">
      <w:pPr>
        <w:spacing w:line="240" w:lineRule="auto"/>
        <w:jc w:val="both"/>
        <w:rPr>
          <w:rFonts w:ascii="Times New Roman" w:hAnsi="Times New Roman" w:cs="Times New Roman"/>
          <w:sz w:val="24"/>
          <w:szCs w:val="24"/>
        </w:rPr>
      </w:pPr>
      <w:r w:rsidRPr="00E220F1">
        <w:rPr>
          <w:rFonts w:ascii="Times New Roman" w:hAnsi="Times New Roman" w:cs="Times New Roman"/>
          <w:noProof/>
          <w:sz w:val="24"/>
          <w:szCs w:val="24"/>
          <w:lang w:eastAsia="es-ES"/>
        </w:rPr>
        <w:drawing>
          <wp:inline distT="0" distB="0" distL="0" distR="0" wp14:anchorId="12CB85E1" wp14:editId="24DBC236">
            <wp:extent cx="5524499" cy="1898650"/>
            <wp:effectExtent l="0" t="0" r="635" b="635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a:stretch>
                      <a:fillRect/>
                    </a:stretch>
                  </pic:blipFill>
                  <pic:spPr>
                    <a:xfrm>
                      <a:off x="0" y="0"/>
                      <a:ext cx="5534798" cy="1902189"/>
                    </a:xfrm>
                    <a:prstGeom prst="rect">
                      <a:avLst/>
                    </a:prstGeom>
                  </pic:spPr>
                </pic:pic>
              </a:graphicData>
            </a:graphic>
          </wp:inline>
        </w:drawing>
      </w:r>
    </w:p>
    <w:p w:rsidR="00043F6A" w:rsidRDefault="00043F6A" w:rsidP="00043F6A">
      <w:pPr>
        <w:spacing w:line="240" w:lineRule="auto"/>
        <w:jc w:val="both"/>
        <w:rPr>
          <w:rFonts w:ascii="Times New Roman" w:hAnsi="Times New Roman" w:cs="Times New Roman"/>
          <w:spacing w:val="-1"/>
          <w:sz w:val="24"/>
          <w:szCs w:val="24"/>
          <w:shd w:val="clear" w:color="auto" w:fill="FFFFFF"/>
        </w:rPr>
      </w:pPr>
      <w:r w:rsidRPr="00E220F1">
        <w:rPr>
          <w:rFonts w:ascii="Times New Roman" w:hAnsi="Times New Roman" w:cs="Times New Roman"/>
          <w:spacing w:val="-1"/>
          <w:sz w:val="24"/>
          <w:szCs w:val="24"/>
          <w:shd w:val="clear" w:color="auto" w:fill="FFFFFF"/>
        </w:rPr>
        <w:t>En el</w:t>
      </w:r>
      <w:r w:rsidRPr="00E220F1">
        <w:rPr>
          <w:rFonts w:ascii="Times New Roman" w:hAnsi="Times New Roman" w:cs="Times New Roman"/>
          <w:b/>
          <w:bCs/>
          <w:spacing w:val="-1"/>
          <w:sz w:val="24"/>
          <w:szCs w:val="24"/>
          <w:shd w:val="clear" w:color="auto" w:fill="FFFFFF"/>
        </w:rPr>
        <w:t> </w:t>
      </w:r>
      <w:r w:rsidRPr="007051FB">
        <w:rPr>
          <w:rFonts w:ascii="Times New Roman" w:hAnsi="Times New Roman" w:cs="Times New Roman"/>
          <w:bCs/>
          <w:spacing w:val="-1"/>
          <w:sz w:val="24"/>
          <w:szCs w:val="24"/>
          <w:shd w:val="clear" w:color="auto" w:fill="FFFFFF"/>
        </w:rPr>
        <w:t>otro lado de la tabla</w:t>
      </w:r>
      <w:r w:rsidRPr="00E220F1">
        <w:rPr>
          <w:rFonts w:ascii="Times New Roman" w:hAnsi="Times New Roman" w:cs="Times New Roman"/>
          <w:spacing w:val="-1"/>
          <w:sz w:val="24"/>
          <w:szCs w:val="24"/>
          <w:shd w:val="clear" w:color="auto" w:fill="FFFFFF"/>
        </w:rPr>
        <w:t>, se encuentran Países Bajos, que es el país con una menor tributación efectiva al encontrarse en negativo, con un -17,8%, siendo la nación más rentable para adquirir una vivienda para uso propio, Estonia (-14,1%), Italia (-12,3%), Suecia (-11,9%) y Dinamarca (-8,5%). En estos países, la inversión en vivienda está subvencionada por el sistema fiscal, por lo que la tasa efectiva de imposición marginal será negativa cuando las deducciones y los créditos aplicados a las inversiones inmobiliarias superan los impuestos recaudados durante la inversión.</w:t>
      </w:r>
    </w:p>
    <w:p w:rsidR="00043F6A" w:rsidRPr="0000771B" w:rsidRDefault="00043F6A" w:rsidP="00043F6A">
      <w:pPr>
        <w:pStyle w:val="ecl-social-media-sharedescription"/>
        <w:jc w:val="both"/>
      </w:pPr>
      <w:r w:rsidRPr="0000771B">
        <w:t xml:space="preserve">- </w:t>
      </w:r>
      <w:r w:rsidRPr="0000771B">
        <w:rPr>
          <w:u w:val="single"/>
        </w:rPr>
        <w:t>La solución (casi) imposible para la vivienda: construir 38.000 nuevas casas al mes hasta 2030</w:t>
      </w:r>
      <w:r w:rsidRPr="0000771B">
        <w:t xml:space="preserve"> (Vozpópuli - </w:t>
      </w:r>
      <w:r w:rsidRPr="0000771B">
        <w:rPr>
          <w:b/>
        </w:rPr>
        <w:t>22/8/25</w:t>
      </w:r>
      <w:r w:rsidRPr="0000771B">
        <w:t>)</w:t>
      </w:r>
    </w:p>
    <w:p w:rsidR="00043F6A" w:rsidRPr="0000771B" w:rsidRDefault="00043F6A" w:rsidP="00043F6A">
      <w:pPr>
        <w:pStyle w:val="ecl-social-media-sharedescription"/>
        <w:jc w:val="both"/>
      </w:pPr>
      <w:r w:rsidRPr="0000771B">
        <w:t>Un informe de OBS Business School cifra entre 1,6 y 2,3 millones las viviendas que requiere el mercado español para equilibrar la oferta y la demanda</w:t>
      </w:r>
    </w:p>
    <w:p w:rsidR="00043F6A" w:rsidRPr="0000771B" w:rsidRDefault="00043F6A" w:rsidP="00043F6A">
      <w:pPr>
        <w:pStyle w:val="ecl-social-media-sharedescription"/>
        <w:jc w:val="both"/>
      </w:pPr>
      <w:r w:rsidRPr="0000771B">
        <w:t>(Por Juan T. Delgado)</w:t>
      </w:r>
    </w:p>
    <w:p w:rsidR="00043F6A" w:rsidRPr="0000771B" w:rsidRDefault="00043F6A" w:rsidP="00043F6A">
      <w:pPr>
        <w:pStyle w:val="ecl-social-media-sharedescription"/>
        <w:jc w:val="both"/>
      </w:pPr>
      <w:r w:rsidRPr="0000771B">
        <w:t xml:space="preserve">Sólo un cambio radical de las políticas públicas puede propiciar una verdadera solución para el problema de la vivienda. Es el más grave que sufre España, en vista de lo que opinan los ciudadanos, desde hace ocho meses, en el barómetro que elabora el CIS. </w:t>
      </w:r>
    </w:p>
    <w:p w:rsidR="00043F6A" w:rsidRPr="0000771B" w:rsidRDefault="00043F6A" w:rsidP="00043F6A">
      <w:pPr>
        <w:pStyle w:val="ecl-social-media-sharedescription"/>
        <w:jc w:val="both"/>
      </w:pPr>
      <w:r w:rsidRPr="0000771B">
        <w:t xml:space="preserve">A visibilizar la magnitud de ese problema contribuyen informes como el publicado por </w:t>
      </w:r>
      <w:r w:rsidR="007051FB">
        <w:t>OBS Business School. Se titula “</w:t>
      </w:r>
      <w:r w:rsidRPr="0000771B">
        <w:t>Merc</w:t>
      </w:r>
      <w:r w:rsidR="007051FB">
        <w:t>ado inmobiliario en España 2025”</w:t>
      </w:r>
      <w:r w:rsidRPr="0000771B">
        <w:t xml:space="preserve"> y está dirigido por Carlos Balado, profesor y director de Eurocofín.</w:t>
      </w:r>
    </w:p>
    <w:p w:rsidR="00043F6A" w:rsidRPr="0000771B" w:rsidRDefault="00043F6A" w:rsidP="00043F6A">
      <w:pPr>
        <w:pStyle w:val="ecl-social-media-sharedescription"/>
        <w:jc w:val="both"/>
      </w:pPr>
      <w:r w:rsidRPr="0000771B">
        <w:t xml:space="preserve">El estudio arroja una cifra esclarecedora. España necesita entre 1,6 y 2,3 millones de viviendas nuevas en los próximos cinco años. Es la única manera de equilibrar la problemática falta de oferta con la abundante demanda. </w:t>
      </w:r>
    </w:p>
    <w:p w:rsidR="00043F6A" w:rsidRPr="0000771B" w:rsidRDefault="00043F6A" w:rsidP="00043F6A">
      <w:pPr>
        <w:pStyle w:val="ecl-social-media-sharedescription"/>
        <w:jc w:val="both"/>
      </w:pPr>
      <w:r w:rsidRPr="0000771B">
        <w:t xml:space="preserve">Para hacerse una idea del desafío basta con calcular la cantidad de casas que deben salir al mercado cada mes de aquí al final de la década. Tomando como referencia la parte alta de la horquilla, España necesitaría, nada menos, que 38.000 nuevas viviendas cada mes durante el próximo lustro. </w:t>
      </w:r>
    </w:p>
    <w:p w:rsidR="00043F6A" w:rsidRPr="0000771B" w:rsidRDefault="00043F6A" w:rsidP="00043F6A">
      <w:pPr>
        <w:pStyle w:val="ecl-social-media-sharedescription"/>
        <w:jc w:val="both"/>
      </w:pPr>
      <w:r w:rsidRPr="0000771B">
        <w:t xml:space="preserve">El informe de OBS Business School justifica el cálculo. Teniendo en cuenta la previsión del INE, que estima un crecimiento promedio anual del 1,0% de la población durante los próximos seis años, se calcula que para 2030 España alcanzará una población aproximada de </w:t>
      </w:r>
      <w:r w:rsidRPr="0000771B">
        <w:lastRenderedPageBreak/>
        <w:t>más de 52 millones de habitantes. Esto supondrá un aumento de 3,5 millones de personas respecto a la actualidad.</w:t>
      </w:r>
    </w:p>
    <w:p w:rsidR="00043F6A" w:rsidRPr="0000771B" w:rsidRDefault="007051FB" w:rsidP="00043F6A">
      <w:pPr>
        <w:pStyle w:val="ecl-social-media-sharedescription"/>
        <w:jc w:val="both"/>
      </w:pPr>
      <w:r>
        <w:t>“</w:t>
      </w:r>
      <w:r w:rsidR="00043F6A" w:rsidRPr="0000771B">
        <w:t xml:space="preserve">Este crecimiento demográfico -proveniente en buena parte del exterior- pone de manifiesto una insuficiencia estructural en el parque </w:t>
      </w:r>
      <w:r>
        <w:t>de viviendas disponibles”</w:t>
      </w:r>
      <w:r w:rsidR="00043F6A" w:rsidRPr="0000771B">
        <w:t>, recuerda el estudio. A continuación, recuerda los principales factores que explican el incremento significativo en el número de hogares.</w:t>
      </w:r>
    </w:p>
    <w:p w:rsidR="00043F6A" w:rsidRPr="0000771B" w:rsidRDefault="00043F6A" w:rsidP="00043F6A">
      <w:pPr>
        <w:pStyle w:val="ecl-social-media-sharedescription"/>
        <w:jc w:val="both"/>
      </w:pPr>
      <w:r w:rsidRPr="0000771B">
        <w:t>El aumento de la población, derivado de los flujos migratorios.</w:t>
      </w:r>
    </w:p>
    <w:p w:rsidR="00043F6A" w:rsidRPr="0000771B" w:rsidRDefault="00043F6A" w:rsidP="00043F6A">
      <w:pPr>
        <w:pStyle w:val="ecl-social-media-sharedescription"/>
        <w:jc w:val="both"/>
      </w:pPr>
      <w:r w:rsidRPr="0000771B">
        <w:t>La reducción del tamaño medio de los hogares, consecuencia de incremento de las viviendas unipersonales por la disminución de la natalidad o la consolidación de nuevos modelos de familia.</w:t>
      </w:r>
    </w:p>
    <w:p w:rsidR="00043F6A" w:rsidRPr="0000771B" w:rsidRDefault="00043F6A" w:rsidP="00043F6A">
      <w:pPr>
        <w:pStyle w:val="ecl-social-media-sharedescription"/>
        <w:jc w:val="both"/>
      </w:pPr>
      <w:r w:rsidRPr="0000771B">
        <w:t xml:space="preserve">Los problemas están más que identificados por quienes intervienen en el mercado inmobiliario. La Ley de Vivienda no ha tenido el resultado esperado y el suelo disponible continúa estando excesivamente protegido. </w:t>
      </w:r>
    </w:p>
    <w:p w:rsidR="00043F6A" w:rsidRPr="0000771B" w:rsidRDefault="00043F6A" w:rsidP="00043F6A">
      <w:pPr>
        <w:pStyle w:val="ecl-social-media-sharedescription"/>
        <w:jc w:val="both"/>
      </w:pPr>
      <w:r w:rsidRPr="0000771B">
        <w:t>Buena parte de los expertos, directivos y empresarios encuestados para la elaboración del informe coincide en la necesidad de fomentar -de verdad- la colaboración público-privada para la promoción del alquiler. Un 64% aboga por impulsar la oferta de alquiler social. Y un 62%, por redactar una nueva Ley del Suelo que mejore la gestión de los procesos administrativos.</w:t>
      </w:r>
    </w:p>
    <w:p w:rsidR="00043F6A" w:rsidRPr="0000771B" w:rsidRDefault="00043F6A" w:rsidP="00043F6A">
      <w:pPr>
        <w:pStyle w:val="ecl-social-media-sharedescription"/>
        <w:jc w:val="both"/>
      </w:pPr>
      <w:r w:rsidRPr="0000771B">
        <w:t>Exceso de trabas en el mercado inmobiliario</w:t>
      </w:r>
    </w:p>
    <w:p w:rsidR="00043F6A" w:rsidRPr="0000771B" w:rsidRDefault="00043F6A" w:rsidP="00043F6A">
      <w:pPr>
        <w:pStyle w:val="ecl-social-media-sharedescription"/>
        <w:jc w:val="both"/>
      </w:pPr>
      <w:r w:rsidRPr="0000771B">
        <w:t xml:space="preserve">Para la mayoría de los implicados, el principal problema del alto coste de la vivienda en España es la falta de oferta, seguida de la legislación inadecuada y la especulación inmobiliaria. También hay bastante acuerdo a la hora de proponer soluciones: agilizar la concesión de licencias urbanísticas, incrementar el volumen de suelo edificable e impulsar la rehabilitación de vivienda. </w:t>
      </w:r>
    </w:p>
    <w:p w:rsidR="00043F6A" w:rsidRPr="0000771B" w:rsidRDefault="00043F6A" w:rsidP="00043F6A">
      <w:pPr>
        <w:pStyle w:val="ecl-social-media-sharedescription"/>
        <w:jc w:val="both"/>
      </w:pPr>
      <w:r w:rsidRPr="0000771B">
        <w:t xml:space="preserve">El informe denuncia también la elevada cantidad de trabas impositivas y regulatorias que sufren los 'actores' de este sector. Desde que un promotor inicia la compra del suelo, hasta que el comprador final se instala en una vivienda nueva se abonan hasta 16 figuras tributarias. </w:t>
      </w:r>
    </w:p>
    <w:p w:rsidR="00043F6A" w:rsidRDefault="00043F6A" w:rsidP="00043F6A">
      <w:pPr>
        <w:pStyle w:val="ecl-social-media-sharedescription"/>
        <w:jc w:val="both"/>
      </w:pPr>
      <w:r w:rsidRPr="0000771B">
        <w:t>El estudio recuerda que los impuestos pueden llegar a encarecer un 45% el precio fin</w:t>
      </w:r>
      <w:r w:rsidR="007051FB">
        <w:t>al de una vivienda en España. “</w:t>
      </w:r>
      <w:r w:rsidRPr="0000771B">
        <w:t xml:space="preserve">La elevada fiscalidad, junto con la excesiva regulación y la escasa asignación de recursos a esta partida por parte del sector público están agravando la situación </w:t>
      </w:r>
      <w:r w:rsidR="007051FB">
        <w:t>actual del mercado inmobiliario”</w:t>
      </w:r>
      <w:r w:rsidRPr="0000771B">
        <w:t xml:space="preserve">, advierte. </w:t>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t xml:space="preserve">- </w:t>
      </w:r>
      <w:r w:rsidRPr="00A27567">
        <w:rPr>
          <w:rFonts w:ascii="Times New Roman" w:hAnsi="Times New Roman" w:cs="Times New Roman"/>
          <w:sz w:val="24"/>
          <w:szCs w:val="24"/>
          <w:u w:val="single"/>
        </w:rPr>
        <w:t>La vivienda en</w:t>
      </w:r>
      <w:r w:rsidR="007051FB">
        <w:rPr>
          <w:rFonts w:ascii="Times New Roman" w:hAnsi="Times New Roman" w:cs="Times New Roman"/>
          <w:sz w:val="24"/>
          <w:szCs w:val="24"/>
          <w:u w:val="single"/>
        </w:rPr>
        <w:t xml:space="preserve"> propiedad cae en España: “</w:t>
      </w:r>
      <w:r w:rsidRPr="00A27567">
        <w:rPr>
          <w:rFonts w:ascii="Times New Roman" w:hAnsi="Times New Roman" w:cs="Times New Roman"/>
          <w:sz w:val="24"/>
          <w:szCs w:val="24"/>
          <w:u w:val="single"/>
        </w:rPr>
        <w:t>De un país de propietarios a un país de proletarios</w:t>
      </w:r>
      <w:r w:rsidR="007051FB">
        <w:rPr>
          <w:rFonts w:ascii="Times New Roman" w:hAnsi="Times New Roman" w:cs="Times New Roman"/>
          <w:sz w:val="24"/>
          <w:szCs w:val="24"/>
        </w:rPr>
        <w:t>”</w:t>
      </w:r>
      <w:r w:rsidRPr="00A27567">
        <w:rPr>
          <w:rFonts w:ascii="Times New Roman" w:hAnsi="Times New Roman" w:cs="Times New Roman"/>
          <w:sz w:val="24"/>
          <w:szCs w:val="24"/>
        </w:rPr>
        <w:t xml:space="preserve"> (Libertad Digital - </w:t>
      </w:r>
      <w:r w:rsidRPr="00A27567">
        <w:rPr>
          <w:rFonts w:ascii="Times New Roman" w:hAnsi="Times New Roman" w:cs="Times New Roman"/>
          <w:b/>
          <w:sz w:val="24"/>
          <w:szCs w:val="24"/>
        </w:rPr>
        <w:t>29/8/25</w:t>
      </w:r>
      <w:r w:rsidRPr="00A27567">
        <w:rPr>
          <w:rFonts w:ascii="Times New Roman" w:hAnsi="Times New Roman" w:cs="Times New Roman"/>
          <w:sz w:val="24"/>
          <w:szCs w:val="24"/>
        </w:rPr>
        <w:t>)</w:t>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t>La vivienda en propiedad sigue cayendo en España y ya sólo el 72% de los hogares españoles residen en una vivienda en propiedad.</w:t>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t>(Por Miguel Puga)</w:t>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t xml:space="preserve">Si por algo se ha caracterizado España en las últimas décadas, entre otras muchas cosas, es por tener a un gran porcentaje de la población residiendo en viviendas de su propiedad, </w:t>
      </w:r>
      <w:r w:rsidRPr="00A27567">
        <w:rPr>
          <w:rFonts w:ascii="Times New Roman" w:hAnsi="Times New Roman" w:cs="Times New Roman"/>
          <w:sz w:val="24"/>
          <w:szCs w:val="24"/>
        </w:rPr>
        <w:lastRenderedPageBreak/>
        <w:t>estando por encima de la media de la Unión Europea en este sentido. Esta con</w:t>
      </w:r>
      <w:r w:rsidR="007051FB">
        <w:rPr>
          <w:rFonts w:ascii="Times New Roman" w:hAnsi="Times New Roman" w:cs="Times New Roman"/>
          <w:sz w:val="24"/>
          <w:szCs w:val="24"/>
        </w:rPr>
        <w:t>strucción de España en un “país de propietarios”</w:t>
      </w:r>
      <w:r w:rsidRPr="00A27567">
        <w:rPr>
          <w:rFonts w:ascii="Times New Roman" w:hAnsi="Times New Roman" w:cs="Times New Roman"/>
          <w:sz w:val="24"/>
          <w:szCs w:val="24"/>
        </w:rPr>
        <w:t xml:space="preserve"> comenzó en 1960, cuando el 51,9% de los hogares vivían en una vivienda de su propiedad, mientras que el 41,4% vivía de alquiler. Diez años después, en 1970, ya el 63,4% de los hogares tenía una vivienda en propiedad.</w:t>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t>Esta evolución siguió hasta el año 2005, cuando el 80,5% de los hogares españoles residía en una vivienda de su propiedad, mientras que sólo el 13% de los hogares vivía de alquiler. Sin embargo, desde el año 2005 se viene produciendo una caída significativa en el porcentaje de hogares que viven en viviendas de su propiedad. En el siguie</w:t>
      </w:r>
      <w:r w:rsidR="007051FB">
        <w:rPr>
          <w:rFonts w:ascii="Times New Roman" w:hAnsi="Times New Roman" w:cs="Times New Roman"/>
          <w:sz w:val="24"/>
          <w:szCs w:val="24"/>
        </w:rPr>
        <w:t>nte gráfico, proporcionado por “Spain Housing Observatory”</w:t>
      </w:r>
      <w:r w:rsidRPr="00A27567">
        <w:rPr>
          <w:rFonts w:ascii="Times New Roman" w:hAnsi="Times New Roman" w:cs="Times New Roman"/>
          <w:sz w:val="24"/>
          <w:szCs w:val="24"/>
        </w:rPr>
        <w:t>, podemos ver esta evolución:</w:t>
      </w:r>
    </w:p>
    <w:p w:rsidR="00043F6A" w:rsidRPr="00A27567" w:rsidRDefault="00043F6A" w:rsidP="00043F6A">
      <w:pPr>
        <w:spacing w:line="240" w:lineRule="auto"/>
        <w:jc w:val="both"/>
        <w:rPr>
          <w:rFonts w:ascii="Times New Roman" w:hAnsi="Times New Roman" w:cs="Times New Roman"/>
          <w:sz w:val="24"/>
          <w:szCs w:val="24"/>
        </w:rPr>
      </w:pPr>
      <w:r w:rsidRPr="00A27567">
        <w:rPr>
          <w:noProof/>
          <w:lang w:eastAsia="es-ES"/>
        </w:rPr>
        <w:drawing>
          <wp:inline distT="0" distB="0" distL="0" distR="0" wp14:anchorId="7278B290" wp14:editId="1B674569">
            <wp:extent cx="5727063" cy="3568700"/>
            <wp:effectExtent l="0" t="0" r="7620" b="0"/>
            <wp:docPr id="268" name="Imagen 268" descr="https://s.libertaddigital.com/2025/08/25/gq7yxczw0aaruk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5/08/25/gq7yxczw0aarukk.png"/>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5731510" cy="3571471"/>
                    </a:xfrm>
                    <a:prstGeom prst="rect">
                      <a:avLst/>
                    </a:prstGeom>
                    <a:noFill/>
                    <a:ln>
                      <a:noFill/>
                    </a:ln>
                  </pic:spPr>
                </pic:pic>
              </a:graphicData>
            </a:graphic>
          </wp:inline>
        </w:drawing>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t>Tal y como se puede ver, en el año 2005 se alcanzó el máximo histórico de hogares residiendo en una vivienda en propiedad, cifra que año a año empezó a decaer hasta situarse en el 72% actual. Es decir, ya sólo el 72% de los hogares residen en una vivienda en propiedad. Por el contrario, el alquiler cada vez ha ido ganando un mayor peso, pasando de representar el 13% del total a ser del 22%. Como vemos, España parece estar pasando de s</w:t>
      </w:r>
      <w:r w:rsidR="007051FB">
        <w:rPr>
          <w:rFonts w:ascii="Times New Roman" w:hAnsi="Times New Roman" w:cs="Times New Roman"/>
          <w:sz w:val="24"/>
          <w:szCs w:val="24"/>
        </w:rPr>
        <w:t>er "un país de propietarios" a “un país de proletarios”</w:t>
      </w:r>
      <w:r w:rsidRPr="00A27567">
        <w:rPr>
          <w:rFonts w:ascii="Times New Roman" w:hAnsi="Times New Roman" w:cs="Times New Roman"/>
          <w:sz w:val="24"/>
          <w:szCs w:val="24"/>
        </w:rPr>
        <w:t>, algo que parecía que se había superado hace años.</w:t>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t>De acuerdo con los datos que nos ofrece el INE en su última Encuesta de Condiciones de Vida, 2/3 de las viviendas que hay en propiedad se trata de viviendas totalmente pagadas, es decir, sin hipotecas de por medio. El 48,8% de los hogares residen en una vivienda totalmente pagada, por el 24,7% que aún tiene una hipoteca pendiente.</w:t>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t>Si analizamos la situación de los hogares por cada grupo de edad, veremos diferencias notables entre unos y otros segmentos de población. Por ejemplo, sólo el 27% de los jóvenes de entre 16 y 29 años tiene una casa en propiedad, mientras que en 2007 este porcentaje era del 58,1%. Dentro de ese 27%, el 12,7% tiene la casa sin hipoteca, con lo que lo más probable es que esa vivienda haya sido en herencia.</w:t>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lastRenderedPageBreak/>
        <w:t>El grupo de los 30 a los 44 años es otro de los que ha sufrido un duro varapalo desde el año 2007 cuando alcanzó su máximo, siendo que el 74,3% de los componentes de este grupo tenían casa en propiedad, mientras que ahora sólo el 52,9% de los que tienen entre 30 y 44 años tienen una vivienda en propiedad. De este 52,9%, sólo el 16,3% tiene la casa completamente pagada, mientras que el 36,6% tiene aún una hipoteca.</w:t>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t>Por otra parte, el grupo de los que tienen entre 45 y 64 años ha sufrido mucho menos esta caída que los anteriores grupos mencionados, pues "sólo" habría pasado de que el 86,6% de estos hogares tuviera una vivienda en propiedad en 2005 a que en 2024 este porcentaje fuera del 76,4%. Curiosamente, en este segmento aumenta el porcentaje de hogares que tienen la vivienda pagada, siendo el 33,1% del total, por el 43,3% que tiene una hipoteca.</w:t>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t>Sólo se salvan los mayores de 65 años</w:t>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t>El único grupo que apenas ha visto variado el porcentaje de hogares con una vivienda en propiedad ha sido el de las personas que tienen 65 años o más, pues en 2012 alcanzó al 90,1% de estos hogares y en 2024 sólo cayó al 88,6%. Como también era de esperar, la inmensa mayoría de personas de este grupo de edad tiene la casa completamente pagada, siendo este porcentaje del 82,3%, por sólo el 6,3% que aún tiene una hipoteca.</w:t>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t>Por último, si observamos las compraventas de vivienda por tipo de comprador veremos dos tendencias: 1) Cae el número de viviendas compradas por personas jurídicas (empresas, fondos de inversión, etc.) y 2) Cada vez un mayor porcentaje de las viviendas con adquiridas por extranjeros.</w:t>
      </w:r>
    </w:p>
    <w:p w:rsidR="00043F6A" w:rsidRPr="00A27567" w:rsidRDefault="00043F6A" w:rsidP="00043F6A">
      <w:pPr>
        <w:spacing w:line="240" w:lineRule="auto"/>
        <w:jc w:val="both"/>
        <w:rPr>
          <w:rFonts w:ascii="Times New Roman" w:hAnsi="Times New Roman" w:cs="Times New Roman"/>
          <w:sz w:val="24"/>
          <w:szCs w:val="24"/>
        </w:rPr>
      </w:pPr>
      <w:r w:rsidRPr="00A27567">
        <w:rPr>
          <w:noProof/>
          <w:lang w:eastAsia="es-ES"/>
        </w:rPr>
        <w:drawing>
          <wp:inline distT="0" distB="0" distL="0" distR="0" wp14:anchorId="4A17C42C" wp14:editId="0CCDA78D">
            <wp:extent cx="5732787" cy="3162300"/>
            <wp:effectExtent l="0" t="0" r="1270" b="0"/>
            <wp:docPr id="269" name="Imagen 269" descr="https://s.libertaddigital.com/2025/08/25/captura-de-pantalla-2025-08-25-1705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5/08/25/captura-de-pantalla-2025-08-25-170539.png"/>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731510" cy="3161596"/>
                    </a:xfrm>
                    <a:prstGeom prst="rect">
                      <a:avLst/>
                    </a:prstGeom>
                    <a:noFill/>
                    <a:ln>
                      <a:noFill/>
                    </a:ln>
                  </pic:spPr>
                </pic:pic>
              </a:graphicData>
            </a:graphic>
          </wp:inline>
        </w:drawing>
      </w:r>
    </w:p>
    <w:p w:rsidR="00043F6A" w:rsidRPr="00A27567"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t>Como se puede observar en el gráfico, en el año 2011 el 82% de las viviendas que se compraron fueron adquiridas por compradores nacionales, mientras que un 5,2% fueron compradas por extranjeros y un 12,8 por personas jurídicas. En 2025, el 76,9% de las viviendas en compraventa fueron adquiridas por nacionales, el 12,6% por compradores extranjeros y el 10,5% por personas jurídicas. Vemos como el peso de los compradores extranjeros cada vez es mayor, mientras que el de las personas jurídicas es uno de los más bajos desde 2011.</w:t>
      </w:r>
    </w:p>
    <w:p w:rsidR="00043F6A" w:rsidRDefault="00043F6A" w:rsidP="00043F6A">
      <w:pPr>
        <w:spacing w:line="240" w:lineRule="auto"/>
        <w:jc w:val="both"/>
        <w:rPr>
          <w:rFonts w:ascii="Times New Roman" w:hAnsi="Times New Roman" w:cs="Times New Roman"/>
          <w:sz w:val="24"/>
          <w:szCs w:val="24"/>
        </w:rPr>
      </w:pPr>
      <w:r w:rsidRPr="00A27567">
        <w:rPr>
          <w:rFonts w:ascii="Times New Roman" w:hAnsi="Times New Roman" w:cs="Times New Roman"/>
          <w:sz w:val="24"/>
          <w:szCs w:val="24"/>
        </w:rPr>
        <w:lastRenderedPageBreak/>
        <w:t>En resumidas cuentas, en este artículo hemos visto una tendencia que cada día es más clara, y es que España está pasando de ser ese país de propietarios que se fue construyendo durante décadas, hasta alcanzar a más del 80% de los hogares españoles, a convertirse en un país de proletarios donde cada vez menos hogares tienen acceso a una vivienda en propiedad y más de estos hogares tienen que recurrir al alquiler.</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 xml:space="preserve">- </w:t>
      </w:r>
      <w:r w:rsidRPr="002B2CF6">
        <w:rPr>
          <w:rFonts w:ascii="Times New Roman" w:hAnsi="Times New Roman" w:cs="Times New Roman"/>
          <w:sz w:val="24"/>
          <w:szCs w:val="24"/>
          <w:u w:val="single"/>
        </w:rPr>
        <w:t>España pone un ojo en el país más rico de Asia donde todos los ciudadanos tienen vivienda propia</w:t>
      </w:r>
      <w:r w:rsidRPr="002B2CF6">
        <w:rPr>
          <w:rFonts w:ascii="Times New Roman" w:hAnsi="Times New Roman" w:cs="Times New Roman"/>
          <w:sz w:val="24"/>
          <w:szCs w:val="24"/>
        </w:rPr>
        <w:t xml:space="preserve"> (El Economista - </w:t>
      </w:r>
      <w:r w:rsidRPr="002B2CF6">
        <w:rPr>
          <w:rFonts w:ascii="Times New Roman" w:hAnsi="Times New Roman" w:cs="Times New Roman"/>
          <w:b/>
          <w:sz w:val="24"/>
          <w:szCs w:val="24"/>
        </w:rPr>
        <w:t>31/8/25</w:t>
      </w:r>
      <w:r w:rsidRPr="002B2CF6">
        <w:rPr>
          <w:rFonts w:ascii="Times New Roman" w:hAnsi="Times New Roman" w:cs="Times New Roman"/>
          <w:sz w:val="24"/>
          <w:szCs w:val="24"/>
        </w:rPr>
        <w:t>)</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(Por Elena Garagui)</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Hace años que supero a Catar y a Emiratos Árabes Unidos, ahora Singapur es el país más rico del Asia por renta per cápita, y casi también uno de los más ricos a nivel mundial. Mismo resultado referente a la situación de la vivienda: su tasa de propiedad es una de las más altas, un resultado excepcional teniendo en cuenta la coyuntura del mercado en la actualidad en países occidentales pero que, en este caso, se explica por la intervención estatal.</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El Departamento de Estadística Nacional de Singapur estima que en torno a 9 de cada 10 familias (88%-90%) son propietarias de la vivienda en la que residen. Unas cifras nada casuales pues son más bien el resultado de una política deliberada del Estado que un accidente estadístico. Es más, el 80% de los hogares residen en edificios públicos promocionados por la Agencia Estatal de Planificación de Suelo (HDB por su</w:t>
      </w:r>
      <w:r w:rsidR="007051FB">
        <w:rPr>
          <w:rFonts w:ascii="Times New Roman" w:hAnsi="Times New Roman" w:cs="Times New Roman"/>
          <w:sz w:val="24"/>
          <w:szCs w:val="24"/>
        </w:rPr>
        <w:t>s</w:t>
      </w:r>
      <w:r w:rsidRPr="002B2CF6">
        <w:rPr>
          <w:rFonts w:ascii="Times New Roman" w:hAnsi="Times New Roman" w:cs="Times New Roman"/>
          <w:sz w:val="24"/>
          <w:szCs w:val="24"/>
        </w:rPr>
        <w:t xml:space="preserve"> siglas en inglés).</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Así, la defensa estatal del acceso a la primera vivienda es posible gracias a una fiscalidad creciente a modo disuasoria para los que acumulan viviendas con fines especulativos, y también al encarecimiento de los precios para compradores extranjeros. Si bien es verdad que existen momentos al alza, cuando la oferta se tensa el Estado responde con más vivienda pública y con ajustes fiscales, en vez de dejar la regulación al propio mercado.</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El resultado final del modelo de Singapur es un mercado de elevada estabilidad residencial basado en un gran tejido de propietarios que se sostiene a las subvenciones disponibles y la presión fiscal sobre los grandes tenedores, el elevado precio para los no residentes y las sanciones por tener pisos vacíos.</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Podría resultar un poco morboso hacer una comparación con el modelo de España, a pesar de que nuestro país parte de una realidad muy distinta. El parque de viviendas disponible es muy escaso en comparación con la demanda (sin hablar de la casi nula vivienda pública existente) y desde ese punto es a partir de donde se ha deteriorado la capacidad de los españoles para acceder a una vivienda: subidas de precios descontrolados, inflación por las nubes, tipos de interés demasiado alto... Es tal la situación que el mismo Banco de España viene alertando del déficit de vivienda nueva en zonas tensionadas y del esfuerzo creciente para comprar o alquilar.</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Ayudas para cualquier ciudadano de hasta 120.000 euros</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Como estado insular que es, Singapur no puede expulsar a sus habitantes a las zonas de extrarradio, porque entonces acabarían siendo habitantes de Malasia. Es por eso que para evitarlo lleva décadas desarrollando una política de vivienda que a 2025 ha provocado que el 90% de sus ciudadanos sean propietarios. Medidas basadas en ayudas fiscales que permite a cualquier persona, con independencia de su edad, acceder a su primera vivienda.</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lastRenderedPageBreak/>
        <w:t>Los encargados de los buenos resultados son, por un lado, la HDB, organismo que desde 1960 ha construido más de un millón de viviendas y ha desarrollado ciudades satélites, integrando infraestructuras, conectividad y servicios. De la misma manera, es el encargado de ofertar algunas de esas ayudas</w:t>
      </w:r>
      <w:r w:rsidR="007051FB">
        <w:rPr>
          <w:rFonts w:ascii="Times New Roman" w:hAnsi="Times New Roman" w:cs="Times New Roman"/>
          <w:sz w:val="24"/>
          <w:szCs w:val="24"/>
        </w:rPr>
        <w:t>, como por ejemplo el impuesto “Proximity Housing Grant”</w:t>
      </w:r>
      <w:r w:rsidRPr="002B2CF6">
        <w:rPr>
          <w:rFonts w:ascii="Times New Roman" w:hAnsi="Times New Roman" w:cs="Times New Roman"/>
          <w:sz w:val="24"/>
          <w:szCs w:val="24"/>
        </w:rPr>
        <w:t xml:space="preserve"> (PHG) que fomenta en especial el cuidado y la cercanía intergeneracional ofreciendo hasta 20.000 euros por la compra de una vivienda cerca de los padres </w:t>
      </w:r>
      <w:r w:rsidR="007051FB">
        <w:rPr>
          <w:rFonts w:ascii="Times New Roman" w:hAnsi="Times New Roman" w:cs="Times New Roman"/>
          <w:sz w:val="24"/>
          <w:szCs w:val="24"/>
        </w:rPr>
        <w:t>o de los hijos. Parecida es la “Family Grant”</w:t>
      </w:r>
      <w:r w:rsidRPr="002B2CF6">
        <w:rPr>
          <w:rFonts w:ascii="Times New Roman" w:hAnsi="Times New Roman" w:cs="Times New Roman"/>
          <w:sz w:val="24"/>
          <w:szCs w:val="24"/>
        </w:rPr>
        <w:t>, que puede otorgar hasta más de 50.000 euros dependiendo de la tipología del inmueble.</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Y, por otro lado, igual de importante es la Junta de Vivienda y Desarrollo de Singapur, que entre otras cosas se encarga de gestionar ayudas por valor de hasta casi 120.000 euros para familias primerizas, dependiendo de los ingresos y del estado civil, a través de la Subvención de Vivienda Mejorada de CPF (EHG).</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La escalada de precios que Singapur sí supo sortear</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Tras la pandemia, el panorama económico internacional se tiño casi de negro con una inflación creciente que tardó años en regularse. Como consecuencia, una inmediata subida de los precios y el coste de la vida que afectó de manera directa al sector inmobiliario. Es desde hace 5 años que el sector vive una de las grandes crisis que más de uno ha asemejado a la burbuja inmobiliaria de 2008. Es lógico pensar en un deja vú y las terribles consecuencias que tuvo hace casi ya 20 años. Aunque las oscilaciones en el mercado son fruto del libre comercio y del mercado de la oferta y la demanda, factores que, sin embargo, Singapur no deja al libre albedrío</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También el país asiático sufrió el atasco en la oferta y una presión de la demanda frutos del COVID que provocaron un alza inmediata en los precios de la vivienda. En esas fechas el Índice Oficial de Reventa (RPI) escaló hasta alcanzar su techo en 2024, la propia HDB estimó un RPI de 192,6 en el tercer trimestre. De igual manera, la vivienda privada ha sufrido un encarecimiento significativo: la Autoridad de Reurbanización Urbana de Singapur (URA) informó de un alza de casi un 4% en el índice de precios de residencial privado en el durante 2024, con un crecimiento trimestre del 2,3% durante el cuarto trimestre. Por su parte, y desde el inicio del presente año, lo que se observa en el mercado es una desaceleración de casi un 1%, al menos durante el primer semestre.</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Así, el Gobierno aceleró el pasado año el ritmo de lanzamientos para estabilizar precios y tiempos de espera, llegando a anunciar casi 20.000 viviendas públicas en el segundo semestre de 2024 y con la vista puesta en nuevas promociones para durante 2025.</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Todo esto lo que refleja es una variación cíclica común en el sector, la del aumento de precios cuando se desajusta el equilibrio entre la demanda y la oferta, con la diferencia que el Estado singapurense responde a basa de vivienda pública, que se puede adjudicar por sorteo y por ciertos criterios de elegibilidad.</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Penalización a los grandes tenedores</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La sostenibilidad del modelo singapurense es resultado en parte de la presión fiscal que somete a los grandes tenedores. Un diseño institucional que incluye más impuestos a propietarios de segundas, terceras y más residencias para priorizar la ocupación propia sobre la inversión, y estabilizar expectativas de precio.</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 xml:space="preserve">En Singapur existen hasta tres tipos de fiscalidad disuasoria para evitar la especulación inmobiliaria crecientes con la suma de más propiedades. Regulado por la Agencia Tributaria </w:t>
      </w:r>
      <w:r w:rsidRPr="002B2CF6">
        <w:rPr>
          <w:rFonts w:ascii="Times New Roman" w:hAnsi="Times New Roman" w:cs="Times New Roman"/>
          <w:sz w:val="24"/>
          <w:szCs w:val="24"/>
        </w:rPr>
        <w:lastRenderedPageBreak/>
        <w:t>(IRAS por sus siglas en inglés), el Property Tax afecta a todos los residentes en Singapur, sean propietario o alquilados. De esta manera, las viviendas ocupadas por su propietario disfrutan de tipos más bajos, pero desde 2023 se han escalonado al alza; en este mismo año, el tipo impositivo puede ascender hasta el 32%, mientras que para los propietarios que no vivan en su propia vivienda el gravamen es más alto.</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En España, el porcentaje habitual de IVA sobre una vivienda es del 10%; cantidad fija para las de obra nueva, aunque variable para inmuebles de 2º mano (dependiendo de cada comunidad autónoma puede bajar hasta el 6%), pero la cifra es la misma independientemente de si adquieres una, dos o seis inmuebles.</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En Singapur, sin embargo, los ciudadanos pueden llegar a pagar hasta un 20% más por su segunda vivienda y 30% para la tercera o sucesivas. Por su parte los residentes permanentes soportan entre un 30% y un 35% a partir de la segunda; y los extranjeros tributan 60% en cualquier compra. Además, estas cifras también son diferentes para las entidades, que tributan al 65%. El mensaje de la política aplicada refleja el respaldo estatal para la adquisición de la primera vivienda, no así para las carteras especulativas.</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¿Puede España copiar el modelo de Singapur?</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Según los datos del INE, alrededor del 75% de los españoles es propietario de su vivienda, una de las tasas más altas de Europa, pero algo lejana todavía a las cifras de Singapur. Esta variación afecta de manera especial a los más jóvenes. La crisis de la vivienda incide en este segmento de la población a causa de los actuales precios tan altos y a su vez de los bajos sueldos, que imposibilitan también la capacidad de ahorro. El esfuerzo del Banco Central, entidades financieras, Gobierno y autonomía se resume en una serie de medidas fiscales, ayudas y subvenciones que han sido (al menos hasta ahora) insuficientes para estimular la regulación del mercado, con una demanda muy superior a la oferta.</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Cabe destacar también que, a diferencia del país asiático, España no dispone de un promotor público nacional con escala y continuidad semejantes a HDB. Las comunidades y ayuntamientos promueven parque social y asequible, pero de forma dispersa. De hecho, España está a la cola europea en cuanto a construcción de viviendas públicas se refiere: en la última década tan solo se han levantado 8.600 inmuebles de este tipo, teniendo en cuenta que se necesita 1,2 millones para alcanza la media del resto del continente, según el propio BE.</w:t>
      </w:r>
    </w:p>
    <w:p w:rsidR="00043F6A" w:rsidRPr="002B2CF6"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Por diferencias estructurales, existen elementos del modelo de Singapur que no podemos exportar a España, pero hay otros que sí, como por ejemplo el referido a la vivienda pública, calificando de público más suelo urbanizable. También el referido a los gravámenes según la cantidad de viviendas, o incluso también aplicar en zonas tensionadas y para inmuebles vacíos. En cuanto al IBI, podrían aplicarse tramos más altos para las no ocupadas, con exenciones a la vivienda habitual y a pequeños ahorradores</w:t>
      </w:r>
    </w:p>
    <w:p w:rsidR="00043F6A" w:rsidRDefault="00043F6A" w:rsidP="00043F6A">
      <w:pPr>
        <w:spacing w:line="240" w:lineRule="auto"/>
        <w:jc w:val="both"/>
        <w:rPr>
          <w:rFonts w:ascii="Times New Roman" w:hAnsi="Times New Roman" w:cs="Times New Roman"/>
          <w:sz w:val="24"/>
          <w:szCs w:val="24"/>
        </w:rPr>
      </w:pPr>
      <w:r w:rsidRPr="002B2CF6">
        <w:rPr>
          <w:rFonts w:ascii="Times New Roman" w:hAnsi="Times New Roman" w:cs="Times New Roman"/>
          <w:sz w:val="24"/>
          <w:szCs w:val="24"/>
        </w:rPr>
        <w:t>A corto plazo es casi inviable equiparar los dos modelos, pero el incremento de la obra pública y de la aplicación de nuevos tipos impositivos para evitar la especulación pueden resultar a largo plazo. Al final, la lección de Singapur no es sólo construir mucho, sino construir bien y de manera constante a la vez que se mantiene el objetivo por la vía fiscal: que la primera vivienda sea más accesible.</w:t>
      </w:r>
    </w:p>
    <w:p w:rsidR="007051FB" w:rsidRDefault="007051FB" w:rsidP="00043F6A">
      <w:pPr>
        <w:spacing w:line="240" w:lineRule="auto"/>
        <w:jc w:val="both"/>
        <w:rPr>
          <w:rFonts w:ascii="Times New Roman" w:hAnsi="Times New Roman" w:cs="Times New Roman"/>
          <w:sz w:val="24"/>
          <w:szCs w:val="24"/>
        </w:rPr>
      </w:pPr>
    </w:p>
    <w:p w:rsidR="007051FB" w:rsidRDefault="007051FB" w:rsidP="00043F6A">
      <w:pPr>
        <w:spacing w:line="240" w:lineRule="auto"/>
        <w:jc w:val="both"/>
        <w:rPr>
          <w:rFonts w:ascii="Times New Roman" w:hAnsi="Times New Roman" w:cs="Times New Roman"/>
          <w:sz w:val="24"/>
          <w:szCs w:val="24"/>
        </w:rPr>
      </w:pP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E02468">
        <w:rPr>
          <w:rFonts w:ascii="Times New Roman" w:hAnsi="Times New Roman" w:cs="Times New Roman"/>
          <w:color w:val="FF0000"/>
          <w:sz w:val="24"/>
          <w:szCs w:val="24"/>
          <w:shd w:val="clear" w:color="auto" w:fill="FFFFFF"/>
        </w:rPr>
        <w:lastRenderedPageBreak/>
        <w:t>- Suprimir los festivos hasta alcanzar la media de la OCDE</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E02468">
        <w:rPr>
          <w:rFonts w:ascii="Times New Roman" w:hAnsi="Times New Roman" w:cs="Times New Roman"/>
          <w:noProof/>
          <w:color w:val="000000"/>
          <w:sz w:val="24"/>
          <w:szCs w:val="24"/>
          <w:shd w:val="clear" w:color="auto" w:fill="FFFFFF"/>
          <w:lang w:eastAsia="es-ES"/>
        </w:rPr>
        <w:drawing>
          <wp:inline distT="0" distB="0" distL="0" distR="0" wp14:anchorId="09B5260C" wp14:editId="058147FF">
            <wp:extent cx="2832100" cy="2609850"/>
            <wp:effectExtent l="0" t="0" r="6350" b="0"/>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stretch>
                      <a:fillRect/>
                    </a:stretch>
                  </pic:blipFill>
                  <pic:spPr>
                    <a:xfrm>
                      <a:off x="0" y="0"/>
                      <a:ext cx="2832100" cy="2609850"/>
                    </a:xfrm>
                    <a:prstGeom prst="rect">
                      <a:avLst/>
                    </a:prstGeom>
                  </pic:spPr>
                </pic:pic>
              </a:graphicData>
            </a:graphic>
          </wp:inline>
        </w:drawing>
      </w:r>
      <w:r w:rsidRPr="00E02468">
        <w:rPr>
          <w:rFonts w:ascii="Times New Roman" w:hAnsi="Times New Roman" w:cs="Times New Roman"/>
          <w:noProof/>
          <w:color w:val="000000"/>
          <w:sz w:val="24"/>
          <w:szCs w:val="24"/>
          <w:shd w:val="clear" w:color="auto" w:fill="FFFFFF"/>
          <w:lang w:eastAsia="es-ES"/>
        </w:rPr>
        <w:drawing>
          <wp:inline distT="0" distB="0" distL="0" distR="0" wp14:anchorId="4BB3A680" wp14:editId="4607646D">
            <wp:extent cx="2768600" cy="2470150"/>
            <wp:effectExtent l="0" t="0" r="0" b="6350"/>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a:stretch>
                      <a:fillRect/>
                    </a:stretch>
                  </pic:blipFill>
                  <pic:spPr>
                    <a:xfrm>
                      <a:off x="0" y="0"/>
                      <a:ext cx="2770337" cy="2471700"/>
                    </a:xfrm>
                    <a:prstGeom prst="rect">
                      <a:avLst/>
                    </a:prstGeom>
                  </pic:spPr>
                </pic:pic>
              </a:graphicData>
            </a:graphic>
          </wp:inline>
        </w:drawing>
      </w:r>
    </w:p>
    <w:p w:rsidR="00043F6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(Fuente: es.euronews.com - 21/7/25)</w:t>
      </w:r>
    </w:p>
    <w:p w:rsidR="00043F6A" w:rsidRDefault="00043F6A" w:rsidP="00043F6A">
      <w:pPr>
        <w:spacing w:line="240" w:lineRule="auto"/>
        <w:jc w:val="both"/>
        <w:rPr>
          <w:rFonts w:ascii="Times New Roman" w:hAnsi="Times New Roman" w:cs="Times New Roman"/>
          <w:color w:val="000000"/>
          <w:sz w:val="24"/>
          <w:szCs w:val="24"/>
          <w:shd w:val="clear" w:color="auto" w:fill="FFFFFF"/>
        </w:rPr>
      </w:pPr>
      <w:r w:rsidRPr="00B95781">
        <w:rPr>
          <w:rFonts w:ascii="Times New Roman" w:hAnsi="Times New Roman" w:cs="Times New Roman"/>
          <w:color w:val="000000"/>
          <w:sz w:val="24"/>
          <w:szCs w:val="24"/>
          <w:shd w:val="clear" w:color="auto" w:fill="FFFFFF"/>
        </w:rPr>
        <w:t>¿</w:t>
      </w:r>
      <w:r w:rsidRPr="00B95781">
        <w:rPr>
          <w:rFonts w:ascii="Times New Roman" w:hAnsi="Times New Roman" w:cs="Times New Roman"/>
          <w:color w:val="000000"/>
          <w:sz w:val="24"/>
          <w:szCs w:val="24"/>
          <w:u w:val="single"/>
          <w:shd w:val="clear" w:color="auto" w:fill="FFFFFF"/>
        </w:rPr>
        <w:t>Qué trabajadores disfrutan de más días libres retribuidos al año</w:t>
      </w:r>
      <w:r w:rsidRPr="00B9578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(Fuente: directivosygerentes.es - </w:t>
      </w:r>
      <w:r w:rsidRPr="00FC1BA9">
        <w:rPr>
          <w:rFonts w:ascii="Times New Roman" w:hAnsi="Times New Roman" w:cs="Times New Roman"/>
          <w:b/>
          <w:color w:val="000000"/>
          <w:sz w:val="24"/>
          <w:szCs w:val="24"/>
          <w:shd w:val="clear" w:color="auto" w:fill="FFFFFF"/>
        </w:rPr>
        <w:t>28/8/24</w:t>
      </w:r>
      <w:r>
        <w:rPr>
          <w:rFonts w:ascii="Times New Roman" w:hAnsi="Times New Roman" w:cs="Times New Roman"/>
          <w:color w:val="000000"/>
          <w:sz w:val="24"/>
          <w:szCs w:val="24"/>
          <w:shd w:val="clear" w:color="auto" w:fill="FFFFFF"/>
        </w:rPr>
        <w:t>)</w:t>
      </w:r>
    </w:p>
    <w:p w:rsidR="00043F6A" w:rsidRDefault="00043F6A" w:rsidP="00043F6A">
      <w:pPr>
        <w:spacing w:line="240" w:lineRule="auto"/>
        <w:jc w:val="both"/>
        <w:rPr>
          <w:rFonts w:ascii="Times New Roman" w:hAnsi="Times New Roman" w:cs="Times New Roman"/>
          <w:color w:val="000000"/>
          <w:sz w:val="24"/>
          <w:szCs w:val="24"/>
          <w:shd w:val="clear" w:color="auto" w:fill="FFFFFF"/>
        </w:rPr>
      </w:pPr>
      <w:r w:rsidRPr="00B95781">
        <w:rPr>
          <w:rFonts w:ascii="Times New Roman" w:hAnsi="Times New Roman" w:cs="Times New Roman"/>
          <w:color w:val="000000"/>
          <w:sz w:val="24"/>
          <w:szCs w:val="24"/>
          <w:shd w:val="clear" w:color="auto" w:fill="FFFFFF"/>
        </w:rPr>
        <w:t>En España disfrutamos de 36 días libres pagados al año. San Marino, Andorra y Mónaco están a la cabeza, con 46, 44 y 42 días respectivamente. En la parte baja de la tabla encontramos a Grecia, con 26 días, y a</w:t>
      </w:r>
      <w:r>
        <w:rPr>
          <w:rFonts w:ascii="Times New Roman" w:hAnsi="Times New Roman" w:cs="Times New Roman"/>
          <w:color w:val="000000"/>
          <w:sz w:val="24"/>
          <w:szCs w:val="24"/>
          <w:shd w:val="clear" w:color="auto" w:fill="FFFFFF"/>
        </w:rPr>
        <w:t xml:space="preserve"> Suiza e Irlanda, ambos con 29. </w:t>
      </w:r>
    </w:p>
    <w:p w:rsidR="007051FB" w:rsidRPr="00B95781" w:rsidRDefault="007051FB" w:rsidP="00043F6A">
      <w:pPr>
        <w:spacing w:line="240" w:lineRule="auto"/>
        <w:jc w:val="both"/>
        <w:rPr>
          <w:rFonts w:ascii="Times New Roman" w:hAnsi="Times New Roman" w:cs="Times New Roman"/>
          <w:color w:val="000000"/>
          <w:sz w:val="24"/>
          <w:szCs w:val="24"/>
          <w:shd w:val="clear" w:color="auto" w:fill="FFFFFF"/>
        </w:rPr>
      </w:pPr>
      <w:r w:rsidRPr="003D3648">
        <w:rPr>
          <w:rFonts w:ascii="Times New Roman" w:hAnsi="Times New Roman" w:cs="Times New Roman"/>
          <w:noProof/>
          <w:color w:val="000000"/>
          <w:sz w:val="24"/>
          <w:szCs w:val="24"/>
          <w:shd w:val="clear" w:color="auto" w:fill="FFFFFF"/>
          <w:lang w:eastAsia="es-ES"/>
        </w:rPr>
        <w:drawing>
          <wp:inline distT="0" distB="0" distL="0" distR="0" wp14:anchorId="038FF09F" wp14:editId="440EA362">
            <wp:extent cx="5731510" cy="4260215"/>
            <wp:effectExtent l="0" t="0" r="2540" b="6985"/>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a:stretch>
                      <a:fillRect/>
                    </a:stretch>
                  </pic:blipFill>
                  <pic:spPr>
                    <a:xfrm>
                      <a:off x="0" y="0"/>
                      <a:ext cx="5731510" cy="4260215"/>
                    </a:xfrm>
                    <a:prstGeom prst="rect">
                      <a:avLst/>
                    </a:prstGeom>
                  </pic:spPr>
                </pic:pic>
              </a:graphicData>
            </a:graphic>
          </wp:inline>
        </w:drawing>
      </w:r>
    </w:p>
    <w:p w:rsidR="00043F6A" w:rsidRPr="00B95781" w:rsidRDefault="00043F6A" w:rsidP="00043F6A">
      <w:pPr>
        <w:spacing w:line="240" w:lineRule="auto"/>
        <w:jc w:val="both"/>
        <w:rPr>
          <w:rFonts w:ascii="Times New Roman" w:hAnsi="Times New Roman" w:cs="Times New Roman"/>
          <w:color w:val="000000"/>
          <w:sz w:val="24"/>
          <w:szCs w:val="24"/>
          <w:shd w:val="clear" w:color="auto" w:fill="FFFFFF"/>
        </w:rPr>
      </w:pPr>
      <w:r w:rsidRPr="00B95781">
        <w:rPr>
          <w:rFonts w:ascii="Times New Roman" w:hAnsi="Times New Roman" w:cs="Times New Roman"/>
          <w:color w:val="000000"/>
          <w:sz w:val="24"/>
          <w:szCs w:val="24"/>
          <w:shd w:val="clear" w:color="auto" w:fill="FFFFFF"/>
        </w:rPr>
        <w:lastRenderedPageBreak/>
        <w:t>En un momento marcado por la búsqueda y retención de talento, las empresas juegan sus cartas para ofrecer unas mejores condiciones a sus empleados, que pasan desde un salario justo, a una mejor conciliación, teletrabajo y retribución flexible. Sin embargo, aunque muchos estudios destacan la importancia del tiempo libre en relación con la productividad, a las empresas aún les cuesta conceder más días de vacaciones al trabajador de lo establecido por la ley.</w:t>
      </w:r>
    </w:p>
    <w:p w:rsidR="00043F6A" w:rsidRDefault="00043F6A" w:rsidP="00043F6A">
      <w:pPr>
        <w:spacing w:line="240" w:lineRule="auto"/>
        <w:jc w:val="both"/>
        <w:rPr>
          <w:rFonts w:ascii="Times New Roman" w:hAnsi="Times New Roman" w:cs="Times New Roman"/>
          <w:color w:val="000000"/>
          <w:sz w:val="24"/>
          <w:szCs w:val="24"/>
          <w:shd w:val="clear" w:color="auto" w:fill="FFFFFF"/>
        </w:rPr>
      </w:pPr>
      <w:r w:rsidRPr="00B95781">
        <w:rPr>
          <w:rFonts w:ascii="Times New Roman" w:hAnsi="Times New Roman" w:cs="Times New Roman"/>
          <w:color w:val="000000"/>
          <w:sz w:val="24"/>
          <w:szCs w:val="24"/>
          <w:shd w:val="clear" w:color="auto" w:fill="FFFFFF"/>
        </w:rPr>
        <w:t>Para contrarrestar esto, los gobiernos de los diferentes países establecen, además de un mínimo de días de vacaciones pagadas al año, días festivos ligados a celebraciones religiosas o laicas. Esta suma da como resultado un</w:t>
      </w:r>
      <w:r>
        <w:rPr>
          <w:rFonts w:ascii="Times New Roman" w:hAnsi="Times New Roman" w:cs="Times New Roman"/>
          <w:color w:val="000000"/>
          <w:sz w:val="24"/>
          <w:szCs w:val="24"/>
          <w:shd w:val="clear" w:color="auto" w:fill="FFFFFF"/>
        </w:rPr>
        <w:t>a</w:t>
      </w:r>
      <w:r w:rsidRPr="00B95781">
        <w:rPr>
          <w:rFonts w:ascii="Times New Roman" w:hAnsi="Times New Roman" w:cs="Times New Roman"/>
          <w:color w:val="000000"/>
          <w:sz w:val="24"/>
          <w:szCs w:val="24"/>
          <w:shd w:val="clear" w:color="auto" w:fill="FFFFFF"/>
        </w:rPr>
        <w:t xml:space="preserve"> cantidad fija de días libres al año retribuidos que Coverflex,</w:t>
      </w:r>
      <w:r>
        <w:rPr>
          <w:rFonts w:ascii="Times New Roman" w:hAnsi="Times New Roman" w:cs="Times New Roman"/>
          <w:color w:val="000000"/>
          <w:sz w:val="24"/>
          <w:szCs w:val="24"/>
          <w:shd w:val="clear" w:color="auto" w:fill="FFFFFF"/>
        </w:rPr>
        <w:t xml:space="preserve"> ha querido resumir en un mapa.</w:t>
      </w:r>
    </w:p>
    <w:p w:rsidR="00043F6A" w:rsidRPr="00B95781" w:rsidRDefault="00043F6A" w:rsidP="00043F6A">
      <w:pPr>
        <w:spacing w:line="240" w:lineRule="auto"/>
        <w:jc w:val="both"/>
        <w:rPr>
          <w:rFonts w:ascii="Times New Roman" w:hAnsi="Times New Roman" w:cs="Times New Roman"/>
          <w:color w:val="000000"/>
          <w:sz w:val="24"/>
          <w:szCs w:val="24"/>
          <w:shd w:val="clear" w:color="auto" w:fill="FFFFFF"/>
        </w:rPr>
      </w:pPr>
      <w:r w:rsidRPr="00B95781">
        <w:rPr>
          <w:rFonts w:ascii="Times New Roman" w:hAnsi="Times New Roman" w:cs="Times New Roman"/>
          <w:color w:val="000000"/>
          <w:sz w:val="24"/>
          <w:szCs w:val="24"/>
          <w:shd w:val="clear" w:color="auto" w:fill="FFFFFF"/>
        </w:rPr>
        <w:t>Con el objetivo de dilucidar qué trabajadores están en el top 5 y cuáles a la cola en Europa, Coverflex ha estudiado diferentes fuentes, desde la Organización para la Cooperación y el Desarrollo Económico​ (OCDE), hasta la Organización Internacional del Trabajo (OIT) y diferent</w:t>
      </w:r>
      <w:r>
        <w:rPr>
          <w:rFonts w:ascii="Times New Roman" w:hAnsi="Times New Roman" w:cs="Times New Roman"/>
          <w:color w:val="000000"/>
          <w:sz w:val="24"/>
          <w:szCs w:val="24"/>
          <w:shd w:val="clear" w:color="auto" w:fill="FFFFFF"/>
        </w:rPr>
        <w:t>es webs oficiales de cada país.</w:t>
      </w:r>
    </w:p>
    <w:p w:rsidR="00043F6A" w:rsidRPr="00B95781" w:rsidRDefault="00043F6A" w:rsidP="00043F6A">
      <w:pPr>
        <w:spacing w:line="240" w:lineRule="auto"/>
        <w:jc w:val="both"/>
        <w:rPr>
          <w:rFonts w:ascii="Times New Roman" w:hAnsi="Times New Roman" w:cs="Times New Roman"/>
          <w:color w:val="000000"/>
          <w:sz w:val="24"/>
          <w:szCs w:val="24"/>
          <w:shd w:val="clear" w:color="auto" w:fill="FFFFFF"/>
        </w:rPr>
      </w:pPr>
      <w:r w:rsidRPr="00B95781">
        <w:rPr>
          <w:rFonts w:ascii="Times New Roman" w:hAnsi="Times New Roman" w:cs="Times New Roman"/>
          <w:color w:val="000000"/>
          <w:sz w:val="24"/>
          <w:szCs w:val="24"/>
          <w:shd w:val="clear" w:color="auto" w:fill="FFFFFF"/>
        </w:rPr>
        <w:t>En general en Europa impera la ley de las cuatro semanas de vacaciones retribuidas a la que los gobiernos añaden días festivos para lograr una mayor</w:t>
      </w:r>
      <w:r>
        <w:rPr>
          <w:rFonts w:ascii="Times New Roman" w:hAnsi="Times New Roman" w:cs="Times New Roman"/>
          <w:color w:val="000000"/>
          <w:sz w:val="24"/>
          <w:szCs w:val="24"/>
          <w:shd w:val="clear" w:color="auto" w:fill="FFFFFF"/>
        </w:rPr>
        <w:t xml:space="preserve"> conciliación y productividad. </w:t>
      </w:r>
    </w:p>
    <w:p w:rsidR="00043F6A" w:rsidRPr="00B95781" w:rsidRDefault="00043F6A" w:rsidP="00043F6A">
      <w:pPr>
        <w:spacing w:line="240" w:lineRule="auto"/>
        <w:jc w:val="both"/>
        <w:rPr>
          <w:rFonts w:ascii="Times New Roman" w:hAnsi="Times New Roman" w:cs="Times New Roman"/>
          <w:color w:val="000000"/>
          <w:sz w:val="24"/>
          <w:szCs w:val="24"/>
          <w:shd w:val="clear" w:color="auto" w:fill="FFFFFF"/>
        </w:rPr>
      </w:pPr>
      <w:r w:rsidRPr="00B95781">
        <w:rPr>
          <w:rFonts w:ascii="Times New Roman" w:hAnsi="Times New Roman" w:cs="Times New Roman"/>
          <w:color w:val="000000"/>
          <w:sz w:val="24"/>
          <w:szCs w:val="24"/>
          <w:shd w:val="clear" w:color="auto" w:fill="FFFFFF"/>
        </w:rPr>
        <w:t>Los trabajadores de San Marino, Andorra y Mónaco son los que más días de vacaciones y festivos disfrutan al año, con 46, 44 y 42 días respectivamente. En la parte baja de la tabla encontramos a Grecia, con 26 días, y a</w:t>
      </w:r>
      <w:r>
        <w:rPr>
          <w:rFonts w:ascii="Times New Roman" w:hAnsi="Times New Roman" w:cs="Times New Roman"/>
          <w:color w:val="000000"/>
          <w:sz w:val="24"/>
          <w:szCs w:val="24"/>
          <w:shd w:val="clear" w:color="auto" w:fill="FFFFFF"/>
        </w:rPr>
        <w:t xml:space="preserve"> Suiza e Irlanda, ambos con 29.</w:t>
      </w:r>
    </w:p>
    <w:p w:rsidR="00043F6A" w:rsidRDefault="00043F6A" w:rsidP="00043F6A">
      <w:pPr>
        <w:spacing w:line="240" w:lineRule="auto"/>
        <w:jc w:val="both"/>
        <w:rPr>
          <w:rFonts w:ascii="Times New Roman" w:hAnsi="Times New Roman" w:cs="Times New Roman"/>
          <w:color w:val="000000"/>
          <w:sz w:val="24"/>
          <w:szCs w:val="24"/>
          <w:shd w:val="clear" w:color="auto" w:fill="FFFFFF"/>
        </w:rPr>
      </w:pPr>
      <w:r w:rsidRPr="00B95781">
        <w:rPr>
          <w:rFonts w:ascii="Times New Roman" w:hAnsi="Times New Roman" w:cs="Times New Roman"/>
          <w:color w:val="000000"/>
          <w:sz w:val="24"/>
          <w:szCs w:val="24"/>
          <w:shd w:val="clear" w:color="auto" w:fill="FFFFFF"/>
        </w:rPr>
        <w:t>En España disfrutamos de 36 días libres pagados al año. 12 corresponden a días festivos nacionales marcados por el calendario oficial, junto a 2 locales. Los otros 22 pueden aumentar según el convenio colectivo de cada profesión, aunque nunca puede ser inferior a esos 22 días laborales o 30 naturales.</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147327">
        <w:rPr>
          <w:rFonts w:ascii="Times New Roman" w:hAnsi="Times New Roman" w:cs="Times New Roman"/>
          <w:b/>
          <w:color w:val="FF0000"/>
          <w:sz w:val="24"/>
          <w:szCs w:val="24"/>
          <w:shd w:val="clear" w:color="auto" w:fill="FFFFFF"/>
        </w:rPr>
        <w:t>Nota</w:t>
      </w:r>
      <w:r w:rsidRPr="00147327">
        <w:rPr>
          <w:rFonts w:ascii="Times New Roman" w:hAnsi="Times New Roman" w:cs="Times New Roman"/>
          <w:color w:val="FF0000"/>
          <w:sz w:val="24"/>
          <w:szCs w:val="24"/>
          <w:shd w:val="clear" w:color="auto" w:fill="FFFFFF"/>
        </w:rPr>
        <w:t>: Reducir los días festivos (pasar de 14 -España-, a 9 -Alemania, Países Bajos, Dinamarca), y la Renta Nacional generada (en los 5 días extras de trabajo), se aportará a un “Fondo Nocional de Reparación del Sistema de Pensiones”.</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BD5350">
        <w:rPr>
          <w:rFonts w:ascii="Times New Roman" w:hAnsi="Times New Roman" w:cs="Times New Roman"/>
          <w:b/>
          <w:color w:val="FF0000"/>
          <w:sz w:val="24"/>
          <w:szCs w:val="24"/>
          <w:shd w:val="clear" w:color="auto" w:fill="FFFFFF"/>
        </w:rPr>
        <w:t>Información complementaria</w:t>
      </w:r>
      <w:r>
        <w:rPr>
          <w:rFonts w:ascii="Times New Roman" w:hAnsi="Times New Roman" w:cs="Times New Roman"/>
          <w:b/>
          <w:color w:val="FF0000"/>
          <w:sz w:val="24"/>
          <w:szCs w:val="24"/>
          <w:shd w:val="clear" w:color="auto" w:fill="FFFFFF"/>
        </w:rPr>
        <w:t xml:space="preserve"> I (cuando la barbas de vecino veas rasurar…)</w:t>
      </w:r>
      <w:r>
        <w:rPr>
          <w:rFonts w:ascii="Times New Roman" w:hAnsi="Times New Roman" w:cs="Times New Roman"/>
          <w:color w:val="FF0000"/>
          <w:sz w:val="24"/>
          <w:szCs w:val="24"/>
          <w:shd w:val="clear" w:color="auto" w:fill="FFFFFF"/>
        </w:rPr>
        <w:t xml:space="preserve">: </w:t>
      </w:r>
      <w:r w:rsidRPr="00DB460A">
        <w:rPr>
          <w:rFonts w:ascii="Times New Roman" w:hAnsi="Times New Roman" w:cs="Times New Roman"/>
          <w:color w:val="FF0000"/>
          <w:sz w:val="24"/>
          <w:szCs w:val="24"/>
          <w:shd w:val="clear" w:color="auto" w:fill="FFFFFF"/>
        </w:rPr>
        <w:t>El primer ministro</w:t>
      </w:r>
      <w:r>
        <w:rPr>
          <w:rFonts w:ascii="Times New Roman" w:hAnsi="Times New Roman" w:cs="Times New Roman"/>
          <w:color w:val="FF0000"/>
          <w:sz w:val="24"/>
          <w:szCs w:val="24"/>
          <w:shd w:val="clear" w:color="auto" w:fill="FFFFFF"/>
        </w:rPr>
        <w:t xml:space="preserve"> francés François Bayrou </w:t>
      </w:r>
      <w:r w:rsidRPr="00DB460A">
        <w:rPr>
          <w:rFonts w:ascii="Times New Roman" w:hAnsi="Times New Roman" w:cs="Times New Roman"/>
          <w:color w:val="FF0000"/>
          <w:sz w:val="24"/>
          <w:szCs w:val="24"/>
          <w:shd w:val="clear" w:color="auto" w:fill="FFFFFF"/>
        </w:rPr>
        <w:t>presentó sus directrices generales para el presupuest</w:t>
      </w:r>
      <w:r>
        <w:rPr>
          <w:rFonts w:ascii="Times New Roman" w:hAnsi="Times New Roman" w:cs="Times New Roman"/>
          <w:color w:val="FF0000"/>
          <w:sz w:val="24"/>
          <w:szCs w:val="24"/>
          <w:shd w:val="clear" w:color="auto" w:fill="FFFFFF"/>
        </w:rPr>
        <w:t xml:space="preserve">o de 2026 el martes 15 de julio, y entre ellas, propuso </w:t>
      </w:r>
      <w:r w:rsidR="002F2E9F">
        <w:rPr>
          <w:rFonts w:ascii="Times New Roman" w:hAnsi="Times New Roman" w:cs="Times New Roman"/>
          <w:color w:val="FF0000"/>
          <w:sz w:val="24"/>
          <w:szCs w:val="24"/>
          <w:shd w:val="clear" w:color="auto" w:fill="FFFFFF"/>
        </w:rPr>
        <w:t>la abolición de “dos días festivos”, citando como ejemplos el “Lunes de Pascua” y el “8 de mayo”, aunque dijo estar “</w:t>
      </w:r>
      <w:r w:rsidRPr="00DB460A">
        <w:rPr>
          <w:rFonts w:ascii="Times New Roman" w:hAnsi="Times New Roman" w:cs="Times New Roman"/>
          <w:color w:val="FF0000"/>
          <w:sz w:val="24"/>
          <w:szCs w:val="24"/>
          <w:shd w:val="clear" w:color="auto" w:fill="FFFFFF"/>
        </w:rPr>
        <w:t>dispu</w:t>
      </w:r>
      <w:r w:rsidR="002F2E9F">
        <w:rPr>
          <w:rFonts w:ascii="Times New Roman" w:hAnsi="Times New Roman" w:cs="Times New Roman"/>
          <w:color w:val="FF0000"/>
          <w:sz w:val="24"/>
          <w:szCs w:val="24"/>
          <w:shd w:val="clear" w:color="auto" w:fill="FFFFFF"/>
        </w:rPr>
        <w:t>esto a aceptar o examinar otros”</w:t>
      </w:r>
      <w:r w:rsidRPr="00DB460A">
        <w:rPr>
          <w:rFonts w:ascii="Times New Roman" w:hAnsi="Times New Roman" w:cs="Times New Roman"/>
          <w:color w:val="FF0000"/>
          <w:sz w:val="24"/>
          <w:szCs w:val="24"/>
          <w:shd w:val="clear" w:color="auto" w:fill="FFFFFF"/>
        </w:rPr>
        <w:t>.</w:t>
      </w:r>
    </w:p>
    <w:p w:rsidR="00043F6A" w:rsidRPr="00AF555A" w:rsidRDefault="00043F6A" w:rsidP="00043F6A">
      <w:pPr>
        <w:spacing w:line="240" w:lineRule="auto"/>
        <w:jc w:val="both"/>
        <w:rPr>
          <w:rFonts w:ascii="Times New Roman" w:hAnsi="Times New Roman" w:cs="Times New Roman"/>
          <w:color w:val="FF0000"/>
          <w:sz w:val="24"/>
          <w:szCs w:val="24"/>
          <w:shd w:val="clear" w:color="auto" w:fill="FFFFFF"/>
        </w:rPr>
      </w:pPr>
      <w:r w:rsidRPr="00BD5350">
        <w:rPr>
          <w:rFonts w:ascii="Times New Roman" w:hAnsi="Times New Roman" w:cs="Times New Roman"/>
          <w:b/>
          <w:color w:val="FF0000"/>
          <w:sz w:val="24"/>
          <w:szCs w:val="24"/>
          <w:shd w:val="clear" w:color="auto" w:fill="FFFFFF"/>
        </w:rPr>
        <w:t>Información complementaria II</w:t>
      </w:r>
      <w:r>
        <w:rPr>
          <w:rFonts w:ascii="Times New Roman" w:hAnsi="Times New Roman" w:cs="Times New Roman"/>
          <w:b/>
          <w:color w:val="FF0000"/>
          <w:sz w:val="24"/>
          <w:szCs w:val="24"/>
          <w:shd w:val="clear" w:color="auto" w:fill="FFFFFF"/>
        </w:rPr>
        <w:t xml:space="preserve"> (el tema viene de lejos…)</w:t>
      </w:r>
      <w:r w:rsidRPr="00BD5350">
        <w:rPr>
          <w:rFonts w:ascii="Times New Roman" w:hAnsi="Times New Roman" w:cs="Times New Roman"/>
          <w:b/>
          <w:color w:val="FF0000"/>
          <w:sz w:val="24"/>
          <w:szCs w:val="24"/>
          <w:shd w:val="clear" w:color="auto" w:fill="FFFFFF"/>
        </w:rPr>
        <w:t>:</w:t>
      </w:r>
      <w:r>
        <w:rPr>
          <w:rFonts w:ascii="Times New Roman" w:hAnsi="Times New Roman" w:cs="Times New Roman"/>
          <w:b/>
          <w:color w:val="FF0000"/>
          <w:sz w:val="24"/>
          <w:szCs w:val="24"/>
          <w:shd w:val="clear" w:color="auto" w:fill="FFFFFF"/>
        </w:rPr>
        <w:t xml:space="preserve"> </w:t>
      </w:r>
      <w:r w:rsidRPr="00AF555A">
        <w:rPr>
          <w:rFonts w:ascii="Times New Roman" w:hAnsi="Times New Roman" w:cs="Times New Roman"/>
          <w:color w:val="FF0000"/>
          <w:sz w:val="24"/>
          <w:szCs w:val="24"/>
          <w:shd w:val="clear" w:color="auto" w:fill="FFFFFF"/>
        </w:rPr>
        <w:t>Dijsselbloem se niega a disculparse por decir que los paí</w:t>
      </w:r>
      <w:r w:rsidR="00FE562B">
        <w:rPr>
          <w:rFonts w:ascii="Times New Roman" w:hAnsi="Times New Roman" w:cs="Times New Roman"/>
          <w:color w:val="FF0000"/>
          <w:sz w:val="24"/>
          <w:szCs w:val="24"/>
          <w:shd w:val="clear" w:color="auto" w:fill="FFFFFF"/>
        </w:rPr>
        <w:t>ses del sur se gastan la ayuda “en copas y mujeres”</w:t>
      </w:r>
      <w:r w:rsidRPr="00AF555A">
        <w:rPr>
          <w:rFonts w:ascii="Times New Roman" w:hAnsi="Times New Roman" w:cs="Times New Roman"/>
          <w:color w:val="FF0000"/>
          <w:sz w:val="24"/>
          <w:szCs w:val="24"/>
          <w:shd w:val="clear" w:color="auto" w:fill="FFFFFF"/>
        </w:rPr>
        <w:t>.</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BD5350">
        <w:rPr>
          <w:rFonts w:ascii="Times New Roman" w:hAnsi="Times New Roman" w:cs="Times New Roman"/>
          <w:color w:val="FF0000"/>
          <w:sz w:val="24"/>
          <w:szCs w:val="24"/>
          <w:shd w:val="clear" w:color="auto" w:fill="FFFFFF"/>
        </w:rPr>
        <w:t>En una entrevista con el Frankfurter Allgem</w:t>
      </w:r>
      <w:r>
        <w:rPr>
          <w:rFonts w:ascii="Times New Roman" w:hAnsi="Times New Roman" w:cs="Times New Roman"/>
          <w:color w:val="FF0000"/>
          <w:sz w:val="24"/>
          <w:szCs w:val="24"/>
          <w:shd w:val="clear" w:color="auto" w:fill="FFFFFF"/>
        </w:rPr>
        <w:t xml:space="preserve">ein Zeitung </w:t>
      </w:r>
      <w:r w:rsidRPr="00BD5350">
        <w:rPr>
          <w:rFonts w:ascii="Times New Roman" w:hAnsi="Times New Roman" w:cs="Times New Roman"/>
          <w:color w:val="FF0000"/>
          <w:sz w:val="24"/>
          <w:szCs w:val="24"/>
          <w:shd w:val="clear" w:color="auto" w:fill="FFFFFF"/>
        </w:rPr>
        <w:t>el presidente del Eurogrupo, Jeroen Dijsselbloem, hizo una desafortunada comparación. Preguntado por</w:t>
      </w:r>
      <w:r w:rsidR="002F2E9F">
        <w:rPr>
          <w:rFonts w:ascii="Times New Roman" w:hAnsi="Times New Roman" w:cs="Times New Roman"/>
          <w:color w:val="FF0000"/>
          <w:sz w:val="24"/>
          <w:szCs w:val="24"/>
          <w:shd w:val="clear" w:color="auto" w:fill="FFFFFF"/>
        </w:rPr>
        <w:t xml:space="preserve"> la “solidaridad”</w:t>
      </w:r>
      <w:r w:rsidRPr="00BD5350">
        <w:rPr>
          <w:rFonts w:ascii="Times New Roman" w:hAnsi="Times New Roman" w:cs="Times New Roman"/>
          <w:color w:val="FF0000"/>
          <w:sz w:val="24"/>
          <w:szCs w:val="24"/>
          <w:shd w:val="clear" w:color="auto" w:fill="FFFFFF"/>
        </w:rPr>
        <w:t xml:space="preserve"> dentro de la Eur</w:t>
      </w:r>
      <w:r w:rsidR="002F2E9F">
        <w:rPr>
          <w:rFonts w:ascii="Times New Roman" w:hAnsi="Times New Roman" w:cs="Times New Roman"/>
          <w:color w:val="FF0000"/>
          <w:sz w:val="24"/>
          <w:szCs w:val="24"/>
          <w:shd w:val="clear" w:color="auto" w:fill="FFFFFF"/>
        </w:rPr>
        <w:t>ozona, el holandés aseguró que “</w:t>
      </w:r>
      <w:r w:rsidRPr="00BD5350">
        <w:rPr>
          <w:rFonts w:ascii="Times New Roman" w:hAnsi="Times New Roman" w:cs="Times New Roman"/>
          <w:color w:val="FF0000"/>
          <w:sz w:val="24"/>
          <w:szCs w:val="24"/>
          <w:shd w:val="clear" w:color="auto" w:fill="FFFFFF"/>
        </w:rPr>
        <w:t>En la crisis del euro, los países del Norte se han mostrado solidarios con los países afectados por la crisis. Como socialdemócrata, atribuyo a la solidaridad una importancia excepcional. Pero el que la solicita, tiene también obligaciones. Yo no puedo gastarse todo el dinero en copas y mujere</w:t>
      </w:r>
      <w:r w:rsidR="002F2E9F">
        <w:rPr>
          <w:rFonts w:ascii="Times New Roman" w:hAnsi="Times New Roman" w:cs="Times New Roman"/>
          <w:color w:val="FF0000"/>
          <w:sz w:val="24"/>
          <w:szCs w:val="24"/>
          <w:shd w:val="clear" w:color="auto" w:fill="FFFFFF"/>
        </w:rPr>
        <w:t>s y pedirte luego que me ayudes”</w:t>
      </w:r>
      <w:r w:rsidRPr="00BD5350">
        <w:rPr>
          <w:rFonts w:ascii="Times New Roman" w:hAnsi="Times New Roman" w:cs="Times New Roman"/>
          <w:color w:val="FF0000"/>
          <w:sz w:val="24"/>
          <w:szCs w:val="24"/>
          <w:shd w:val="clear" w:color="auto" w:fill="FFFFFF"/>
        </w:rPr>
        <w:t>.</w:t>
      </w:r>
      <w:r>
        <w:rPr>
          <w:rFonts w:ascii="Times New Roman" w:hAnsi="Times New Roman" w:cs="Times New Roman"/>
          <w:color w:val="FF0000"/>
          <w:sz w:val="24"/>
          <w:szCs w:val="24"/>
          <w:shd w:val="clear" w:color="auto" w:fill="FFFFFF"/>
        </w:rPr>
        <w:t xml:space="preserve"> (El Mundo - </w:t>
      </w:r>
      <w:r w:rsidRPr="00AF555A">
        <w:rPr>
          <w:rFonts w:ascii="Times New Roman" w:hAnsi="Times New Roman" w:cs="Times New Roman"/>
          <w:b/>
          <w:color w:val="FF0000"/>
          <w:sz w:val="24"/>
          <w:szCs w:val="24"/>
          <w:shd w:val="clear" w:color="auto" w:fill="FFFFFF"/>
        </w:rPr>
        <w:t>21/3/17</w:t>
      </w:r>
      <w:r>
        <w:rPr>
          <w:rFonts w:ascii="Times New Roman" w:hAnsi="Times New Roman" w:cs="Times New Roman"/>
          <w:color w:val="FF0000"/>
          <w:sz w:val="24"/>
          <w:szCs w:val="24"/>
          <w:shd w:val="clear" w:color="auto" w:fill="FFFFFF"/>
        </w:rPr>
        <w:t>)</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2D7FB1">
        <w:rPr>
          <w:rFonts w:ascii="Times New Roman" w:hAnsi="Times New Roman" w:cs="Times New Roman"/>
          <w:color w:val="FF0000"/>
          <w:sz w:val="24"/>
          <w:szCs w:val="24"/>
          <w:shd w:val="clear" w:color="auto" w:fill="FFFFFF"/>
        </w:rPr>
        <w:t>- Desregular la actividad empresarial</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 xml:space="preserve">- </w:t>
      </w:r>
      <w:r w:rsidRPr="00B23E7A">
        <w:rPr>
          <w:rFonts w:ascii="Times New Roman" w:hAnsi="Times New Roman" w:cs="Times New Roman"/>
          <w:sz w:val="24"/>
          <w:szCs w:val="24"/>
          <w:u w:val="single"/>
          <w:shd w:val="clear" w:color="auto" w:fill="FFFFFF"/>
        </w:rPr>
        <w:t>El infierno fiscal español</w:t>
      </w:r>
      <w:r w:rsidRPr="00B23E7A">
        <w:rPr>
          <w:rFonts w:ascii="Times New Roman" w:hAnsi="Times New Roman" w:cs="Times New Roman"/>
          <w:sz w:val="24"/>
          <w:szCs w:val="24"/>
          <w:shd w:val="clear" w:color="auto" w:fill="FFFFFF"/>
        </w:rPr>
        <w:t xml:space="preserve"> (The Objective - </w:t>
      </w:r>
      <w:r w:rsidRPr="00B23E7A">
        <w:rPr>
          <w:rFonts w:ascii="Times New Roman" w:hAnsi="Times New Roman" w:cs="Times New Roman"/>
          <w:b/>
          <w:sz w:val="24"/>
          <w:szCs w:val="24"/>
          <w:shd w:val="clear" w:color="auto" w:fill="FFFFFF"/>
        </w:rPr>
        <w:t>21/7/25</w:t>
      </w:r>
      <w:r w:rsidRPr="00B23E7A">
        <w:rPr>
          <w:rFonts w:ascii="Times New Roman" w:hAnsi="Times New Roman" w:cs="Times New Roman"/>
          <w:sz w:val="24"/>
          <w:szCs w:val="24"/>
          <w:shd w:val="clear" w:color="auto" w:fill="FFFFFF"/>
        </w:rPr>
        <w:t>)</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lastRenderedPageBreak/>
        <w:t>(Por Santiago Álvarez García)</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Desde el año 2018 en que se produce la llegada al gobierno de Pedro Sánchez como consecuencia de la moción de censura aprobada por el Congreso de los Diputados el 1 de junio, se ha producido un incremento constante en la carga fiscal soportada por los contribuyentes españoles. En el año 2024 los ingresos obtenidos por los principales impuestos estatales ascendieron a 294.734 millones de euros, 86.049 millones de euros más que en 2018.</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La política fiscal de los sucesivos gobiernos encabezados por Pedro Sánchez desde el 1 de junio de 2018 presenta cuatro rasgos fundamentales:</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1) Un profundo deterioro del papel de los Presupuestos Generales del Estado como instrumento vertebrador de la política económica del Gobierno. Desde el año 2019 se han producido cuatro prórrogas presupuestarias, al no disponer el Gobierno del apoyo parlamentario necesario para aprobar sus proyectos de presupuestos. En las dos primeras, que afectaron a los ejercicios 2019 y 2020, fue necesario prorrogar los Presupuestos Generales de 2018, elaborados por el Gobierno de Mariano Rajoy. Las dos últimas se han producido en los años 2024 y 2025, en los que el Gobierno no llegó a tramitar el Proyecto de Presupuestos en las Cortes, incumpliendo la obligación establecida en el artículo 134.2 de la Constitución Española: “El Gobierno debe presentar ante el Congreso de los Diputados los Presupuestos Generales del Estado al menos tres meses antes de la expiración de los del año anterior”1.</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2) Un incremento constante en la carga fiscal soportada por los contribuyentes españoles.</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3) Un crecimiento todavía superior del gasto público, impulsado fundamentalmente por el consumo público y la remuneración del personal al servicio de las Administraciones Públicas, postergando el gasto dedicado a la inversión productiva.</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4) Finalmente y como consecuencia de los dos elementos anteriores, un crecimiento imparable de la deuda pública. En el período 2024-2028 la deuda del conjunto de las Administraciones Públicas aumentó en 410.827 millones de euros. De este incremento el 98,75%, 405.668 millones de euros, corresponde a la deuda contraída por la Administración Central2.</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En este artículo vamos a analizar el segundo de estos rasgos, el crecimiento de la presión fiscal. El Gobierno no se cansa de transmitir la idea de que esta situación responde a la necesidad de acercar la presión fiscal soportada por los contribuyentes españoles al promedio de la Unión Europea (UE). Este es un planteamiento equivocado, ya que supone obviar varios elementos fundamentales. En primer lugar, olvida el hecho de que la presión fiscal es menor en España por su elevada tasa de desempleo y por el hecho de que el nivel de renta se sitúa por debajo del promedio de la UE. Esto supone que los contribuyentes españoles tienen que hacer un esfuerzo fiscal muy superior al que realizan los contribuyentes de economías más desarrolladas como Alemania o los Países Nórdicos.</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En segundo lugar, no tiene en cuenta que una parte importante del gap fiscal de nuestro país en relación a la media comunitaria se produce por una menor carga fiscal en la imposición indirecta, tanto en el Impuesto sobre el Valor Añadido como en los Impuestos sobre Consumos Específicos. Este diferencial es sensiblemente inferior en los impuestos directos y, sobre todo, en las cotizaciones sociales que se sitúan en la media comunitaria según los datos proporcionados por Eurostat3.</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lastRenderedPageBreak/>
        <w:t>Sin embargo, los mayores incrementos en la carga fiscal se han producido precisamente en el Impuesto sobre la Renta de las Personas Físicas y en las Cotizaciones a la Seguridad Social, lo que supone un lastre tanto para la competitividad de la economía española como para la creación de empleo.</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El crecimiento de la presión fiscal ha sido provocado en buena parte por la adopción de medidas tributarias discrecionales por parte del Gobierno. El Instituto Juan de Mariana ha publicado recientemente un listado de las 94 subidas de impuestos y cotizaciones sociales que se han aprobado desde el año 20194.</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También ha contribuido la falta de adopción de las medidas necesarias para hacer frente a los problemas que ha atravesado la economía española en este período de tiempo.</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En el año 2020, durante la pandemia provocada por la covid-19, España fue uno de los países que movilizó menos recursos para hacer frente a la crisis económica5. La mayor parte de las medidas de impulso fiscal inmediato se materializaron por la vía del gasto</w:t>
      </w:r>
      <w:r>
        <w:rPr>
          <w:rFonts w:ascii="Times New Roman" w:hAnsi="Times New Roman" w:cs="Times New Roman"/>
          <w:sz w:val="24"/>
          <w:szCs w:val="24"/>
          <w:shd w:val="clear" w:color="auto" w:fill="FFFFFF"/>
        </w:rPr>
        <w:t xml:space="preserve"> </w:t>
      </w:r>
      <w:r w:rsidRPr="00B23E7A">
        <w:rPr>
          <w:rFonts w:ascii="Times New Roman" w:hAnsi="Times New Roman" w:cs="Times New Roman"/>
          <w:sz w:val="24"/>
          <w:szCs w:val="24"/>
          <w:shd w:val="clear" w:color="auto" w:fill="FFFFFF"/>
        </w:rPr>
        <w:t>público. Las medidas tributarias consistieron fundamentalmente en aplazamientos de la recaudación, vía mayores aplazamientos y suspensión del plazo de ingreso de determinadas deudas tributarias, por lo que sus efectos recaudatorios fueron transitorios. La única medida de rebaja fiscal, la aplicación del tipo de gravamen 0 en el Impuesto sobre el Valor Añadido al material sanitario esencial para combatir la covid, tuvo un coste recaudatorio estimado de 291 millones de euros.</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Desde el año 2021 la recaudación tributaria se ha visto impulsada por la inflación. Entre enero de 2021 y diciembre de 2024 el índice de Precios al Consumo (IPC) aumentó el 19,4%. Sin embargo, como veremos en el siguiente apartado, el Gobierno no aprobó ninguna medida de indexación del IRPF y las medidas aprobadas en el ámbito de la imposición indirecta no compensaron los incrementos recaudatorios debidos a la subida de precios, principalmente en ámbito del IVA. Este incremento de la presión fiscal ha sido acompañado por el Gobierno, habitualmente empeñado en convertirse en la oposición de la oposición, de un discurso deslegitimador de los defensores de opciones fiscales alternativas. Como es sobradamente conocido, la mayor parte de los ataques se concentran en la Comunidad de Madrid, que desarrolla una política fiscal exitosa en términos de crecimiento económico, creación de empleo y atracción de inversiones, reduciendo tipos de gravamen y eliminando impuestos.</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El Gobierno y los partidos políticos que lo apoyan acusan a la Comunidad de Madrid de haberse convertido en un paraíso fiscal. En términos estrictamente tributarios este calificativo resulta falaz, ya que en Madrid ni se han eliminado los impuestos sobre la</w:t>
      </w:r>
      <w:r w:rsidR="002F2E9F">
        <w:rPr>
          <w:rFonts w:ascii="Times New Roman" w:hAnsi="Times New Roman" w:cs="Times New Roman"/>
          <w:sz w:val="24"/>
          <w:szCs w:val="24"/>
          <w:shd w:val="clear" w:color="auto" w:fill="FFFFFF"/>
        </w:rPr>
        <w:t xml:space="preserve"> </w:t>
      </w:r>
      <w:r w:rsidRPr="00B23E7A">
        <w:rPr>
          <w:rFonts w:ascii="Times New Roman" w:hAnsi="Times New Roman" w:cs="Times New Roman"/>
          <w:sz w:val="24"/>
          <w:szCs w:val="24"/>
          <w:shd w:val="clear" w:color="auto" w:fill="FFFFFF"/>
        </w:rPr>
        <w:t>renta, ni se conceden ventajas fiscales desproporcionadas a los no residentes, ni existe ningún tipo de secreto bancario ni de actividad no colaborativa por parte de las autoridades tributarias que faciliten el fraude o la evasión fiscal. Lo único veraz es que, en el ejercicio estricto de sus competencias tributarias, la Comunidad de Madrid ha adoptado medidas de supresión de impuestos propios,</w:t>
      </w:r>
      <w:r>
        <w:rPr>
          <w:rFonts w:ascii="Times New Roman" w:hAnsi="Times New Roman" w:cs="Times New Roman"/>
          <w:sz w:val="24"/>
          <w:szCs w:val="24"/>
          <w:shd w:val="clear" w:color="auto" w:fill="FFFFFF"/>
        </w:rPr>
        <w:t xml:space="preserve"> </w:t>
      </w:r>
      <w:r w:rsidRPr="00B23E7A">
        <w:rPr>
          <w:rFonts w:ascii="Times New Roman" w:hAnsi="Times New Roman" w:cs="Times New Roman"/>
          <w:sz w:val="24"/>
          <w:szCs w:val="24"/>
          <w:shd w:val="clear" w:color="auto" w:fill="FFFFFF"/>
        </w:rPr>
        <w:t>rebajas en el IRPF para compensar en la medida de lo posible a sus contribuyentes de la carga fiscal desproporcionada que soportan en la parte estatal del impuesto, o de bonificación de dos impuestos sumamente controvertidos como el Impuesto sobre</w:t>
      </w:r>
      <w:r>
        <w:rPr>
          <w:rFonts w:ascii="Times New Roman" w:hAnsi="Times New Roman" w:cs="Times New Roman"/>
          <w:sz w:val="24"/>
          <w:szCs w:val="24"/>
          <w:shd w:val="clear" w:color="auto" w:fill="FFFFFF"/>
        </w:rPr>
        <w:t xml:space="preserve"> </w:t>
      </w:r>
      <w:r w:rsidRPr="00B23E7A">
        <w:rPr>
          <w:rFonts w:ascii="Times New Roman" w:hAnsi="Times New Roman" w:cs="Times New Roman"/>
          <w:sz w:val="24"/>
          <w:szCs w:val="24"/>
          <w:shd w:val="clear" w:color="auto" w:fill="FFFFFF"/>
        </w:rPr>
        <w:t>Sucesiones y Donaciones y el Impuesto sobre el Patrimonio. Si el modelo fiscal de Madrid es calificado de paraíso, por contraposición el modelo del Gobierno puede calificarse de infierno fiscal, de ahí el título de este artículo. Solamente nos cabe esperar que no se cumpla lo que dice la inscripción que en su inmortal Divina Comedia encuentra Dante sobre la puerta del infierno: “Abandonar</w:t>
      </w:r>
      <w:r>
        <w:rPr>
          <w:rFonts w:ascii="Times New Roman" w:hAnsi="Times New Roman" w:cs="Times New Roman"/>
          <w:sz w:val="24"/>
          <w:szCs w:val="24"/>
          <w:shd w:val="clear" w:color="auto" w:fill="FFFFFF"/>
        </w:rPr>
        <w:t xml:space="preserve"> </w:t>
      </w:r>
      <w:r w:rsidRPr="00B23E7A">
        <w:rPr>
          <w:rFonts w:ascii="Times New Roman" w:hAnsi="Times New Roman" w:cs="Times New Roman"/>
          <w:sz w:val="24"/>
          <w:szCs w:val="24"/>
          <w:shd w:val="clear" w:color="auto" w:fill="FFFFFF"/>
        </w:rPr>
        <w:t>toda esperanza quienes aquí entráis”, aunque para recuperar la esperanza sea necesario aguardar un cambio de gobierno.</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lastRenderedPageBreak/>
        <w:t>Evolución de la recaudación</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C30C3D">
        <w:rPr>
          <w:rFonts w:ascii="Times New Roman" w:hAnsi="Times New Roman" w:cs="Times New Roman"/>
          <w:noProof/>
          <w:color w:val="000000"/>
          <w:sz w:val="24"/>
          <w:szCs w:val="24"/>
          <w:lang w:eastAsia="es-ES"/>
        </w:rPr>
        <w:drawing>
          <wp:inline distT="0" distB="0" distL="0" distR="0" wp14:anchorId="4B65D713" wp14:editId="1CF8E2CC">
            <wp:extent cx="5732645" cy="2851150"/>
            <wp:effectExtent l="0" t="0" r="1905" b="6350"/>
            <wp:docPr id="221" name="Imagen 221" descr="https://theobjective.com/wp-content/uploads/2025/07/GRAFIC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heobjective.com/wp-content/uploads/2025/07/GRAFICO-1.png"/>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5732645" cy="2851150"/>
                    </a:xfrm>
                    <a:prstGeom prst="rect">
                      <a:avLst/>
                    </a:prstGeom>
                    <a:noFill/>
                    <a:ln>
                      <a:noFill/>
                    </a:ln>
                  </pic:spPr>
                </pic:pic>
              </a:graphicData>
            </a:graphic>
          </wp:inline>
        </w:drawing>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Como muestra el Gráfico 1, la recaudación correspondiente a los impuestos estatales aumentó en el período 2018-20 en 86.049 millones de euros, situándose en 294.734 millones. Si analizamos la evolución de la recaudación de los tres grandes impuestos estatales, más de la mitad de ese crecimiento, 46.549 millones de euros, fue debido al IRPF, que ha sido el único de los grandes impuestos cuya recaudación no se resintió a consecuencia de la pandemia de la covid-19. La recaudación por IVA aumentó en 20.364 millones de euros a lo largo de este período y la del Impuesto sobre Sociedades (IS) en 14.258 millones de euros.</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Romero Jordán (2025)7 considera que hay tres factores principales que contribuyen a explicar este crecimiento recaudatorio: El fuerte impulso en el número de ocupados, que aumentó entre 2019 y 2024 en 1,8 millones. El alza de los salarios monetarios, que el Ministerio de Trabajo cifra en el 15,9% en este período, por debajo de la inflación que fue del 18,2% (el 19,4% si se tiene en cuenta el período comprendido entre enero de 2021 y diciembre de 2024). Finalmente, el impulso de la inflación sobre la recaudación del IRPF, debido a la rémora fiscal o progresividad en frío al no indexarse el impuesto en función de la misma, que estima en 16.800 millones de euros entre 2021 y 2024.</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El Gráfico 2 permite apreciar con mayor claridad el crecimiento de la recaudación a lo largo de este período de tiempo. En conjunto los ingresos tributarios experimentaron un crecimiento recaudatorio del 41,2%, porcentaje que fue del 54,8% en el caso de los ingresos por impuestos directos y del 25,8% en los impuestos indirectos. En lo que se refiere a la evolución de los principales impuestos estatales, la recaudación por IRPF se incrementó en el 56,2%, la del IS en el 57,4% y la del IVA en el 29%. La menor tasa de crecimiento se aprecia en los Impuestos Esp</w:t>
      </w:r>
      <w:r>
        <w:rPr>
          <w:rFonts w:ascii="Times New Roman" w:hAnsi="Times New Roman" w:cs="Times New Roman"/>
          <w:sz w:val="24"/>
          <w:szCs w:val="24"/>
          <w:shd w:val="clear" w:color="auto" w:fill="FFFFFF"/>
        </w:rPr>
        <w:t>eciales, con tan solo el 29,0%.</w:t>
      </w:r>
      <w:r w:rsidRPr="00B23E7A">
        <w:rPr>
          <w:rFonts w:ascii="Times New Roman" w:hAnsi="Times New Roman" w:cs="Times New Roman"/>
          <w:sz w:val="24"/>
          <w:szCs w:val="24"/>
          <w:shd w:val="clear" w:color="auto" w:fill="FFFFFF"/>
        </w:rPr>
        <w:t xml:space="preserve"> </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C30C3D">
        <w:rPr>
          <w:rFonts w:ascii="Times New Roman" w:hAnsi="Times New Roman" w:cs="Times New Roman"/>
          <w:noProof/>
          <w:color w:val="000000"/>
          <w:sz w:val="24"/>
          <w:szCs w:val="24"/>
          <w:lang w:eastAsia="es-ES"/>
        </w:rPr>
        <w:lastRenderedPageBreak/>
        <w:drawing>
          <wp:inline distT="0" distB="0" distL="0" distR="0" wp14:anchorId="742D669C" wp14:editId="0CC66B35">
            <wp:extent cx="5731510" cy="2895607"/>
            <wp:effectExtent l="0" t="0" r="2540" b="0"/>
            <wp:docPr id="215" name="Imagen 215" descr="https://theobjective.com/wp-content/uploads/2025/07/GRAFIC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heobjective.com/wp-content/uploads/2025/07/GRAFICO-2.pn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5731510" cy="2895607"/>
                    </a:xfrm>
                    <a:prstGeom prst="rect">
                      <a:avLst/>
                    </a:prstGeom>
                    <a:noFill/>
                    <a:ln>
                      <a:noFill/>
                    </a:ln>
                  </pic:spPr>
                </pic:pic>
              </a:graphicData>
            </a:graphic>
          </wp:inline>
        </w:drawing>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La rémora fiscal del IRPF</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Como se ha reiterado a lo largo de este artículo, una de las mayores carencias de la política tributaria del Gobierno desde que comenzara la crisis inflacionaria en el año 2021 ha sido la falta de indexación del IRPF a la inflación.</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Los principales parámetros que determinan la tributación por este impuesto, cálculo de la base imponible, deducciones y desgravaciones y tarifas de tipos impositivos, se configuran en términos nominales. Por otra parte, la progresividad del impuesto implica la aplicación de tipos de gravamen crecientes a medida que aumenta la renta nominal declarada. La conjunción de estos dos elementos provoca que, en ausencia de ajustes, los incrementos en la renta nominal declarada por los contribuyentes provocados por el aumento del nivel de precios aumenten su carga tributaria, aunque no hayan experimentado un increm</w:t>
      </w:r>
      <w:r>
        <w:rPr>
          <w:rFonts w:ascii="Times New Roman" w:hAnsi="Times New Roman" w:cs="Times New Roman"/>
          <w:sz w:val="24"/>
          <w:szCs w:val="24"/>
          <w:shd w:val="clear" w:color="auto" w:fill="FFFFFF"/>
        </w:rPr>
        <w:t>ento en su capacidad económica.</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Buena parte de este crecimiento recaudatorio procede de los pensionistas, ya que las pensiones se han revalorizado en función de la inflación, y de los trabajadores que han obtenido aumentos salariales en estos años.</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Para corregir la rémora inflacionaria es preciso que tanto las tarifas de tipos impositivos como los mínimos personales y familiares, reducciones y desgravaciones de la cuota se indexen anualmente en función de la inflación.</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Los Cuadros 1 y 2 recogen las tarifas de tipos impositivos estatales aplicables en el IRPF en el año 2018 y a partir del 2021. En el año 2021 se incluyó un nuevo tramo en la base liquidable general del impuesto para bases superiores a 300.000 euros, con un tipo marginal del 24,50%, y otro en la base liquidable del ahorro para bases superiores a 200.000 euros, que tributará a un tipo impositivo marginal del 13%.</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C30C3D">
        <w:rPr>
          <w:rFonts w:ascii="Times New Roman" w:hAnsi="Times New Roman" w:cs="Times New Roman"/>
          <w:noProof/>
          <w:color w:val="000000"/>
          <w:sz w:val="24"/>
          <w:szCs w:val="24"/>
          <w:lang w:eastAsia="es-ES"/>
        </w:rPr>
        <w:lastRenderedPageBreak/>
        <w:drawing>
          <wp:inline distT="0" distB="0" distL="0" distR="0" wp14:anchorId="6AE146F1" wp14:editId="5F6B708D">
            <wp:extent cx="5626100" cy="4337050"/>
            <wp:effectExtent l="0" t="0" r="0" b="6350"/>
            <wp:docPr id="216" name="Imagen 216" descr="https://theobjective.com/wp-content/uploads/2025/07/CUADROS-1-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theobjective.com/wp-content/uploads/2025/07/CUADROS-1-Y-2.png"/>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626100" cy="4337050"/>
                    </a:xfrm>
                    <a:prstGeom prst="rect">
                      <a:avLst/>
                    </a:prstGeom>
                    <a:noFill/>
                    <a:ln>
                      <a:noFill/>
                    </a:ln>
                  </pic:spPr>
                </pic:pic>
              </a:graphicData>
            </a:graphic>
          </wp:inline>
        </w:drawing>
      </w:r>
    </w:p>
    <w:p w:rsidR="007051FB"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 xml:space="preserve">Para el ejercicio 2025 se ha añadido un nuevo tramo en la tarifa de tipos impositivos aplicables a la base liquidable del ahorro, de forma que las bases de cuantía superior a 300.000 euros deberán aplicar un tipo marginal del 15% sobre el exceso. </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En el cuadro 3 se presentan las tarifas de tipos impositivos que deberían aplicarse en el ejercicio 2025 indexadas para corregir la inflación acumulada en el período 2021-2024.</w:t>
      </w:r>
    </w:p>
    <w:p w:rsidR="007051FB" w:rsidRPr="00B23E7A" w:rsidRDefault="007051FB" w:rsidP="007051FB">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 xml:space="preserve">Finalmente, el Cuadro 4 recoge el importe nominal de mínimos personales y familiares, reducciones y deducciones de la cuota y el importe indexado en función de la inflación acumulada, lo que permite observar la pérdida de valor que han sufrido a lo largo de este período. </w:t>
      </w:r>
    </w:p>
    <w:p w:rsidR="007051FB" w:rsidRDefault="007051FB" w:rsidP="00043F6A">
      <w:pPr>
        <w:spacing w:line="240" w:lineRule="auto"/>
        <w:jc w:val="both"/>
        <w:rPr>
          <w:rFonts w:ascii="Times New Roman" w:hAnsi="Times New Roman" w:cs="Times New Roman"/>
          <w:sz w:val="24"/>
          <w:szCs w:val="24"/>
          <w:shd w:val="clear" w:color="auto" w:fill="FFFFFF"/>
        </w:rPr>
      </w:pP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C30C3D">
        <w:rPr>
          <w:rFonts w:ascii="Times New Roman" w:hAnsi="Times New Roman" w:cs="Times New Roman"/>
          <w:noProof/>
          <w:color w:val="000000"/>
          <w:sz w:val="24"/>
          <w:szCs w:val="24"/>
          <w:lang w:eastAsia="es-ES"/>
        </w:rPr>
        <w:lastRenderedPageBreak/>
        <w:drawing>
          <wp:inline distT="0" distB="0" distL="0" distR="0" wp14:anchorId="475304C4" wp14:editId="56EAAB51">
            <wp:extent cx="2819400" cy="4368800"/>
            <wp:effectExtent l="0" t="0" r="0" b="0"/>
            <wp:docPr id="218" name="Imagen 218" descr="https://theobjective.com/wp-content/uploads/2025/07/CUADRO-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theobjective.com/wp-content/uploads/2025/07/CUADRO-4.png"/>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2819400" cy="4368800"/>
                    </a:xfrm>
                    <a:prstGeom prst="rect">
                      <a:avLst/>
                    </a:prstGeom>
                    <a:noFill/>
                    <a:ln>
                      <a:noFill/>
                    </a:ln>
                  </pic:spPr>
                </pic:pic>
              </a:graphicData>
            </a:graphic>
          </wp:inline>
        </w:drawing>
      </w:r>
      <w:r w:rsidRPr="00C30C3D">
        <w:rPr>
          <w:rFonts w:ascii="Times New Roman" w:hAnsi="Times New Roman" w:cs="Times New Roman"/>
          <w:noProof/>
          <w:color w:val="000000"/>
          <w:sz w:val="24"/>
          <w:szCs w:val="24"/>
          <w:lang w:eastAsia="es-ES"/>
        </w:rPr>
        <w:drawing>
          <wp:inline distT="0" distB="0" distL="0" distR="0" wp14:anchorId="03BB33A5" wp14:editId="3FB90607">
            <wp:extent cx="2673350" cy="6096000"/>
            <wp:effectExtent l="0" t="0" r="0" b="0"/>
            <wp:docPr id="222" name="Imagen 222" descr="https://theobjective.com/wp-content/uploads/2025/07/cuadro-4-cuadernos-fa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theobjective.com/wp-content/uploads/2025/07/cuadro-4-cuadernos-faes.png"/>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2673350" cy="6096000"/>
                    </a:xfrm>
                    <a:prstGeom prst="rect">
                      <a:avLst/>
                    </a:prstGeom>
                    <a:noFill/>
                    <a:ln>
                      <a:noFill/>
                    </a:ln>
                  </pic:spPr>
                </pic:pic>
              </a:graphicData>
            </a:graphic>
          </wp:inline>
        </w:drawing>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El aumento de los costes indirectos de la imposición</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Normalmente, la economía de la imposición centra sus análisis en los costes directos de la tributación. Es decir, en la pérdida de bienestar que se produce como consecuencia de las distorsiones en la actividad económica que provocan los impuestos. Así, la denominada teoría de la imposición óptima estudia cuáles son los impuestos más adecuados para obtener una recaudación determinada con los menores costes directos posibles.</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La proliferación de cambios y normas tributarias ha desconfigurado el sistema tributario español, parcheando los principales impuestos y creando otros en función de las necesidades recaudatorias</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Sin embargo, la tributación también provoca una serie de costes indirectos que se producen tanto para la Administración, costes de recaudación e inspección de los tributos, como para los contribuyentes, costes de cumplimiento tributario.</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lastRenderedPageBreak/>
        <w:t>Desde el año 2018 no solamente ha aumentado en España la presión fiscal, sino también los costes de cumplimiento para los contribuyentes. La proliferación de cambios y normas tributarias ha desconfigurado el sistema tributario español, parcheando los principales impuestos y creando otros en función de las necesidades recaudatorias de cada momento.</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Dos ejemplos sirven para ilustrar sobradamente esta afirmación. El 27 de diciembre de 2022 se aprueba la Ley 38/2022, por la que se establecen los gravámenes temporales energético y de entidades de crédito y establecimientos financieros de crédito, y por la que se crea el impuesto temporal de solidaridad de las grandes fortunas y se modifican determinadas normas tributarias.</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Este último impuesto se introdujo mediante una enmienda presentada el 11 de noviembre de 2022, durante la tramitación parlamentaria de la Ley, y ha supuesto la creación de un tributo superpuesto al Impuesto sobre el Patrimonio, con la consiguiente intromisión en una competencia autonómica. Además, su entrada en vigor se produce en el propio ejercicio 2022, quebrando la seguridad jurídica y la confianza legítima de los contribuyentes.</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Los gravámenes temporales energético y sobre las entidades financieras y establecimientos financieros de crédito se configuran, según la Ley, como prestaciones patrimoniales de carácter público no tributario que, bajo el pretendido objetivo de gravar beneficios extraordinarios de estos sectores, definen su hecho imponible sobre magnitudes que no tienen nada que ver con el beneficio real de las entidades afectadas, que ya tributan en el Impuesto sobre Sociedades, en el que no tendrán la consideración de gasto fiscalmente deducible.</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Estos impuestos han abierto el temor a que se apliquen nuevos gravámenes ad hoc sobre sectores en los que el Gobierno considera que se están generando beneficios extraordinarios, sin considerar los efectos negativos que pueden tener sobre las decisiones empresariales, la inversión o el crecimiento económico. El segundo ejemplo muestra claramente la ceremonia de la confusión en la que se mueve el diseño de la política tributaria. Los pactos parlamentarios necesarios para la aprobación de la Ley 7/2024, de 20 de diciembre, por la que se establecen diversos impuestos8, llevaron a la derogación del gravamen temporal energético, que el Gobierno recuperó el día 23 de ese mes mediante el Real Decreto-ley 10/2024 que no fue convalidado por el Congreso el 22 de enero de 2025.</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En este contexto, a nadie le puede extrañar que, en una reciente encuesta de opinión realizada por el Registro de Economistas Asesores Fiscales9 entre profesionales dedicados a esta actividad, haya una opinión mayoritaria sobre que el actual sistema fiscal español es el peor en comparación con cualquier período anterior, con la peor valoración desde el año 2020 en que empezó a realizarse el estudio.</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A modo de conclusión</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Desde el año 2018, los principios de la imposición que deben ilustrar el diseño y el funcionamiento de un buen sistema tributario han sido sustituidos por el Gobierno de España por un único principio: el recaudatorio.</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La política tributaria se inspira en el aserto del Ministro de Hacienda de la Francia de Luis XIV, Colbert, que planteaba que: “el arte de la tributación consiste en desplumar el ganso para obtener la mayor cantidad de plumas con el menor número posible de graznidos”.</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La factura fiscal de los hogares españoles ha crecido hasta oscilar entre el 30 y el 35% de la renta de un hogar representativo de renta media</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lastRenderedPageBreak/>
        <w:t>La factura fiscal de los hogares españoles ha crecido hasta oscilar entre el 30 y el 35% de la renta de un hogar representativo de renta media10. El crecimiento de la recaudación tributaria no ha servido para reducir de manera significativa el déficit público. Los avances conseguidos para acercarse al cumplimiento de los objetivos de estabilidad marcados por el Gobierno son el fruto tanto del crecimiento del PIB en estos años postpandemia, impulsado por el aumento del consumo tanto público como privado, como de los esfuerzos realizados por otros sectores de las Administraciones Públicas, como las Comunidades Autónomas y las Corporaciones Locales. Como puede apreciarse en el Gráfico 3, la Administración Central no solamente no contribuye a la estabilidad presupuestaria, sino que ha incrementado en un punto su déficit en el ejercicio 2024.</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C30C3D">
        <w:rPr>
          <w:rFonts w:ascii="Times New Roman" w:hAnsi="Times New Roman" w:cs="Times New Roman"/>
          <w:noProof/>
          <w:color w:val="000000"/>
          <w:sz w:val="24"/>
          <w:szCs w:val="24"/>
          <w:lang w:eastAsia="es-ES"/>
        </w:rPr>
        <w:drawing>
          <wp:inline distT="0" distB="0" distL="0" distR="0" wp14:anchorId="03294B0A" wp14:editId="623063CC">
            <wp:extent cx="5732792" cy="3213100"/>
            <wp:effectExtent l="0" t="0" r="1270" b="6350"/>
            <wp:docPr id="220" name="Imagen 220" descr="https://theobjective.com/wp-content/uploads/2025/07/GRAFICO-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theobjective.com/wp-content/uploads/2025/07/GRAFICO-3.png"/>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731510" cy="3212382"/>
                    </a:xfrm>
                    <a:prstGeom prst="rect">
                      <a:avLst/>
                    </a:prstGeom>
                    <a:noFill/>
                    <a:ln>
                      <a:noFill/>
                    </a:ln>
                  </pic:spPr>
                </pic:pic>
              </a:graphicData>
            </a:graphic>
          </wp:inline>
        </w:drawing>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La situación de las finanzas públicas, unida a la inestabilidad política, plantea un serio interrogante sobre la posibilidad de que España cumpla el plan fiscal acordado con la UE en el nuevo marco de gobernanza fiscal comunitaria, que obliga a reducir el déficit público de forma progresiva hasta situarlo en el 0,8% del PIB en el año 2031.</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Este artículo ha sido publicado originalmente en la revista Cuadernos FAES de pensamiento político. Si quiere leer otros textos parecidos o saber más sobre esa publicación, puede visitar su página web.</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 xml:space="preserve">1 Un análisis en profundidad de las prórrogas presupuestarias y sus efectos se realiza en Rubio Guerrero, J.J. y Álvarez García, S. (2025): “La prórroga presupuestaria en España 2025: de expediente extraordinario a fórmula habitual”, en Instituto de Estudios Económicos: La prórroga para 2025 de los Presupuestos Generales del Estado, Opinión del IEE, mayo 2025. </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 xml:space="preserve">2 Fuente: Banco de España: Cuentas de las Administraciones Públicas, junio de 2025. </w:t>
      </w:r>
    </w:p>
    <w:p w:rsidR="00043F6A" w:rsidRPr="00B23E7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3 Eurostat: Data on taxation trends, actualizado en marzo de 2025 con los datos correspondientes a 2023.</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 xml:space="preserve">4 Instituto Juan de Mariana (2025): Impuestómetro 2025. Un estudio crítico de la onerosa carga fiscal soportada por los contribuyentes españoles, abril de 2025. </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lastRenderedPageBreak/>
        <w:t xml:space="preserve">5 Rubio Guerrero, J.J. y Álvarez García, S. (2021): “La política tributaria española en tiempos de pandemia”, Economistas, 172-173, pp. 278-289. </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 xml:space="preserve">6 Los datos sobre recaudación tributaria empleados en este trabajo proceden de Agencia Estatal de Administración Tributaria (2025): Informe anual de Recaudación Tributaria 2024, mayo de 2025. </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 xml:space="preserve">7 Romero Jordán, D. (2025): “Aumento de la presión fiscal en los principales impuestos: el IRPF en el punto de mira”, Cuadernos de Información Económica, 306, pp. 82-92. </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 xml:space="preserve">8 El Impuesto Complementario para garantizar un nivel mínimo global de imposición para los grupos multinacionales y los grupos nacionales de gran magnitud, el Impuesto sobre el margen de intereses y comisiones de determinadas entidades financieras y el Impuesto sobre los líquidos para cigarrillos electrónicos y otros productos relacionados con el tabaco. </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 xml:space="preserve">9 Registro de Economistas Asesores Fiscales (REAF) (2025): La opinión de los economistas asesores fiscales sobre nuestro sistema tributario, mayo de 2025, Sexta Edición. </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 xml:space="preserve">10 Consejo General de Economistas (2025): Factura fiscal de los hogares españoles, abril de 2024. </w:t>
      </w:r>
    </w:p>
    <w:p w:rsidR="00043F6A" w:rsidRDefault="00043F6A" w:rsidP="00043F6A">
      <w:pPr>
        <w:spacing w:line="240" w:lineRule="auto"/>
        <w:jc w:val="both"/>
        <w:rPr>
          <w:rFonts w:ascii="Times New Roman" w:hAnsi="Times New Roman" w:cs="Times New Roman"/>
          <w:sz w:val="24"/>
          <w:szCs w:val="24"/>
          <w:shd w:val="clear" w:color="auto" w:fill="FFFFFF"/>
        </w:rPr>
      </w:pPr>
      <w:r w:rsidRPr="00B23E7A">
        <w:rPr>
          <w:rFonts w:ascii="Times New Roman" w:hAnsi="Times New Roman" w:cs="Times New Roman"/>
          <w:sz w:val="24"/>
          <w:szCs w:val="24"/>
          <w:shd w:val="clear" w:color="auto" w:fill="FFFFFF"/>
        </w:rPr>
        <w:t>11 Banco de España (2025): Cuentas de las Adminis</w:t>
      </w:r>
      <w:r>
        <w:rPr>
          <w:rFonts w:ascii="Times New Roman" w:hAnsi="Times New Roman" w:cs="Times New Roman"/>
          <w:sz w:val="24"/>
          <w:szCs w:val="24"/>
          <w:shd w:val="clear" w:color="auto" w:fill="FFFFFF"/>
        </w:rPr>
        <w:t>traciones Públicas, junio 2025.</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 xml:space="preserve">- </w:t>
      </w:r>
      <w:r w:rsidRPr="00FA7232">
        <w:rPr>
          <w:rFonts w:ascii="Times New Roman" w:hAnsi="Times New Roman" w:cs="Times New Roman"/>
          <w:sz w:val="24"/>
          <w:szCs w:val="24"/>
          <w:u w:val="single"/>
        </w:rPr>
        <w:t>La industria pierde el 25% de su empleo en España desde el año 2000</w:t>
      </w:r>
      <w:r w:rsidRPr="00FA7232">
        <w:rPr>
          <w:rFonts w:ascii="Times New Roman" w:hAnsi="Times New Roman" w:cs="Times New Roman"/>
          <w:sz w:val="24"/>
          <w:szCs w:val="24"/>
        </w:rPr>
        <w:t xml:space="preserve"> (El Economista - </w:t>
      </w:r>
      <w:r w:rsidRPr="00FA7232">
        <w:rPr>
          <w:rFonts w:ascii="Times New Roman" w:hAnsi="Times New Roman" w:cs="Times New Roman"/>
          <w:b/>
          <w:sz w:val="24"/>
          <w:szCs w:val="24"/>
        </w:rPr>
        <w:t>22/7/25</w:t>
      </w:r>
      <w:r w:rsidRPr="00FA7232">
        <w:rPr>
          <w:rFonts w:ascii="Times New Roman" w:hAnsi="Times New Roman" w:cs="Times New Roman"/>
          <w:sz w:val="24"/>
          <w:szCs w:val="24"/>
        </w:rPr>
        <w:t>)</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La desindustrialización ya ha costado más de 723.000 puestos en el sector este siglo</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Su aportación a la renta nacional ha pasado del 17,9% al 11,8% según un estudio</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La industria española es más eficiente en energía, pero le cuesta más cara</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(Por Ángel C. Álvarez)</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La economía española no ha dejado de perder músculo industrial durante el primer cuarto de este siglo. La tendencia a la deslocalización y la desindustrialización en las últimas décadas ha tenido un impacto notable en la caída de lo que aporta la industria a la renta española, que ha pasado de generar el 17,9% en el año 2000 al 11,8%, seis puntos menos, según los últimos datos de 2024.</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El golpe ha sido incluso más traumático en el mercado laboral. Actualmente la industria manufacturera no llega a suponer uno de cada 10 empleos en España, cuando hace 25 años representaba 17,3%.</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La caída del peso de la actividad industrial dentro de la economía española es una tendencia que queda claramente reflejada en la última monografía elaborada por la Fundación BBVA y el Instituto Valenciano de Investigaciones Económicas (Ivie). Según los datos que recoge, en la industria manufacturera española trabajan actualmente 2.170.000 personas, alrededor del 9,9% del empleo total del país. Esto significa que desde 2000 a 2024 el tejido industrial ha</w:t>
      </w:r>
      <w:r w:rsidR="007051FB">
        <w:rPr>
          <w:rFonts w:ascii="Times New Roman" w:hAnsi="Times New Roman" w:cs="Times New Roman"/>
          <w:sz w:val="24"/>
          <w:szCs w:val="24"/>
        </w:rPr>
        <w:t xml:space="preserve"> perdido 723.500 trabajadores, “</w:t>
      </w:r>
      <w:r w:rsidRPr="00FA7232">
        <w:rPr>
          <w:rFonts w:ascii="Times New Roman" w:hAnsi="Times New Roman" w:cs="Times New Roman"/>
          <w:sz w:val="24"/>
          <w:szCs w:val="24"/>
        </w:rPr>
        <w:t>lo que</w:t>
      </w:r>
      <w:r w:rsidR="007051FB">
        <w:rPr>
          <w:rFonts w:ascii="Times New Roman" w:hAnsi="Times New Roman" w:cs="Times New Roman"/>
          <w:sz w:val="24"/>
          <w:szCs w:val="24"/>
        </w:rPr>
        <w:t xml:space="preserve"> supone una reducción del 25%”</w:t>
      </w:r>
      <w:r>
        <w:rPr>
          <w:rFonts w:ascii="Times New Roman" w:hAnsi="Times New Roman" w:cs="Times New Roman"/>
          <w:sz w:val="24"/>
          <w:szCs w:val="24"/>
        </w:rPr>
        <w:t>.</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Una evolución que contrasta con el acento que desde hace años se pone tanto desde Europa como desde el propio Gobierno español por impulsar la reindustrialización como fórmula para garantizar la economía nacional y el Estado de Bienestar.</w:t>
      </w:r>
    </w:p>
    <w:p w:rsidR="00043F6A" w:rsidRPr="000A795F" w:rsidRDefault="00043F6A" w:rsidP="00043F6A">
      <w:pPr>
        <w:spacing w:line="240" w:lineRule="auto"/>
        <w:jc w:val="both"/>
        <w:rPr>
          <w:rFonts w:ascii="Times New Roman" w:hAnsi="Times New Roman" w:cs="Times New Roman"/>
          <w:color w:val="FF0000"/>
          <w:sz w:val="24"/>
          <w:szCs w:val="24"/>
        </w:rPr>
      </w:pPr>
      <w:r>
        <w:rPr>
          <w:noProof/>
          <w:lang w:eastAsia="es-ES"/>
        </w:rPr>
        <w:lastRenderedPageBreak/>
        <w:drawing>
          <wp:inline distT="0" distB="0" distL="0" distR="0" wp14:anchorId="7E0A36FE" wp14:editId="68ECB418">
            <wp:extent cx="5730949" cy="5886450"/>
            <wp:effectExtent l="0" t="0" r="3175" b="0"/>
            <wp:docPr id="223" name="Imagen 223" descr="https://s03.s3c.es/imag/_v0/2310x2580/6/b/9/770x_220725-manofacturera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03.s3c.es/imag/_v0/2310x2580/6/b/9/770x_220725-manofactureras.gif"/>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731510" cy="5887027"/>
                    </a:xfrm>
                    <a:prstGeom prst="rect">
                      <a:avLst/>
                    </a:prstGeom>
                    <a:noFill/>
                    <a:ln>
                      <a:noFill/>
                    </a:ln>
                  </pic:spPr>
                </pic:pic>
              </a:graphicData>
            </a:graphic>
          </wp:inline>
        </w:drawing>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El análisis, que abarca desde principios de este siglo, advierte además que en este periodo se ha ampliado la brecha con el resto de Europa. Así, el valor añadido bruto de la industria manufacturera española se sitúa 3,9 puntos por debajo de la media europea, a casi la mitad del objetivo europeo de que la industria represente el 20% de las economías de los estados miembros.</w:t>
      </w:r>
    </w:p>
    <w:p w:rsidR="00043F6A" w:rsidRPr="00FA7232" w:rsidRDefault="007051FB" w:rsidP="00043F6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43F6A" w:rsidRPr="00FA7232">
        <w:rPr>
          <w:rFonts w:ascii="Times New Roman" w:hAnsi="Times New Roman" w:cs="Times New Roman"/>
          <w:sz w:val="24"/>
          <w:szCs w:val="24"/>
        </w:rPr>
        <w:t>La realidad muestra un proceso de desindustrialización durante las últimas décadas por la creciente globalización y deslocalización de parte de la p</w:t>
      </w:r>
      <w:r>
        <w:rPr>
          <w:rFonts w:ascii="Times New Roman" w:hAnsi="Times New Roman" w:cs="Times New Roman"/>
          <w:sz w:val="24"/>
          <w:szCs w:val="24"/>
        </w:rPr>
        <w:t>roducción en terceros países”</w:t>
      </w:r>
      <w:r w:rsidR="00043F6A" w:rsidRPr="00FA7232">
        <w:rPr>
          <w:rFonts w:ascii="Times New Roman" w:hAnsi="Times New Roman" w:cs="Times New Roman"/>
          <w:sz w:val="24"/>
          <w:szCs w:val="24"/>
        </w:rPr>
        <w:t>, resume el informe La adaptación de la industria manufacturera española al escenario energético y la transición digital.</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Cuatro grandes motores</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En el caso español, el documento recoge que la industria manufacturera (que incluye todas las industrias salvo la energética) incluye algo más de 150.000 empresas que representan el 4,8% del tejido productivo. En la práctica, el 60% de su producción industrial se concentra en cuatro grandes sectores, los auténticos motores de este sector económico.</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lastRenderedPageBreak/>
        <w:t>De ellos, la industria agroalimentaria se erige en el hecho diferencial español frente al resto de países europeos. Por si sola representa el 19,4% del total nacional y se sitúa muy por encima del listón europeo, en concreto 8,4 puntos más que la media que registran los 27 países de la UE.</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Los otros tres grandes referentes industriales son los sectores del metal, con el 12,7%; química y farmacia con otro 12,1% y la fabricación de material de transporte, con el 11,8%. Por encima de la media de nuestros vecinos comunitarios también se sitúan el textil y el plástico.</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En el lado contrario, frente a la Unión Europea la industria española es más débil en fabricación de</w:t>
      </w:r>
      <w:r w:rsidR="007051FB">
        <w:rPr>
          <w:rFonts w:ascii="Times New Roman" w:hAnsi="Times New Roman" w:cs="Times New Roman"/>
          <w:sz w:val="24"/>
          <w:szCs w:val="24"/>
        </w:rPr>
        <w:t xml:space="preserve"> maquinaria y bienes de equipo -con la mitad-</w:t>
      </w:r>
      <w:r w:rsidRPr="00FA7232">
        <w:rPr>
          <w:rFonts w:ascii="Times New Roman" w:hAnsi="Times New Roman" w:cs="Times New Roman"/>
          <w:sz w:val="24"/>
          <w:szCs w:val="24"/>
        </w:rPr>
        <w:t>, mientras que en industria electrónica, óptica e informática su peso en España es casi seis veces menor que en el conjunto.</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Menos productiva</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Uno de los motivos por el que los expertos inciden en que una industria fuerte es una de las bases de las economías más potentes es en su mayor productividad laboral frente al sector servicios. En el caso español, la brecha es aún más amplia si se analiza desde este parámetro, un 5,4% por debajo de la media de los 27 y con una distancia que se dispara hasta el 16% con Francia y el 29% con Alemania.</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En el caso español se da incluso la circunstancia que si se analiza la productividad total de los factores, que incluye la eficiencia tanto de capital como de trabajo, la industria manufacturera es un 6% menos productiva que los servicios, aunque el estudio también advierte de fuertes oscilaciones entre sectores.</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 xml:space="preserve">Precisamente además de la evolución de la evolución en este cuarto de siglo, el trabajo, dirigido por los profesores Joaquín Maudos, Juan Fernández de Guevara y María Dolores Furió, analiza los efectos de la digitalización y la energía como elementos fundamentales para la </w:t>
      </w:r>
      <w:r w:rsidR="007051FB">
        <w:rPr>
          <w:rFonts w:ascii="Times New Roman" w:hAnsi="Times New Roman" w:cs="Times New Roman"/>
          <w:sz w:val="24"/>
          <w:szCs w:val="24"/>
        </w:rPr>
        <w:t>competitividad de este tejido. “</w:t>
      </w:r>
      <w:r w:rsidRPr="00FA7232">
        <w:rPr>
          <w:rFonts w:ascii="Times New Roman" w:hAnsi="Times New Roman" w:cs="Times New Roman"/>
          <w:sz w:val="24"/>
          <w:szCs w:val="24"/>
        </w:rPr>
        <w:t>La eficiencia productiva de los sectores de alta intensidad tecnológica más que dobla la d</w:t>
      </w:r>
      <w:r w:rsidR="007051FB">
        <w:rPr>
          <w:rFonts w:ascii="Times New Roman" w:hAnsi="Times New Roman" w:cs="Times New Roman"/>
          <w:sz w:val="24"/>
          <w:szCs w:val="24"/>
        </w:rPr>
        <w:t>e los sectores menos intensivos”</w:t>
      </w:r>
      <w:r w:rsidRPr="00FA7232">
        <w:rPr>
          <w:rFonts w:ascii="Times New Roman" w:hAnsi="Times New Roman" w:cs="Times New Roman"/>
          <w:sz w:val="24"/>
          <w:szCs w:val="24"/>
        </w:rPr>
        <w:t>, señala el documento, que refleja que el sector TIC aumentó este parámetro un 40% entre 2000 y 2021, mientras que en las manufacturas menos digitales apenas varió.</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Entre los segmentos españoles que menciona más alejados de los objetivos europeos de digitalización, la monografía cita a actividades tradicionales, como alimentación, textil y calzado, madera y artes gráficas.</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La paradoja energética de la industria</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La cuestión energética es una de las asignaturas pendientes recurrentes cuando se habla de competitividad de la empresa española y un tema aún más polémico tras el apagón que dejó al descubierto las debilidades del sistema. De la comparación con la UE, la monogra</w:t>
      </w:r>
      <w:r w:rsidR="00052144">
        <w:rPr>
          <w:rFonts w:ascii="Times New Roman" w:hAnsi="Times New Roman" w:cs="Times New Roman"/>
          <w:sz w:val="24"/>
          <w:szCs w:val="24"/>
        </w:rPr>
        <w:t>fía saca una conclusión clara: “</w:t>
      </w:r>
      <w:r w:rsidRPr="00FA7232">
        <w:rPr>
          <w:rFonts w:ascii="Times New Roman" w:hAnsi="Times New Roman" w:cs="Times New Roman"/>
          <w:sz w:val="24"/>
          <w:szCs w:val="24"/>
        </w:rPr>
        <w:t>somos más eficientes energéticamente, aunque a nuestra industria le cuesta más cara la energía necesari</w:t>
      </w:r>
      <w:r w:rsidR="00052144">
        <w:rPr>
          <w:rFonts w:ascii="Times New Roman" w:hAnsi="Times New Roman" w:cs="Times New Roman"/>
          <w:sz w:val="24"/>
          <w:szCs w:val="24"/>
        </w:rPr>
        <w:t>a para generar el valor añadido”</w:t>
      </w:r>
      <w:r w:rsidRPr="00FA7232">
        <w:rPr>
          <w:rFonts w:ascii="Times New Roman" w:hAnsi="Times New Roman" w:cs="Times New Roman"/>
          <w:sz w:val="24"/>
          <w:szCs w:val="24"/>
        </w:rPr>
        <w:t>.</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Para ello se basa en dos elementos. Uno es el gasto medio de la industria española por cada euro generado de valor añadido. Ese indicador fue de 8 céntimos en España, frente a los 6 céntimos de la vecina Francia, 5 céntimos de Alemania y apenas 3 céntimos de Italia en 2020.</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lastRenderedPageBreak/>
        <w:t xml:space="preserve">El otro es la intensidad energética, un ratio que se sitúa en 97,3 en España frente a la media europea de 99,9 en </w:t>
      </w:r>
      <w:r w:rsidR="00052144">
        <w:rPr>
          <w:rFonts w:ascii="Times New Roman" w:hAnsi="Times New Roman" w:cs="Times New Roman"/>
          <w:sz w:val="24"/>
          <w:szCs w:val="24"/>
        </w:rPr>
        <w:t>al año 2021, lo que supone que “</w:t>
      </w:r>
      <w:r w:rsidRPr="00FA7232">
        <w:rPr>
          <w:rFonts w:ascii="Times New Roman" w:hAnsi="Times New Roman" w:cs="Times New Roman"/>
          <w:sz w:val="24"/>
          <w:szCs w:val="24"/>
        </w:rPr>
        <w:t>requiere menor cantidad de energía para atend</w:t>
      </w:r>
      <w:r w:rsidR="00052144">
        <w:rPr>
          <w:rFonts w:ascii="Times New Roman" w:hAnsi="Times New Roman" w:cs="Times New Roman"/>
          <w:sz w:val="24"/>
          <w:szCs w:val="24"/>
        </w:rPr>
        <w:t>er sus necesidades de demanda”</w:t>
      </w:r>
      <w:r w:rsidRPr="00FA7232">
        <w:rPr>
          <w:rFonts w:ascii="Times New Roman" w:hAnsi="Times New Roman" w:cs="Times New Roman"/>
          <w:sz w:val="24"/>
          <w:szCs w:val="24"/>
        </w:rPr>
        <w:t xml:space="preserve"> según el informe.</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 xml:space="preserve">- </w:t>
      </w:r>
      <w:r w:rsidRPr="00FA7232">
        <w:rPr>
          <w:rFonts w:ascii="Times New Roman" w:hAnsi="Times New Roman" w:cs="Times New Roman"/>
          <w:sz w:val="24"/>
          <w:szCs w:val="24"/>
          <w:u w:val="single"/>
        </w:rPr>
        <w:t>La bonificación fiscal a empresas por inversión cae dos puntos hasta el 61,3%</w:t>
      </w:r>
      <w:r w:rsidRPr="00FA7232">
        <w:rPr>
          <w:rFonts w:ascii="Times New Roman" w:hAnsi="Times New Roman" w:cs="Times New Roman"/>
          <w:sz w:val="24"/>
          <w:szCs w:val="24"/>
        </w:rPr>
        <w:t xml:space="preserve"> (El Economista - </w:t>
      </w:r>
      <w:r w:rsidRPr="00FA7232">
        <w:rPr>
          <w:rFonts w:ascii="Times New Roman" w:hAnsi="Times New Roman" w:cs="Times New Roman"/>
          <w:b/>
          <w:sz w:val="24"/>
          <w:szCs w:val="24"/>
        </w:rPr>
        <w:t>25/7/25</w:t>
      </w:r>
      <w:r w:rsidRPr="00FA7232">
        <w:rPr>
          <w:rFonts w:ascii="Times New Roman" w:hAnsi="Times New Roman" w:cs="Times New Roman"/>
          <w:sz w:val="24"/>
          <w:szCs w:val="24"/>
        </w:rPr>
        <w:t>)</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El fisco español está a casi 10 puntos por debajo de la OCDE en estas desgravaciones</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Italia devuelve casi el 80% de lo invertido, mientras que en Francia llegaría hasta el 74,2%</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(Por Carlos Asensio)</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Los beneficios fiscales a las empresas por inversión se han recortado en casi dos puntos en 2024 con respecto al ejercicio fiscal del año anterior. En concreto, si en el 2023 el fisco español permitía a las empresas desgravarse el 63,6% de sus inversiones en edificios, compra de maquinaria o intangibles, el año pasado la tasa cayó hasta el 61,3%. Esto mantiene a España como uno de los países que menos retorno proporciona a la inversión empresarial de los países desarrollados, con una brecha de casi 10 puntos con respecto a la OCDE, que está en el 68,5%. En cuanto a las economías del entorno, nuestro país está a la cola, frente al 76,3% de Italia, el 74,2% de Francia y el 64,4% de re</w:t>
      </w:r>
      <w:r>
        <w:rPr>
          <w:rFonts w:ascii="Times New Roman" w:hAnsi="Times New Roman" w:cs="Times New Roman"/>
          <w:sz w:val="24"/>
          <w:szCs w:val="24"/>
        </w:rPr>
        <w:t>torno que proporciona Alemania.</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Según la lista que publica cada año Tax Foundation, el think tank estadounidense especializado en políticas fiscales, este porcentaje de bonificaciones sitúa a nuestro país en el puesto número 30 del mundo, lo que significa que se mantiene con respecto al año anterior. Lo que indica una cierta tendencia dentro del seno de la OCDE al recorte de las desgravaciones fiscales por inversión a las empresas.</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Los sistemas fiscales más competitivos en este aspecto son los de Estonia, y Letonia. En estos dos países bálticos, una empresa puede desgravarse el 100% de sus costes de capital. En Lituania, la media se sitúa en el 88,2%. Asimismo, y muy lejos de estos en cuanto a porcentaje, se sitúa Italia, siendo la única gran economía del Viejo Continente que se cuela en los primeros puestos del ranking de Tax Foundation.</w:t>
      </w:r>
    </w:p>
    <w:p w:rsidR="00043F6A" w:rsidRDefault="00043F6A" w:rsidP="00043F6A">
      <w:pPr>
        <w:spacing w:line="240" w:lineRule="auto"/>
        <w:jc w:val="both"/>
        <w:rPr>
          <w:rFonts w:ascii="Times New Roman" w:hAnsi="Times New Roman" w:cs="Times New Roman"/>
          <w:color w:val="FF0000"/>
          <w:sz w:val="24"/>
          <w:szCs w:val="24"/>
        </w:rPr>
      </w:pPr>
      <w:r w:rsidRPr="00B769DD">
        <w:rPr>
          <w:rFonts w:ascii="Times New Roman" w:hAnsi="Times New Roman" w:cs="Times New Roman"/>
          <w:noProof/>
          <w:color w:val="FF0000"/>
          <w:sz w:val="24"/>
          <w:szCs w:val="24"/>
          <w:lang w:eastAsia="es-ES"/>
        </w:rPr>
        <w:drawing>
          <wp:inline distT="0" distB="0" distL="0" distR="0" wp14:anchorId="307568DD" wp14:editId="2344AC0C">
            <wp:extent cx="5607050" cy="3244850"/>
            <wp:effectExtent l="0" t="0" r="0" b="0"/>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5605032" cy="3243682"/>
                    </a:xfrm>
                    <a:prstGeom prst="rect">
                      <a:avLst/>
                    </a:prstGeom>
                  </pic:spPr>
                </pic:pic>
              </a:graphicData>
            </a:graphic>
          </wp:inline>
        </w:drawing>
      </w:r>
    </w:p>
    <w:p w:rsidR="00043F6A" w:rsidRDefault="00043F6A" w:rsidP="00043F6A">
      <w:pPr>
        <w:spacing w:line="240" w:lineRule="auto"/>
        <w:jc w:val="both"/>
        <w:rPr>
          <w:rFonts w:ascii="Times New Roman" w:hAnsi="Times New Roman" w:cs="Times New Roman"/>
          <w:color w:val="FF0000"/>
          <w:sz w:val="24"/>
          <w:szCs w:val="24"/>
        </w:rPr>
      </w:pPr>
      <w:r w:rsidRPr="00B769DD">
        <w:rPr>
          <w:rFonts w:ascii="Times New Roman" w:hAnsi="Times New Roman" w:cs="Times New Roman"/>
          <w:noProof/>
          <w:color w:val="FF0000"/>
          <w:sz w:val="24"/>
          <w:szCs w:val="24"/>
          <w:lang w:eastAsia="es-ES"/>
        </w:rPr>
        <w:lastRenderedPageBreak/>
        <w:drawing>
          <wp:inline distT="0" distB="0" distL="0" distR="0" wp14:anchorId="4ED02B4D" wp14:editId="231A05E3">
            <wp:extent cx="5727700" cy="2673350"/>
            <wp:effectExtent l="0" t="0" r="6350" b="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5731510" cy="2675128"/>
                    </a:xfrm>
                    <a:prstGeom prst="rect">
                      <a:avLst/>
                    </a:prstGeom>
                  </pic:spPr>
                </pic:pic>
              </a:graphicData>
            </a:graphic>
          </wp:inline>
        </w:drawing>
      </w:r>
    </w:p>
    <w:p w:rsidR="00043F6A" w:rsidRDefault="00043F6A" w:rsidP="00043F6A">
      <w:pPr>
        <w:spacing w:line="240" w:lineRule="auto"/>
        <w:jc w:val="both"/>
        <w:rPr>
          <w:rFonts w:ascii="Times New Roman" w:hAnsi="Times New Roman" w:cs="Times New Roman"/>
          <w:color w:val="FF0000"/>
          <w:sz w:val="24"/>
          <w:szCs w:val="24"/>
        </w:rPr>
      </w:pPr>
      <w:r w:rsidRPr="00B769DD">
        <w:rPr>
          <w:rFonts w:ascii="Times New Roman" w:hAnsi="Times New Roman" w:cs="Times New Roman"/>
          <w:noProof/>
          <w:color w:val="FF0000"/>
          <w:sz w:val="24"/>
          <w:szCs w:val="24"/>
          <w:lang w:eastAsia="es-ES"/>
        </w:rPr>
        <w:drawing>
          <wp:inline distT="0" distB="0" distL="0" distR="0" wp14:anchorId="6BCB47B3" wp14:editId="708AA1F9">
            <wp:extent cx="5734050" cy="3048000"/>
            <wp:effectExtent l="0" t="0" r="0" b="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5731510" cy="3046650"/>
                    </a:xfrm>
                    <a:prstGeom prst="rect">
                      <a:avLst/>
                    </a:prstGeom>
                  </pic:spPr>
                </pic:pic>
              </a:graphicData>
            </a:graphic>
          </wp:inline>
        </w:drawing>
      </w:r>
    </w:p>
    <w:p w:rsidR="00043F6A" w:rsidRPr="007F4580" w:rsidRDefault="00043F6A" w:rsidP="00043F6A">
      <w:pPr>
        <w:spacing w:line="240" w:lineRule="auto"/>
        <w:jc w:val="both"/>
        <w:rPr>
          <w:rFonts w:ascii="Times New Roman" w:hAnsi="Times New Roman" w:cs="Times New Roman"/>
          <w:color w:val="FF0000"/>
          <w:sz w:val="24"/>
          <w:szCs w:val="24"/>
        </w:rPr>
      </w:pPr>
      <w:r w:rsidRPr="00B769DD">
        <w:rPr>
          <w:rFonts w:ascii="Times New Roman" w:hAnsi="Times New Roman" w:cs="Times New Roman"/>
          <w:noProof/>
          <w:color w:val="FF0000"/>
          <w:sz w:val="24"/>
          <w:szCs w:val="24"/>
          <w:lang w:eastAsia="es-ES"/>
        </w:rPr>
        <w:drawing>
          <wp:inline distT="0" distB="0" distL="0" distR="0" wp14:anchorId="4844E6AD" wp14:editId="16525EA8">
            <wp:extent cx="5727700" cy="1384300"/>
            <wp:effectExtent l="0" t="0" r="6350" b="635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5731510" cy="1385221"/>
                    </a:xfrm>
                    <a:prstGeom prst="rect">
                      <a:avLst/>
                    </a:prstGeom>
                  </pic:spPr>
                </pic:pic>
              </a:graphicData>
            </a:graphic>
          </wp:inline>
        </w:drawing>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Por componentes, el fisco español ofrece una bonificación del 77,9% en la inversión de maquinaria, siendo esta la mayor de la lista. Le siguen la inversión en intangibles, que en ejercicio fiscal del año pasado registró una tasa de devolución del 73,8%. Dentro de este epígrafe se encuentra la inversión en propiedad intelectual, software, capital humano y organizativo, I+D y datos. Finalmente, la inversión de edificios mostró una tasa de bonificación por parte de Hacienda del 39,1% en el ejercicio pasado.</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lastRenderedPageBreak/>
        <w:t>De media, en la OCDE, la inversión en maquinaria e intangibles también son las que gozan de mayores ventajas fiscales. Concretamente, la maquinaria se sitúa en un 85,3%, frente a los intangibles que registró un 76,7% en el ejercicio del pasado año. En líneas generales, igual que sucede en España.</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La autora del informe de Tax Foundation, la economista Cristina Enache, explica que desde el año 2000, l</w:t>
      </w:r>
      <w:r w:rsidR="00052144">
        <w:rPr>
          <w:rFonts w:ascii="Times New Roman" w:hAnsi="Times New Roman" w:cs="Times New Roman"/>
          <w:sz w:val="24"/>
          <w:szCs w:val="24"/>
        </w:rPr>
        <w:t>os impuestos de Sociedades “</w:t>
      </w:r>
      <w:r w:rsidRPr="00FA7232">
        <w:rPr>
          <w:rFonts w:ascii="Times New Roman" w:hAnsi="Times New Roman" w:cs="Times New Roman"/>
          <w:sz w:val="24"/>
          <w:szCs w:val="24"/>
        </w:rPr>
        <w:t>ha</w:t>
      </w:r>
      <w:r w:rsidR="00052144">
        <w:rPr>
          <w:rFonts w:ascii="Times New Roman" w:hAnsi="Times New Roman" w:cs="Times New Roman"/>
          <w:sz w:val="24"/>
          <w:szCs w:val="24"/>
        </w:rPr>
        <w:t>n disminuido significativamente”</w:t>
      </w:r>
      <w:r w:rsidRPr="00FA7232">
        <w:rPr>
          <w:rFonts w:ascii="Times New Roman" w:hAnsi="Times New Roman" w:cs="Times New Roman"/>
          <w:sz w:val="24"/>
          <w:szCs w:val="24"/>
        </w:rPr>
        <w:t xml:space="preserve"> tanto en el mundo como en los países de la OCDE. En cambio, el tratamiento fiscal</w:t>
      </w:r>
      <w:r w:rsidR="00052144">
        <w:rPr>
          <w:rFonts w:ascii="Times New Roman" w:hAnsi="Times New Roman" w:cs="Times New Roman"/>
          <w:sz w:val="24"/>
          <w:szCs w:val="24"/>
        </w:rPr>
        <w:t xml:space="preserve"> de las inversiones de capital “</w:t>
      </w:r>
      <w:r w:rsidRPr="00FA7232">
        <w:rPr>
          <w:rFonts w:ascii="Times New Roman" w:hAnsi="Times New Roman" w:cs="Times New Roman"/>
          <w:sz w:val="24"/>
          <w:szCs w:val="24"/>
        </w:rPr>
        <w:t>empeoró durante la mayor parte de las últimas décadas. Los beneficios de las tasas legales más bajas para la inversión y el crecimiento se vier</w:t>
      </w:r>
      <w:r w:rsidR="00052144">
        <w:rPr>
          <w:rFonts w:ascii="Times New Roman" w:hAnsi="Times New Roman" w:cs="Times New Roman"/>
          <w:sz w:val="24"/>
          <w:szCs w:val="24"/>
        </w:rPr>
        <w:t>on parcialmente contrarrestados”</w:t>
      </w:r>
      <w:r w:rsidRPr="00FA7232">
        <w:rPr>
          <w:rFonts w:ascii="Times New Roman" w:hAnsi="Times New Roman" w:cs="Times New Roman"/>
          <w:sz w:val="24"/>
          <w:szCs w:val="24"/>
        </w:rPr>
        <w:t>, aseveró.</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 xml:space="preserve">Enache resalta en su informe que dependiendo de las desgravaciones en la </w:t>
      </w:r>
      <w:r w:rsidR="00052144">
        <w:rPr>
          <w:rFonts w:ascii="Times New Roman" w:hAnsi="Times New Roman" w:cs="Times New Roman"/>
          <w:sz w:val="24"/>
          <w:szCs w:val="24"/>
        </w:rPr>
        <w:t>inversión de capital que exista</w:t>
      </w:r>
      <w:r w:rsidRPr="00FA7232">
        <w:rPr>
          <w:rFonts w:ascii="Times New Roman" w:hAnsi="Times New Roman" w:cs="Times New Roman"/>
          <w:sz w:val="24"/>
          <w:szCs w:val="24"/>
        </w:rPr>
        <w:t xml:space="preserve"> e</w:t>
      </w:r>
      <w:r w:rsidR="00052144">
        <w:rPr>
          <w:rFonts w:ascii="Times New Roman" w:hAnsi="Times New Roman" w:cs="Times New Roman"/>
          <w:sz w:val="24"/>
          <w:szCs w:val="24"/>
        </w:rPr>
        <w:t>n los entornos fiscales, puede “</w:t>
      </w:r>
      <w:r w:rsidRPr="00FA7232">
        <w:rPr>
          <w:rFonts w:ascii="Times New Roman" w:hAnsi="Times New Roman" w:cs="Times New Roman"/>
          <w:sz w:val="24"/>
          <w:szCs w:val="24"/>
        </w:rPr>
        <w:t>impulsar o frenar la inversión, lo que a su vez impacta directame</w:t>
      </w:r>
      <w:r w:rsidR="00052144">
        <w:rPr>
          <w:rFonts w:ascii="Times New Roman" w:hAnsi="Times New Roman" w:cs="Times New Roman"/>
          <w:sz w:val="24"/>
          <w:szCs w:val="24"/>
        </w:rPr>
        <w:t>nte en el crecimiento económico”</w:t>
      </w:r>
      <w:r w:rsidRPr="00FA7232">
        <w:rPr>
          <w:rFonts w:ascii="Times New Roman" w:hAnsi="Times New Roman" w:cs="Times New Roman"/>
          <w:sz w:val="24"/>
          <w:szCs w:val="24"/>
        </w:rPr>
        <w:t>.</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En concreto, la experta dice que cuando a una empresa no se le permite deducir los gastos</w:t>
      </w:r>
      <w:r w:rsidR="00052144">
        <w:rPr>
          <w:rFonts w:ascii="Times New Roman" w:hAnsi="Times New Roman" w:cs="Times New Roman"/>
          <w:sz w:val="24"/>
          <w:szCs w:val="24"/>
        </w:rPr>
        <w:t xml:space="preserve"> de capital en términos reales “realizan menos inversión”</w:t>
      </w:r>
      <w:r w:rsidRPr="00FA7232">
        <w:rPr>
          <w:rFonts w:ascii="Times New Roman" w:hAnsi="Times New Roman" w:cs="Times New Roman"/>
          <w:sz w:val="24"/>
          <w:szCs w:val="24"/>
        </w:rPr>
        <w:t>, lo que implica direc</w:t>
      </w:r>
      <w:r w:rsidR="00052144">
        <w:rPr>
          <w:rFonts w:ascii="Times New Roman" w:hAnsi="Times New Roman" w:cs="Times New Roman"/>
          <w:sz w:val="24"/>
          <w:szCs w:val="24"/>
        </w:rPr>
        <w:t>tamente “</w:t>
      </w:r>
      <w:r w:rsidRPr="00FA7232">
        <w:rPr>
          <w:rFonts w:ascii="Times New Roman" w:hAnsi="Times New Roman" w:cs="Times New Roman"/>
          <w:sz w:val="24"/>
          <w:szCs w:val="24"/>
        </w:rPr>
        <w:t>una reducción de la productividad y l</w:t>
      </w:r>
      <w:r w:rsidR="00052144">
        <w:rPr>
          <w:rFonts w:ascii="Times New Roman" w:hAnsi="Times New Roman" w:cs="Times New Roman"/>
          <w:sz w:val="24"/>
          <w:szCs w:val="24"/>
        </w:rPr>
        <w:t>os salarios de los trabajadores”</w:t>
      </w:r>
      <w:r w:rsidRPr="00FA7232">
        <w:rPr>
          <w:rFonts w:ascii="Times New Roman" w:hAnsi="Times New Roman" w:cs="Times New Roman"/>
          <w:sz w:val="24"/>
          <w:szCs w:val="24"/>
        </w:rPr>
        <w:t>.</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Hacia otros sectores</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En su análisis, Enache resalta un elemento importante a tener en cuenta y es que, si un país reduce su impuesto de Sociedades pero, al mismo tiempo, limita est</w:t>
      </w:r>
      <w:r w:rsidR="00052144">
        <w:rPr>
          <w:rFonts w:ascii="Times New Roman" w:hAnsi="Times New Roman" w:cs="Times New Roman"/>
          <w:sz w:val="24"/>
          <w:szCs w:val="24"/>
        </w:rPr>
        <w:t>as deducciones a la inversión, “</w:t>
      </w:r>
      <w:r w:rsidRPr="00FA7232">
        <w:rPr>
          <w:rFonts w:ascii="Times New Roman" w:hAnsi="Times New Roman" w:cs="Times New Roman"/>
          <w:sz w:val="24"/>
          <w:szCs w:val="24"/>
        </w:rPr>
        <w:t>puede provocar una transición de la economía desde industrias con mayor intensidad de capital hacia sectores que dependen m</w:t>
      </w:r>
      <w:r w:rsidR="00052144">
        <w:rPr>
          <w:rFonts w:ascii="Times New Roman" w:hAnsi="Times New Roman" w:cs="Times New Roman"/>
          <w:sz w:val="24"/>
          <w:szCs w:val="24"/>
        </w:rPr>
        <w:t>enos de la inversión de capital”</w:t>
      </w:r>
      <w:r w:rsidRPr="00FA7232">
        <w:rPr>
          <w:rFonts w:ascii="Times New Roman" w:hAnsi="Times New Roman" w:cs="Times New Roman"/>
          <w:sz w:val="24"/>
          <w:szCs w:val="24"/>
        </w:rPr>
        <w:t>.</w:t>
      </w:r>
    </w:p>
    <w:p w:rsidR="00043F6A" w:rsidRPr="00FA7232"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 xml:space="preserve">Por otro lado, también señala la necesidad de agilizar la desgravación, para que la inversión y que los gastos sean reales. La </w:t>
      </w:r>
      <w:r w:rsidR="00052144">
        <w:rPr>
          <w:rFonts w:ascii="Times New Roman" w:hAnsi="Times New Roman" w:cs="Times New Roman"/>
          <w:sz w:val="24"/>
          <w:szCs w:val="24"/>
        </w:rPr>
        <w:t>experta señala que un gobierno “</w:t>
      </w:r>
      <w:r w:rsidRPr="00FA7232">
        <w:rPr>
          <w:rFonts w:ascii="Times New Roman" w:hAnsi="Times New Roman" w:cs="Times New Roman"/>
          <w:sz w:val="24"/>
          <w:szCs w:val="24"/>
        </w:rPr>
        <w:t>podría extender los plazos de depreciación de la maquinaria, lo que ralentizaría la inversión en maquinaria y perjudicar</w:t>
      </w:r>
      <w:r w:rsidR="00052144">
        <w:rPr>
          <w:rFonts w:ascii="Times New Roman" w:hAnsi="Times New Roman" w:cs="Times New Roman"/>
          <w:sz w:val="24"/>
          <w:szCs w:val="24"/>
        </w:rPr>
        <w:t>ía a la industria manufacturera”</w:t>
      </w:r>
      <w:r w:rsidRPr="00FA7232">
        <w:rPr>
          <w:rFonts w:ascii="Times New Roman" w:hAnsi="Times New Roman" w:cs="Times New Roman"/>
          <w:sz w:val="24"/>
          <w:szCs w:val="24"/>
        </w:rPr>
        <w:t>. En cambio, si se acortan esos plazos de depreciación o se permite a las empresas comp</w:t>
      </w:r>
      <w:r w:rsidR="00052144">
        <w:rPr>
          <w:rFonts w:ascii="Times New Roman" w:hAnsi="Times New Roman" w:cs="Times New Roman"/>
          <w:sz w:val="24"/>
          <w:szCs w:val="24"/>
        </w:rPr>
        <w:t>utar la maquinaria como gasto, “</w:t>
      </w:r>
      <w:r w:rsidRPr="00FA7232">
        <w:rPr>
          <w:rFonts w:ascii="Times New Roman" w:hAnsi="Times New Roman" w:cs="Times New Roman"/>
          <w:sz w:val="24"/>
          <w:szCs w:val="24"/>
        </w:rPr>
        <w:t>el aumento de las deducciones por capital puede impulsar una mayor inversión en maquinaria en comparación</w:t>
      </w:r>
      <w:r w:rsidR="00052144">
        <w:rPr>
          <w:rFonts w:ascii="Times New Roman" w:hAnsi="Times New Roman" w:cs="Times New Roman"/>
          <w:sz w:val="24"/>
          <w:szCs w:val="24"/>
        </w:rPr>
        <w:t xml:space="preserve"> con otras inversiones del país”</w:t>
      </w:r>
      <w:r w:rsidRPr="00FA7232">
        <w:rPr>
          <w:rFonts w:ascii="Times New Roman" w:hAnsi="Times New Roman" w:cs="Times New Roman"/>
          <w:sz w:val="24"/>
          <w:szCs w:val="24"/>
        </w:rPr>
        <w:t>, sentencia Cristina Enache.</w:t>
      </w:r>
    </w:p>
    <w:p w:rsidR="00043F6A" w:rsidRDefault="00043F6A" w:rsidP="00043F6A">
      <w:pPr>
        <w:spacing w:line="240" w:lineRule="auto"/>
        <w:jc w:val="both"/>
        <w:rPr>
          <w:rFonts w:ascii="Times New Roman" w:hAnsi="Times New Roman" w:cs="Times New Roman"/>
          <w:sz w:val="24"/>
          <w:szCs w:val="24"/>
        </w:rPr>
      </w:pPr>
      <w:r w:rsidRPr="00FA7232">
        <w:rPr>
          <w:rFonts w:ascii="Times New Roman" w:hAnsi="Times New Roman" w:cs="Times New Roman"/>
          <w:sz w:val="24"/>
          <w:szCs w:val="24"/>
        </w:rPr>
        <w:t>En este sentido, Alemania incorporó planes de depreciación acelerada para la maquinaria entre 2020 y 2022, que se renovó posteriormente hasta 2024. Actualmente, en un intento de volver a reflotar su denostada industria, el canciller Friedrich Merz está buscando fórmulas para ampliar y mejorar los programas de depreciación acelerada, ampliando también los beneficios fiscales a la inversión. Aun así, la experta d</w:t>
      </w:r>
      <w:r w:rsidR="00052144">
        <w:rPr>
          <w:rFonts w:ascii="Times New Roman" w:hAnsi="Times New Roman" w:cs="Times New Roman"/>
          <w:sz w:val="24"/>
          <w:szCs w:val="24"/>
        </w:rPr>
        <w:t>ice que las medidas temporales “pueden aumentar la inversión”</w:t>
      </w:r>
      <w:r w:rsidRPr="00FA7232">
        <w:rPr>
          <w:rFonts w:ascii="Times New Roman" w:hAnsi="Times New Roman" w:cs="Times New Roman"/>
          <w:sz w:val="24"/>
          <w:szCs w:val="24"/>
        </w:rPr>
        <w:t>, pero no la incrementarían de forma permanente.</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 xml:space="preserve">- </w:t>
      </w:r>
      <w:r w:rsidRPr="00793368">
        <w:rPr>
          <w:rFonts w:ascii="Times New Roman" w:hAnsi="Times New Roman" w:cs="Times New Roman"/>
          <w:sz w:val="24"/>
          <w:szCs w:val="24"/>
          <w:u w:val="single"/>
        </w:rPr>
        <w:t>De la OPA de BBVA a Talgo: Moncloa expande su intervencionismo en operaciones por más de 15.000 millones</w:t>
      </w:r>
      <w:r w:rsidRPr="00793368">
        <w:rPr>
          <w:rFonts w:ascii="Times New Roman" w:hAnsi="Times New Roman" w:cs="Times New Roman"/>
          <w:sz w:val="24"/>
          <w:szCs w:val="24"/>
        </w:rPr>
        <w:t xml:space="preserve"> (Vozpópuli - </w:t>
      </w:r>
      <w:r w:rsidRPr="00793368">
        <w:rPr>
          <w:rFonts w:ascii="Times New Roman" w:hAnsi="Times New Roman" w:cs="Times New Roman"/>
          <w:b/>
          <w:sz w:val="24"/>
          <w:szCs w:val="24"/>
        </w:rPr>
        <w:t>3/8/25</w:t>
      </w:r>
      <w:r w:rsidRPr="00793368">
        <w:rPr>
          <w:rFonts w:ascii="Times New Roman" w:hAnsi="Times New Roman" w:cs="Times New Roman"/>
          <w:sz w:val="24"/>
          <w:szCs w:val="24"/>
        </w:rPr>
        <w:t>)</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La Sepi está presente en el capital de 27 empresas, mientras el Gobierno trata de torpedear la compra del Sabadell.</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El Gobierno da luz verde a la entrada de la SEPI en Talgo</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Moncloa ahuyentará a los grandes inversores en la opa de BBVA con condiciones duras</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(Por Rubén Sampedro)</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lastRenderedPageBreak/>
        <w:t>Moncloa extiende cada vez más sus tentáculos al mundo empresarial. El Gobierno se ha convertido en los último años en un actor protagonista de los movimientos más importantes de las empresas, ya sea vetando, condicionando o invirtiendo directamente en compañías del Ibex, como Telefónica o Indra.</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 xml:space="preserve">Desde 2022, ha extendido su intervencionismo a operaciones corporativas que superan los 15.000 millones de euros, con la OPA del BBVA como el punto más álgido en su intento de torpedear la compra del Sabadell. Un plan que Pedro Sánchez anticipó en enero de 2024, cuando coincidiendo con el Foro Económico Mundial de Davos (Suiza) dejó claro en una entrevista a Bloomberg que el Gobierno aspiraba a desempeñar un papel más relevante en las empresas españolas. El brazo inversor de Moncloa ya está presente en 27 compañías. </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El último capítulo del intervencionismo se ha vivido en Talgo. Hace más de un año la empresa húngara Magyar Vagon puso sobre la mesa 600 millones para hacerse con el fabricante español, pero Moncloa se opuso por los vínculos con el Gobierno de Viktor Orbán, próximo al Kremlin, y finalmente esgrimió razones de “seguridad nacional” para vetar la operación.</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El pasado martes, el último Consejo de Ministros antes del parón estival autorizó la entrada de la Sepi en Talgo para desbloquear la operación Sidenor con un desembolso de 75 millones, de los que más de la mitad (45 millones) se dedicarán a convertir al brazo inversor de Moncloa en socio, con un 7,8% del capital. Y todo tras pagar una prima sobre la cotización superior al 40%.</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 xml:space="preserve">Presión sin precedentes sobre BBVA </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En el caso de la OPA del BBVA el Gobierno lleva más de un año torpedeando la compra. Primero atascando la operación en Competencia, que dilató los plazos in</w:t>
      </w:r>
      <w:r w:rsidR="00052144">
        <w:rPr>
          <w:rFonts w:ascii="Times New Roman" w:hAnsi="Times New Roman" w:cs="Times New Roman"/>
          <w:sz w:val="24"/>
          <w:szCs w:val="24"/>
        </w:rPr>
        <w:t>i</w:t>
      </w:r>
      <w:r w:rsidRPr="00793368">
        <w:rPr>
          <w:rFonts w:ascii="Times New Roman" w:hAnsi="Times New Roman" w:cs="Times New Roman"/>
          <w:sz w:val="24"/>
          <w:szCs w:val="24"/>
        </w:rPr>
        <w:t>ciales del grupo de La Vela, y finalmente prohibiendo la fusión con el Sabadell en caso de que triunfe la OPA durante al menos tres años, con la imposición añadida de no cerrar oficinas y despedir a empleados.</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En esta ocasión, Moncloa recurrió al “interés general” por el impacto en la competencia, aunque desde Bruselas se cuestiona su intromisión por arriesgar dos principios básicos de los tratados europeos: la libertad de empresa y la seguridad jurídica.</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 xml:space="preserve">El Gobierno ha retrasado la salida del Estado del capital de CaixaBank, donde entró como herencia del rescate de Bankia </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Se trata de una operación de más de 13.000 millones, atendiendo a la oferta en canje de acciones que ha propuesto BBVA desde que lanzó la OPA hostil en mayo de 2024. Ahora, el grupo de La Vela está jugando sus bazas y trata de extender la incertidumbre a los accionistas del Sabadell al no garantizar que mantendrá la oferta si el próximo 6 de agosto aprueban en sendas juntas extraordinarias la venta de la filial TSB y el macrodividendo de 2.500 millones ligado a la operación.</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 xml:space="preserve">En el sector bancario además ejerce una influencia indirecta al conservar un paquete de alrededor del 18% de CaixaBank como herencia del rescate de Bankia, que compró la entidad catalana en 2021. Se sienta en el consejo con un representante y el Gobierno no tiene intención de salir del capital, a través del fondo del rescate bancario, tras volver a prorrogar la privatización hasta 2027.  </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lastRenderedPageBreak/>
        <w:t>La Junta de Inversiones Exteriores, el organismo para controlar las inversiones, autorizó en 2024 el 62% de las operaciones extranjeras, frente al 83% de un año antes.</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El caso más sonado en el mundo empresarial fue el regreso del Estado al capital de Telefónica 26 años después de su privatización durante el Gobierno de José María Aznar. El brazo inversor de Moncloa tomó el 10% de la teleoperadora en mayo de 2024, con una inversión de 2.285 millones. Y consumó el asalto a la compañía con la sustitución de José María Álvarez-Pallete como presidente por Marc Murtra, de la órbita del PSC.</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Sánchez quiere convertir a Indra en un gran campeón de la Defensa</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Unos meses antes, en 2023, la Sepi inyectó 174 millones en Indra, precisamente donde Murtra ejercía de presidente antes de su nombramiento en Telefónica, para escalar al 28% su participación. La multinacional española se ha convertido ahora en la piedra angular sobre la que Pedro Sánchez quiere crear un gran campeón nacional de la Defensa, cuyo primer paso fue la compra de Hispasat y ahora tratar de hacerse con la empresa familiar de los Escribano.</w:t>
      </w:r>
    </w:p>
    <w:p w:rsidR="00043F6A" w:rsidRPr="00793368" w:rsidRDefault="00043F6A" w:rsidP="00043F6A">
      <w:pPr>
        <w:spacing w:line="240" w:lineRule="auto"/>
        <w:jc w:val="both"/>
        <w:rPr>
          <w:rFonts w:ascii="Times New Roman" w:hAnsi="Times New Roman" w:cs="Times New Roman"/>
          <w:sz w:val="24"/>
          <w:szCs w:val="24"/>
        </w:rPr>
      </w:pPr>
      <w:r w:rsidRPr="00793368">
        <w:rPr>
          <w:rFonts w:ascii="Times New Roman" w:hAnsi="Times New Roman" w:cs="Times New Roman"/>
          <w:sz w:val="24"/>
          <w:szCs w:val="24"/>
        </w:rPr>
        <w:t>El control va más allá de los grandes movimientos empresariales. Cualquier inversor extranjero debe pedir permiso a Moncloa para hacer compras en España. La Junta de Inversiones Exteriores (JINVEX) es el órgano interministerial encargado de ejercer este control. Entre 2023 y 2024, el número de operaciones foráneas autorizadas se ha reducido del 83% al 62%. En 2024 la JINVEX se reunió un total de 21 veces, cinco menos que en 2023, e informó formalmente acerca de un total de 147 operaciones, según los datos del Gobierno s</w:t>
      </w:r>
      <w:r>
        <w:rPr>
          <w:rFonts w:ascii="Times New Roman" w:hAnsi="Times New Roman" w:cs="Times New Roman"/>
          <w:sz w:val="24"/>
          <w:szCs w:val="24"/>
        </w:rPr>
        <w:t>obre el control de inversiones.</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 xml:space="preserve">- </w:t>
      </w:r>
      <w:r w:rsidRPr="00A612F5">
        <w:rPr>
          <w:rFonts w:ascii="Times New Roman" w:hAnsi="Times New Roman" w:cs="Times New Roman"/>
          <w:sz w:val="24"/>
          <w:szCs w:val="24"/>
          <w:u w:val="single"/>
        </w:rPr>
        <w:t>La carga burocrática de las empresas en España es un 33% superior a la de la UE</w:t>
      </w:r>
      <w:r w:rsidRPr="00A612F5">
        <w:rPr>
          <w:rFonts w:ascii="Times New Roman" w:hAnsi="Times New Roman" w:cs="Times New Roman"/>
          <w:sz w:val="24"/>
          <w:szCs w:val="24"/>
        </w:rPr>
        <w:t xml:space="preserve"> (El Economista - </w:t>
      </w:r>
      <w:r w:rsidRPr="00A612F5">
        <w:rPr>
          <w:rFonts w:ascii="Times New Roman" w:hAnsi="Times New Roman" w:cs="Times New Roman"/>
          <w:b/>
          <w:sz w:val="24"/>
          <w:szCs w:val="24"/>
        </w:rPr>
        <w:t>15/8/25</w:t>
      </w:r>
      <w:r w:rsidRPr="00A612F5">
        <w:rPr>
          <w:rFonts w:ascii="Times New Roman" w:hAnsi="Times New Roman" w:cs="Times New Roman"/>
          <w:sz w:val="24"/>
          <w:szCs w:val="24"/>
        </w:rPr>
        <w:t>)</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El país está en el puesto 12 de 34 naciones dentro del Índice de deficiencia reguladora</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 xml:space="preserve">En el ejercicio de 2024 se aprobaron 894 normas entre el Estado y las autonomías </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(Por Carlos Asensio)</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España es uno de los países de Europa que mayor carga burocrática impone sobre sus empresas. En concreto, el papeleo de todo tipo al que se enfrentan las compañías nuestro país para sacar adelante sus inversiones es un 33,4% superior a la media de la Unión Europea, lo que lo sitúa en una posición muy desfavorable en comparación de economías similares en el Viejo Continente como Francia o Alemania.</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El estudio sobre coyuntura del Instituto de Estudios Económicos (IEE), publicado en julio de e</w:t>
      </w:r>
      <w:r w:rsidR="00052144">
        <w:rPr>
          <w:rFonts w:ascii="Times New Roman" w:hAnsi="Times New Roman" w:cs="Times New Roman"/>
          <w:sz w:val="24"/>
          <w:szCs w:val="24"/>
        </w:rPr>
        <w:t>ste mismo año, dice que España “</w:t>
      </w:r>
      <w:r w:rsidRPr="00A612F5">
        <w:rPr>
          <w:rFonts w:ascii="Times New Roman" w:hAnsi="Times New Roman" w:cs="Times New Roman"/>
          <w:sz w:val="24"/>
          <w:szCs w:val="24"/>
        </w:rPr>
        <w:t>evidencia un rezago significativo en l</w:t>
      </w:r>
      <w:r w:rsidR="00052144">
        <w:rPr>
          <w:rFonts w:ascii="Times New Roman" w:hAnsi="Times New Roman" w:cs="Times New Roman"/>
          <w:sz w:val="24"/>
          <w:szCs w:val="24"/>
        </w:rPr>
        <w:t>a calidad del entorno normativo”</w:t>
      </w:r>
      <w:r w:rsidRPr="00A612F5">
        <w:rPr>
          <w:rFonts w:ascii="Times New Roman" w:hAnsi="Times New Roman" w:cs="Times New Roman"/>
          <w:sz w:val="24"/>
          <w:szCs w:val="24"/>
        </w:rPr>
        <w:t xml:space="preserve"> del país. Así, los expertos del Instituto han elaborado el Índice de Deficiencia Regulatoria, que sitúa a España en el puesto 12 de 34 países.</w:t>
      </w:r>
    </w:p>
    <w:p w:rsidR="00043F6A"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Pero la deficiencia regulatoria no es lo único que demuestra que la burocracia española constituye un obstáculo económico de primer orden. En esta publicación, también se mide el fenómeno inverso, el Índice de Calidad Regulatoria, que evalúa la capacidad del Gobierno para diseñar políticas que sean favorables para el desarrollo del sector privado. En este indicador, el sistema administrativo de España, que aúna tanto la Administración Central, como las Comunidades Autónomas y los Ayuntamientos, obtiene una puntuación de 74,5 sobre 100, lo que lo sitúa en el puesto de 30 de los 3</w:t>
      </w:r>
      <w:r w:rsidR="00052144">
        <w:rPr>
          <w:rFonts w:ascii="Times New Roman" w:hAnsi="Times New Roman" w:cs="Times New Roman"/>
          <w:sz w:val="24"/>
          <w:szCs w:val="24"/>
        </w:rPr>
        <w:t>8 países que componen la OCDE. “</w:t>
      </w:r>
      <w:r w:rsidRPr="00A612F5">
        <w:rPr>
          <w:rFonts w:ascii="Times New Roman" w:hAnsi="Times New Roman" w:cs="Times New Roman"/>
          <w:sz w:val="24"/>
          <w:szCs w:val="24"/>
        </w:rPr>
        <w:t>Esto evidencia una regulación muy por d</w:t>
      </w:r>
      <w:r w:rsidR="00052144">
        <w:rPr>
          <w:rFonts w:ascii="Times New Roman" w:hAnsi="Times New Roman" w:cs="Times New Roman"/>
          <w:sz w:val="24"/>
          <w:szCs w:val="24"/>
        </w:rPr>
        <w:t>ebajo de la media en eficiencia”</w:t>
      </w:r>
      <w:r w:rsidRPr="00A612F5">
        <w:rPr>
          <w:rFonts w:ascii="Times New Roman" w:hAnsi="Times New Roman" w:cs="Times New Roman"/>
          <w:sz w:val="24"/>
          <w:szCs w:val="24"/>
        </w:rPr>
        <w:t>, apuntaban los expertos.</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lastRenderedPageBreak/>
        <w:t>En concreto, la calidad regulatoria está un 7,7% por debajo de la media de la Unión Europea y nueve puntos por debaj</w:t>
      </w:r>
      <w:r w:rsidR="00052144">
        <w:rPr>
          <w:rFonts w:ascii="Times New Roman" w:hAnsi="Times New Roman" w:cs="Times New Roman"/>
          <w:sz w:val="24"/>
          <w:szCs w:val="24"/>
        </w:rPr>
        <w:t>o de la OCDE. Esto sugiere que “</w:t>
      </w:r>
      <w:r w:rsidRPr="00A612F5">
        <w:rPr>
          <w:rFonts w:ascii="Times New Roman" w:hAnsi="Times New Roman" w:cs="Times New Roman"/>
          <w:sz w:val="24"/>
          <w:szCs w:val="24"/>
        </w:rPr>
        <w:t>persisten los obstáculos normativos que pueden limitar la competitividad y la agilidad del entorno empres</w:t>
      </w:r>
      <w:r w:rsidR="00052144">
        <w:rPr>
          <w:rFonts w:ascii="Times New Roman" w:hAnsi="Times New Roman" w:cs="Times New Roman"/>
          <w:sz w:val="24"/>
          <w:szCs w:val="24"/>
        </w:rPr>
        <w:t>arial, afectando a la inversión”</w:t>
      </w:r>
      <w:r w:rsidRPr="00A612F5">
        <w:rPr>
          <w:rFonts w:ascii="Times New Roman" w:hAnsi="Times New Roman" w:cs="Times New Roman"/>
          <w:sz w:val="24"/>
          <w:szCs w:val="24"/>
        </w:rPr>
        <w:t>, recalcan en el informe.</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En este sentido, del conjunto de la OCDE, Finlandia, Dinamarca y</w:t>
      </w:r>
      <w:r>
        <w:rPr>
          <w:rFonts w:ascii="Times New Roman" w:hAnsi="Times New Roman" w:cs="Times New Roman"/>
          <w:sz w:val="24"/>
          <w:szCs w:val="24"/>
        </w:rPr>
        <w:t xml:space="preserve"> </w:t>
      </w:r>
      <w:r w:rsidRPr="00A612F5">
        <w:rPr>
          <w:rFonts w:ascii="Times New Roman" w:hAnsi="Times New Roman" w:cs="Times New Roman"/>
          <w:sz w:val="24"/>
          <w:szCs w:val="24"/>
        </w:rPr>
        <w:t>Noruega destacan como los países que tienen una mayor eficiencia regulatoria, mientras que en la otra parte están México, Turquía y Colombia, cuya deficiencia administrativa es la más alta de la muestra estudiada por el IEE. Esto indica que</w:t>
      </w:r>
      <w:r w:rsidR="00052144">
        <w:rPr>
          <w:rFonts w:ascii="Times New Roman" w:hAnsi="Times New Roman" w:cs="Times New Roman"/>
          <w:sz w:val="24"/>
          <w:szCs w:val="24"/>
        </w:rPr>
        <w:t xml:space="preserve"> estos países “</w:t>
      </w:r>
      <w:r w:rsidRPr="00A612F5">
        <w:rPr>
          <w:rFonts w:ascii="Times New Roman" w:hAnsi="Times New Roman" w:cs="Times New Roman"/>
          <w:sz w:val="24"/>
          <w:szCs w:val="24"/>
        </w:rPr>
        <w:t xml:space="preserve">tienen unos marcos normativos extremadamente complejos, inestables o poco efectivos, que pueden obstaculizar su competitividad frente a otras administraciones y </w:t>
      </w:r>
      <w:r w:rsidR="00052144">
        <w:rPr>
          <w:rFonts w:ascii="Times New Roman" w:hAnsi="Times New Roman" w:cs="Times New Roman"/>
          <w:sz w:val="24"/>
          <w:szCs w:val="24"/>
        </w:rPr>
        <w:t>también su desarrollo económico”</w:t>
      </w:r>
      <w:r w:rsidRPr="00A612F5">
        <w:rPr>
          <w:rFonts w:ascii="Times New Roman" w:hAnsi="Times New Roman" w:cs="Times New Roman"/>
          <w:sz w:val="24"/>
          <w:szCs w:val="24"/>
        </w:rPr>
        <w:t>.</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noProof/>
          <w:sz w:val="24"/>
          <w:szCs w:val="24"/>
          <w:lang w:eastAsia="es-ES"/>
        </w:rPr>
        <w:drawing>
          <wp:inline distT="0" distB="0" distL="0" distR="0" wp14:anchorId="7C3115CC" wp14:editId="021E400E">
            <wp:extent cx="5727698" cy="3162300"/>
            <wp:effectExtent l="0" t="0" r="6985"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5731510" cy="3164405"/>
                    </a:xfrm>
                    <a:prstGeom prst="rect">
                      <a:avLst/>
                    </a:prstGeom>
                  </pic:spPr>
                </pic:pic>
              </a:graphicData>
            </a:graphic>
          </wp:inline>
        </w:drawing>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noProof/>
          <w:sz w:val="24"/>
          <w:szCs w:val="24"/>
          <w:lang w:eastAsia="es-ES"/>
        </w:rPr>
        <w:drawing>
          <wp:inline distT="0" distB="0" distL="0" distR="0" wp14:anchorId="5EE217F8" wp14:editId="22BE7F87">
            <wp:extent cx="5734050" cy="2895600"/>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5731510" cy="2894317"/>
                    </a:xfrm>
                    <a:prstGeom prst="rect">
                      <a:avLst/>
                    </a:prstGeom>
                  </pic:spPr>
                </pic:pic>
              </a:graphicData>
            </a:graphic>
          </wp:inline>
        </w:drawing>
      </w:r>
      <w:r w:rsidRPr="00A612F5">
        <w:rPr>
          <w:rFonts w:ascii="Times New Roman" w:hAnsi="Times New Roman" w:cs="Times New Roman"/>
          <w:sz w:val="24"/>
          <w:szCs w:val="24"/>
        </w:rPr>
        <w:t xml:space="preserve">    </w:t>
      </w:r>
      <w:r w:rsidRPr="00A612F5">
        <w:rPr>
          <w:rFonts w:ascii="Times New Roman" w:hAnsi="Times New Roman" w:cs="Times New Roman"/>
          <w:noProof/>
          <w:sz w:val="24"/>
          <w:szCs w:val="24"/>
          <w:lang w:eastAsia="es-ES"/>
        </w:rPr>
        <w:drawing>
          <wp:inline distT="0" distB="0" distL="0" distR="0" wp14:anchorId="012F303E" wp14:editId="0A5A77F8">
            <wp:extent cx="5499100" cy="654050"/>
            <wp:effectExtent l="0" t="0" r="6350"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5521121" cy="656669"/>
                    </a:xfrm>
                    <a:prstGeom prst="rect">
                      <a:avLst/>
                    </a:prstGeom>
                  </pic:spPr>
                </pic:pic>
              </a:graphicData>
            </a:graphic>
          </wp:inline>
        </w:drawing>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lastRenderedPageBreak/>
        <w:t>El peso de la burocracia y la complejidad del sistema es una de las principales reclamaciones que hace el sector privado español en cualquier espacio de debate. Cada año, desde la Confederación Española de Organizaciones Empresariales (CEOE) elaboran su informe de Producción Informativa en 20</w:t>
      </w:r>
      <w:r w:rsidR="00052144">
        <w:rPr>
          <w:rFonts w:ascii="Times New Roman" w:hAnsi="Times New Roman" w:cs="Times New Roman"/>
          <w:sz w:val="24"/>
          <w:szCs w:val="24"/>
        </w:rPr>
        <w:t>24, con el que analizan el “complejo”</w:t>
      </w:r>
      <w:r w:rsidRPr="00A612F5">
        <w:rPr>
          <w:rFonts w:ascii="Times New Roman" w:hAnsi="Times New Roman" w:cs="Times New Roman"/>
          <w:sz w:val="24"/>
          <w:szCs w:val="24"/>
        </w:rPr>
        <w:t xml:space="preserve"> marco legislativo español. La pesquisa de la patronal concluye que el pasado ejercicio</w:t>
      </w:r>
      <w:r w:rsidR="00052144">
        <w:rPr>
          <w:rFonts w:ascii="Times New Roman" w:hAnsi="Times New Roman" w:cs="Times New Roman"/>
          <w:sz w:val="24"/>
          <w:szCs w:val="24"/>
        </w:rPr>
        <w:t>,</w:t>
      </w:r>
      <w:r w:rsidRPr="00A612F5">
        <w:rPr>
          <w:rFonts w:ascii="Times New Roman" w:hAnsi="Times New Roman" w:cs="Times New Roman"/>
          <w:sz w:val="24"/>
          <w:szCs w:val="24"/>
        </w:rPr>
        <w:t xml:space="preserve"> se </w:t>
      </w:r>
      <w:r w:rsidR="00052144">
        <w:rPr>
          <w:rFonts w:ascii="Times New Roman" w:hAnsi="Times New Roman" w:cs="Times New Roman"/>
          <w:sz w:val="24"/>
          <w:szCs w:val="24"/>
        </w:rPr>
        <w:t>aprobaron</w:t>
      </w:r>
      <w:r w:rsidRPr="00A612F5">
        <w:rPr>
          <w:rFonts w:ascii="Times New Roman" w:hAnsi="Times New Roman" w:cs="Times New Roman"/>
          <w:sz w:val="24"/>
          <w:szCs w:val="24"/>
        </w:rPr>
        <w:t xml:space="preserve"> un total de 719 normas de ámbito esta</w:t>
      </w:r>
      <w:r w:rsidR="00052144">
        <w:rPr>
          <w:rFonts w:ascii="Times New Roman" w:hAnsi="Times New Roman" w:cs="Times New Roman"/>
          <w:sz w:val="24"/>
          <w:szCs w:val="24"/>
        </w:rPr>
        <w:t>tal que atañen a las empresas. “</w:t>
      </w:r>
      <w:r w:rsidRPr="00A612F5">
        <w:rPr>
          <w:rFonts w:ascii="Times New Roman" w:hAnsi="Times New Roman" w:cs="Times New Roman"/>
          <w:sz w:val="24"/>
          <w:szCs w:val="24"/>
        </w:rPr>
        <w:t xml:space="preserve">Esto son </w:t>
      </w:r>
      <w:r w:rsidR="00052144">
        <w:rPr>
          <w:rFonts w:ascii="Times New Roman" w:hAnsi="Times New Roman" w:cs="Times New Roman"/>
          <w:sz w:val="24"/>
          <w:szCs w:val="24"/>
        </w:rPr>
        <w:t>prácticamente dos normas al día”</w:t>
      </w:r>
      <w:r w:rsidRPr="00A612F5">
        <w:rPr>
          <w:rFonts w:ascii="Times New Roman" w:hAnsi="Times New Roman" w:cs="Times New Roman"/>
          <w:sz w:val="24"/>
          <w:szCs w:val="24"/>
        </w:rPr>
        <w:t>, denuncian. Este ritmo de producción normativa supone un 3% más que en el añ</w:t>
      </w:r>
      <w:r w:rsidR="00052144">
        <w:rPr>
          <w:rFonts w:ascii="Times New Roman" w:hAnsi="Times New Roman" w:cs="Times New Roman"/>
          <w:sz w:val="24"/>
          <w:szCs w:val="24"/>
        </w:rPr>
        <w:t>o 2023. Por tanto, el año 2024 “</w:t>
      </w:r>
      <w:r w:rsidRPr="00A612F5">
        <w:rPr>
          <w:rFonts w:ascii="Times New Roman" w:hAnsi="Times New Roman" w:cs="Times New Roman"/>
          <w:sz w:val="24"/>
          <w:szCs w:val="24"/>
        </w:rPr>
        <w:t xml:space="preserve">se sitúa como el quinto de mayor actividad </w:t>
      </w:r>
      <w:r w:rsidR="00052144">
        <w:rPr>
          <w:rFonts w:ascii="Times New Roman" w:hAnsi="Times New Roman" w:cs="Times New Roman"/>
          <w:sz w:val="24"/>
          <w:szCs w:val="24"/>
        </w:rPr>
        <w:t>legislativa de la última década”</w:t>
      </w:r>
      <w:r w:rsidRPr="00A612F5">
        <w:rPr>
          <w:rFonts w:ascii="Times New Roman" w:hAnsi="Times New Roman" w:cs="Times New Roman"/>
          <w:sz w:val="24"/>
          <w:szCs w:val="24"/>
        </w:rPr>
        <w:t>, señalan desde la patronal.</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En 2024, la producción normativa de las Comunidades Autónomas descendió un 39,8%, con 175 normas publicadas frente a las 291 de 2023. Así, si se tiene en cuenta la producción normativa total de España, estatal y autonómica, el año p</w:t>
      </w:r>
      <w:r w:rsidR="00052144">
        <w:rPr>
          <w:rFonts w:ascii="Times New Roman" w:hAnsi="Times New Roman" w:cs="Times New Roman"/>
          <w:sz w:val="24"/>
          <w:szCs w:val="24"/>
        </w:rPr>
        <w:t>asado se aprobaron 894 normas, “</w:t>
      </w:r>
      <w:r w:rsidRPr="00A612F5">
        <w:rPr>
          <w:rFonts w:ascii="Times New Roman" w:hAnsi="Times New Roman" w:cs="Times New Roman"/>
          <w:sz w:val="24"/>
          <w:szCs w:val="24"/>
        </w:rPr>
        <w:t>lo que equivale a casi dos novedades legisl</w:t>
      </w:r>
      <w:r w:rsidR="00052144">
        <w:rPr>
          <w:rFonts w:ascii="Times New Roman" w:hAnsi="Times New Roman" w:cs="Times New Roman"/>
          <w:sz w:val="24"/>
          <w:szCs w:val="24"/>
        </w:rPr>
        <w:t>ativas cada día”</w:t>
      </w:r>
      <w:r w:rsidRPr="00A612F5">
        <w:rPr>
          <w:rFonts w:ascii="Times New Roman" w:hAnsi="Times New Roman" w:cs="Times New Roman"/>
          <w:sz w:val="24"/>
          <w:szCs w:val="24"/>
        </w:rPr>
        <w:t>.</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Pero a todo esto hay que sumar la normativa comunitaria, ya que casi la mitad (46%) de las leyes que se aprobaron en las Cortes Generales en España el año pasado tenían su origen en Bruselas, según el informe sobre la Adopción de la legislación de la Oficina del Parlamento europeo en España, publicado en el mes de enero de este año.</w:t>
      </w:r>
    </w:p>
    <w:p w:rsidR="00043F6A" w:rsidRPr="00A612F5" w:rsidRDefault="00052144" w:rsidP="00043F6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43F6A" w:rsidRPr="00A612F5">
        <w:rPr>
          <w:rFonts w:ascii="Times New Roman" w:hAnsi="Times New Roman" w:cs="Times New Roman"/>
          <w:sz w:val="24"/>
          <w:szCs w:val="24"/>
        </w:rPr>
        <w:t>Para el tejido empresarial, adaptarse y mantenerse al día con la legislación vigente supone una dedicación considerable de recursos y esfuerzos, lo que impacta neg</w:t>
      </w:r>
      <w:r>
        <w:rPr>
          <w:rFonts w:ascii="Times New Roman" w:hAnsi="Times New Roman" w:cs="Times New Roman"/>
          <w:sz w:val="24"/>
          <w:szCs w:val="24"/>
        </w:rPr>
        <w:t>ativamente en su competitividad”</w:t>
      </w:r>
      <w:r w:rsidR="00043F6A" w:rsidRPr="00A612F5">
        <w:rPr>
          <w:rFonts w:ascii="Times New Roman" w:hAnsi="Times New Roman" w:cs="Times New Roman"/>
          <w:sz w:val="24"/>
          <w:szCs w:val="24"/>
        </w:rPr>
        <w:t>. Por este motivo, desde la OCDE reclaman que se es import</w:t>
      </w:r>
      <w:r>
        <w:rPr>
          <w:rFonts w:ascii="Times New Roman" w:hAnsi="Times New Roman" w:cs="Times New Roman"/>
          <w:sz w:val="24"/>
          <w:szCs w:val="24"/>
        </w:rPr>
        <w:t>ante contar con marco jurídico “estable y confiable”</w:t>
      </w:r>
      <w:r w:rsidR="00043F6A" w:rsidRPr="00A612F5">
        <w:rPr>
          <w:rFonts w:ascii="Times New Roman" w:hAnsi="Times New Roman" w:cs="Times New Roman"/>
          <w:sz w:val="24"/>
          <w:szCs w:val="24"/>
        </w:rPr>
        <w:t>, como algo fundamental para el desarrollo económico y bienestar social del país.</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Más de 100 días</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En este sentido, desde la patronal de la pequeña y mediana empresa de Cataluña, Pimec, quisieron poner cifras al coste y el tiempo que supone la burocracia para las empresas en el que concluyen que el 70% de las compañías que entrevistaron aseguraron que tuvieron que repetir gestiones que ya tenían hechas, por ejemplo.</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Según el cómputo de Pimec, una empresa asentada en Cataluña tarde de media unas 41,1 horas al mes en realizar trámites con la administración pública. Asimismo, el informe concluye que, de media, se tarda 136 días en que dichos trámites administrativos acaben resueltos por los estamentos públicos.</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Pero la carga administrativa no solo afecta a las empresas ya asentadas o fijadas en territorio nacional, sino que también afecta de manera muy directa a la Inversión Extranjera Directa (IED). Desde la OCDE elaboran cada año su Índice de Restricción Regulatoria de la IED, en el que resaltan la importancia de tener un sistema legislativo y normativo idóneo para que las empresas exteriores quieran fijarse en el país en cuestión para realizar su expansión.</w:t>
      </w:r>
    </w:p>
    <w:p w:rsidR="00043F6A" w:rsidRPr="00A612F5" w:rsidRDefault="00052144" w:rsidP="00043F6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43F6A" w:rsidRPr="00A612F5">
        <w:rPr>
          <w:rFonts w:ascii="Times New Roman" w:hAnsi="Times New Roman" w:cs="Times New Roman"/>
          <w:sz w:val="24"/>
          <w:szCs w:val="24"/>
        </w:rPr>
        <w:t xml:space="preserve">Estas medidas pueden tener importantes implicaciones económicas más allá de su posible impacto directo en el grado de </w:t>
      </w:r>
      <w:r>
        <w:rPr>
          <w:rFonts w:ascii="Times New Roman" w:hAnsi="Times New Roman" w:cs="Times New Roman"/>
          <w:sz w:val="24"/>
          <w:szCs w:val="24"/>
        </w:rPr>
        <w:t>competencia y la competitividad”</w:t>
      </w:r>
      <w:r w:rsidR="00043F6A" w:rsidRPr="00A612F5">
        <w:rPr>
          <w:rFonts w:ascii="Times New Roman" w:hAnsi="Times New Roman" w:cs="Times New Roman"/>
          <w:sz w:val="24"/>
          <w:szCs w:val="24"/>
        </w:rPr>
        <w:t>, dicen los expertos. Por tanto, la burocracia supone un riesgo clave, ya que limita indirectamente el crecimiento de la productividad en sectores de valor añadido, como el manufacturero.</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Los trámites absorben el 10,5% del tiempo</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 xml:space="preserve">Las empresas españolas dedican el 10,5% de su tiempo para arreglar papeleo y burocracia. Esta conclusión sale de una encuesta realizada por el Banco Mundial en el que señalan que el </w:t>
      </w:r>
      <w:r w:rsidR="00052144">
        <w:rPr>
          <w:rFonts w:ascii="Times New Roman" w:hAnsi="Times New Roman" w:cs="Times New Roman"/>
          <w:sz w:val="24"/>
          <w:szCs w:val="24"/>
        </w:rPr>
        <w:lastRenderedPageBreak/>
        <w:t>llamado “impuesto del tiempo”</w:t>
      </w:r>
      <w:r w:rsidRPr="00A612F5">
        <w:rPr>
          <w:rFonts w:ascii="Times New Roman" w:hAnsi="Times New Roman" w:cs="Times New Roman"/>
          <w:sz w:val="24"/>
          <w:szCs w:val="24"/>
        </w:rPr>
        <w:t xml:space="preserve"> se ceba mucho más con las compañías españolas que con las del resto de economías del mismo nivel de ingresos, donde la media se situó en el 8% del tiempo destinado a atender la carga burocrática.</w:t>
      </w:r>
    </w:p>
    <w:p w:rsidR="00043F6A"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A pesar de todo, el porcentaje de tiempo se redujo considerablemente desde 2021, donde el porcentaje ascendía al 13%. Los más de 1.431 altos cargos y propietarios de las empresas españolas que entrevistó el Banco Mundial entre enero de 2024 y marzo de 2025 resaltan que este era uno de los principales escollos que les impedían llevar a cabo su actividad con normalidad. En este sentido, desde IEE apuntan a la necesidad de mejora de la calidad institucional y regulatoria para que la economía del país pueda avanzar.</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 xml:space="preserve">- </w:t>
      </w:r>
      <w:r w:rsidRPr="00A612F5">
        <w:rPr>
          <w:rFonts w:ascii="Times New Roman" w:hAnsi="Times New Roman" w:cs="Times New Roman"/>
          <w:sz w:val="24"/>
          <w:szCs w:val="24"/>
          <w:u w:val="single"/>
        </w:rPr>
        <w:t>Miedo a la mano de Moncloa: se disparan las consultas de empresas internacionales por el intervencionismo</w:t>
      </w:r>
      <w:r w:rsidRPr="00A612F5">
        <w:rPr>
          <w:rFonts w:ascii="Times New Roman" w:hAnsi="Times New Roman" w:cs="Times New Roman"/>
          <w:sz w:val="24"/>
          <w:szCs w:val="24"/>
        </w:rPr>
        <w:t xml:space="preserve"> (Vozpópuli - </w:t>
      </w:r>
      <w:r w:rsidRPr="00A612F5">
        <w:rPr>
          <w:rFonts w:ascii="Times New Roman" w:hAnsi="Times New Roman" w:cs="Times New Roman"/>
          <w:b/>
          <w:sz w:val="24"/>
          <w:szCs w:val="24"/>
        </w:rPr>
        <w:t>17/8/25</w:t>
      </w:r>
      <w:r w:rsidRPr="00A612F5">
        <w:rPr>
          <w:rFonts w:ascii="Times New Roman" w:hAnsi="Times New Roman" w:cs="Times New Roman"/>
          <w:sz w:val="24"/>
          <w:szCs w:val="24"/>
        </w:rPr>
        <w:t>)</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Tras las duras condiciones al BBVA, el mundo empresarial teme que distintos fondos e inversores extranje</w:t>
      </w:r>
      <w:r w:rsidR="00052144">
        <w:rPr>
          <w:rFonts w:ascii="Times New Roman" w:hAnsi="Times New Roman" w:cs="Times New Roman"/>
          <w:sz w:val="24"/>
          <w:szCs w:val="24"/>
        </w:rPr>
        <w:t>ros se alejen por la creciente “inseguridad jurídica”</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De la OPA de BBVA a Talgo: Moncloa expande su intervencionismo en operaciones por más de 15.000 millones</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BBVA mantiene el pulso y seguirá adelante con la OPA al Sabadell</w:t>
      </w:r>
    </w:p>
    <w:p w:rsidR="00043F6A" w:rsidRPr="00A612F5" w:rsidRDefault="00052144" w:rsidP="00043F6A">
      <w:pPr>
        <w:spacing w:line="240" w:lineRule="auto"/>
        <w:jc w:val="both"/>
        <w:rPr>
          <w:rFonts w:ascii="Times New Roman" w:hAnsi="Times New Roman" w:cs="Times New Roman"/>
          <w:sz w:val="24"/>
          <w:szCs w:val="24"/>
        </w:rPr>
      </w:pPr>
      <w:r>
        <w:rPr>
          <w:rFonts w:ascii="Times New Roman" w:hAnsi="Times New Roman" w:cs="Times New Roman"/>
          <w:sz w:val="24"/>
          <w:szCs w:val="24"/>
        </w:rPr>
        <w:t>(Por Rubén Sampedro y</w:t>
      </w:r>
      <w:r w:rsidR="00043F6A" w:rsidRPr="00A612F5">
        <w:rPr>
          <w:rFonts w:ascii="Times New Roman" w:hAnsi="Times New Roman" w:cs="Times New Roman"/>
          <w:sz w:val="24"/>
          <w:szCs w:val="24"/>
        </w:rPr>
        <w:t xml:space="preserve"> Joaquín Hernández Rader)</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Miedo a un creciente intervencionismo del Gobierno en España. Grandes empresas y fondos internacionales con distintos focos de actividad están intensificando las consultas a bufetes ante el temor de que Moncloa imponga nuevas condiciones en los sectores en los que operan, según trasladan a Vozpópuli fuentes en contacto permanente con este tipo de inversores.</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El Gobierno, como prometió Pedro Sánchez en la víspera del Foro de Davos de 2024, cada vez está más volcado en erigirse como un actor protagonista de los movimientos empresariales en España. El último capítulo del intervencionismo ha sido el de Talgo, donde la Sociedad Estatal de Participaciones Industriales, el brazo inversor de Moncloa, ha desembarcado en su capital después de que el Ejecutivo rechazara la OPA de la em</w:t>
      </w:r>
      <w:r w:rsidR="00052144">
        <w:rPr>
          <w:rFonts w:ascii="Times New Roman" w:hAnsi="Times New Roman" w:cs="Times New Roman"/>
          <w:sz w:val="24"/>
          <w:szCs w:val="24"/>
        </w:rPr>
        <w:t>presa húngara Magyar Vagon por “seguridad nacional”</w:t>
      </w:r>
      <w:r w:rsidRPr="00A612F5">
        <w:rPr>
          <w:rFonts w:ascii="Times New Roman" w:hAnsi="Times New Roman" w:cs="Times New Roman"/>
          <w:sz w:val="24"/>
          <w:szCs w:val="24"/>
        </w:rPr>
        <w:t xml:space="preserve">. Un año después, entró en la ferroviaria pagando una prima de más del 40%.  </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Pero las consultas entre los inversores extranjeros a los departamentos regulatorios en España de grandes despachos internacionales han aumentado especialmente tras la intromisión en la OPA del BBVA, según ponen de relieve las fuentes consultadas. La fecha que marcó el punto de inflexión fue el 24 de junio. Ese día, el Consejo de Ministros imponía condiciones severas para torpedear el intento de compra del Sabadell por parte del grupo de La Vela.</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De forma inesperada, prohibía la fusión de ambas entidades al menos durante tres años así como también cualquier ajuste de plantilla ligado a la operación. Unas condiciones que amenazan las sinergias que justifican la adquisición, pero que no parecen haber servido al menos para que el BBVA tire la toalla.</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Preocupación para invertir</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Como transmiten en privado asesores de grandes empresas internacionales, el intervencionismo político es una de las principales preocupaciones antes de tomar la decisión de invertir. Entre los grandes fondos de inversión</w:t>
      </w:r>
      <w:r w:rsidR="00052144">
        <w:rPr>
          <w:rFonts w:ascii="Times New Roman" w:hAnsi="Times New Roman" w:cs="Times New Roman"/>
          <w:sz w:val="24"/>
          <w:szCs w:val="24"/>
        </w:rPr>
        <w:t xml:space="preserve"> se ha instalado una imagen de “</w:t>
      </w:r>
      <w:r w:rsidRPr="00A612F5">
        <w:rPr>
          <w:rFonts w:ascii="Times New Roman" w:hAnsi="Times New Roman" w:cs="Times New Roman"/>
          <w:sz w:val="24"/>
          <w:szCs w:val="24"/>
        </w:rPr>
        <w:t xml:space="preserve">país </w:t>
      </w:r>
      <w:r w:rsidR="00052144">
        <w:rPr>
          <w:rFonts w:ascii="Times New Roman" w:hAnsi="Times New Roman" w:cs="Times New Roman"/>
          <w:sz w:val="24"/>
          <w:szCs w:val="24"/>
        </w:rPr>
        <w:lastRenderedPageBreak/>
        <w:t>provinciano”</w:t>
      </w:r>
      <w:r w:rsidRPr="00A612F5">
        <w:rPr>
          <w:rFonts w:ascii="Times New Roman" w:hAnsi="Times New Roman" w:cs="Times New Roman"/>
          <w:sz w:val="24"/>
          <w:szCs w:val="24"/>
        </w:rPr>
        <w:t>, lo que está alejando al país de jugar un papel relevante en los mercados financieros, más allá de la retracción en el número de operaciones corporativas, del 17% hasta julio, según datos de TTR Data.</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Al mundo empresarial no le gusta este tipo de medidas intervencionistas. Sobre todo, para atraer a inversores extranjeros, que en su radiografía para elegir destino fijan como línea roja la inseguridad jurídica y la injerencia política.</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 xml:space="preserve">“No podemos estar 14 meses en una inestabilidad continua. El Gobierno podía haber hecho hace un año lo que finalmente ha hecho. Se ha politizado mucho la operación”, criticó Antonio Garamendi, presidente de la CEOE, unos días después de que Moncloa impusiera dichas condiciones a la OPA del BBVA.  </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Se encienden las alarmas en Bruselas</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Sin ir más lejos, la Comisión Europea ha abierto un expediente a España por entrometerse. Desde Bruselas se cuestiona la discrecionalidad del Consejo de Ministros por alargar el examen de Competencia durante meses, hasta la conocida como fase 3, que daba potestad a Moncloa para endurecer las condiciones. El Ministerio de Economía se amparó en la Ley de Defensa de la Competencia de 2007, que le posibilita imponer condiciones más severas por interés general.</w:t>
      </w:r>
    </w:p>
    <w:p w:rsidR="00043F6A" w:rsidRPr="00A612F5"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En los despachos comunitarios se encendieron las alarmas hace tiempo. En julio de 2024, abrió el procedimiento conocido como EU Pilot, en el que intercambia información con los estados miembros acusados de un posible incumplimiento de los tratados de la Unión Europea. Hay dos principios básicos que se teme que el Gobierno puede vulnerar: la libertad de empresa y la libre circulación de capitales.</w:t>
      </w:r>
    </w:p>
    <w:p w:rsidR="00043F6A" w:rsidRDefault="00043F6A" w:rsidP="00043F6A">
      <w:pPr>
        <w:spacing w:line="240" w:lineRule="auto"/>
        <w:jc w:val="both"/>
        <w:rPr>
          <w:rFonts w:ascii="Times New Roman" w:hAnsi="Times New Roman" w:cs="Times New Roman"/>
          <w:sz w:val="24"/>
          <w:szCs w:val="24"/>
        </w:rPr>
      </w:pPr>
      <w:r w:rsidRPr="00A612F5">
        <w:rPr>
          <w:rFonts w:ascii="Times New Roman" w:hAnsi="Times New Roman" w:cs="Times New Roman"/>
          <w:sz w:val="24"/>
          <w:szCs w:val="24"/>
        </w:rPr>
        <w:t>Otro de los capítulos de intervencionismo que movió los cimientos del mundo empresarial fue el regreso del Estado al capital de Telefónica 26 años después, con la entrada de la Sepi con un paquete de acciones del 10%. Pero el culmen se produjo a inicios de este año, cuando Moncloa promovió el relevo del presidente José María Álvarez-Pallete por Marc Murtra.</w:t>
      </w:r>
    </w:p>
    <w:p w:rsidR="00043F6A" w:rsidRPr="0071254E" w:rsidRDefault="00043F6A" w:rsidP="00043F6A">
      <w:pPr>
        <w:spacing w:line="240" w:lineRule="auto"/>
        <w:jc w:val="both"/>
        <w:rPr>
          <w:rFonts w:ascii="Times New Roman" w:hAnsi="Times New Roman" w:cs="Times New Roman"/>
          <w:b/>
          <w:color w:val="FF0000"/>
          <w:sz w:val="24"/>
          <w:szCs w:val="24"/>
        </w:rPr>
      </w:pPr>
      <w:r w:rsidRPr="0071254E">
        <w:rPr>
          <w:rFonts w:ascii="Times New Roman" w:hAnsi="Times New Roman" w:cs="Times New Roman"/>
          <w:b/>
          <w:color w:val="FF0000"/>
          <w:sz w:val="24"/>
          <w:szCs w:val="24"/>
        </w:rPr>
        <w:t>Nota</w:t>
      </w:r>
      <w:r>
        <w:rPr>
          <w:rFonts w:ascii="Times New Roman" w:hAnsi="Times New Roman" w:cs="Times New Roman"/>
          <w:b/>
          <w:color w:val="FF0000"/>
          <w:sz w:val="24"/>
          <w:szCs w:val="24"/>
        </w:rPr>
        <w:t xml:space="preserve"> I</w:t>
      </w:r>
      <w:r w:rsidRPr="0071254E">
        <w:rPr>
          <w:rFonts w:ascii="Times New Roman" w:hAnsi="Times New Roman" w:cs="Times New Roman"/>
          <w:b/>
          <w:color w:val="FF0000"/>
          <w:sz w:val="24"/>
          <w:szCs w:val="24"/>
        </w:rPr>
        <w:t>: “la tela de araña</w:t>
      </w:r>
      <w:r>
        <w:rPr>
          <w:rFonts w:ascii="Times New Roman" w:hAnsi="Times New Roman" w:cs="Times New Roman"/>
          <w:b/>
          <w:color w:val="FF0000"/>
          <w:sz w:val="24"/>
          <w:szCs w:val="24"/>
        </w:rPr>
        <w:t>” (en</w:t>
      </w:r>
      <w:r w:rsidRPr="0071254E">
        <w:rPr>
          <w:rFonts w:ascii="Times New Roman" w:hAnsi="Times New Roman" w:cs="Times New Roman"/>
          <w:b/>
          <w:color w:val="FF0000"/>
          <w:sz w:val="24"/>
          <w:szCs w:val="24"/>
        </w:rPr>
        <w:t xml:space="preserve"> la que </w:t>
      </w:r>
      <w:r w:rsidR="00513478">
        <w:rPr>
          <w:rFonts w:ascii="Times New Roman" w:hAnsi="Times New Roman" w:cs="Times New Roman"/>
          <w:b/>
          <w:color w:val="FF0000"/>
          <w:sz w:val="24"/>
          <w:szCs w:val="24"/>
        </w:rPr>
        <w:t>el “appará</w:t>
      </w:r>
      <w:r>
        <w:rPr>
          <w:rFonts w:ascii="Times New Roman" w:hAnsi="Times New Roman" w:cs="Times New Roman"/>
          <w:b/>
          <w:color w:val="FF0000"/>
          <w:sz w:val="24"/>
          <w:szCs w:val="24"/>
        </w:rPr>
        <w:t>tchik”,</w:t>
      </w:r>
      <w:r w:rsidRPr="0071254E">
        <w:rPr>
          <w:rFonts w:ascii="Times New Roman" w:hAnsi="Times New Roman" w:cs="Times New Roman"/>
          <w:b/>
          <w:color w:val="FF0000"/>
          <w:sz w:val="24"/>
          <w:szCs w:val="24"/>
        </w:rPr>
        <w:t xml:space="preserve"> tiene atrapado a los españoles) </w:t>
      </w:r>
    </w:p>
    <w:p w:rsidR="00043F6A" w:rsidRPr="0071254E" w:rsidRDefault="00043F6A" w:rsidP="00043F6A">
      <w:pPr>
        <w:spacing w:line="240" w:lineRule="auto"/>
        <w:jc w:val="both"/>
        <w:rPr>
          <w:rFonts w:ascii="Times New Roman" w:hAnsi="Times New Roman" w:cs="Times New Roman"/>
          <w:color w:val="FF0000"/>
          <w:sz w:val="24"/>
          <w:szCs w:val="24"/>
        </w:rPr>
      </w:pPr>
      <w:r w:rsidRPr="0071254E">
        <w:rPr>
          <w:rFonts w:ascii="Times New Roman" w:hAnsi="Times New Roman" w:cs="Times New Roman"/>
          <w:color w:val="FF0000"/>
          <w:sz w:val="24"/>
          <w:szCs w:val="24"/>
        </w:rPr>
        <w:t>El entramado público</w:t>
      </w:r>
    </w:p>
    <w:p w:rsidR="00043F6A" w:rsidRDefault="00043F6A" w:rsidP="00043F6A">
      <w:pPr>
        <w:spacing w:line="240" w:lineRule="auto"/>
        <w:jc w:val="both"/>
        <w:rPr>
          <w:rFonts w:ascii="Times New Roman" w:hAnsi="Times New Roman" w:cs="Times New Roman"/>
          <w:color w:val="FF0000"/>
          <w:sz w:val="24"/>
          <w:szCs w:val="24"/>
        </w:rPr>
      </w:pPr>
      <w:r w:rsidRPr="0071254E">
        <w:rPr>
          <w:rFonts w:ascii="Times New Roman" w:hAnsi="Times New Roman" w:cs="Times New Roman"/>
          <w:color w:val="FF0000"/>
          <w:sz w:val="24"/>
          <w:szCs w:val="24"/>
        </w:rPr>
        <w:t>Según los datos de Inventario de entes públicos, a día 3 de marzo había en España 5.121 entes, empresas, consorcios y fundaciones dependientes de las administraciones estatal, autonómica y local. Hasta 447 organismos estaban adscritos al Estado, mientras 1.332 estaban vinculados a las autonomías y 2.751 a los ayuntamientos. Mientras, 591 entes dependían de varias adminis</w:t>
      </w:r>
      <w:r w:rsidR="00052144">
        <w:rPr>
          <w:rFonts w:ascii="Times New Roman" w:hAnsi="Times New Roman" w:cs="Times New Roman"/>
          <w:color w:val="FF0000"/>
          <w:sz w:val="24"/>
          <w:szCs w:val="24"/>
        </w:rPr>
        <w:t>traciones. Cataluña lidera el ra</w:t>
      </w:r>
      <w:r w:rsidRPr="0071254E">
        <w:rPr>
          <w:rFonts w:ascii="Times New Roman" w:hAnsi="Times New Roman" w:cs="Times New Roman"/>
          <w:color w:val="FF0000"/>
          <w:sz w:val="24"/>
          <w:szCs w:val="24"/>
        </w:rPr>
        <w:t xml:space="preserve">nking de entes adscritos, con 244, seguida de </w:t>
      </w:r>
      <w:r>
        <w:rPr>
          <w:rFonts w:ascii="Times New Roman" w:hAnsi="Times New Roman" w:cs="Times New Roman"/>
          <w:color w:val="FF0000"/>
          <w:sz w:val="24"/>
          <w:szCs w:val="24"/>
        </w:rPr>
        <w:t xml:space="preserve">Andalucía -115- y Madrid -144-. </w:t>
      </w:r>
      <w:r w:rsidRPr="0071254E">
        <w:rPr>
          <w:rFonts w:ascii="Times New Roman" w:hAnsi="Times New Roman" w:cs="Times New Roman"/>
          <w:color w:val="FF0000"/>
          <w:sz w:val="24"/>
          <w:szCs w:val="24"/>
        </w:rPr>
        <w:t>(Fuente: The Objective - 6/3/23)</w:t>
      </w:r>
    </w:p>
    <w:p w:rsidR="00043F6A" w:rsidRPr="0071254E" w:rsidRDefault="00043F6A" w:rsidP="00043F6A">
      <w:pPr>
        <w:spacing w:line="240" w:lineRule="auto"/>
        <w:jc w:val="both"/>
        <w:rPr>
          <w:rFonts w:ascii="Times New Roman" w:hAnsi="Times New Roman" w:cs="Times New Roman"/>
          <w:color w:val="FF0000"/>
          <w:sz w:val="24"/>
          <w:szCs w:val="24"/>
        </w:rPr>
      </w:pPr>
      <w:r w:rsidRPr="003A6685">
        <w:rPr>
          <w:rFonts w:ascii="Times New Roman" w:hAnsi="Times New Roman" w:cs="Times New Roman"/>
          <w:b/>
          <w:color w:val="FF0000"/>
          <w:sz w:val="24"/>
          <w:szCs w:val="24"/>
        </w:rPr>
        <w:t>Nota II</w:t>
      </w:r>
      <w:r>
        <w:rPr>
          <w:rFonts w:ascii="Times New Roman" w:hAnsi="Times New Roman" w:cs="Times New Roman"/>
          <w:color w:val="FF0000"/>
          <w:sz w:val="24"/>
          <w:szCs w:val="24"/>
        </w:rPr>
        <w:t>: la única forma de eliminar esta (monstruosa y corrupta) maraña burocrática es desregularizando, y liberalizando, todas las actividades económica. Sin olvidar ninguna.</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71254E">
        <w:rPr>
          <w:rFonts w:ascii="Times New Roman" w:hAnsi="Times New Roman" w:cs="Times New Roman"/>
          <w:color w:val="FF0000"/>
          <w:sz w:val="24"/>
          <w:szCs w:val="24"/>
          <w:shd w:val="clear" w:color="auto" w:fill="FFFFFF"/>
        </w:rPr>
        <w:t>- Liberación del horario comercial</w:t>
      </w:r>
    </w:p>
    <w:p w:rsidR="00043F6A" w:rsidRPr="0071254E"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w:t>
      </w:r>
      <w:r w:rsidRPr="0071254E">
        <w:rPr>
          <w:rFonts w:ascii="Times New Roman" w:hAnsi="Times New Roman" w:cs="Times New Roman"/>
          <w:sz w:val="24"/>
          <w:szCs w:val="24"/>
          <w:shd w:val="clear" w:color="auto" w:fill="FFFFFF"/>
        </w:rPr>
        <w:t>l</w:t>
      </w:r>
      <w:r>
        <w:rPr>
          <w:rFonts w:ascii="Times New Roman" w:hAnsi="Times New Roman" w:cs="Times New Roman"/>
          <w:sz w:val="24"/>
          <w:szCs w:val="24"/>
          <w:shd w:val="clear" w:color="auto" w:fill="FFFFFF"/>
        </w:rPr>
        <w:t>iberación del horario comercial”</w:t>
      </w:r>
      <w:r w:rsidRPr="0071254E">
        <w:rPr>
          <w:rFonts w:ascii="Times New Roman" w:hAnsi="Times New Roman" w:cs="Times New Roman"/>
          <w:sz w:val="24"/>
          <w:szCs w:val="24"/>
          <w:shd w:val="clear" w:color="auto" w:fill="FFFFFF"/>
        </w:rPr>
        <w:t xml:space="preserve"> se refiere a la flexibilización o eliminación de restricciones sobre los horarios en los que los establecimientos comerciales pueden abrir sus puertas al público. En esencia, implica dar a los comerciantes mayor libertad para decidir </w:t>
      </w:r>
      <w:r w:rsidRPr="0071254E">
        <w:rPr>
          <w:rFonts w:ascii="Times New Roman" w:hAnsi="Times New Roman" w:cs="Times New Roman"/>
          <w:sz w:val="24"/>
          <w:szCs w:val="24"/>
          <w:shd w:val="clear" w:color="auto" w:fill="FFFFFF"/>
        </w:rPr>
        <w:lastRenderedPageBreak/>
        <w:t xml:space="preserve">cuándo abrir y cerrar sus negocios, en lugar de estar sujetos a horarios fijos </w:t>
      </w:r>
      <w:r>
        <w:rPr>
          <w:rFonts w:ascii="Times New Roman" w:hAnsi="Times New Roman" w:cs="Times New Roman"/>
          <w:sz w:val="24"/>
          <w:szCs w:val="24"/>
          <w:shd w:val="clear" w:color="auto" w:fill="FFFFFF"/>
        </w:rPr>
        <w:t xml:space="preserve">establecidos por regulaciones. </w:t>
      </w:r>
    </w:p>
    <w:p w:rsidR="00043F6A" w:rsidRPr="0071254E" w:rsidRDefault="00043F6A" w:rsidP="00043F6A">
      <w:pPr>
        <w:spacing w:line="240" w:lineRule="auto"/>
        <w:jc w:val="both"/>
        <w:rPr>
          <w:rFonts w:ascii="Times New Roman" w:hAnsi="Times New Roman" w:cs="Times New Roman"/>
          <w:sz w:val="24"/>
          <w:szCs w:val="24"/>
          <w:shd w:val="clear" w:color="auto" w:fill="FFFFFF"/>
        </w:rPr>
      </w:pPr>
      <w:r w:rsidRPr="0071254E">
        <w:rPr>
          <w:rFonts w:ascii="Times New Roman" w:hAnsi="Times New Roman" w:cs="Times New Roman"/>
          <w:sz w:val="24"/>
          <w:szCs w:val="24"/>
          <w:shd w:val="clear" w:color="auto" w:fill="FFFFFF"/>
        </w:rPr>
        <w:t>Restricciones actuales:</w:t>
      </w:r>
      <w:r>
        <w:rPr>
          <w:rFonts w:ascii="Times New Roman" w:hAnsi="Times New Roman" w:cs="Times New Roman"/>
          <w:sz w:val="24"/>
          <w:szCs w:val="24"/>
          <w:shd w:val="clear" w:color="auto" w:fill="FFFFFF"/>
        </w:rPr>
        <w:t xml:space="preserve"> </w:t>
      </w:r>
      <w:r w:rsidRPr="0071254E">
        <w:rPr>
          <w:rFonts w:ascii="Times New Roman" w:hAnsi="Times New Roman" w:cs="Times New Roman"/>
          <w:sz w:val="24"/>
          <w:szCs w:val="24"/>
          <w:shd w:val="clear" w:color="auto" w:fill="FFFFFF"/>
        </w:rPr>
        <w:t>En muchos lugares, existen leyes y regulaciones que limitan los horarios de apertura y cierre de comercios, especialmente en días festivos o fines de semana.</w:t>
      </w:r>
    </w:p>
    <w:p w:rsidR="00043F6A" w:rsidRPr="0071254E"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Liberación: </w:t>
      </w:r>
      <w:r w:rsidRPr="0071254E">
        <w:rPr>
          <w:rFonts w:ascii="Times New Roman" w:hAnsi="Times New Roman" w:cs="Times New Roman"/>
          <w:sz w:val="24"/>
          <w:szCs w:val="24"/>
          <w:shd w:val="clear" w:color="auto" w:fill="FFFFFF"/>
        </w:rPr>
        <w:t>La liberación implica eliminar o flexibilizar estas restricciones, permitiendo a los comerciantes abrir sus negocios cuando lo consideren más conveniente, o incluso abrir los 365 días del año.</w:t>
      </w:r>
    </w:p>
    <w:p w:rsidR="00043F6A" w:rsidRPr="0071254E"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Argumentos a favor: </w:t>
      </w:r>
      <w:r w:rsidRPr="0071254E">
        <w:rPr>
          <w:rFonts w:ascii="Times New Roman" w:hAnsi="Times New Roman" w:cs="Times New Roman"/>
          <w:sz w:val="24"/>
          <w:szCs w:val="24"/>
          <w:shd w:val="clear" w:color="auto" w:fill="FFFFFF"/>
        </w:rPr>
        <w:t>Se argumenta que la liberación del horario comercial puede fomentar la creación de empleo, aumentar las ventas y adaptarse mejor a las necesidades de los consumidores, especialmente en zonas turísticas o con alta demanda en horarios no convencionales.</w:t>
      </w:r>
    </w:p>
    <w:p w:rsidR="00043F6A" w:rsidRPr="0071254E"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Argumentos en contra: </w:t>
      </w:r>
      <w:r w:rsidRPr="0071254E">
        <w:rPr>
          <w:rFonts w:ascii="Times New Roman" w:hAnsi="Times New Roman" w:cs="Times New Roman"/>
          <w:sz w:val="24"/>
          <w:szCs w:val="24"/>
          <w:shd w:val="clear" w:color="auto" w:fill="FFFFFF"/>
        </w:rPr>
        <w:t>Se argumenta que la liberación puede perjudicar al pequeño comercio, que no puede competir con las grandes superficies en cuanto a horarios y costes laborales. Además, podría afectar negativamente a los trabajadores, que tendrían que trabajar más horas y en horarios menos deseables.</w:t>
      </w:r>
    </w:p>
    <w:p w:rsidR="00043F6A" w:rsidRPr="0071254E"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Impacto en el comercio: </w:t>
      </w:r>
      <w:r w:rsidRPr="0071254E">
        <w:rPr>
          <w:rFonts w:ascii="Times New Roman" w:hAnsi="Times New Roman" w:cs="Times New Roman"/>
          <w:sz w:val="24"/>
          <w:szCs w:val="24"/>
          <w:shd w:val="clear" w:color="auto" w:fill="FFFFFF"/>
        </w:rPr>
        <w:t>La liberación puede llevar a una mayor oferta de horarios, pero también a una mayor competencia entre comercios. Los establecimientos que no se adapten a la demanda podrían verse perjudicados, mientras que aquellos que ofrezcan servicios y horarios más amplios podrían beneficiarse.</w:t>
      </w:r>
    </w:p>
    <w:p w:rsidR="00043F6A" w:rsidRPr="0071254E"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Regulación autonómica: </w:t>
      </w:r>
      <w:r w:rsidRPr="0071254E">
        <w:rPr>
          <w:rFonts w:ascii="Times New Roman" w:hAnsi="Times New Roman" w:cs="Times New Roman"/>
          <w:sz w:val="24"/>
          <w:szCs w:val="24"/>
          <w:shd w:val="clear" w:color="auto" w:fill="FFFFFF"/>
        </w:rPr>
        <w:t xml:space="preserve">En España, la regulación de los horarios comerciales es competencia de las comunidades autónomas, por lo que la liberalización puede variar de una región a otra. </w:t>
      </w:r>
    </w:p>
    <w:p w:rsidR="00043F6A" w:rsidRDefault="00043F6A" w:rsidP="00043F6A">
      <w:pPr>
        <w:spacing w:line="240" w:lineRule="auto"/>
        <w:jc w:val="both"/>
        <w:rPr>
          <w:rFonts w:ascii="Times New Roman" w:hAnsi="Times New Roman" w:cs="Times New Roman"/>
          <w:sz w:val="24"/>
          <w:szCs w:val="24"/>
          <w:shd w:val="clear" w:color="auto" w:fill="FFFFFF"/>
        </w:rPr>
      </w:pPr>
      <w:r w:rsidRPr="0071254E">
        <w:rPr>
          <w:rFonts w:ascii="Times New Roman" w:hAnsi="Times New Roman" w:cs="Times New Roman"/>
          <w:sz w:val="24"/>
          <w:szCs w:val="24"/>
          <w:shd w:val="clear" w:color="auto" w:fill="FFFFFF"/>
        </w:rPr>
        <w:t>En resumen, la liberación del horario comercial es un debate que busca encontrar un equilibrio entre la libertad de los comerciantes y la protección del pequeño comercio, adaptándose a las necesidades de los consumidores y a las dinámicas del mercado.</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BE3177">
        <w:rPr>
          <w:rFonts w:ascii="Times New Roman" w:hAnsi="Times New Roman" w:cs="Times New Roman"/>
          <w:sz w:val="24"/>
          <w:szCs w:val="24"/>
          <w:shd w:val="clear" w:color="auto" w:fill="FFFFFF"/>
        </w:rPr>
        <w:t>La liberalización de horarios debe inspirarse, en realidad, en este principio del bienestar de los consumidores y usuarios.</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Que ello obligue a los comerciantes modestos a una competencia brutal e injusta, como suele aducirse, con las cadenas de tiendas que pueden permitirse arbitrar recursos humanos para permanecer abiertas 24/24, 7/7 y 12/12, es un argumento que solo puede admitirse en parte. Lo mismo que el argumento de que la libertad de horarios precariza el empleo de los dependientes de estas tiendas y comercios.</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En primer lugar, el “pequeño comercio” está cambiando. Puede que en buena hora muchos comercios convencionales estén desapareciendo. Lo hacen al ritmo al que se jubilan sus propietarios, a quienes sus hijos, si es que los tienen, se niegan a suceder al frente de dicha convencionalidad. Por otra parte, el pequeño comercio de nuevo cuño, especializado, experiencial y de valor añadido, está floreciendo allí donde se adapta a los estilos de vida de las nuevas generaciones de compradores. Las tiendas de nicho y culto vuelven, la experimentación es constante, las pop-up stores, surgen, nunca mejor dicho, como setas, etc. Alumbradas por gente joven y distinta, tanto compradores como tenderos, a quienes les gustan los otros horarios y días para comprar.</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 xml:space="preserve">Frente a las ganancias de bienestar, ahorros de tiempo, planificación abierta y, a la postre, mejor conciliación que permite la libertad de horarios comerciales, palidece la defensa </w:t>
      </w:r>
      <w:r w:rsidRPr="00BE3177">
        <w:rPr>
          <w:rFonts w:ascii="Times New Roman" w:hAnsi="Times New Roman" w:cs="Times New Roman"/>
          <w:sz w:val="24"/>
          <w:szCs w:val="24"/>
          <w:shd w:val="clear" w:color="auto" w:fill="FFFFFF"/>
        </w:rPr>
        <w:lastRenderedPageBreak/>
        <w:t>numantina de los últimos reductos del viejo comercio. El empleo aumenta cuando hay libertad de horarios, como muestran múltiples informes y estudios. Los precios a los consumidores se reducen, porque la libertad de horarios implica más competencia comercial y un mayor giro de los establecimientos.</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La libertad de horarios no obliga a los comerciantes a abrir sus establecimientos si no lo desean, aunque la competencia sí obliga. Pero es el comercio electrónico el que acabará con los comercios presenciales que no sepan adaptarse y la libertad de horarios es una vía para ello, además de la profundización en la experiencia de la compra presencial.</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Así las cosas, no se entiende que los reguladores no faciliten a los comercios la posibilidad de adaptarse liberalizando las normativas pertinentes. En Europa, España es un país retrasado en esta materia y en España solo se salva la Comunidad de Madrid que admite la apertura de comercios en todos los festivos del año. Pero hay más de una comunidad autónoma, con ciudades turísticas de primera categoría, como el País Vasco y Navarra, en las que no se permite abrir ningún día festivo.</w:t>
      </w:r>
    </w:p>
    <w:p w:rsidR="00043F6A"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Se puede entender la resistencia de los cada vez menos afectados por la libertad de horarios, pero no se puede entender la complicidad de los reguladores que dan la espalda al interés mayoritario. El caso de estos últimos es como el de quien se niega a ir oftalmólogo por si le diagnostica una miopía</w:t>
      </w:r>
      <w:r>
        <w:rPr>
          <w:rFonts w:ascii="Times New Roman" w:hAnsi="Times New Roman" w:cs="Times New Roman"/>
          <w:sz w:val="24"/>
          <w:szCs w:val="24"/>
          <w:shd w:val="clear" w:color="auto" w:fill="FFFFFF"/>
        </w:rPr>
        <w:t>”</w:t>
      </w:r>
      <w:r w:rsidRPr="00BE3177">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(Fuente: </w:t>
      </w:r>
      <w:r w:rsidRPr="00BE3177">
        <w:rPr>
          <w:rFonts w:ascii="Times New Roman" w:hAnsi="Times New Roman" w:cs="Times New Roman"/>
          <w:sz w:val="24"/>
          <w:szCs w:val="24"/>
          <w:shd w:val="clear" w:color="auto" w:fill="FFFFFF"/>
        </w:rPr>
        <w:t>¿Quién teme a la libertad de horarios comerciales?</w:t>
      </w:r>
      <w:r>
        <w:rPr>
          <w:rFonts w:ascii="Times New Roman" w:hAnsi="Times New Roman" w:cs="Times New Roman"/>
          <w:sz w:val="24"/>
          <w:szCs w:val="24"/>
          <w:shd w:val="clear" w:color="auto" w:fill="FFFFFF"/>
        </w:rPr>
        <w:t xml:space="preserve"> -jaherce.com - </w:t>
      </w:r>
      <w:r w:rsidRPr="00662569">
        <w:rPr>
          <w:rFonts w:ascii="Times New Roman" w:hAnsi="Times New Roman" w:cs="Times New Roman"/>
          <w:b/>
          <w:sz w:val="24"/>
          <w:szCs w:val="24"/>
          <w:shd w:val="clear" w:color="auto" w:fill="FFFFFF"/>
        </w:rPr>
        <w:t>7/6/18</w:t>
      </w:r>
      <w:r>
        <w:rPr>
          <w:rFonts w:ascii="Times New Roman" w:hAnsi="Times New Roman" w:cs="Times New Roman"/>
          <w:sz w:val="24"/>
          <w:szCs w:val="24"/>
          <w:shd w:val="clear" w:color="auto" w:fill="FFFFFF"/>
        </w:rPr>
        <w:t>)</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3A6685">
        <w:rPr>
          <w:rFonts w:ascii="Times New Roman" w:hAnsi="Times New Roman" w:cs="Times New Roman"/>
          <w:sz w:val="24"/>
          <w:szCs w:val="24"/>
          <w:u w:val="single"/>
          <w:shd w:val="clear" w:color="auto" w:fill="FFFFFF"/>
        </w:rPr>
        <w:t>Se cumplen 10 años de la norma madrileña que salvó al comercio de la otra epidemia</w:t>
      </w:r>
      <w:r>
        <w:rPr>
          <w:rFonts w:ascii="Times New Roman" w:hAnsi="Times New Roman" w:cs="Times New Roman"/>
          <w:sz w:val="24"/>
          <w:szCs w:val="24"/>
          <w:shd w:val="clear" w:color="auto" w:fill="FFFFFF"/>
        </w:rPr>
        <w:t xml:space="preserve"> (Libertad Digital - </w:t>
      </w:r>
      <w:r w:rsidRPr="003A6685">
        <w:rPr>
          <w:rFonts w:ascii="Times New Roman" w:hAnsi="Times New Roman" w:cs="Times New Roman"/>
          <w:b/>
          <w:sz w:val="24"/>
          <w:szCs w:val="24"/>
          <w:shd w:val="clear" w:color="auto" w:fill="FFFFFF"/>
        </w:rPr>
        <w:t>22/12/22</w:t>
      </w:r>
      <w:r>
        <w:rPr>
          <w:rFonts w:ascii="Times New Roman" w:hAnsi="Times New Roman" w:cs="Times New Roman"/>
          <w:sz w:val="24"/>
          <w:szCs w:val="24"/>
          <w:shd w:val="clear" w:color="auto" w:fill="FFFFFF"/>
        </w:rPr>
        <w:t>)</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En 2012 Cataluña o Andalucía amenazaban a los empresarios con sanciones si osaban ampliar los horarios de sus tiendas o aplicar rebajas como Madrid.</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BE3177">
        <w:rPr>
          <w:rFonts w:ascii="Times New Roman" w:hAnsi="Times New Roman" w:cs="Times New Roman"/>
          <w:sz w:val="24"/>
          <w:szCs w:val="24"/>
          <w:shd w:val="clear" w:color="auto" w:fill="FFFFFF"/>
        </w:rPr>
        <w:t>Beatriz García</w:t>
      </w:r>
      <w:r>
        <w:rPr>
          <w:rFonts w:ascii="Times New Roman" w:hAnsi="Times New Roman" w:cs="Times New Roman"/>
          <w:sz w:val="24"/>
          <w:szCs w:val="24"/>
          <w:shd w:val="clear" w:color="auto" w:fill="FFFFFF"/>
        </w:rPr>
        <w:t>)</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En el año 2012 una epidemia de intervencionismo salvaje azotaba a las autonomías españolas. El Gobierno del PP había aprobado una reforma de la legislación con el objetivo de liberalizar el sector del comercio, pero numerosas regiones comenz</w:t>
      </w:r>
      <w:r>
        <w:rPr>
          <w:rFonts w:ascii="Times New Roman" w:hAnsi="Times New Roman" w:cs="Times New Roman"/>
          <w:sz w:val="24"/>
          <w:szCs w:val="24"/>
          <w:shd w:val="clear" w:color="auto" w:fill="FFFFFF"/>
        </w:rPr>
        <w:t>aron una rebelión en su contra.</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 xml:space="preserve">Cataluña, Andalucía o Asturias no dudaron en amenazar a los empresarios con sanciones si osaban ampliar los horarios de sus tiendas o aplicar rebajas en periodos del año no oficiales, tal y como les permitía la nueva normativa estatal. La excusa de esta feroz oposición a que los comerciantes se ganasen la vida en sus negocios como consideraran oportuno se basó en el manido argumento de la protección al pequeño comercio frente a las malvadas grandes superficies. A día de hoy, la izquierda todavía sigue acudiendo </w:t>
      </w:r>
      <w:r>
        <w:rPr>
          <w:rFonts w:ascii="Times New Roman" w:hAnsi="Times New Roman" w:cs="Times New Roman"/>
          <w:sz w:val="24"/>
          <w:szCs w:val="24"/>
          <w:shd w:val="clear" w:color="auto" w:fill="FFFFFF"/>
        </w:rPr>
        <w:t>a este mantra sistemáticamente.</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Madrid tomó el camino contrario</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A diferencia de las autonomías más liberticidas, la Comunidad de Madrid decidió tomar el camino contrario. La región que entonces presidía Esperanza Aguirre fue la primera en adherirse a la norma estatal a través de su Ley de Dinamiza</w:t>
      </w:r>
      <w:r>
        <w:rPr>
          <w:rFonts w:ascii="Times New Roman" w:hAnsi="Times New Roman" w:cs="Times New Roman"/>
          <w:sz w:val="24"/>
          <w:szCs w:val="24"/>
          <w:shd w:val="clear" w:color="auto" w:fill="FFFFFF"/>
        </w:rPr>
        <w:t>ción de la Actividad Comercial.</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Así, desde hace una década, las tiendas madrileñas que lo deseen pueden estar abiertas las 24 horas del dí</w:t>
      </w:r>
      <w:r w:rsidR="00662569">
        <w:rPr>
          <w:rFonts w:ascii="Times New Roman" w:hAnsi="Times New Roman" w:cs="Times New Roman"/>
          <w:sz w:val="24"/>
          <w:szCs w:val="24"/>
          <w:shd w:val="clear" w:color="auto" w:fill="FFFFFF"/>
        </w:rPr>
        <w:t>a y cada comerciante determina “</w:t>
      </w:r>
      <w:r w:rsidRPr="00BE3177">
        <w:rPr>
          <w:rFonts w:ascii="Times New Roman" w:hAnsi="Times New Roman" w:cs="Times New Roman"/>
          <w:sz w:val="24"/>
          <w:szCs w:val="24"/>
          <w:shd w:val="clear" w:color="auto" w:fill="FFFFFF"/>
        </w:rPr>
        <w:t>con plena libertad y sin limitació</w:t>
      </w:r>
      <w:r w:rsidR="00662569">
        <w:rPr>
          <w:rFonts w:ascii="Times New Roman" w:hAnsi="Times New Roman" w:cs="Times New Roman"/>
          <w:sz w:val="24"/>
          <w:szCs w:val="24"/>
          <w:shd w:val="clear" w:color="auto" w:fill="FFFFFF"/>
        </w:rPr>
        <w:t>n legal alguna”</w:t>
      </w:r>
      <w:r w:rsidRPr="00BE3177">
        <w:rPr>
          <w:rFonts w:ascii="Times New Roman" w:hAnsi="Times New Roman" w:cs="Times New Roman"/>
          <w:sz w:val="24"/>
          <w:szCs w:val="24"/>
          <w:shd w:val="clear" w:color="auto" w:fill="FFFFFF"/>
        </w:rPr>
        <w:t xml:space="preserve"> los festivos de apertura en los que desarrolla su actividad. Mientras la izquierda cargaba </w:t>
      </w:r>
      <w:r w:rsidRPr="00BE3177">
        <w:rPr>
          <w:rFonts w:ascii="Times New Roman" w:hAnsi="Times New Roman" w:cs="Times New Roman"/>
          <w:sz w:val="24"/>
          <w:szCs w:val="24"/>
          <w:shd w:val="clear" w:color="auto" w:fill="FFFFFF"/>
        </w:rPr>
        <w:lastRenderedPageBreak/>
        <w:t>contra ellos, la apertura de domingos y festivos tuvo muy buena acogida entre los empresarios y clientes de la región.</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 xml:space="preserve">En plena expansión del comercio electrónico, donde se comercializan productos cualquier día y a cualquier hora, resultaba absurda tan férrea oposición. En noviembre de 2012, ya con Ignacio González en el gobierno autonómico, Madrid liberalizaba también las rebajas (no habría períodos de rebajas restringidos a enero y julio) y permitía a los comercios hacer </w:t>
      </w:r>
      <w:r>
        <w:rPr>
          <w:rFonts w:ascii="Times New Roman" w:hAnsi="Times New Roman" w:cs="Times New Roman"/>
          <w:sz w:val="24"/>
          <w:szCs w:val="24"/>
          <w:shd w:val="clear" w:color="auto" w:fill="FFFFFF"/>
        </w:rPr>
        <w:t>descuentos durante todo el año.</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Buenos resultados económicos</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Está semana, la actual presidenta de la Comunidad de Madrid, Isabel Díaz Ayuso, ha conmemorado el décimo aniversario de la entrada en vigor de una ley que ha cosechado mu</w:t>
      </w:r>
      <w:r>
        <w:rPr>
          <w:rFonts w:ascii="Times New Roman" w:hAnsi="Times New Roman" w:cs="Times New Roman"/>
          <w:sz w:val="24"/>
          <w:szCs w:val="24"/>
          <w:shd w:val="clear" w:color="auto" w:fill="FFFFFF"/>
        </w:rPr>
        <w:t>y buenos resultados económicos.</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Según los datos que otorga la propia administración regional, en este tiempo, el empleo del sector del comercio ha crecido 13,4%, lo que supone 8 puntos por encima de la media nacional. También han aumentado las ventas un 20%, tres veces más de lo regis</w:t>
      </w:r>
      <w:r>
        <w:rPr>
          <w:rFonts w:ascii="Times New Roman" w:hAnsi="Times New Roman" w:cs="Times New Roman"/>
          <w:sz w:val="24"/>
          <w:szCs w:val="24"/>
          <w:shd w:val="clear" w:color="auto" w:fill="FFFFFF"/>
        </w:rPr>
        <w:t>trado en el conjunto de España.</w:t>
      </w:r>
    </w:p>
    <w:p w:rsidR="00043F6A" w:rsidRPr="00BE3177"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Díaz A</w:t>
      </w:r>
      <w:r w:rsidR="00662569">
        <w:rPr>
          <w:rFonts w:ascii="Times New Roman" w:hAnsi="Times New Roman" w:cs="Times New Roman"/>
          <w:sz w:val="24"/>
          <w:szCs w:val="24"/>
          <w:shd w:val="clear" w:color="auto" w:fill="FFFFFF"/>
        </w:rPr>
        <w:t>yuso ha recordado que esta ley “</w:t>
      </w:r>
      <w:r w:rsidRPr="00BE3177">
        <w:rPr>
          <w:rFonts w:ascii="Times New Roman" w:hAnsi="Times New Roman" w:cs="Times New Roman"/>
          <w:sz w:val="24"/>
          <w:szCs w:val="24"/>
          <w:shd w:val="clear" w:color="auto" w:fill="FFFFFF"/>
        </w:rPr>
        <w:t xml:space="preserve">nació bajo el profundo convencimiento de que la </w:t>
      </w:r>
      <w:r w:rsidR="00662569">
        <w:rPr>
          <w:rFonts w:ascii="Times New Roman" w:hAnsi="Times New Roman" w:cs="Times New Roman"/>
          <w:sz w:val="24"/>
          <w:szCs w:val="24"/>
          <w:shd w:val="clear" w:color="auto" w:fill="FFFFFF"/>
        </w:rPr>
        <w:t>libertad es la clave para todos” y “</w:t>
      </w:r>
      <w:r w:rsidRPr="00BE3177">
        <w:rPr>
          <w:rFonts w:ascii="Times New Roman" w:hAnsi="Times New Roman" w:cs="Times New Roman"/>
          <w:sz w:val="24"/>
          <w:szCs w:val="24"/>
          <w:shd w:val="clear" w:color="auto" w:fill="FFFFFF"/>
        </w:rPr>
        <w:t>en un clima de muchos mie</w:t>
      </w:r>
      <w:r w:rsidR="00662569">
        <w:rPr>
          <w:rFonts w:ascii="Times New Roman" w:hAnsi="Times New Roman" w:cs="Times New Roman"/>
          <w:sz w:val="24"/>
          <w:szCs w:val="24"/>
          <w:shd w:val="clear" w:color="auto" w:fill="FFFFFF"/>
        </w:rPr>
        <w:t>dos y críticas” por parte de los que “</w:t>
      </w:r>
      <w:r w:rsidRPr="00BE3177">
        <w:rPr>
          <w:rFonts w:ascii="Times New Roman" w:hAnsi="Times New Roman" w:cs="Times New Roman"/>
          <w:sz w:val="24"/>
          <w:szCs w:val="24"/>
          <w:shd w:val="clear" w:color="auto" w:fill="FFFFFF"/>
        </w:rPr>
        <w:t>siempre suelen hacer lo mismo, que es tener miedo a la hora de afrontar la libertad y que suelen tener como querencia decirle a los demás cómo</w:t>
      </w:r>
      <w:r w:rsidR="00662569">
        <w:rPr>
          <w:rFonts w:ascii="Times New Roman" w:hAnsi="Times New Roman" w:cs="Times New Roman"/>
          <w:sz w:val="24"/>
          <w:szCs w:val="24"/>
          <w:shd w:val="clear" w:color="auto" w:fill="FFFFFF"/>
        </w:rPr>
        <w:t xml:space="preserve"> tienen que vivir y comportarse”</w:t>
      </w:r>
      <w:r w:rsidRPr="00BE3177">
        <w:rPr>
          <w:rFonts w:ascii="Times New Roman" w:hAnsi="Times New Roman" w:cs="Times New Roman"/>
          <w:sz w:val="24"/>
          <w:szCs w:val="24"/>
          <w:shd w:val="clear" w:color="auto" w:fill="FFFFFF"/>
        </w:rPr>
        <w:t>. Todo ello, además, a manos de personas que</w:t>
      </w:r>
      <w:r w:rsidR="00662569">
        <w:rPr>
          <w:rFonts w:ascii="Times New Roman" w:hAnsi="Times New Roman" w:cs="Times New Roman"/>
          <w:sz w:val="24"/>
          <w:szCs w:val="24"/>
          <w:shd w:val="clear" w:color="auto" w:fill="FFFFFF"/>
        </w:rPr>
        <w:t xml:space="preserve"> “</w:t>
      </w:r>
      <w:r w:rsidRPr="00BE3177">
        <w:rPr>
          <w:rFonts w:ascii="Times New Roman" w:hAnsi="Times New Roman" w:cs="Times New Roman"/>
          <w:sz w:val="24"/>
          <w:szCs w:val="24"/>
          <w:shd w:val="clear" w:color="auto" w:fill="FFFFFF"/>
        </w:rPr>
        <w:t>no han creado empleos, los que, a veces, prefieren las calles apagada</w:t>
      </w:r>
      <w:r w:rsidR="00662569">
        <w:rPr>
          <w:rFonts w:ascii="Times New Roman" w:hAnsi="Times New Roman" w:cs="Times New Roman"/>
          <w:sz w:val="24"/>
          <w:szCs w:val="24"/>
          <w:shd w:val="clear" w:color="auto" w:fill="FFFFFF"/>
        </w:rPr>
        <w:t>s, inactividad y todo cerrado”</w:t>
      </w:r>
      <w:r>
        <w:rPr>
          <w:rFonts w:ascii="Times New Roman" w:hAnsi="Times New Roman" w:cs="Times New Roman"/>
          <w:sz w:val="24"/>
          <w:szCs w:val="24"/>
          <w:shd w:val="clear" w:color="auto" w:fill="FFFFFF"/>
        </w:rPr>
        <w:t>.</w:t>
      </w:r>
    </w:p>
    <w:p w:rsidR="00043F6A" w:rsidRDefault="00043F6A" w:rsidP="00043F6A">
      <w:pPr>
        <w:spacing w:line="240" w:lineRule="auto"/>
        <w:jc w:val="both"/>
        <w:rPr>
          <w:rFonts w:ascii="Times New Roman" w:hAnsi="Times New Roman" w:cs="Times New Roman"/>
          <w:sz w:val="24"/>
          <w:szCs w:val="24"/>
          <w:shd w:val="clear" w:color="auto" w:fill="FFFFFF"/>
        </w:rPr>
      </w:pPr>
      <w:r w:rsidRPr="00BE3177">
        <w:rPr>
          <w:rFonts w:ascii="Times New Roman" w:hAnsi="Times New Roman" w:cs="Times New Roman"/>
          <w:sz w:val="24"/>
          <w:szCs w:val="24"/>
          <w:shd w:val="clear" w:color="auto" w:fill="FFFFFF"/>
        </w:rPr>
        <w:t>Durante la pandemia del coronavirus, con el Ejecutivo de Sánchez y los barones autonómicos decretando estrictos cierres de negocios, la presidenta de la Comunidad de Madrid también fue pionera en apostar por facilitar la actividad de los empresarios.</w:t>
      </w:r>
    </w:p>
    <w:p w:rsidR="00043F6A" w:rsidRPr="004D2202" w:rsidRDefault="00043F6A" w:rsidP="00043F6A">
      <w:pPr>
        <w:spacing w:line="240" w:lineRule="auto"/>
        <w:jc w:val="both"/>
        <w:rPr>
          <w:rFonts w:ascii="Times New Roman" w:hAnsi="Times New Roman" w:cs="Times New Roman"/>
          <w:color w:val="FF0000"/>
          <w:sz w:val="24"/>
          <w:szCs w:val="24"/>
          <w:shd w:val="clear" w:color="auto" w:fill="FFFFFF"/>
        </w:rPr>
      </w:pPr>
      <w:r w:rsidRPr="004D2202">
        <w:rPr>
          <w:rFonts w:ascii="Times New Roman" w:hAnsi="Times New Roman" w:cs="Times New Roman"/>
          <w:b/>
          <w:color w:val="FF0000"/>
          <w:sz w:val="24"/>
          <w:szCs w:val="24"/>
          <w:shd w:val="clear" w:color="auto" w:fill="FFFFFF"/>
        </w:rPr>
        <w:t>Nota I</w:t>
      </w:r>
      <w:r w:rsidRPr="004D2202">
        <w:rPr>
          <w:rFonts w:ascii="Times New Roman" w:hAnsi="Times New Roman" w:cs="Times New Roman"/>
          <w:color w:val="FF0000"/>
          <w:sz w:val="24"/>
          <w:szCs w:val="24"/>
          <w:shd w:val="clear" w:color="auto" w:fill="FFFFFF"/>
        </w:rPr>
        <w:t>: La restricción de horarios comerciales no deja de ser una medida arcaica que resulta ser totalmente ineficaz en mercados en los que, cada vez más, van teniendo importancia distintos canales, como la venta a distancia e Internet. Además de que forzar a compradores y vendedores a realizar sus operaciones en el momento en que el legislador juzga conveniente, y no en el que a ambas partes acuerden, no deja de ser una restricción considerable en la libertad individual.</w:t>
      </w:r>
    </w:p>
    <w:p w:rsidR="00043F6A" w:rsidRPr="004D2202" w:rsidRDefault="00043F6A" w:rsidP="00043F6A">
      <w:pPr>
        <w:spacing w:line="240" w:lineRule="auto"/>
        <w:jc w:val="both"/>
        <w:rPr>
          <w:rFonts w:ascii="Times New Roman" w:hAnsi="Times New Roman" w:cs="Times New Roman"/>
          <w:color w:val="FF0000"/>
          <w:sz w:val="24"/>
          <w:szCs w:val="24"/>
          <w:shd w:val="clear" w:color="auto" w:fill="FFFFFF"/>
        </w:rPr>
      </w:pPr>
      <w:r w:rsidRPr="004D2202">
        <w:rPr>
          <w:rFonts w:ascii="Times New Roman" w:hAnsi="Times New Roman" w:cs="Times New Roman"/>
          <w:color w:val="FF0000"/>
          <w:sz w:val="24"/>
          <w:szCs w:val="24"/>
          <w:shd w:val="clear" w:color="auto" w:fill="FFFFFF"/>
        </w:rPr>
        <w:t>Si se quiere proteger al pequeño comerciante habría que preguntarse los motivos por los que se juzga necesaria tal medida. En una situación de libertad de horarios es precisamente el pequeño comerciante el que podría actuar con mayor flexibilidad. Esto se debe a que la mayor parte de pequeñas tiendas suelen ser de tipo familiar, y en ese caso, el apoyo de otros miembros de la familia le puede dotar al negocio de una flexibilidad superior al de las empresas de tamaño superior. Además, la cercanía de la cúpula de empresa al cliente le otorga una mayor velocidad de respuesta frente a las exigencias y cambios de gusto de la clientela.</w:t>
      </w:r>
    </w:p>
    <w:p w:rsidR="00043F6A" w:rsidRPr="004D2202" w:rsidRDefault="00043F6A" w:rsidP="00043F6A">
      <w:pPr>
        <w:spacing w:line="240" w:lineRule="auto"/>
        <w:jc w:val="both"/>
        <w:rPr>
          <w:rFonts w:ascii="Times New Roman" w:hAnsi="Times New Roman" w:cs="Times New Roman"/>
          <w:color w:val="FF0000"/>
          <w:sz w:val="24"/>
          <w:szCs w:val="24"/>
          <w:shd w:val="clear" w:color="auto" w:fill="FFFFFF"/>
        </w:rPr>
      </w:pPr>
      <w:r w:rsidRPr="004D2202">
        <w:rPr>
          <w:rFonts w:ascii="Times New Roman" w:hAnsi="Times New Roman" w:cs="Times New Roman"/>
          <w:b/>
          <w:color w:val="FF0000"/>
          <w:sz w:val="24"/>
          <w:szCs w:val="24"/>
          <w:shd w:val="clear" w:color="auto" w:fill="FFFFFF"/>
        </w:rPr>
        <w:t>Nota II</w:t>
      </w:r>
      <w:r w:rsidRPr="004D2202">
        <w:rPr>
          <w:rFonts w:ascii="Times New Roman" w:hAnsi="Times New Roman" w:cs="Times New Roman"/>
          <w:color w:val="FF0000"/>
          <w:sz w:val="24"/>
          <w:szCs w:val="24"/>
          <w:shd w:val="clear" w:color="auto" w:fill="FFFFFF"/>
        </w:rPr>
        <w:t>: El 93% del pequeño comercio cree que el motivo que ha causado “cierres masivos” en el sector ha sido la liberalización de las rebajas y de los horarios comerciales, mientras que un 76% no de</w:t>
      </w:r>
      <w:r w:rsidR="002F2E9F">
        <w:rPr>
          <w:rFonts w:ascii="Times New Roman" w:hAnsi="Times New Roman" w:cs="Times New Roman"/>
          <w:color w:val="FF0000"/>
          <w:sz w:val="24"/>
          <w:szCs w:val="24"/>
          <w:shd w:val="clear" w:color="auto" w:fill="FFFFFF"/>
        </w:rPr>
        <w:t>scarga la culpa sobre la venta “online”</w:t>
      </w:r>
      <w:r w:rsidRPr="004D2202">
        <w:rPr>
          <w:rFonts w:ascii="Times New Roman" w:hAnsi="Times New Roman" w:cs="Times New Roman"/>
          <w:color w:val="FF0000"/>
          <w:sz w:val="24"/>
          <w:szCs w:val="24"/>
          <w:shd w:val="clear" w:color="auto" w:fill="FFFFFF"/>
        </w:rPr>
        <w:t>, según la Unión de Profesionales y Trabajadores Autónomos (UPTA). (Fuente: servimedia.es - 1/3/23)</w:t>
      </w:r>
    </w:p>
    <w:p w:rsidR="00043F6A" w:rsidRPr="00B61812" w:rsidRDefault="00043F6A" w:rsidP="00043F6A">
      <w:pPr>
        <w:spacing w:line="240" w:lineRule="auto"/>
        <w:jc w:val="both"/>
        <w:rPr>
          <w:rFonts w:ascii="Times New Roman" w:hAnsi="Times New Roman" w:cs="Times New Roman"/>
          <w:color w:val="FF0000"/>
          <w:sz w:val="24"/>
          <w:szCs w:val="24"/>
          <w:shd w:val="clear" w:color="auto" w:fill="FFFFFF"/>
        </w:rPr>
      </w:pPr>
      <w:r w:rsidRPr="00B61812">
        <w:rPr>
          <w:rFonts w:ascii="Times New Roman" w:hAnsi="Times New Roman" w:cs="Times New Roman"/>
          <w:b/>
          <w:color w:val="FF0000"/>
          <w:sz w:val="24"/>
          <w:szCs w:val="24"/>
          <w:shd w:val="clear" w:color="auto" w:fill="FFFFFF"/>
        </w:rPr>
        <w:lastRenderedPageBreak/>
        <w:t>Nota III</w:t>
      </w:r>
      <w:r w:rsidRPr="00B61812">
        <w:rPr>
          <w:rFonts w:ascii="Times New Roman" w:hAnsi="Times New Roman" w:cs="Times New Roman"/>
          <w:color w:val="FF0000"/>
          <w:sz w:val="24"/>
          <w:szCs w:val="24"/>
          <w:shd w:val="clear" w:color="auto" w:fill="FFFFFF"/>
        </w:rPr>
        <w:t>: A la hora de promocionar el pequeño comercio la respuesta no debería ser limitar la competencia, lo que siempre beneficia a las personas que ya están establecidas en el mercado, sino permitirle usar sus principales ventajas competitivas, la flexibilidad y la capacidad de adaptación a las necesidades del cliente, sin que el marco legal las limite. De esta manera competir con todas sus armas, respetando la libertad de compradores y vendedores.</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B61812">
        <w:rPr>
          <w:rFonts w:ascii="Times New Roman" w:hAnsi="Times New Roman" w:cs="Times New Roman"/>
          <w:color w:val="FF0000"/>
          <w:sz w:val="24"/>
          <w:szCs w:val="24"/>
          <w:shd w:val="clear" w:color="auto" w:fill="FFFFFF"/>
        </w:rPr>
        <w:t>- Permitir la apertura de locales y nuevas actividades empresariales por silencio administrativo (en un plazo máximo de 30 días)</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 xml:space="preserve">El tiempo para abrir una nueva actividad comercial en España varía, pero generalmente un autónomo puede darse de alta en uno o dos días. Para constituir una sociedad limitada, el proceso puede durar alrededor de 15 días, aunque en algunos casos puede extenderse hasta 2 meses. La licencia de apertura, que es necesaria para iniciar la actividad, puede tardar entre 2 y 11 meses, dependiendo del ayuntamiento y la complejidad del negocio. </w:t>
      </w:r>
      <w:r>
        <w:rPr>
          <w:rFonts w:ascii="Times New Roman" w:hAnsi="Times New Roman" w:cs="Times New Roman"/>
          <w:sz w:val="24"/>
          <w:szCs w:val="24"/>
          <w:shd w:val="clear" w:color="auto" w:fill="FFFFFF"/>
        </w:rPr>
        <w:t>(Fuente: Google - Vista creada con IA)</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A continuación, se detallan los diferentes plazos:</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Alta de autónomo: </w:t>
      </w:r>
      <w:r w:rsidRPr="00BC7749">
        <w:rPr>
          <w:rFonts w:ascii="Times New Roman" w:hAnsi="Times New Roman" w:cs="Times New Roman"/>
          <w:sz w:val="24"/>
          <w:szCs w:val="24"/>
          <w:shd w:val="clear" w:color="auto" w:fill="FFFFFF"/>
        </w:rPr>
        <w:t>El alta en la Seguridad Social y Hacienda puede tardar entre 24 y 48 horas, según algunos expertos, aunque con una gestoría puede ser más rápido, incluso en 24 horas.</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Constit</w:t>
      </w:r>
      <w:r>
        <w:rPr>
          <w:rFonts w:ascii="Times New Roman" w:hAnsi="Times New Roman" w:cs="Times New Roman"/>
          <w:sz w:val="24"/>
          <w:szCs w:val="24"/>
          <w:shd w:val="clear" w:color="auto" w:fill="FFFFFF"/>
        </w:rPr>
        <w:t xml:space="preserve">ución de una Sociedad Limitada: </w:t>
      </w:r>
      <w:r w:rsidRPr="00BC7749">
        <w:rPr>
          <w:rFonts w:ascii="Times New Roman" w:hAnsi="Times New Roman" w:cs="Times New Roman"/>
          <w:sz w:val="24"/>
          <w:szCs w:val="24"/>
          <w:shd w:val="clear" w:color="auto" w:fill="FFFFFF"/>
        </w:rPr>
        <w:t>El proceso sue</w:t>
      </w:r>
      <w:r>
        <w:rPr>
          <w:rFonts w:ascii="Times New Roman" w:hAnsi="Times New Roman" w:cs="Times New Roman"/>
          <w:sz w:val="24"/>
          <w:szCs w:val="24"/>
          <w:shd w:val="clear" w:color="auto" w:fill="FFFFFF"/>
        </w:rPr>
        <w:t xml:space="preserve">le tardar alrededor de 15 días. </w:t>
      </w:r>
      <w:r w:rsidRPr="00BC7749">
        <w:rPr>
          <w:rFonts w:ascii="Times New Roman" w:hAnsi="Times New Roman" w:cs="Times New Roman"/>
          <w:sz w:val="24"/>
          <w:szCs w:val="24"/>
          <w:shd w:val="clear" w:color="auto" w:fill="FFFFFF"/>
        </w:rPr>
        <w:t xml:space="preserve">En algunos casos, puede extenderse hasta 2 meses. </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Licencia de apertura: </w:t>
      </w:r>
      <w:r w:rsidRPr="00BC7749">
        <w:rPr>
          <w:rFonts w:ascii="Times New Roman" w:hAnsi="Times New Roman" w:cs="Times New Roman"/>
          <w:sz w:val="24"/>
          <w:szCs w:val="24"/>
          <w:shd w:val="clear" w:color="auto" w:fill="FFFFFF"/>
        </w:rPr>
        <w:t>El plazo de resolución puede va</w:t>
      </w:r>
      <w:r>
        <w:rPr>
          <w:rFonts w:ascii="Times New Roman" w:hAnsi="Times New Roman" w:cs="Times New Roman"/>
          <w:sz w:val="24"/>
          <w:szCs w:val="24"/>
          <w:shd w:val="clear" w:color="auto" w:fill="FFFFFF"/>
        </w:rPr>
        <w:t xml:space="preserve">riar entre 2 meses y 11 meses. </w:t>
      </w:r>
      <w:r w:rsidRPr="00BC7749">
        <w:rPr>
          <w:rFonts w:ascii="Times New Roman" w:hAnsi="Times New Roman" w:cs="Times New Roman"/>
          <w:sz w:val="24"/>
          <w:szCs w:val="24"/>
          <w:shd w:val="clear" w:color="auto" w:fill="FFFFFF"/>
        </w:rPr>
        <w:t>Depende del flujo de trabajo del ayuntamiento y de l</w:t>
      </w:r>
      <w:r>
        <w:rPr>
          <w:rFonts w:ascii="Times New Roman" w:hAnsi="Times New Roman" w:cs="Times New Roman"/>
          <w:sz w:val="24"/>
          <w:szCs w:val="24"/>
          <w:shd w:val="clear" w:color="auto" w:fill="FFFFFF"/>
        </w:rPr>
        <w:t xml:space="preserve">a complejidad de la actividad. </w:t>
      </w:r>
      <w:r w:rsidRPr="00BC7749">
        <w:rPr>
          <w:rFonts w:ascii="Times New Roman" w:hAnsi="Times New Roman" w:cs="Times New Roman"/>
          <w:sz w:val="24"/>
          <w:szCs w:val="24"/>
          <w:shd w:val="clear" w:color="auto" w:fill="FFFFFF"/>
        </w:rPr>
        <w:t>Algunos ayuntamientos pueden tardar incluso has</w:t>
      </w:r>
      <w:r>
        <w:rPr>
          <w:rFonts w:ascii="Times New Roman" w:hAnsi="Times New Roman" w:cs="Times New Roman"/>
          <w:sz w:val="24"/>
          <w:szCs w:val="24"/>
          <w:shd w:val="clear" w:color="auto" w:fill="FFFFFF"/>
        </w:rPr>
        <w:t xml:space="preserve">ta un año en dar la respuesta. </w:t>
      </w:r>
      <w:r w:rsidRPr="00BC7749">
        <w:rPr>
          <w:rFonts w:ascii="Times New Roman" w:hAnsi="Times New Roman" w:cs="Times New Roman"/>
          <w:sz w:val="24"/>
          <w:szCs w:val="24"/>
          <w:shd w:val="clear" w:color="auto" w:fill="FFFFFF"/>
        </w:rPr>
        <w:t>Sin embargo, se puede iniciar la actividad con una declaración responsable si se cumplen los</w:t>
      </w:r>
      <w:r>
        <w:rPr>
          <w:rFonts w:ascii="Times New Roman" w:hAnsi="Times New Roman" w:cs="Times New Roman"/>
          <w:sz w:val="24"/>
          <w:szCs w:val="24"/>
          <w:shd w:val="clear" w:color="auto" w:fill="FFFFFF"/>
        </w:rPr>
        <w:t xml:space="preserve"> requisitos, amparándose en el “</w:t>
      </w:r>
      <w:r w:rsidRPr="00BC7749">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ilencio administrativo positivo”</w:t>
      </w:r>
      <w:r w:rsidRPr="00BC7749">
        <w:rPr>
          <w:rFonts w:ascii="Times New Roman" w:hAnsi="Times New Roman" w:cs="Times New Roman"/>
          <w:sz w:val="24"/>
          <w:szCs w:val="24"/>
          <w:shd w:val="clear" w:color="auto" w:fill="FFFFFF"/>
        </w:rPr>
        <w:t xml:space="preserve">. </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Facto</w:t>
      </w:r>
      <w:r>
        <w:rPr>
          <w:rFonts w:ascii="Times New Roman" w:hAnsi="Times New Roman" w:cs="Times New Roman"/>
          <w:sz w:val="24"/>
          <w:szCs w:val="24"/>
          <w:shd w:val="clear" w:color="auto" w:fill="FFFFFF"/>
        </w:rPr>
        <w:t xml:space="preserve">res que influyen en los plazos: </w:t>
      </w:r>
      <w:r w:rsidRPr="00BC7749">
        <w:rPr>
          <w:rFonts w:ascii="Times New Roman" w:hAnsi="Times New Roman" w:cs="Times New Roman"/>
          <w:sz w:val="24"/>
          <w:szCs w:val="24"/>
          <w:shd w:val="clear" w:color="auto" w:fill="FFFFFF"/>
        </w:rPr>
        <w:t>La complejidad de la actividad y los requi</w:t>
      </w:r>
      <w:r>
        <w:rPr>
          <w:rFonts w:ascii="Times New Roman" w:hAnsi="Times New Roman" w:cs="Times New Roman"/>
          <w:sz w:val="24"/>
          <w:szCs w:val="24"/>
          <w:shd w:val="clear" w:color="auto" w:fill="FFFFFF"/>
        </w:rPr>
        <w:t xml:space="preserve">sitos específicos del negocio.  </w:t>
      </w:r>
      <w:r w:rsidRPr="00BC7749">
        <w:rPr>
          <w:rFonts w:ascii="Times New Roman" w:hAnsi="Times New Roman" w:cs="Times New Roman"/>
          <w:sz w:val="24"/>
          <w:szCs w:val="24"/>
          <w:shd w:val="clear" w:color="auto" w:fill="FFFFFF"/>
        </w:rPr>
        <w:t xml:space="preserve">La carga de trabajo del ayuntamiento </w:t>
      </w:r>
      <w:r>
        <w:rPr>
          <w:rFonts w:ascii="Times New Roman" w:hAnsi="Times New Roman" w:cs="Times New Roman"/>
          <w:sz w:val="24"/>
          <w:szCs w:val="24"/>
          <w:shd w:val="clear" w:color="auto" w:fill="FFFFFF"/>
        </w:rPr>
        <w:t xml:space="preserve">correspondiente. </w:t>
      </w:r>
      <w:r w:rsidRPr="00BC7749">
        <w:rPr>
          <w:rFonts w:ascii="Times New Roman" w:hAnsi="Times New Roman" w:cs="Times New Roman"/>
          <w:sz w:val="24"/>
          <w:szCs w:val="24"/>
          <w:shd w:val="clear" w:color="auto" w:fill="FFFFFF"/>
        </w:rPr>
        <w:t xml:space="preserve">La eficiencia del proceso de tramitación, que puede variar si se cuenta con ayuda profesional o se realiza por cuenta propia. </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u w:val="single"/>
          <w:shd w:val="clear" w:color="auto" w:fill="FFFFFF"/>
        </w:rPr>
        <w:t>Qué es la licencia de apertura</w:t>
      </w:r>
      <w:r>
        <w:rPr>
          <w:rFonts w:ascii="Times New Roman" w:hAnsi="Times New Roman" w:cs="Times New Roman"/>
          <w:sz w:val="24"/>
          <w:szCs w:val="24"/>
          <w:shd w:val="clear" w:color="auto" w:fill="FFFFFF"/>
        </w:rPr>
        <w:t xml:space="preserve"> (Fuente: </w:t>
      </w:r>
      <w:r w:rsidRPr="00D93C69">
        <w:rPr>
          <w:rFonts w:ascii="Times New Roman" w:hAnsi="Times New Roman" w:cs="Times New Roman"/>
          <w:sz w:val="24"/>
          <w:szCs w:val="24"/>
          <w:shd w:val="clear" w:color="auto" w:fill="FFFFFF"/>
        </w:rPr>
        <w:t>certicali</w:t>
      </w:r>
      <w:r>
        <w:rPr>
          <w:rFonts w:ascii="Times New Roman" w:hAnsi="Times New Roman" w:cs="Times New Roman"/>
          <w:sz w:val="24"/>
          <w:szCs w:val="24"/>
          <w:shd w:val="clear" w:color="auto" w:fill="FFFFFF"/>
        </w:rPr>
        <w:t>a.com)</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La licencia de apertura es un trámite obligatorio mediante el cual se demuestra que un local, oficina o nave cumple con la normativa vigente en cada municipio para llevar a cabo una d</w:t>
      </w:r>
      <w:r>
        <w:rPr>
          <w:rFonts w:ascii="Times New Roman" w:hAnsi="Times New Roman" w:cs="Times New Roman"/>
          <w:sz w:val="24"/>
          <w:szCs w:val="24"/>
          <w:shd w:val="clear" w:color="auto" w:fill="FFFFFF"/>
        </w:rPr>
        <w:t>eterminada actividad comercial.</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La licencia de apertura la concede el Ayuntamiento de cada municipio y las exigencias pueden variar de un lugar a otro. Los requisitos que debe cumplir un local para recibir su licencia de apertura se refieren a aspectos técnicos, medioambienta</w:t>
      </w:r>
      <w:r>
        <w:rPr>
          <w:rFonts w:ascii="Times New Roman" w:hAnsi="Times New Roman" w:cs="Times New Roman"/>
          <w:sz w:val="24"/>
          <w:szCs w:val="24"/>
          <w:shd w:val="clear" w:color="auto" w:fill="FFFFFF"/>
        </w:rPr>
        <w:t>les, higiénicos y urbanísticos.</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Tipos de licencias de apertura</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Dependiendo de la actividad que vayas a desarrollar en el local, precisarás un tipo u otro de licencia de apertura. Se diferencian principalmente en la documentación e informes a presentar y en el tiempo de respuesta por parte del ayuntamiento para conceder la licencia y pode</w:t>
      </w:r>
      <w:r>
        <w:rPr>
          <w:rFonts w:ascii="Times New Roman" w:hAnsi="Times New Roman" w:cs="Times New Roman"/>
          <w:sz w:val="24"/>
          <w:szCs w:val="24"/>
          <w:shd w:val="clear" w:color="auto" w:fill="FFFFFF"/>
        </w:rPr>
        <w:t>r poner en marcha la actividad.</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lastRenderedPageBreak/>
        <w:t>La normativa que regula las licencias de apertura diferencia entre act</w:t>
      </w:r>
      <w:r>
        <w:rPr>
          <w:rFonts w:ascii="Times New Roman" w:hAnsi="Times New Roman" w:cs="Times New Roman"/>
          <w:sz w:val="24"/>
          <w:szCs w:val="24"/>
          <w:shd w:val="clear" w:color="auto" w:fill="FFFFFF"/>
        </w:rPr>
        <w:t>ividades inocuas y calificadas:</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Las actividades inocuas o no clasificadas son aquellas que no son susceptibles de generar molestias, que no ponen en riesgo la salubridad ni pueden causar daños en el medio ambiente. Estas actividades no son nocivas ni peligrosas para las personas ni para el entorno, por lo que su licencia de apertura requiere de menos comprobaciones y documentación. La licencia para actividades inocuas o no clasificadas es un trámite más sencillo y rápido.</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Las actividades nocivas o clasificadas son aquellas que, en su desarrollo, pueden resultar molestas, insalubres o peligrosas tanto para las personas como para el medio ambiente. La licencia de apertura para este tipo de actividades requiere de un procedimiento más largo y también más costoso. Suele exigir la realización de un proyecto técnico completo y su aprobación por parte del Ayuntamiento puede alargarse hasta tres meses.</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Validez o duración de la licencia de apertura</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La licencia de apertura tiene una duración indefinida una vez que ha sido concedida por el Ayuntamiento. Sin embargo, p</w:t>
      </w:r>
      <w:r>
        <w:rPr>
          <w:rFonts w:ascii="Times New Roman" w:hAnsi="Times New Roman" w:cs="Times New Roman"/>
          <w:sz w:val="24"/>
          <w:szCs w:val="24"/>
          <w:shd w:val="clear" w:color="auto" w:fill="FFFFFF"/>
        </w:rPr>
        <w:t>uede dejar de estar vigente si:</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No se ejerce la actividad durante un período mínimo de un año.</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Se acumulan sanciones municipales que acarreen el cese de la actividad.</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Transcurridos más de seis meses desde la finalización de las obras o instalaciones necesarias para la prestación de servicios o ejercicio de actividades para cuya implantación hubiese sido solicitada mediante licencia de obra, no se hubiese iniciado la actividad.</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En todo caso, la caducidad se declarará previa audiencia del ayuntamiento al interesado para que realice las alega</w:t>
      </w:r>
      <w:r>
        <w:rPr>
          <w:rFonts w:ascii="Times New Roman" w:hAnsi="Times New Roman" w:cs="Times New Roman"/>
          <w:sz w:val="24"/>
          <w:szCs w:val="24"/>
          <w:shd w:val="clear" w:color="auto" w:fill="FFFFFF"/>
        </w:rPr>
        <w:t>ciones que considere oportunas.</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Normativa aplicable</w:t>
      </w:r>
    </w:p>
    <w:p w:rsidR="00043F6A" w:rsidRPr="00D93C69"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 xml:space="preserve">La normativa en materia de licencia de apertura varía según el municipio. A nivel nacional, la Ley 12/2012, de Medidas Urgentes de Liberalización del Comercio, determina qué tipo de trámite debe pasar cada actividad comercial. Esta ley introduce la "licencia express", que permite que ciertas actividades no requieran una licencia previa del ayuntamiento para comenzar su actividad en un local, siempre que este no tenga más de 500 m² de </w:t>
      </w:r>
      <w:r>
        <w:rPr>
          <w:rFonts w:ascii="Times New Roman" w:hAnsi="Times New Roman" w:cs="Times New Roman"/>
          <w:sz w:val="24"/>
          <w:szCs w:val="24"/>
          <w:shd w:val="clear" w:color="auto" w:fill="FFFFFF"/>
        </w:rPr>
        <w:t>superficie de venta al público.</w:t>
      </w:r>
    </w:p>
    <w:p w:rsidR="00043F6A" w:rsidRDefault="00043F6A" w:rsidP="00043F6A">
      <w:pPr>
        <w:spacing w:line="240" w:lineRule="auto"/>
        <w:jc w:val="both"/>
        <w:rPr>
          <w:rFonts w:ascii="Times New Roman" w:hAnsi="Times New Roman" w:cs="Times New Roman"/>
          <w:sz w:val="24"/>
          <w:szCs w:val="24"/>
          <w:shd w:val="clear" w:color="auto" w:fill="FFFFFF"/>
        </w:rPr>
      </w:pPr>
      <w:r w:rsidRPr="00D93C69">
        <w:rPr>
          <w:rFonts w:ascii="Times New Roman" w:hAnsi="Times New Roman" w:cs="Times New Roman"/>
          <w:sz w:val="24"/>
          <w:szCs w:val="24"/>
          <w:shd w:val="clear" w:color="auto" w:fill="FFFFFF"/>
        </w:rPr>
        <w:t>Las actividades que no están incluidas en la Ley 12/2012 se regían anteriormente por el Reglamento de Actividades Molestas, Insalubres, Nocivas y Peligrosas, que fue derogado en 2007 por la Ley 34/2007, de 15 de noviembre, de Calidad del Aire y Protección de la Atmósfera.</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BC7749">
        <w:rPr>
          <w:rFonts w:ascii="Times New Roman" w:hAnsi="Times New Roman" w:cs="Times New Roman"/>
          <w:sz w:val="24"/>
          <w:szCs w:val="24"/>
          <w:u w:val="single"/>
          <w:shd w:val="clear" w:color="auto" w:fill="FFFFFF"/>
        </w:rPr>
        <w:t>Cuánto tarda una licencia de apertura</w:t>
      </w:r>
      <w:r>
        <w:rPr>
          <w:rFonts w:ascii="Times New Roman" w:hAnsi="Times New Roman" w:cs="Times New Roman"/>
          <w:sz w:val="24"/>
          <w:szCs w:val="24"/>
          <w:shd w:val="clear" w:color="auto" w:fill="FFFFFF"/>
        </w:rPr>
        <w:t xml:space="preserve"> </w:t>
      </w:r>
      <w:r w:rsidRPr="00BC7749">
        <w:rPr>
          <w:rFonts w:ascii="Times New Roman" w:hAnsi="Times New Roman" w:cs="Times New Roman"/>
          <w:sz w:val="24"/>
          <w:szCs w:val="24"/>
          <w:shd w:val="clear" w:color="auto" w:fill="FFFFFF"/>
        </w:rPr>
        <w:t xml:space="preserve">(Fuente: </w:t>
      </w:r>
      <w:r>
        <w:rPr>
          <w:rFonts w:ascii="Times New Roman" w:hAnsi="Times New Roman" w:cs="Times New Roman"/>
          <w:sz w:val="24"/>
          <w:szCs w:val="24"/>
          <w:shd w:val="clear" w:color="auto" w:fill="FFFFFF"/>
        </w:rPr>
        <w:t xml:space="preserve">certicalia.com - </w:t>
      </w:r>
      <w:r w:rsidRPr="004D2202">
        <w:rPr>
          <w:rFonts w:ascii="Times New Roman" w:hAnsi="Times New Roman" w:cs="Times New Roman"/>
          <w:b/>
          <w:sz w:val="24"/>
          <w:szCs w:val="24"/>
          <w:shd w:val="clear" w:color="auto" w:fill="FFFFFF"/>
        </w:rPr>
        <w:t>13/5/25</w:t>
      </w:r>
      <w:r>
        <w:rPr>
          <w:rFonts w:ascii="Times New Roman" w:hAnsi="Times New Roman" w:cs="Times New Roman"/>
          <w:sz w:val="24"/>
          <w:szCs w:val="24"/>
          <w:shd w:val="clear" w:color="auto" w:fill="FFFFFF"/>
        </w:rPr>
        <w:t>)</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Cuando se va</w:t>
      </w:r>
      <w:r w:rsidRPr="00BC7749">
        <w:rPr>
          <w:rFonts w:ascii="Times New Roman" w:hAnsi="Times New Roman" w:cs="Times New Roman"/>
          <w:sz w:val="24"/>
          <w:szCs w:val="24"/>
          <w:shd w:val="clear" w:color="auto" w:fill="FFFFFF"/>
        </w:rPr>
        <w:t xml:space="preserve"> a poner en marcha un negocio, se ha de tener en cuenta el tiempo que va a transcurrir desde que se adquiere el local hasta que se a</w:t>
      </w:r>
      <w:r>
        <w:rPr>
          <w:rFonts w:ascii="Times New Roman" w:hAnsi="Times New Roman" w:cs="Times New Roman"/>
          <w:sz w:val="24"/>
          <w:szCs w:val="24"/>
          <w:shd w:val="clear" w:color="auto" w:fill="FFFFFF"/>
        </w:rPr>
        <w:t xml:space="preserve">bre definitivamente al público. </w:t>
      </w:r>
      <w:r w:rsidRPr="00BC7749">
        <w:rPr>
          <w:rFonts w:ascii="Times New Roman" w:hAnsi="Times New Roman" w:cs="Times New Roman"/>
          <w:sz w:val="24"/>
          <w:szCs w:val="24"/>
          <w:shd w:val="clear" w:color="auto" w:fill="FFFFFF"/>
        </w:rPr>
        <w:t>Este período comprende las obras necesarias que hay que realizar en el caso de una nueva actividad y el periodo de tramitación de la licencia de apertura.</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 xml:space="preserve">El plazo de resolución de una licencia de apertura de un negocio puede variar en función del tipo de actividad que se vaya a desarrollar y la clasificación de dicha actividad según la ley </w:t>
      </w:r>
      <w:r w:rsidRPr="00BC7749">
        <w:rPr>
          <w:rFonts w:ascii="Times New Roman" w:hAnsi="Times New Roman" w:cs="Times New Roman"/>
          <w:sz w:val="24"/>
          <w:szCs w:val="24"/>
          <w:shd w:val="clear" w:color="auto" w:fill="FFFFFF"/>
        </w:rPr>
        <w:lastRenderedPageBreak/>
        <w:t>autonómica en primer lugar y según la ordenanza municipal donde se encuentre ubicada la actividad.</w:t>
      </w:r>
    </w:p>
    <w:p w:rsidR="00043F6A"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Licencia de apertura</w:t>
      </w:r>
      <w:r>
        <w:rPr>
          <w:rFonts w:ascii="Times New Roman" w:hAnsi="Times New Roman" w:cs="Times New Roman"/>
          <w:sz w:val="24"/>
          <w:szCs w:val="24"/>
          <w:shd w:val="clear" w:color="auto" w:fill="FFFFFF"/>
        </w:rPr>
        <w:t xml:space="preserve">: </w:t>
      </w:r>
      <w:r w:rsidRPr="00BC7749">
        <w:rPr>
          <w:rFonts w:ascii="Times New Roman" w:hAnsi="Times New Roman" w:cs="Times New Roman"/>
          <w:sz w:val="24"/>
          <w:szCs w:val="24"/>
          <w:shd w:val="clear" w:color="auto" w:fill="FFFFFF"/>
        </w:rPr>
        <w:t>La Licencia de Apertura es un permiso obligatorio que autoriza a un negocio para comenzar sus actividades. Garantiza el cumplimiento de normativas urbanísticas y de seguridad, asegurando un entorno adecuado y seguro.</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el caso de</w:t>
      </w:r>
      <w:r w:rsidRPr="00D93C69">
        <w:rPr>
          <w:rFonts w:ascii="Times New Roman" w:hAnsi="Times New Roman" w:cs="Times New Roman"/>
          <w:sz w:val="24"/>
          <w:szCs w:val="24"/>
          <w:shd w:val="clear" w:color="auto" w:fill="FFFFFF"/>
        </w:rPr>
        <w:t xml:space="preserve"> la comunidad autónoma de Cataluña, según esta premisa, observamos que las actividades descritas en el texto de la ley 20/2009 de Prevención y control ambiental de las actividades aparecen clasificadas según anexos I, II y III.</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 xml:space="preserve">Tiempo </w:t>
      </w:r>
      <w:r>
        <w:rPr>
          <w:rFonts w:ascii="Times New Roman" w:hAnsi="Times New Roman" w:cs="Times New Roman"/>
          <w:sz w:val="24"/>
          <w:szCs w:val="24"/>
          <w:shd w:val="clear" w:color="auto" w:fill="FFFFFF"/>
        </w:rPr>
        <w:t xml:space="preserve">de tramitación de las licencias: </w:t>
      </w:r>
      <w:r w:rsidRPr="00BC7749">
        <w:rPr>
          <w:rFonts w:ascii="Times New Roman" w:hAnsi="Times New Roman" w:cs="Times New Roman"/>
          <w:sz w:val="24"/>
          <w:szCs w:val="24"/>
          <w:shd w:val="clear" w:color="auto" w:fill="FFFFFF"/>
        </w:rPr>
        <w:t>El tiempo de tramitación de estas licencias dependerá en gran medida por su clasificación que es la siguiente:</w:t>
      </w:r>
    </w:p>
    <w:p w:rsidR="00043F6A"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Actividades sometidas a Régimen de Autorización ambiental con evaluación de impac</w:t>
      </w:r>
      <w:r>
        <w:rPr>
          <w:rFonts w:ascii="Times New Roman" w:hAnsi="Times New Roman" w:cs="Times New Roman"/>
          <w:sz w:val="24"/>
          <w:szCs w:val="24"/>
          <w:shd w:val="clear" w:color="auto" w:fill="FFFFFF"/>
        </w:rPr>
        <w:t xml:space="preserve">to ambiental: </w:t>
      </w:r>
      <w:r w:rsidRPr="00BC7749">
        <w:rPr>
          <w:rFonts w:ascii="Times New Roman" w:hAnsi="Times New Roman" w:cs="Times New Roman"/>
          <w:sz w:val="24"/>
          <w:szCs w:val="24"/>
          <w:shd w:val="clear" w:color="auto" w:fill="FFFFFF"/>
        </w:rPr>
        <w:t>Son las actividades que están relacionadas en el anexo I, que deben someterse a la autorización ambiental con la evaluación de impacto ambiental del departamento competente en materia de medio ambiente. Aquí se localizan las actividades de tipo industrial</w:t>
      </w:r>
      <w:r>
        <w:rPr>
          <w:rFonts w:ascii="Times New Roman" w:hAnsi="Times New Roman" w:cs="Times New Roman"/>
          <w:sz w:val="24"/>
          <w:szCs w:val="24"/>
          <w:shd w:val="clear" w:color="auto" w:fill="FFFFFF"/>
        </w:rPr>
        <w:t>,</w:t>
      </w:r>
      <w:r w:rsidRPr="00BC7749">
        <w:rPr>
          <w:rFonts w:ascii="Times New Roman" w:hAnsi="Times New Roman" w:cs="Times New Roman"/>
          <w:sz w:val="24"/>
          <w:szCs w:val="24"/>
          <w:shd w:val="clear" w:color="auto" w:fill="FFFFFF"/>
        </w:rPr>
        <w:t xml:space="preserve"> y do</w:t>
      </w:r>
      <w:r>
        <w:rPr>
          <w:rFonts w:ascii="Times New Roman" w:hAnsi="Times New Roman" w:cs="Times New Roman"/>
          <w:sz w:val="24"/>
          <w:szCs w:val="24"/>
          <w:shd w:val="clear" w:color="auto" w:fill="FFFFFF"/>
        </w:rPr>
        <w:t xml:space="preserve">tadas de grandes instalaciones. </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El tiempo de resolución en estos casos la ley establece que el órgano ambiental competente debe pronunciarse en un plazo máximo de 30 días sobre la suficiencia y la idoneidad del estudio de impacto ambiental, del proyecto y de la demás documentación presen</w:t>
      </w:r>
      <w:r>
        <w:rPr>
          <w:rFonts w:ascii="Times New Roman" w:hAnsi="Times New Roman" w:cs="Times New Roman"/>
          <w:sz w:val="24"/>
          <w:szCs w:val="24"/>
          <w:shd w:val="clear" w:color="auto" w:fill="FFFFFF"/>
        </w:rPr>
        <w:t>tada.</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Una vez superado este trámite, es preciso someter esta documentación a información pública por un período de 30 días. Durante este periodo, los agentes afectados, (municipios o comunidades vecinales) por la actividad tienen derecho a formular alegaciones en contra</w:t>
      </w:r>
      <w:r>
        <w:rPr>
          <w:rFonts w:ascii="Times New Roman" w:hAnsi="Times New Roman" w:cs="Times New Roman"/>
          <w:sz w:val="24"/>
          <w:szCs w:val="24"/>
          <w:shd w:val="clear" w:color="auto" w:fill="FFFFFF"/>
        </w:rPr>
        <w:t xml:space="preserve"> si se consideran perjudicados.</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Hasta aquí el plazo transcurrido es de 2 meses. Si no se presentan alegaciones o no se han introducido modificaciones al proyecto, esta propuesta de resolución se convierte en definitiva automáticamente y se eleva al órgano c</w:t>
      </w:r>
      <w:r>
        <w:rPr>
          <w:rFonts w:ascii="Times New Roman" w:hAnsi="Times New Roman" w:cs="Times New Roman"/>
          <w:sz w:val="24"/>
          <w:szCs w:val="24"/>
          <w:shd w:val="clear" w:color="auto" w:fill="FFFFFF"/>
        </w:rPr>
        <w:t>ompetente para que la resuelva.</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El órgano ambiental del departamento competente en materia de medio ambiente dispone de un plazo para reso</w:t>
      </w:r>
      <w:r>
        <w:rPr>
          <w:rFonts w:ascii="Times New Roman" w:hAnsi="Times New Roman" w:cs="Times New Roman"/>
          <w:sz w:val="24"/>
          <w:szCs w:val="24"/>
          <w:shd w:val="clear" w:color="auto" w:fill="FFFFFF"/>
        </w:rPr>
        <w:t>lver dicha resolución y que es:</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1. Para actividades del anexo I.1 debe dictarse y notificarse en</w:t>
      </w:r>
      <w:r>
        <w:rPr>
          <w:rFonts w:ascii="Times New Roman" w:hAnsi="Times New Roman" w:cs="Times New Roman"/>
          <w:sz w:val="24"/>
          <w:szCs w:val="24"/>
          <w:shd w:val="clear" w:color="auto" w:fill="FFFFFF"/>
        </w:rPr>
        <w:t xml:space="preserve"> un plazo máximo de diez meses.</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 xml:space="preserve">2. Para actividades del anexo I.2 debe dictarse y notificarse en un plazo máximo de ocho </w:t>
      </w:r>
      <w:r>
        <w:rPr>
          <w:rFonts w:ascii="Times New Roman" w:hAnsi="Times New Roman" w:cs="Times New Roman"/>
          <w:sz w:val="24"/>
          <w:szCs w:val="24"/>
          <w:shd w:val="clear" w:color="auto" w:fill="FFFFFF"/>
        </w:rPr>
        <w:t>meses.</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Así pues, en estos casos, la concesión de la licencia puede tardar un mínimo de once meses a un año suponiendo que el proyecto cumpla con la normativa apli</w:t>
      </w:r>
      <w:r>
        <w:rPr>
          <w:rFonts w:ascii="Times New Roman" w:hAnsi="Times New Roman" w:cs="Times New Roman"/>
          <w:sz w:val="24"/>
          <w:szCs w:val="24"/>
          <w:shd w:val="clear" w:color="auto" w:fill="FFFFFF"/>
        </w:rPr>
        <w:t>cable y no existan alegaciones.</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Actividades sometidas a</w:t>
      </w:r>
      <w:r>
        <w:rPr>
          <w:rFonts w:ascii="Times New Roman" w:hAnsi="Times New Roman" w:cs="Times New Roman"/>
          <w:sz w:val="24"/>
          <w:szCs w:val="24"/>
          <w:shd w:val="clear" w:color="auto" w:fill="FFFFFF"/>
        </w:rPr>
        <w:t xml:space="preserve"> Régimen de licencia ambiental: </w:t>
      </w:r>
      <w:r w:rsidRPr="00BC7749">
        <w:rPr>
          <w:rFonts w:ascii="Times New Roman" w:hAnsi="Times New Roman" w:cs="Times New Roman"/>
          <w:sz w:val="24"/>
          <w:szCs w:val="24"/>
          <w:shd w:val="clear" w:color="auto" w:fill="FFFFFF"/>
        </w:rPr>
        <w:t>Son las actividades no incluidas en el anexo I y que están clasificadas en el anexo II,</w:t>
      </w:r>
      <w:r>
        <w:rPr>
          <w:rFonts w:ascii="Times New Roman" w:hAnsi="Times New Roman" w:cs="Times New Roman"/>
          <w:sz w:val="24"/>
          <w:szCs w:val="24"/>
          <w:shd w:val="clear" w:color="auto" w:fill="FFFFFF"/>
        </w:rPr>
        <w:t xml:space="preserve"> III y IV.</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El procedimiento y plazos son similares en cuanto al pronunciamiento del órgano ambiental competente (30 días). También es obligatorio someter el proyecto a información pública durante otros 30 días más, por si algún agente implicado observara la nec</w:t>
      </w:r>
      <w:r>
        <w:rPr>
          <w:rFonts w:ascii="Times New Roman" w:hAnsi="Times New Roman" w:cs="Times New Roman"/>
          <w:sz w:val="24"/>
          <w:szCs w:val="24"/>
          <w:shd w:val="clear" w:color="auto" w:fill="FFFFFF"/>
        </w:rPr>
        <w:t>esidad de formular alegaciones.</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lastRenderedPageBreak/>
        <w:t>A partir de aquí, se elabora una propuesta de resolución provisional, y se informa a las partes interesadas para que en el plazo de quince días formulen las alegaciones pertinentes.</w:t>
      </w:r>
    </w:p>
    <w:p w:rsidR="00043F6A" w:rsidRPr="00BC7749"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Finalmente, existe un plazo máximo de seis meses desde la fecha de la solicitud para que el ayuntamiento dicte y notifique la resolución.</w:t>
      </w:r>
    </w:p>
    <w:p w:rsidR="00043F6A" w:rsidRDefault="00043F6A" w:rsidP="00043F6A">
      <w:pPr>
        <w:spacing w:line="240" w:lineRule="auto"/>
        <w:jc w:val="both"/>
        <w:rPr>
          <w:rFonts w:ascii="Times New Roman" w:hAnsi="Times New Roman" w:cs="Times New Roman"/>
          <w:sz w:val="24"/>
          <w:szCs w:val="24"/>
          <w:shd w:val="clear" w:color="auto" w:fill="FFFFFF"/>
        </w:rPr>
      </w:pPr>
      <w:r w:rsidRPr="00BC7749">
        <w:rPr>
          <w:rFonts w:ascii="Times New Roman" w:hAnsi="Times New Roman" w:cs="Times New Roman"/>
          <w:sz w:val="24"/>
          <w:szCs w:val="24"/>
          <w:shd w:val="clear" w:color="auto" w:fill="FFFFFF"/>
        </w:rPr>
        <w:t>Plazo de concesión de licencia d</w:t>
      </w:r>
      <w:r>
        <w:rPr>
          <w:rFonts w:ascii="Times New Roman" w:hAnsi="Times New Roman" w:cs="Times New Roman"/>
          <w:sz w:val="24"/>
          <w:szCs w:val="24"/>
          <w:shd w:val="clear" w:color="auto" w:fill="FFFFFF"/>
        </w:rPr>
        <w:t xml:space="preserve">e apertura de otras actividades: </w:t>
      </w:r>
      <w:r w:rsidRPr="00BC7749">
        <w:rPr>
          <w:rFonts w:ascii="Times New Roman" w:hAnsi="Times New Roman" w:cs="Times New Roman"/>
          <w:sz w:val="24"/>
          <w:szCs w:val="24"/>
          <w:shd w:val="clear" w:color="auto" w:fill="FFFFFF"/>
        </w:rPr>
        <w:t>Las actividades no incluidas en los anexos anteriores suelen tener un procedimiento de concesión más rápido, y en algunos casos, es inmediato, como en el caso de las actividades sometidas a comunicación previa o declaraciones responsables.</w:t>
      </w:r>
    </w:p>
    <w:p w:rsidR="00043F6A" w:rsidRPr="00AB035D" w:rsidRDefault="00043F6A" w:rsidP="00043F6A">
      <w:pPr>
        <w:spacing w:line="240" w:lineRule="auto"/>
        <w:jc w:val="both"/>
        <w:rPr>
          <w:rFonts w:ascii="Times New Roman" w:hAnsi="Times New Roman" w:cs="Times New Roman"/>
          <w:color w:val="FF0000"/>
          <w:sz w:val="24"/>
          <w:szCs w:val="24"/>
          <w:shd w:val="clear" w:color="auto" w:fill="FFFFFF"/>
        </w:rPr>
      </w:pPr>
      <w:r w:rsidRPr="00AB035D">
        <w:rPr>
          <w:rFonts w:ascii="Times New Roman" w:hAnsi="Times New Roman" w:cs="Times New Roman"/>
          <w:b/>
          <w:color w:val="FF0000"/>
          <w:sz w:val="24"/>
          <w:szCs w:val="24"/>
          <w:shd w:val="clear" w:color="auto" w:fill="FFFFFF"/>
        </w:rPr>
        <w:t>Nota I</w:t>
      </w:r>
      <w:r w:rsidRPr="00AB035D">
        <w:rPr>
          <w:rFonts w:ascii="Times New Roman" w:hAnsi="Times New Roman" w:cs="Times New Roman"/>
          <w:color w:val="FF0000"/>
          <w:sz w:val="24"/>
          <w:szCs w:val="24"/>
          <w:shd w:val="clear" w:color="auto" w:fill="FFFFFF"/>
        </w:rPr>
        <w:t>: Resumiendo, en España, el tiempo para obtener una licencia de apertura puede variar significativamente, oscilando entre varias semanas y varios meses, e incluso puede llegar a tardar un año en algunos casos. La duración depende de factores como la complejidad de la actividad, la carga de trabajo del ayuntamiento y si se requiere realizar obras. Las actividades inocuas suelen tener una tramitación más rápida que las calificadas o las sometidas a régimen de licencia ambiental. Si el local requiere obras, el proceso puede alargarse considerablemente, sumando el tiempo de ejecución de las obras al de la tramitación de la licencia. La eficiencia del ayuntamiento y la cantidad de solicitudes en trámite pueden influir en la rapidez de la respuesta.</w:t>
      </w:r>
    </w:p>
    <w:p w:rsidR="00043F6A" w:rsidRPr="00AB035D" w:rsidRDefault="00043F6A" w:rsidP="00043F6A">
      <w:pPr>
        <w:spacing w:line="240" w:lineRule="auto"/>
        <w:jc w:val="both"/>
        <w:rPr>
          <w:rFonts w:ascii="Times New Roman" w:hAnsi="Times New Roman" w:cs="Times New Roman"/>
          <w:color w:val="FF0000"/>
          <w:sz w:val="24"/>
          <w:szCs w:val="24"/>
          <w:shd w:val="clear" w:color="auto" w:fill="FFFFFF"/>
        </w:rPr>
      </w:pPr>
      <w:r w:rsidRPr="00AB035D">
        <w:rPr>
          <w:rFonts w:ascii="Times New Roman" w:hAnsi="Times New Roman" w:cs="Times New Roman"/>
          <w:b/>
          <w:color w:val="FF0000"/>
          <w:sz w:val="24"/>
          <w:szCs w:val="24"/>
          <w:shd w:val="clear" w:color="auto" w:fill="FFFFFF"/>
        </w:rPr>
        <w:t>Nota II</w:t>
      </w:r>
      <w:r w:rsidRPr="00AB035D">
        <w:rPr>
          <w:rFonts w:ascii="Times New Roman" w:hAnsi="Times New Roman" w:cs="Times New Roman"/>
          <w:color w:val="FF0000"/>
          <w:sz w:val="24"/>
          <w:szCs w:val="24"/>
          <w:shd w:val="clear" w:color="auto" w:fill="FFFFFF"/>
        </w:rPr>
        <w:t xml:space="preserve">: Según datos del Consejo General de Economistas, casi un 18% de los proyectos empresariales en España se abandonan en fase de tramitación debido a la complejidad burocrática, y las licencias municipales figuran entre los principales obstáculos. Obtener esta licencia es obligatorio (operar sin ella puede acarrear multas de hasta 60.000€ en casos graves). (Fuente: weblifedev.com.es - </w:t>
      </w:r>
      <w:r w:rsidRPr="00561B86">
        <w:rPr>
          <w:rFonts w:ascii="Times New Roman" w:hAnsi="Times New Roman" w:cs="Times New Roman"/>
          <w:b/>
          <w:color w:val="FF0000"/>
          <w:sz w:val="24"/>
          <w:szCs w:val="24"/>
          <w:shd w:val="clear" w:color="auto" w:fill="FFFFFF"/>
        </w:rPr>
        <w:t>7/5/25</w:t>
      </w:r>
      <w:r w:rsidRPr="00AB035D">
        <w:rPr>
          <w:rFonts w:ascii="Times New Roman" w:hAnsi="Times New Roman" w:cs="Times New Roman"/>
          <w:color w:val="FF0000"/>
          <w:sz w:val="24"/>
          <w:szCs w:val="24"/>
          <w:shd w:val="clear" w:color="auto" w:fill="FFFFFF"/>
        </w:rPr>
        <w:t>)</w:t>
      </w:r>
    </w:p>
    <w:p w:rsidR="00043F6A" w:rsidRPr="00662569" w:rsidRDefault="00043F6A" w:rsidP="00043F6A">
      <w:pPr>
        <w:spacing w:line="240" w:lineRule="auto"/>
        <w:jc w:val="both"/>
        <w:rPr>
          <w:rFonts w:ascii="Times New Roman" w:hAnsi="Times New Roman" w:cs="Times New Roman"/>
          <w:sz w:val="24"/>
          <w:szCs w:val="24"/>
          <w:shd w:val="clear" w:color="auto" w:fill="FFFFFF"/>
        </w:rPr>
      </w:pPr>
      <w:r w:rsidRPr="00662569">
        <w:rPr>
          <w:rFonts w:ascii="Times New Roman" w:hAnsi="Times New Roman" w:cs="Times New Roman"/>
          <w:sz w:val="24"/>
          <w:szCs w:val="24"/>
          <w:shd w:val="clear" w:color="auto" w:fill="FFFFFF"/>
        </w:rPr>
        <w:t>Licencias para actividades inocuas: Estas licencias corresponden a negocios que no generan molestias significativas, no son contaminantes, ni representan riesgos para la salud o el medio ambiente. Ejemplos típicos incluyen tiendas de ropa, oficinas administrativas o consultas profesionales. El proceso para estas actividades se ha simplificado considerablemente desde la implementación de la Directiva de Servicios de la UE (Directiva Bolkestein) en 2009. En muchos municipios, ya no requieren una licencia formal, sino una declaración responsable o comunicación previa, reduciendo los tiempos de espera de meses a días.</w:t>
      </w:r>
    </w:p>
    <w:p w:rsidR="00043F6A" w:rsidRPr="00662569" w:rsidRDefault="00043F6A" w:rsidP="00043F6A">
      <w:pPr>
        <w:spacing w:line="240" w:lineRule="auto"/>
        <w:jc w:val="both"/>
        <w:rPr>
          <w:rFonts w:ascii="Times New Roman" w:hAnsi="Times New Roman" w:cs="Times New Roman"/>
          <w:sz w:val="24"/>
          <w:szCs w:val="24"/>
          <w:shd w:val="clear" w:color="auto" w:fill="FFFFFF"/>
        </w:rPr>
      </w:pPr>
      <w:r w:rsidRPr="00662569">
        <w:rPr>
          <w:rFonts w:ascii="Times New Roman" w:hAnsi="Times New Roman" w:cs="Times New Roman"/>
          <w:sz w:val="24"/>
          <w:szCs w:val="24"/>
          <w:shd w:val="clear" w:color="auto" w:fill="FFFFFF"/>
        </w:rPr>
        <w:t>Licencias para actividades calificadas: Estas se aplican a negocios que pueden causar incomodidades, ser insalubres, nocivos o peligrosos. Restaurantes, talleres, gimnasios, clínicas, bares con música o pequeñas industrias entran en esta categoría. Requieren un proceso más exhaustivo, incluyendo proyectos técnicos detallados y, en algunos casos, informes de impacto ambiental. Aunque también se han beneficiado de ciertas simplificaciones, el escrutinio sigue siendo considerable.</w:t>
      </w:r>
    </w:p>
    <w:p w:rsidR="00043F6A" w:rsidRPr="00662569" w:rsidRDefault="00043F6A" w:rsidP="00043F6A">
      <w:pPr>
        <w:spacing w:line="240" w:lineRule="auto"/>
        <w:jc w:val="both"/>
        <w:rPr>
          <w:rFonts w:ascii="Times New Roman" w:hAnsi="Times New Roman" w:cs="Times New Roman"/>
          <w:sz w:val="24"/>
          <w:szCs w:val="24"/>
          <w:shd w:val="clear" w:color="auto" w:fill="FFFFFF"/>
        </w:rPr>
      </w:pPr>
      <w:r w:rsidRPr="00662569">
        <w:rPr>
          <w:rFonts w:ascii="Times New Roman" w:hAnsi="Times New Roman" w:cs="Times New Roman"/>
          <w:sz w:val="24"/>
          <w:szCs w:val="24"/>
          <w:shd w:val="clear" w:color="auto" w:fill="FFFFFF"/>
        </w:rPr>
        <w:t>“La complejidad no reside tanto en el proceso en sí, sino en la disparidad de criterios entre municipios”, señala Carlos Martínez, abogado especializado en derecho administrativo. “Un mismo negocio puede enfrentar requisitos completamente diferentes en dos localidades separadas por apenas unos kilómetros”.</w:t>
      </w:r>
    </w:p>
    <w:p w:rsidR="00043F6A" w:rsidRPr="00662569" w:rsidRDefault="00043F6A" w:rsidP="00043F6A">
      <w:pPr>
        <w:spacing w:line="240" w:lineRule="auto"/>
        <w:jc w:val="both"/>
        <w:rPr>
          <w:rFonts w:ascii="Times New Roman" w:hAnsi="Times New Roman" w:cs="Times New Roman"/>
          <w:sz w:val="24"/>
          <w:szCs w:val="24"/>
          <w:shd w:val="clear" w:color="auto" w:fill="FFFFFF"/>
        </w:rPr>
      </w:pPr>
      <w:r w:rsidRPr="00662569">
        <w:rPr>
          <w:rFonts w:ascii="Times New Roman" w:hAnsi="Times New Roman" w:cs="Times New Roman"/>
          <w:sz w:val="24"/>
          <w:szCs w:val="24"/>
          <w:shd w:val="clear" w:color="auto" w:fill="FFFFFF"/>
        </w:rPr>
        <w:t>Licencias especiales y sectoriales: Determinadas actividades, por su naturaleza específica, requieren autorizaciones adicionales de organismos sectoriales:</w:t>
      </w:r>
    </w:p>
    <w:p w:rsidR="00043F6A" w:rsidRPr="00662569" w:rsidRDefault="00043F6A" w:rsidP="00043F6A">
      <w:pPr>
        <w:spacing w:line="240" w:lineRule="auto"/>
        <w:jc w:val="both"/>
        <w:rPr>
          <w:rFonts w:ascii="Times New Roman" w:hAnsi="Times New Roman" w:cs="Times New Roman"/>
          <w:sz w:val="24"/>
          <w:szCs w:val="24"/>
          <w:shd w:val="clear" w:color="auto" w:fill="FFFFFF"/>
        </w:rPr>
      </w:pPr>
      <w:r w:rsidRPr="00662569">
        <w:rPr>
          <w:rFonts w:ascii="Times New Roman" w:hAnsi="Times New Roman" w:cs="Times New Roman"/>
          <w:sz w:val="24"/>
          <w:szCs w:val="24"/>
          <w:shd w:val="clear" w:color="auto" w:fill="FFFFFF"/>
        </w:rPr>
        <w:t>Establecimientos sanitarios (autorización de la Consejería de Sanidad)</w:t>
      </w:r>
    </w:p>
    <w:p w:rsidR="00043F6A" w:rsidRPr="00662569" w:rsidRDefault="00043F6A" w:rsidP="00043F6A">
      <w:pPr>
        <w:spacing w:line="240" w:lineRule="auto"/>
        <w:jc w:val="both"/>
        <w:rPr>
          <w:rFonts w:ascii="Times New Roman" w:hAnsi="Times New Roman" w:cs="Times New Roman"/>
          <w:sz w:val="24"/>
          <w:szCs w:val="24"/>
          <w:shd w:val="clear" w:color="auto" w:fill="FFFFFF"/>
        </w:rPr>
      </w:pPr>
      <w:r w:rsidRPr="00662569">
        <w:rPr>
          <w:rFonts w:ascii="Times New Roman" w:hAnsi="Times New Roman" w:cs="Times New Roman"/>
          <w:sz w:val="24"/>
          <w:szCs w:val="24"/>
          <w:shd w:val="clear" w:color="auto" w:fill="FFFFFF"/>
        </w:rPr>
        <w:t>Guarderías y centros educativos (autorización de la Consejería de Educación)</w:t>
      </w:r>
    </w:p>
    <w:p w:rsidR="00043F6A" w:rsidRPr="00662569" w:rsidRDefault="00043F6A" w:rsidP="00043F6A">
      <w:pPr>
        <w:spacing w:line="240" w:lineRule="auto"/>
        <w:jc w:val="both"/>
        <w:rPr>
          <w:rFonts w:ascii="Times New Roman" w:hAnsi="Times New Roman" w:cs="Times New Roman"/>
          <w:sz w:val="24"/>
          <w:szCs w:val="24"/>
          <w:shd w:val="clear" w:color="auto" w:fill="FFFFFF"/>
        </w:rPr>
      </w:pPr>
      <w:r w:rsidRPr="00662569">
        <w:rPr>
          <w:rFonts w:ascii="Times New Roman" w:hAnsi="Times New Roman" w:cs="Times New Roman"/>
          <w:sz w:val="24"/>
          <w:szCs w:val="24"/>
          <w:shd w:val="clear" w:color="auto" w:fill="FFFFFF"/>
        </w:rPr>
        <w:lastRenderedPageBreak/>
        <w:t>Establecimientos turísticos (registro en la Consejería de Turismo)</w:t>
      </w:r>
    </w:p>
    <w:p w:rsidR="00043F6A" w:rsidRPr="00662569" w:rsidRDefault="00043F6A" w:rsidP="00043F6A">
      <w:pPr>
        <w:spacing w:line="240" w:lineRule="auto"/>
        <w:jc w:val="both"/>
        <w:rPr>
          <w:rFonts w:ascii="Times New Roman" w:hAnsi="Times New Roman" w:cs="Times New Roman"/>
          <w:sz w:val="24"/>
          <w:szCs w:val="24"/>
          <w:shd w:val="clear" w:color="auto" w:fill="FFFFFF"/>
        </w:rPr>
      </w:pPr>
      <w:r w:rsidRPr="00662569">
        <w:rPr>
          <w:rFonts w:ascii="Times New Roman" w:hAnsi="Times New Roman" w:cs="Times New Roman"/>
          <w:sz w:val="24"/>
          <w:szCs w:val="24"/>
          <w:shd w:val="clear" w:color="auto" w:fill="FFFFFF"/>
        </w:rPr>
        <w:t>Locales de juego (autorización específica para juegos y apuestas)</w:t>
      </w:r>
    </w:p>
    <w:p w:rsidR="00043F6A" w:rsidRPr="00662569" w:rsidRDefault="00043F6A" w:rsidP="00043F6A">
      <w:pPr>
        <w:spacing w:line="240" w:lineRule="auto"/>
        <w:jc w:val="both"/>
        <w:rPr>
          <w:rFonts w:ascii="Times New Roman" w:hAnsi="Times New Roman" w:cs="Times New Roman"/>
          <w:sz w:val="24"/>
          <w:szCs w:val="24"/>
          <w:shd w:val="clear" w:color="auto" w:fill="FFFFFF"/>
        </w:rPr>
      </w:pPr>
      <w:r w:rsidRPr="00662569">
        <w:rPr>
          <w:rFonts w:ascii="Times New Roman" w:hAnsi="Times New Roman" w:cs="Times New Roman"/>
          <w:sz w:val="24"/>
          <w:szCs w:val="24"/>
          <w:shd w:val="clear" w:color="auto" w:fill="FFFFFF"/>
        </w:rPr>
        <w:t>Estas licencias complementan -no sustituyen- la licencia municipal básica, añadiendo capas adicionales de complejidad al proceso.</w:t>
      </w:r>
    </w:p>
    <w:p w:rsidR="00043F6A" w:rsidRPr="0086207B" w:rsidRDefault="00043F6A" w:rsidP="00043F6A">
      <w:pPr>
        <w:spacing w:line="240" w:lineRule="auto"/>
        <w:jc w:val="both"/>
        <w:rPr>
          <w:rFonts w:ascii="Times New Roman" w:hAnsi="Times New Roman" w:cs="Times New Roman"/>
          <w:sz w:val="24"/>
          <w:szCs w:val="24"/>
          <w:u w:val="single"/>
          <w:shd w:val="clear" w:color="auto" w:fill="FFFFFF"/>
        </w:rPr>
      </w:pPr>
      <w:r w:rsidRPr="0086207B">
        <w:rPr>
          <w:rFonts w:ascii="Times New Roman" w:hAnsi="Times New Roman" w:cs="Times New Roman"/>
          <w:sz w:val="24"/>
          <w:szCs w:val="24"/>
          <w:u w:val="single"/>
          <w:shd w:val="clear" w:color="auto" w:fill="FFFFFF"/>
        </w:rPr>
        <w:t>Requisitos fundamentales para obtener tu licencia</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Obtener una licencia de apertura requiere cumplir con múltiples requisitos técnicos y administrativos que varían según el municipio y el tipo de actividad. Sin embargo, existe un núcleo común de exigencias que</w:t>
      </w:r>
      <w:r>
        <w:rPr>
          <w:rFonts w:ascii="Times New Roman" w:hAnsi="Times New Roman" w:cs="Times New Roman"/>
          <w:sz w:val="24"/>
          <w:szCs w:val="24"/>
          <w:shd w:val="clear" w:color="auto" w:fill="FFFFFF"/>
        </w:rPr>
        <w:t xml:space="preserve"> todo emprendedor debe conocer:</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Docu</w:t>
      </w:r>
      <w:r>
        <w:rPr>
          <w:rFonts w:ascii="Times New Roman" w:hAnsi="Times New Roman" w:cs="Times New Roman"/>
          <w:sz w:val="24"/>
          <w:szCs w:val="24"/>
          <w:shd w:val="clear" w:color="auto" w:fill="FFFFFF"/>
        </w:rPr>
        <w:t xml:space="preserve">mentación administrativa básica: </w:t>
      </w:r>
      <w:r w:rsidRPr="0086207B">
        <w:rPr>
          <w:rFonts w:ascii="Times New Roman" w:hAnsi="Times New Roman" w:cs="Times New Roman"/>
          <w:sz w:val="24"/>
          <w:szCs w:val="24"/>
          <w:shd w:val="clear" w:color="auto" w:fill="FFFFFF"/>
        </w:rPr>
        <w:t>NI</w:t>
      </w:r>
      <w:r>
        <w:rPr>
          <w:rFonts w:ascii="Times New Roman" w:hAnsi="Times New Roman" w:cs="Times New Roman"/>
          <w:sz w:val="24"/>
          <w:szCs w:val="24"/>
          <w:shd w:val="clear" w:color="auto" w:fill="FFFFFF"/>
        </w:rPr>
        <w:t xml:space="preserve">F/CIF del solicitante o empresa - </w:t>
      </w:r>
      <w:r w:rsidRPr="0086207B">
        <w:rPr>
          <w:rFonts w:ascii="Times New Roman" w:hAnsi="Times New Roman" w:cs="Times New Roman"/>
          <w:sz w:val="24"/>
          <w:szCs w:val="24"/>
          <w:shd w:val="clear" w:color="auto" w:fill="FFFFFF"/>
        </w:rPr>
        <w:t>Escritura de</w:t>
      </w:r>
      <w:r>
        <w:rPr>
          <w:rFonts w:ascii="Times New Roman" w:hAnsi="Times New Roman" w:cs="Times New Roman"/>
          <w:sz w:val="24"/>
          <w:szCs w:val="24"/>
          <w:shd w:val="clear" w:color="auto" w:fill="FFFFFF"/>
        </w:rPr>
        <w:t xml:space="preserve"> constitución (para sociedades) - </w:t>
      </w:r>
      <w:r w:rsidRPr="0086207B">
        <w:rPr>
          <w:rFonts w:ascii="Times New Roman" w:hAnsi="Times New Roman" w:cs="Times New Roman"/>
          <w:sz w:val="24"/>
          <w:szCs w:val="24"/>
          <w:shd w:val="clear" w:color="auto" w:fill="FFFFFF"/>
        </w:rPr>
        <w:t>Título de propie</w:t>
      </w:r>
      <w:r>
        <w:rPr>
          <w:rFonts w:ascii="Times New Roman" w:hAnsi="Times New Roman" w:cs="Times New Roman"/>
          <w:sz w:val="24"/>
          <w:szCs w:val="24"/>
          <w:shd w:val="clear" w:color="auto" w:fill="FFFFFF"/>
        </w:rPr>
        <w:t xml:space="preserve">dad o contrato de arrendamiento - </w:t>
      </w:r>
      <w:r w:rsidRPr="0086207B">
        <w:rPr>
          <w:rFonts w:ascii="Times New Roman" w:hAnsi="Times New Roman" w:cs="Times New Roman"/>
          <w:sz w:val="24"/>
          <w:szCs w:val="24"/>
          <w:shd w:val="clear" w:color="auto" w:fill="FFFFFF"/>
        </w:rPr>
        <w:t>Justificant</w:t>
      </w:r>
      <w:r>
        <w:rPr>
          <w:rFonts w:ascii="Times New Roman" w:hAnsi="Times New Roman" w:cs="Times New Roman"/>
          <w:sz w:val="24"/>
          <w:szCs w:val="24"/>
          <w:shd w:val="clear" w:color="auto" w:fill="FFFFFF"/>
        </w:rPr>
        <w:t xml:space="preserve">e del pago de tasas municipales - </w:t>
      </w:r>
      <w:r w:rsidRPr="0086207B">
        <w:rPr>
          <w:rFonts w:ascii="Times New Roman" w:hAnsi="Times New Roman" w:cs="Times New Roman"/>
          <w:sz w:val="24"/>
          <w:szCs w:val="24"/>
          <w:shd w:val="clear" w:color="auto" w:fill="FFFFFF"/>
        </w:rPr>
        <w:t xml:space="preserve">Alta en el Impuesto </w:t>
      </w:r>
      <w:r>
        <w:rPr>
          <w:rFonts w:ascii="Times New Roman" w:hAnsi="Times New Roman" w:cs="Times New Roman"/>
          <w:sz w:val="24"/>
          <w:szCs w:val="24"/>
          <w:shd w:val="clear" w:color="auto" w:fill="FFFFFF"/>
        </w:rPr>
        <w:t xml:space="preserve">de Actividades Económicas (IAE) - </w:t>
      </w:r>
      <w:r w:rsidRPr="0086207B">
        <w:rPr>
          <w:rFonts w:ascii="Times New Roman" w:hAnsi="Times New Roman" w:cs="Times New Roman"/>
          <w:sz w:val="24"/>
          <w:szCs w:val="24"/>
          <w:shd w:val="clear" w:color="auto" w:fill="FFFFFF"/>
        </w:rPr>
        <w:t>Referencia catastral del inmueble</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Requisitos técnicos esenciales: </w:t>
      </w:r>
      <w:r w:rsidRPr="0086207B">
        <w:rPr>
          <w:rFonts w:ascii="Times New Roman" w:hAnsi="Times New Roman" w:cs="Times New Roman"/>
          <w:sz w:val="24"/>
          <w:szCs w:val="24"/>
          <w:shd w:val="clear" w:color="auto" w:fill="FFFFFF"/>
        </w:rPr>
        <w:t>Estos varían según la actividad, pero generalmente incluyen:</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Proyecto técnico: Elaborado por un arquitecto o ingeniero colegiado, debe detallar las características del local y la actividad, incluyendo planos, memoria descriptiva y justificación del cumplimiento normativo.</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Certificado de compatibilidad urbanística: Confirma que la actividad es compatible con el plan urbanístico de la zona.</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Estudio acústico: Especialmente relevante para hostelería o actividades potencialmente ruidosas.</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Plan de protección contra incendios: Incluye elementos como extintores, salidas de emergencia y señalización.</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Certificaciones de instalaciones: Electricidad, climatización, gas, etc.</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 xml:space="preserve">Según un estudio reciente de la Federación Nacional de Asociaciones de Trabajadores Autónomos (ATA), el 64% de los emprendedores considera que la complejidad técnica de estos requisitos es el principal obstáculo para </w:t>
      </w:r>
      <w:r>
        <w:rPr>
          <w:rFonts w:ascii="Times New Roman" w:hAnsi="Times New Roman" w:cs="Times New Roman"/>
          <w:sz w:val="24"/>
          <w:szCs w:val="24"/>
          <w:shd w:val="clear" w:color="auto" w:fill="FFFFFF"/>
        </w:rPr>
        <w:t>la apertura rápida de negocios.</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Requ</w:t>
      </w:r>
      <w:r>
        <w:rPr>
          <w:rFonts w:ascii="Times New Roman" w:hAnsi="Times New Roman" w:cs="Times New Roman"/>
          <w:sz w:val="24"/>
          <w:szCs w:val="24"/>
          <w:shd w:val="clear" w:color="auto" w:fill="FFFFFF"/>
        </w:rPr>
        <w:t xml:space="preserve">isitos específicos por sectores: </w:t>
      </w:r>
      <w:r w:rsidRPr="0086207B">
        <w:rPr>
          <w:rFonts w:ascii="Times New Roman" w:hAnsi="Times New Roman" w:cs="Times New Roman"/>
          <w:sz w:val="24"/>
          <w:szCs w:val="24"/>
          <w:shd w:val="clear" w:color="auto" w:fill="FFFFFF"/>
        </w:rPr>
        <w:t>Dependiendo de tu actividad, pueden aplicarse normativas sectoriales adicio</w:t>
      </w:r>
      <w:r>
        <w:rPr>
          <w:rFonts w:ascii="Times New Roman" w:hAnsi="Times New Roman" w:cs="Times New Roman"/>
          <w:sz w:val="24"/>
          <w:szCs w:val="24"/>
          <w:shd w:val="clear" w:color="auto" w:fill="FFFFFF"/>
        </w:rPr>
        <w:t>nales:</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Hostelería: Normativa higiénico-sanitaria, manipulación de alimentos, terrazas</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Comercio minorista: Normativa de consumo, horarios comerciales</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Talleres: Gestión de residuos, protección ambiental</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Oficinas: Normativa de prevención de riesgos laborales</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Seguimiento y resolución</w:t>
      </w:r>
      <w:r>
        <w:rPr>
          <w:rFonts w:ascii="Times New Roman" w:hAnsi="Times New Roman" w:cs="Times New Roman"/>
          <w:sz w:val="24"/>
          <w:szCs w:val="24"/>
          <w:shd w:val="clear" w:color="auto" w:fill="FFFFFF"/>
        </w:rPr>
        <w:t xml:space="preserve">: </w:t>
      </w:r>
      <w:r w:rsidRPr="0086207B">
        <w:rPr>
          <w:rFonts w:ascii="Times New Roman" w:hAnsi="Times New Roman" w:cs="Times New Roman"/>
          <w:sz w:val="24"/>
          <w:szCs w:val="24"/>
          <w:shd w:val="clear" w:color="auto" w:fill="FFFFFF"/>
        </w:rPr>
        <w:t>Una vez iniciado el procedimiento:</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Fase de subsanación: Es común recibir requerimientos para completar o aclarar aspectos de la documentación. Tienes generalmente 10-15 días hábiles para responder. La proactividad en esta fase es crucial.</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lastRenderedPageBreak/>
        <w:t>Inspecciones: Prepárate para visitas de inspectores municipales que verificarán que la realidad se ajusta a lo declarado.</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Resolución:</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En declaraciones responsables: Normalmente puedes iniciar la actividad inmediatamente, aunque estás sujeto a comprobación posterior.</w:t>
      </w:r>
    </w:p>
    <w:p w:rsidR="00043F6A" w:rsidRPr="0086207B" w:rsidRDefault="00043F6A" w:rsidP="00043F6A">
      <w:pPr>
        <w:spacing w:line="240" w:lineRule="auto"/>
        <w:jc w:val="both"/>
        <w:rPr>
          <w:rFonts w:ascii="Times New Roman" w:hAnsi="Times New Roman" w:cs="Times New Roman"/>
          <w:sz w:val="24"/>
          <w:szCs w:val="24"/>
          <w:shd w:val="clear" w:color="auto" w:fill="FFFFFF"/>
        </w:rPr>
      </w:pPr>
      <w:r w:rsidRPr="0086207B">
        <w:rPr>
          <w:rFonts w:ascii="Times New Roman" w:hAnsi="Times New Roman" w:cs="Times New Roman"/>
          <w:sz w:val="24"/>
          <w:szCs w:val="24"/>
          <w:shd w:val="clear" w:color="auto" w:fill="FFFFFF"/>
        </w:rPr>
        <w:t>En licencias tradicionales: Deberás esperar la resolución expresa, que puede tardar entre 1-6 meses según el municipio y tipo de actividad.</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AB035D">
        <w:rPr>
          <w:rFonts w:ascii="Times New Roman" w:hAnsi="Times New Roman" w:cs="Times New Roman"/>
          <w:b/>
          <w:color w:val="FF0000"/>
          <w:sz w:val="24"/>
          <w:szCs w:val="24"/>
          <w:shd w:val="clear" w:color="auto" w:fill="FFFFFF"/>
        </w:rPr>
        <w:t>Nota III</w:t>
      </w:r>
      <w:r w:rsidRPr="00AB035D">
        <w:rPr>
          <w:rFonts w:ascii="Times New Roman" w:hAnsi="Times New Roman" w:cs="Times New Roman"/>
          <w:color w:val="FF0000"/>
          <w:sz w:val="24"/>
          <w:szCs w:val="24"/>
          <w:shd w:val="clear" w:color="auto" w:fill="FFFFFF"/>
        </w:rPr>
        <w:t>: Según el Banco Mundial, España ha mejorado significativamente en los últimos años, reduciendo el tiempo medio para obtener licencias comerciales de 232 días en 2010 a aproximadamente 86 días en la actualidad. Sin embargo, estas cifras siguen siendo superiores a la media europea de 63 días.</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AB035D">
        <w:rPr>
          <w:rFonts w:ascii="Times New Roman" w:hAnsi="Times New Roman" w:cs="Times New Roman"/>
          <w:color w:val="FF0000"/>
          <w:sz w:val="24"/>
          <w:szCs w:val="24"/>
          <w:shd w:val="clear" w:color="auto" w:fill="FFFFFF"/>
        </w:rPr>
        <w:t>La Directiva Bolkestein introdujo un cambio paradigmático en el sistema de licencias, simplificando muchos trámites mediante la declaración responsable. Sin embargo, la coexistencia de ambos sistemas genera dudas sobre cuál aplica en cada caso y cuáles son sus implicaciones reales.</w:t>
      </w:r>
      <w:r>
        <w:rPr>
          <w:rFonts w:ascii="Times New Roman" w:hAnsi="Times New Roman" w:cs="Times New Roman"/>
          <w:color w:val="FF0000"/>
          <w:sz w:val="24"/>
          <w:szCs w:val="24"/>
          <w:shd w:val="clear" w:color="auto" w:fill="FFFFFF"/>
        </w:rPr>
        <w:t xml:space="preserve"> </w:t>
      </w:r>
      <w:r w:rsidRPr="00AB035D">
        <w:rPr>
          <w:rFonts w:ascii="Times New Roman" w:hAnsi="Times New Roman" w:cs="Times New Roman"/>
          <w:color w:val="FF0000"/>
          <w:sz w:val="24"/>
          <w:szCs w:val="24"/>
          <w:shd w:val="clear" w:color="auto" w:fill="FFFFFF"/>
        </w:rPr>
        <w:t>Según datos del Ministerio de Política Territorial, aproximadamente el 68% de las nuevas actividades comerciales en España ya pueden acogerse al régimen de declaración responsable, aunque existen grandes disparidades entre comunidades autónomas.</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AB035D">
        <w:rPr>
          <w:rFonts w:ascii="Times New Roman" w:hAnsi="Times New Roman" w:cs="Times New Roman"/>
          <w:noProof/>
          <w:color w:val="FF0000"/>
          <w:sz w:val="24"/>
          <w:szCs w:val="24"/>
          <w:shd w:val="clear" w:color="auto" w:fill="FFFFFF"/>
          <w:lang w:eastAsia="es-ES"/>
        </w:rPr>
        <w:drawing>
          <wp:inline distT="0" distB="0" distL="0" distR="0" wp14:anchorId="39784F0C" wp14:editId="577D60EA">
            <wp:extent cx="5731510" cy="2397927"/>
            <wp:effectExtent l="0" t="0" r="2540" b="254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5731510" cy="2397927"/>
                    </a:xfrm>
                    <a:prstGeom prst="rect">
                      <a:avLst/>
                    </a:prstGeom>
                  </pic:spPr>
                </pic:pic>
              </a:graphicData>
            </a:graphic>
          </wp:inline>
        </w:drawing>
      </w:r>
    </w:p>
    <w:p w:rsidR="00043F6A" w:rsidRPr="00AB035D" w:rsidRDefault="00043F6A" w:rsidP="00043F6A">
      <w:pPr>
        <w:spacing w:line="240" w:lineRule="auto"/>
        <w:jc w:val="both"/>
        <w:rPr>
          <w:rFonts w:ascii="Times New Roman" w:hAnsi="Times New Roman" w:cs="Times New Roman"/>
          <w:sz w:val="24"/>
          <w:szCs w:val="24"/>
          <w:shd w:val="clear" w:color="auto" w:fill="FFFFFF"/>
        </w:rPr>
      </w:pPr>
      <w:r w:rsidRPr="00AB035D">
        <w:rPr>
          <w:rFonts w:ascii="Times New Roman" w:hAnsi="Times New Roman" w:cs="Times New Roman"/>
          <w:sz w:val="24"/>
          <w:szCs w:val="24"/>
          <w:shd w:val="clear" w:color="auto" w:fill="FFFFFF"/>
        </w:rPr>
        <w:t>“La declaración responsable no es una “licencia exprés” como muchos creen erróneamente», advierte Carmen Díaz, abogada especializada en derecho administrativo. “Los requisitos técnicos son idénticos y la administración mantiene sus facultades de inspección y sanción. La diferencia es que la verificación ocurre después, no antes de abrir”.</w:t>
      </w:r>
    </w:p>
    <w:p w:rsidR="00043F6A" w:rsidRDefault="00043F6A" w:rsidP="00043F6A">
      <w:pPr>
        <w:spacing w:line="240" w:lineRule="auto"/>
        <w:jc w:val="both"/>
        <w:rPr>
          <w:rFonts w:ascii="Times New Roman" w:hAnsi="Times New Roman" w:cs="Times New Roman"/>
          <w:sz w:val="24"/>
          <w:szCs w:val="24"/>
          <w:shd w:val="clear" w:color="auto" w:fill="FFFFFF"/>
        </w:rPr>
      </w:pPr>
      <w:r w:rsidRPr="00AB035D">
        <w:rPr>
          <w:rFonts w:ascii="Times New Roman" w:hAnsi="Times New Roman" w:cs="Times New Roman"/>
          <w:sz w:val="24"/>
          <w:szCs w:val="24"/>
          <w:shd w:val="clear" w:color="auto" w:fill="FFFFFF"/>
        </w:rPr>
        <w:t>Este matiz es crucial: mientras la licencia tradicional te obliga a esperar hasta obtener el visto bueno, la declaración responsable te permite empezar de inmediato, pero bajo tu responsabilidad. Si posteriormente se detectan incumplimientos, las consecuencias pueden incluir clausura, multas y la obligación de revertir las obras realizadas.</w:t>
      </w:r>
    </w:p>
    <w:p w:rsidR="00043F6A" w:rsidRDefault="00043F6A" w:rsidP="00043F6A">
      <w:pPr>
        <w:spacing w:line="240" w:lineRule="auto"/>
        <w:jc w:val="both"/>
        <w:rPr>
          <w:rFonts w:ascii="Times New Roman" w:hAnsi="Times New Roman" w:cs="Times New Roman"/>
          <w:sz w:val="24"/>
          <w:szCs w:val="24"/>
          <w:shd w:val="clear" w:color="auto" w:fill="FFFFFF"/>
        </w:rPr>
      </w:pPr>
      <w:r w:rsidRPr="00712EE9">
        <w:rPr>
          <w:rFonts w:ascii="Times New Roman" w:hAnsi="Times New Roman" w:cs="Times New Roman"/>
          <w:b/>
          <w:color w:val="FF0000"/>
          <w:sz w:val="24"/>
          <w:szCs w:val="24"/>
          <w:shd w:val="clear" w:color="auto" w:fill="FFFFFF"/>
        </w:rPr>
        <w:t>Nota IV</w:t>
      </w:r>
      <w:r>
        <w:rPr>
          <w:rFonts w:ascii="Times New Roman" w:hAnsi="Times New Roman" w:cs="Times New Roman"/>
          <w:color w:val="FF0000"/>
          <w:sz w:val="24"/>
          <w:szCs w:val="24"/>
          <w:shd w:val="clear" w:color="auto" w:fill="FFFFFF"/>
        </w:rPr>
        <w:t>: La propuesta consiste en p</w:t>
      </w:r>
      <w:r w:rsidRPr="00B61812">
        <w:rPr>
          <w:rFonts w:ascii="Times New Roman" w:hAnsi="Times New Roman" w:cs="Times New Roman"/>
          <w:color w:val="FF0000"/>
          <w:sz w:val="24"/>
          <w:szCs w:val="24"/>
          <w:shd w:val="clear" w:color="auto" w:fill="FFFFFF"/>
        </w:rPr>
        <w:t>ermitir la apertura de locales y nuevas actividades empresariales</w:t>
      </w:r>
      <w:r>
        <w:rPr>
          <w:rFonts w:ascii="Times New Roman" w:hAnsi="Times New Roman" w:cs="Times New Roman"/>
          <w:color w:val="FF0000"/>
          <w:sz w:val="24"/>
          <w:szCs w:val="24"/>
          <w:shd w:val="clear" w:color="auto" w:fill="FFFFFF"/>
        </w:rPr>
        <w:t>, en todo el territorio nacional,</w:t>
      </w:r>
      <w:r w:rsidRPr="00B61812">
        <w:rPr>
          <w:rFonts w:ascii="Times New Roman" w:hAnsi="Times New Roman" w:cs="Times New Roman"/>
          <w:color w:val="FF0000"/>
          <w:sz w:val="24"/>
          <w:szCs w:val="24"/>
          <w:shd w:val="clear" w:color="auto" w:fill="FFFFFF"/>
        </w:rPr>
        <w:t xml:space="preserve"> por silencio administrativo (en un plazo máximo de 30 días)</w:t>
      </w:r>
      <w:r>
        <w:rPr>
          <w:rFonts w:ascii="Times New Roman" w:hAnsi="Times New Roman" w:cs="Times New Roman"/>
          <w:color w:val="FF0000"/>
          <w:sz w:val="24"/>
          <w:szCs w:val="24"/>
          <w:shd w:val="clear" w:color="auto" w:fill="FFFFFF"/>
        </w:rPr>
        <w:t xml:space="preserve">. Los empresarios deberán constituir una garantía (aval, seguro, o fianza) por un monto equivalente al 50% de la inversión total, para cubrir incumplimientos de la normativa, fallos técnicos o incidencias graves, durante un plazo de 180 días, a contar desde el inicio de </w:t>
      </w:r>
      <w:r>
        <w:rPr>
          <w:rFonts w:ascii="Times New Roman" w:hAnsi="Times New Roman" w:cs="Times New Roman"/>
          <w:color w:val="FF0000"/>
          <w:sz w:val="24"/>
          <w:szCs w:val="24"/>
          <w:shd w:val="clear" w:color="auto" w:fill="FFFFFF"/>
        </w:rPr>
        <w:lastRenderedPageBreak/>
        <w:t xml:space="preserve">la actividad. Los </w:t>
      </w:r>
      <w:r w:rsidRPr="00696429">
        <w:rPr>
          <w:rFonts w:ascii="Times New Roman" w:hAnsi="Times New Roman" w:cs="Times New Roman"/>
          <w:color w:val="FF0000"/>
          <w:sz w:val="24"/>
          <w:szCs w:val="24"/>
          <w:shd w:val="clear" w:color="auto" w:fill="FFFFFF"/>
        </w:rPr>
        <w:t>requisitos fundamentales para obtener una licencia tra</w:t>
      </w:r>
      <w:r>
        <w:rPr>
          <w:rFonts w:ascii="Times New Roman" w:hAnsi="Times New Roman" w:cs="Times New Roman"/>
          <w:color w:val="FF0000"/>
          <w:sz w:val="24"/>
          <w:szCs w:val="24"/>
          <w:shd w:val="clear" w:color="auto" w:fill="FFFFFF"/>
        </w:rPr>
        <w:t>di</w:t>
      </w:r>
      <w:r w:rsidRPr="00696429">
        <w:rPr>
          <w:rFonts w:ascii="Times New Roman" w:hAnsi="Times New Roman" w:cs="Times New Roman"/>
          <w:color w:val="FF0000"/>
          <w:sz w:val="24"/>
          <w:szCs w:val="24"/>
          <w:shd w:val="clear" w:color="auto" w:fill="FFFFFF"/>
        </w:rPr>
        <w:t>cional, serán homogéneos a nivel de todo el territorio nacional, los ayuntamientos solo tendrán autoridad y responsabilidad, en la actividad de inspección</w:t>
      </w:r>
      <w:r>
        <w:rPr>
          <w:rFonts w:ascii="Times New Roman" w:hAnsi="Times New Roman" w:cs="Times New Roman"/>
          <w:color w:val="FF0000"/>
          <w:sz w:val="24"/>
          <w:szCs w:val="24"/>
          <w:shd w:val="clear" w:color="auto" w:fill="FFFFFF"/>
        </w:rPr>
        <w:t>,</w:t>
      </w:r>
      <w:r w:rsidRPr="00696429">
        <w:rPr>
          <w:rFonts w:ascii="Times New Roman" w:hAnsi="Times New Roman" w:cs="Times New Roman"/>
          <w:color w:val="FF0000"/>
          <w:sz w:val="24"/>
          <w:szCs w:val="24"/>
          <w:shd w:val="clear" w:color="auto" w:fill="FFFFFF"/>
        </w:rPr>
        <w:t xml:space="preserve"> para verificar su cumplimento</w:t>
      </w:r>
      <w:r>
        <w:rPr>
          <w:rFonts w:ascii="Times New Roman" w:hAnsi="Times New Roman" w:cs="Times New Roman"/>
          <w:color w:val="FF0000"/>
          <w:sz w:val="24"/>
          <w:szCs w:val="24"/>
          <w:shd w:val="clear" w:color="auto" w:fill="FFFFFF"/>
        </w:rPr>
        <w:t>.</w:t>
      </w:r>
      <w:r w:rsidRPr="00696429">
        <w:rPr>
          <w:rFonts w:ascii="Times New Roman" w:hAnsi="Times New Roman" w:cs="Times New Roman"/>
          <w:color w:val="FF0000"/>
          <w:sz w:val="24"/>
          <w:szCs w:val="24"/>
          <w:shd w:val="clear" w:color="auto" w:fill="FFFFFF"/>
        </w:rPr>
        <w:t xml:space="preserve"> </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5D6EF5">
        <w:rPr>
          <w:rFonts w:ascii="Times New Roman" w:hAnsi="Times New Roman" w:cs="Times New Roman"/>
          <w:color w:val="FF0000"/>
          <w:sz w:val="24"/>
          <w:szCs w:val="24"/>
          <w:shd w:val="clear" w:color="auto" w:fill="FFFFFF"/>
        </w:rPr>
        <w:t>- Establecer la unidad de mercado en todo el territorio nacional</w:t>
      </w:r>
    </w:p>
    <w:p w:rsidR="00043F6A" w:rsidRPr="005D6EF5"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w:t>
      </w:r>
      <w:r w:rsidRPr="005D6EF5">
        <w:rPr>
          <w:rFonts w:ascii="Times New Roman" w:hAnsi="Times New Roman" w:cs="Times New Roman"/>
          <w:sz w:val="24"/>
          <w:szCs w:val="24"/>
          <w:shd w:val="clear" w:color="auto" w:fill="FFFFFF"/>
        </w:rPr>
        <w:t>l modelo territorial</w:t>
      </w:r>
      <w:r>
        <w:rPr>
          <w:rFonts w:ascii="Times New Roman" w:hAnsi="Times New Roman" w:cs="Times New Roman"/>
          <w:sz w:val="24"/>
          <w:szCs w:val="24"/>
          <w:shd w:val="clear" w:color="auto" w:fill="FFFFFF"/>
        </w:rPr>
        <w:t xml:space="preserve"> de España (denominado</w:t>
      </w:r>
      <w:r w:rsidRPr="005D6EF5">
        <w:rPr>
          <w:rFonts w:ascii="Times New Roman" w:hAnsi="Times New Roman" w:cs="Times New Roman"/>
          <w:sz w:val="24"/>
          <w:szCs w:val="24"/>
          <w:shd w:val="clear" w:color="auto" w:fill="FFFFFF"/>
        </w:rPr>
        <w:t xml:space="preserve"> el Estado de las Autonomías</w:t>
      </w:r>
      <w:r>
        <w:rPr>
          <w:rFonts w:ascii="Times New Roman" w:hAnsi="Times New Roman" w:cs="Times New Roman"/>
          <w:sz w:val="24"/>
          <w:szCs w:val="24"/>
          <w:shd w:val="clear" w:color="auto" w:fill="FFFFFF"/>
        </w:rPr>
        <w:t>)</w:t>
      </w:r>
      <w:r w:rsidRPr="005D6EF5">
        <w:rPr>
          <w:rFonts w:ascii="Times New Roman" w:hAnsi="Times New Roman" w:cs="Times New Roman"/>
          <w:sz w:val="24"/>
          <w:szCs w:val="24"/>
          <w:shd w:val="clear" w:color="auto" w:fill="FFFFFF"/>
        </w:rPr>
        <w:t xml:space="preserve"> ha d</w:t>
      </w:r>
      <w:r>
        <w:rPr>
          <w:rFonts w:ascii="Times New Roman" w:hAnsi="Times New Roman" w:cs="Times New Roman"/>
          <w:sz w:val="24"/>
          <w:szCs w:val="24"/>
          <w:shd w:val="clear" w:color="auto" w:fill="FFFFFF"/>
        </w:rPr>
        <w:t>istorsionado, en gran medida</w:t>
      </w:r>
      <w:r w:rsidRPr="005D6EF5">
        <w:rPr>
          <w:rFonts w:ascii="Times New Roman" w:hAnsi="Times New Roman" w:cs="Times New Roman"/>
          <w:sz w:val="24"/>
          <w:szCs w:val="24"/>
          <w:shd w:val="clear" w:color="auto" w:fill="FFFFFF"/>
        </w:rPr>
        <w:t>, la aplicación en co</w:t>
      </w:r>
      <w:r>
        <w:rPr>
          <w:rFonts w:ascii="Times New Roman" w:hAnsi="Times New Roman" w:cs="Times New Roman"/>
          <w:sz w:val="24"/>
          <w:szCs w:val="24"/>
          <w:shd w:val="clear" w:color="auto" w:fill="FFFFFF"/>
        </w:rPr>
        <w:t xml:space="preserve">ndiciones normales de la </w:t>
      </w:r>
      <w:r w:rsidRPr="005D6EF5">
        <w:rPr>
          <w:rFonts w:ascii="Times New Roman" w:hAnsi="Times New Roman" w:cs="Times New Roman"/>
          <w:sz w:val="24"/>
          <w:szCs w:val="24"/>
          <w:shd w:val="clear" w:color="auto" w:fill="FFFFFF"/>
        </w:rPr>
        <w:t>unida</w:t>
      </w:r>
      <w:r>
        <w:rPr>
          <w:rFonts w:ascii="Times New Roman" w:hAnsi="Times New Roman" w:cs="Times New Roman"/>
          <w:sz w:val="24"/>
          <w:szCs w:val="24"/>
          <w:shd w:val="clear" w:color="auto" w:fill="FFFFFF"/>
        </w:rPr>
        <w:t xml:space="preserve">d de mercado, dificultando la </w:t>
      </w:r>
      <w:r w:rsidRPr="005D6EF5">
        <w:rPr>
          <w:rFonts w:ascii="Times New Roman" w:hAnsi="Times New Roman" w:cs="Times New Roman"/>
          <w:sz w:val="24"/>
          <w:szCs w:val="24"/>
          <w:shd w:val="clear" w:color="auto" w:fill="FFFFFF"/>
        </w:rPr>
        <w:t>libre com</w:t>
      </w:r>
      <w:r>
        <w:rPr>
          <w:rFonts w:ascii="Times New Roman" w:hAnsi="Times New Roman" w:cs="Times New Roman"/>
          <w:sz w:val="24"/>
          <w:szCs w:val="24"/>
          <w:shd w:val="clear" w:color="auto" w:fill="FFFFFF"/>
        </w:rPr>
        <w:t>petencia y, el crecimiento de la economía.</w:t>
      </w:r>
    </w:p>
    <w:p w:rsidR="00043F6A" w:rsidRPr="005D6EF5" w:rsidRDefault="00043F6A" w:rsidP="00043F6A">
      <w:pPr>
        <w:spacing w:line="240" w:lineRule="auto"/>
        <w:jc w:val="both"/>
        <w:rPr>
          <w:rFonts w:ascii="Times New Roman" w:hAnsi="Times New Roman" w:cs="Times New Roman"/>
          <w:sz w:val="24"/>
          <w:szCs w:val="24"/>
          <w:shd w:val="clear" w:color="auto" w:fill="FFFFFF"/>
        </w:rPr>
      </w:pPr>
      <w:r w:rsidRPr="005D6EF5">
        <w:rPr>
          <w:rFonts w:ascii="Times New Roman" w:hAnsi="Times New Roman" w:cs="Times New Roman"/>
          <w:sz w:val="24"/>
          <w:szCs w:val="24"/>
          <w:shd w:val="clear" w:color="auto" w:fill="FFFFFF"/>
        </w:rPr>
        <w:t>España es uno de los países de Europa donde más se legisla.  Los parlamentos autonómicos</w:t>
      </w:r>
      <w:r>
        <w:rPr>
          <w:rFonts w:ascii="Times New Roman" w:hAnsi="Times New Roman" w:cs="Times New Roman"/>
          <w:sz w:val="24"/>
          <w:szCs w:val="24"/>
          <w:shd w:val="clear" w:color="auto" w:fill="FFFFFF"/>
        </w:rPr>
        <w:t>,</w:t>
      </w:r>
      <w:r w:rsidRPr="005D6EF5">
        <w:rPr>
          <w:rFonts w:ascii="Times New Roman" w:hAnsi="Times New Roman" w:cs="Times New Roman"/>
          <w:sz w:val="24"/>
          <w:szCs w:val="24"/>
          <w:shd w:val="clear" w:color="auto" w:fill="FFFFFF"/>
        </w:rPr>
        <w:t xml:space="preserve"> y nacional</w:t>
      </w:r>
      <w:r>
        <w:rPr>
          <w:rFonts w:ascii="Times New Roman" w:hAnsi="Times New Roman" w:cs="Times New Roman"/>
          <w:sz w:val="24"/>
          <w:szCs w:val="24"/>
          <w:shd w:val="clear" w:color="auto" w:fill="FFFFFF"/>
        </w:rPr>
        <w:t>,</w:t>
      </w:r>
      <w:r w:rsidRPr="005D6EF5">
        <w:rPr>
          <w:rFonts w:ascii="Times New Roman" w:hAnsi="Times New Roman" w:cs="Times New Roman"/>
          <w:sz w:val="24"/>
          <w:szCs w:val="24"/>
          <w:shd w:val="clear" w:color="auto" w:fill="FFFFFF"/>
        </w:rPr>
        <w:t xml:space="preserve"> redactaron, tan sólo en el año 2016, un total de 961.291 páginas de nuevas leyes, normas y reglamentos, de las que 723.915 pertenecían a las comunidades autónomas. La fragmentación que existe en el mercado español dificulta de forma considerable la actividad de las empresas y les genera un alto coste en d</w:t>
      </w:r>
      <w:r>
        <w:rPr>
          <w:rFonts w:ascii="Times New Roman" w:hAnsi="Times New Roman" w:cs="Times New Roman"/>
          <w:sz w:val="24"/>
          <w:szCs w:val="24"/>
          <w:shd w:val="clear" w:color="auto" w:fill="FFFFFF"/>
        </w:rPr>
        <w:t>etrimento de su competitividad. (Fuente: Jesús Galindo - murciaeconomia.com)</w:t>
      </w:r>
    </w:p>
    <w:p w:rsidR="00043F6A" w:rsidRPr="005D6EF5" w:rsidRDefault="00043F6A" w:rsidP="00043F6A">
      <w:pPr>
        <w:spacing w:line="240" w:lineRule="auto"/>
        <w:jc w:val="both"/>
        <w:rPr>
          <w:rFonts w:ascii="Times New Roman" w:hAnsi="Times New Roman" w:cs="Times New Roman"/>
          <w:sz w:val="24"/>
          <w:szCs w:val="24"/>
          <w:shd w:val="clear" w:color="auto" w:fill="FFFFFF"/>
        </w:rPr>
      </w:pPr>
      <w:r w:rsidRPr="005D6EF5">
        <w:rPr>
          <w:rFonts w:ascii="Times New Roman" w:hAnsi="Times New Roman" w:cs="Times New Roman"/>
          <w:sz w:val="24"/>
          <w:szCs w:val="24"/>
          <w:shd w:val="clear" w:color="auto" w:fill="FFFFFF"/>
        </w:rPr>
        <w:t>Según James Roberts, investigador de la Fundación Heritage, “La sobrerregulación está asfixiando a las empresas en España”. Esta afirmación la hizo hace unos meses, en el transcurso de una conferencia, donde, además, manifestó su decepción por que “… las comunidades autónomas estén fraccionando la unidad de mercado”.</w:t>
      </w:r>
    </w:p>
    <w:p w:rsidR="00043F6A"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w:t>
      </w:r>
      <w:r w:rsidRPr="005D6EF5">
        <w:rPr>
          <w:rFonts w:ascii="Times New Roman" w:hAnsi="Times New Roman" w:cs="Times New Roman"/>
          <w:sz w:val="24"/>
          <w:szCs w:val="24"/>
          <w:shd w:val="clear" w:color="auto" w:fill="FFFFFF"/>
        </w:rPr>
        <w:t>lgun</w:t>
      </w:r>
      <w:r>
        <w:rPr>
          <w:rFonts w:ascii="Times New Roman" w:hAnsi="Times New Roman" w:cs="Times New Roman"/>
          <w:sz w:val="24"/>
          <w:szCs w:val="24"/>
          <w:shd w:val="clear" w:color="auto" w:fill="FFFFFF"/>
        </w:rPr>
        <w:t>os ejemplos como muestra:</w:t>
      </w:r>
    </w:p>
    <w:p w:rsidR="00043F6A" w:rsidRPr="005D6EF5"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w:t>
      </w:r>
      <w:r w:rsidRPr="005D6EF5">
        <w:rPr>
          <w:rFonts w:ascii="Times New Roman" w:hAnsi="Times New Roman" w:cs="Times New Roman"/>
          <w:sz w:val="24"/>
          <w:szCs w:val="24"/>
          <w:shd w:val="clear" w:color="auto" w:fill="FFFFFF"/>
        </w:rPr>
        <w:t>a Asociación Nacional de Editores de Libros de Texto destaca que una misma editorial tiene que hacer, para la misma asignatura, distintas ediciones, según sea la comunidad autónoma donde distribuirlos. La causa: además de las traducciones a las lenguas vernáculas (s</w:t>
      </w:r>
      <w:r>
        <w:rPr>
          <w:rFonts w:ascii="Times New Roman" w:hAnsi="Times New Roman" w:cs="Times New Roman"/>
          <w:sz w:val="24"/>
          <w:szCs w:val="24"/>
          <w:shd w:val="clear" w:color="auto" w:fill="FFFFFF"/>
        </w:rPr>
        <w:t>i procediese), la necesidad de “ajustar”</w:t>
      </w:r>
      <w:r w:rsidRPr="005D6EF5">
        <w:rPr>
          <w:rFonts w:ascii="Times New Roman" w:hAnsi="Times New Roman" w:cs="Times New Roman"/>
          <w:sz w:val="24"/>
          <w:szCs w:val="24"/>
          <w:shd w:val="clear" w:color="auto" w:fill="FFFFFF"/>
        </w:rPr>
        <w:t xml:space="preserve"> los contenidos de los textos, de acuerdo con las instrucciones emanadas de las distintas autonomías, quienes tienen competencias en la elaboración de la parte autonómica de los currículos. Esta operación encarece las ediciones y repercute s</w:t>
      </w:r>
      <w:r>
        <w:rPr>
          <w:rFonts w:ascii="Times New Roman" w:hAnsi="Times New Roman" w:cs="Times New Roman"/>
          <w:sz w:val="24"/>
          <w:szCs w:val="24"/>
          <w:shd w:val="clear" w:color="auto" w:fill="FFFFFF"/>
        </w:rPr>
        <w:t>u coste en el consumidor final.</w:t>
      </w:r>
    </w:p>
    <w:p w:rsidR="00043F6A" w:rsidRPr="005D6EF5" w:rsidRDefault="00043F6A" w:rsidP="00043F6A">
      <w:pPr>
        <w:spacing w:line="240" w:lineRule="auto"/>
        <w:jc w:val="both"/>
        <w:rPr>
          <w:rFonts w:ascii="Times New Roman" w:hAnsi="Times New Roman" w:cs="Times New Roman"/>
          <w:sz w:val="24"/>
          <w:szCs w:val="24"/>
          <w:shd w:val="clear" w:color="auto" w:fill="FFFFFF"/>
        </w:rPr>
      </w:pPr>
      <w:r w:rsidRPr="005D6EF5">
        <w:rPr>
          <w:rFonts w:ascii="Times New Roman" w:hAnsi="Times New Roman" w:cs="Times New Roman"/>
          <w:sz w:val="24"/>
          <w:szCs w:val="24"/>
          <w:shd w:val="clear" w:color="auto" w:fill="FFFFFF"/>
        </w:rPr>
        <w:t>En el sector industrial nos encontramos con la obligación a la que se enfrentan muchos fabricantes, a la hora de etiquetar los productos que tienen que vender y en los que tienen que hacer determinados cambios, según sea la normativa reguladora de cada comunidad autónoma. Lo que les obliga a parar las líneas de producción y hacer los pertinentes cambios. Un proceso que afecta a la economía de tiraje y aumenta el cost</w:t>
      </w:r>
      <w:r>
        <w:rPr>
          <w:rFonts w:ascii="Times New Roman" w:hAnsi="Times New Roman" w:cs="Times New Roman"/>
          <w:sz w:val="24"/>
          <w:szCs w:val="24"/>
          <w:shd w:val="clear" w:color="auto" w:fill="FFFFFF"/>
        </w:rPr>
        <w:t>o de su elaboración y envasado.</w:t>
      </w:r>
    </w:p>
    <w:p w:rsidR="00043F6A" w:rsidRPr="005D6EF5" w:rsidRDefault="00043F6A" w:rsidP="00043F6A">
      <w:pPr>
        <w:spacing w:line="240" w:lineRule="auto"/>
        <w:jc w:val="both"/>
        <w:rPr>
          <w:rFonts w:ascii="Times New Roman" w:hAnsi="Times New Roman" w:cs="Times New Roman"/>
          <w:sz w:val="24"/>
          <w:szCs w:val="24"/>
          <w:shd w:val="clear" w:color="auto" w:fill="FFFFFF"/>
        </w:rPr>
      </w:pPr>
      <w:r w:rsidRPr="005D6EF5">
        <w:rPr>
          <w:rFonts w:ascii="Times New Roman" w:hAnsi="Times New Roman" w:cs="Times New Roman"/>
          <w:sz w:val="24"/>
          <w:szCs w:val="24"/>
          <w:shd w:val="clear" w:color="auto" w:fill="FFFFFF"/>
        </w:rPr>
        <w:t>Existen un buen número de profesionales liberales, de distintos sectores, que no pueden ejercer de igual f</w:t>
      </w:r>
      <w:r>
        <w:rPr>
          <w:rFonts w:ascii="Times New Roman" w:hAnsi="Times New Roman" w:cs="Times New Roman"/>
          <w:sz w:val="24"/>
          <w:szCs w:val="24"/>
          <w:shd w:val="clear" w:color="auto" w:fill="FFFFFF"/>
        </w:rPr>
        <w:t xml:space="preserve">orma en todas las CCAA. La híper </w:t>
      </w:r>
      <w:r w:rsidRPr="005D6EF5">
        <w:rPr>
          <w:rFonts w:ascii="Times New Roman" w:hAnsi="Times New Roman" w:cs="Times New Roman"/>
          <w:sz w:val="24"/>
          <w:szCs w:val="24"/>
          <w:shd w:val="clear" w:color="auto" w:fill="FFFFFF"/>
        </w:rPr>
        <w:t>regulación existente en España, donde en cada uno de los territorios autonómicos se regula por separado, produce situaciones en las que muchos de estos técnicos tienen que cumplir con diversas legislaciones y normas, según sea la región de España donde tengan que ejercer sus trabajos. Lo que les impide el libre ejercicio de su actividad.</w:t>
      </w:r>
    </w:p>
    <w:p w:rsidR="00043F6A" w:rsidRPr="005D6EF5"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 mismo se puede</w:t>
      </w:r>
      <w:r w:rsidRPr="005D6EF5">
        <w:rPr>
          <w:rFonts w:ascii="Times New Roman" w:hAnsi="Times New Roman" w:cs="Times New Roman"/>
          <w:sz w:val="24"/>
          <w:szCs w:val="24"/>
          <w:shd w:val="clear" w:color="auto" w:fill="FFFFFF"/>
        </w:rPr>
        <w:t xml:space="preserve"> decir de aquellas empresas o grupos financieros que, a la hora de invertir, se encuentran con distintas reglamentaciones (como, por ejemplo, en el sector de la hostelería</w:t>
      </w:r>
      <w:r>
        <w:rPr>
          <w:rFonts w:ascii="Times New Roman" w:hAnsi="Times New Roman" w:cs="Times New Roman"/>
          <w:sz w:val="24"/>
          <w:szCs w:val="24"/>
          <w:shd w:val="clear" w:color="auto" w:fill="FFFFFF"/>
        </w:rPr>
        <w:t xml:space="preserve"> y los servicios), donde se pueden</w:t>
      </w:r>
      <w:r w:rsidRPr="005D6EF5">
        <w:rPr>
          <w:rFonts w:ascii="Times New Roman" w:hAnsi="Times New Roman" w:cs="Times New Roman"/>
          <w:sz w:val="24"/>
          <w:szCs w:val="24"/>
          <w:shd w:val="clear" w:color="auto" w:fill="FFFFFF"/>
        </w:rPr>
        <w:t xml:space="preserve"> contabilizar hasta 15 leyes distintas, regulando el sector turístico, según se</w:t>
      </w:r>
      <w:r>
        <w:rPr>
          <w:rFonts w:ascii="Times New Roman" w:hAnsi="Times New Roman" w:cs="Times New Roman"/>
          <w:sz w:val="24"/>
          <w:szCs w:val="24"/>
          <w:shd w:val="clear" w:color="auto" w:fill="FFFFFF"/>
        </w:rPr>
        <w:t xml:space="preserve"> trate de una comunidad u otra.</w:t>
      </w:r>
    </w:p>
    <w:p w:rsidR="00043F6A" w:rsidRPr="005D6EF5"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w:t>
      </w:r>
      <w:r w:rsidRPr="005D6EF5">
        <w:rPr>
          <w:rFonts w:ascii="Times New Roman" w:hAnsi="Times New Roman" w:cs="Times New Roman"/>
          <w:sz w:val="24"/>
          <w:szCs w:val="24"/>
          <w:shd w:val="clear" w:color="auto" w:fill="FFFFFF"/>
        </w:rPr>
        <w:t xml:space="preserve">l origen de este problema se encuentra, en gran medida, en el obsesivo afán regulatorio de las administraciones autonómicas. La intromisión normativa de los gobiernos autonómicos </w:t>
      </w:r>
      <w:r w:rsidRPr="005D6EF5">
        <w:rPr>
          <w:rFonts w:ascii="Times New Roman" w:hAnsi="Times New Roman" w:cs="Times New Roman"/>
          <w:sz w:val="24"/>
          <w:szCs w:val="24"/>
          <w:shd w:val="clear" w:color="auto" w:fill="FFFFFF"/>
        </w:rPr>
        <w:lastRenderedPageBreak/>
        <w:t>tiene un alcance que supera con creces cualquier límite razonable. Esta situación, sin duda, ha estado afectando a la competitividad</w:t>
      </w:r>
      <w:r>
        <w:rPr>
          <w:rFonts w:ascii="Times New Roman" w:hAnsi="Times New Roman" w:cs="Times New Roman"/>
          <w:sz w:val="24"/>
          <w:szCs w:val="24"/>
          <w:shd w:val="clear" w:color="auto" w:fill="FFFFFF"/>
        </w:rPr>
        <w:t xml:space="preserve"> de ciertos sectores de la </w:t>
      </w:r>
      <w:r w:rsidRPr="005D6EF5">
        <w:rPr>
          <w:rFonts w:ascii="Times New Roman" w:hAnsi="Times New Roman" w:cs="Times New Roman"/>
          <w:sz w:val="24"/>
          <w:szCs w:val="24"/>
          <w:shd w:val="clear" w:color="auto" w:fill="FFFFFF"/>
        </w:rPr>
        <w:t>economía</w:t>
      </w:r>
      <w:r>
        <w:rPr>
          <w:rFonts w:ascii="Times New Roman" w:hAnsi="Times New Roman" w:cs="Times New Roman"/>
          <w:sz w:val="24"/>
          <w:szCs w:val="24"/>
          <w:shd w:val="clear" w:color="auto" w:fill="FFFFFF"/>
        </w:rPr>
        <w:t xml:space="preserve"> </w:t>
      </w:r>
      <w:r w:rsidRPr="005D6EF5">
        <w:rPr>
          <w:rFonts w:ascii="Times New Roman" w:hAnsi="Times New Roman" w:cs="Times New Roman"/>
          <w:sz w:val="24"/>
          <w:szCs w:val="24"/>
          <w:shd w:val="clear" w:color="auto" w:fill="FFFFFF"/>
        </w:rPr>
        <w:t>y, es por esto, por lo que el Gobierno de España apostó, en el año 2013 por prom</w:t>
      </w:r>
      <w:r>
        <w:rPr>
          <w:rFonts w:ascii="Times New Roman" w:hAnsi="Times New Roman" w:cs="Times New Roman"/>
          <w:sz w:val="24"/>
          <w:szCs w:val="24"/>
          <w:shd w:val="clear" w:color="auto" w:fill="FFFFFF"/>
        </w:rPr>
        <w:t>ulgar una Ley, que denominó de “</w:t>
      </w:r>
      <w:r w:rsidRPr="005D6EF5">
        <w:rPr>
          <w:rFonts w:ascii="Times New Roman" w:hAnsi="Times New Roman" w:cs="Times New Roman"/>
          <w:sz w:val="24"/>
          <w:szCs w:val="24"/>
          <w:shd w:val="clear" w:color="auto" w:fill="FFFFFF"/>
        </w:rPr>
        <w:t>G</w:t>
      </w:r>
      <w:r>
        <w:rPr>
          <w:rFonts w:ascii="Times New Roman" w:hAnsi="Times New Roman" w:cs="Times New Roman"/>
          <w:sz w:val="24"/>
          <w:szCs w:val="24"/>
          <w:shd w:val="clear" w:color="auto" w:fill="FFFFFF"/>
        </w:rPr>
        <w:t>arantía de la unidad de Mercado”</w:t>
      </w:r>
      <w:r w:rsidRPr="005D6EF5">
        <w:rPr>
          <w:rFonts w:ascii="Times New Roman" w:hAnsi="Times New Roman" w:cs="Times New Roman"/>
          <w:sz w:val="24"/>
          <w:szCs w:val="24"/>
          <w:shd w:val="clear" w:color="auto" w:fill="FFFFFF"/>
        </w:rPr>
        <w:t>.</w:t>
      </w:r>
    </w:p>
    <w:p w:rsidR="00043F6A" w:rsidRPr="005D6EF5" w:rsidRDefault="00043F6A" w:rsidP="00043F6A">
      <w:pPr>
        <w:spacing w:line="240" w:lineRule="auto"/>
        <w:jc w:val="both"/>
        <w:rPr>
          <w:rFonts w:ascii="Times New Roman" w:hAnsi="Times New Roman" w:cs="Times New Roman"/>
          <w:sz w:val="24"/>
          <w:szCs w:val="24"/>
          <w:shd w:val="clear" w:color="auto" w:fill="FFFFFF"/>
        </w:rPr>
      </w:pPr>
      <w:r w:rsidRPr="005D6EF5">
        <w:rPr>
          <w:rFonts w:ascii="Times New Roman" w:hAnsi="Times New Roman" w:cs="Times New Roman"/>
          <w:sz w:val="24"/>
          <w:szCs w:val="24"/>
          <w:shd w:val="clear" w:color="auto" w:fill="FFFFFF"/>
        </w:rPr>
        <w:t>Esta Ley nació con la pretensión de ayudar en la instauración de una libre circulación de bienes y servicios en el ejercicio de la actividad económica, y su objetivo pasaba por eliminar barreras administrativas y trabas burocrátic</w:t>
      </w:r>
      <w:r>
        <w:rPr>
          <w:rFonts w:ascii="Times New Roman" w:hAnsi="Times New Roman" w:cs="Times New Roman"/>
          <w:sz w:val="24"/>
          <w:szCs w:val="24"/>
          <w:shd w:val="clear" w:color="auto" w:fill="FFFFFF"/>
        </w:rPr>
        <w:t>as. Conocida como la ley de la “licencia única”</w:t>
      </w:r>
      <w:r w:rsidRPr="005D6EF5">
        <w:rPr>
          <w:rFonts w:ascii="Times New Roman" w:hAnsi="Times New Roman" w:cs="Times New Roman"/>
          <w:sz w:val="24"/>
          <w:szCs w:val="24"/>
          <w:shd w:val="clear" w:color="auto" w:fill="FFFFFF"/>
        </w:rPr>
        <w:t xml:space="preserve"> (bastaba una única autorización, y no 17, para operar en todo el país), pretendía eliminar los obstáculos que impedían la libertad de mercado en todo el territorio español. Sobre todo, al haberse detectado la existencia de más de 130 normas que frenaban o distorsionaban el crecimiento empresarial, en mayor medida, en los sectores del transporte, los servicios, la sanidad y el consumo.</w:t>
      </w:r>
    </w:p>
    <w:p w:rsidR="00043F6A"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Sin embargo, e</w:t>
      </w:r>
      <w:r w:rsidRPr="005D6EF5">
        <w:rPr>
          <w:rFonts w:ascii="Times New Roman" w:hAnsi="Times New Roman" w:cs="Times New Roman"/>
          <w:sz w:val="24"/>
          <w:szCs w:val="24"/>
          <w:shd w:val="clear" w:color="auto" w:fill="FFFFFF"/>
        </w:rPr>
        <w:t>l Tribunal Constitucional, en 2017, tumbó algunos preceptos de esta Ley, al entender que “colisionaban” con la legislación de determinadas autonomías, donde algunas de estas competencias estaban transferidas. Una vez más, la proliferaci</w:t>
      </w:r>
      <w:r>
        <w:rPr>
          <w:rFonts w:ascii="Times New Roman" w:hAnsi="Times New Roman" w:cs="Times New Roman"/>
          <w:sz w:val="24"/>
          <w:szCs w:val="24"/>
          <w:shd w:val="clear" w:color="auto" w:fill="FFFFFF"/>
        </w:rPr>
        <w:t xml:space="preserve">ón de los Reinos de Taifas, pasaba factura y </w:t>
      </w:r>
      <w:r w:rsidRPr="005D6EF5">
        <w:rPr>
          <w:rFonts w:ascii="Times New Roman" w:hAnsi="Times New Roman" w:cs="Times New Roman"/>
          <w:sz w:val="24"/>
          <w:szCs w:val="24"/>
          <w:shd w:val="clear" w:color="auto" w:fill="FFFFFF"/>
        </w:rPr>
        <w:t>devolvía a la cruda realidad, poniendo en duda algunas de las</w:t>
      </w:r>
      <w:r>
        <w:rPr>
          <w:rFonts w:ascii="Times New Roman" w:hAnsi="Times New Roman" w:cs="Times New Roman"/>
          <w:sz w:val="24"/>
          <w:szCs w:val="24"/>
          <w:shd w:val="clear" w:color="auto" w:fill="FFFFFF"/>
        </w:rPr>
        <w:t xml:space="preserve"> “supuestas”</w:t>
      </w:r>
      <w:r w:rsidRPr="005D6EF5">
        <w:rPr>
          <w:rFonts w:ascii="Times New Roman" w:hAnsi="Times New Roman" w:cs="Times New Roman"/>
          <w:sz w:val="24"/>
          <w:szCs w:val="24"/>
          <w:shd w:val="clear" w:color="auto" w:fill="FFFFFF"/>
        </w:rPr>
        <w:t xml:space="preserve"> bondades del Estado Autonómico, en relación con determinadas competencias administrativas transferidas.</w:t>
      </w:r>
    </w:p>
    <w:p w:rsidR="00043F6A"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Instituto de Estudios Económicos, señalaba el 7/11/22, que</w:t>
      </w:r>
      <w:r w:rsidRPr="00730B17">
        <w:t xml:space="preserve"> </w:t>
      </w:r>
      <w:r>
        <w:rPr>
          <w:rFonts w:ascii="Times New Roman" w:hAnsi="Times New Roman" w:cs="Times New Roman"/>
          <w:sz w:val="24"/>
          <w:szCs w:val="24"/>
          <w:shd w:val="clear" w:color="auto" w:fill="FFFFFF"/>
        </w:rPr>
        <w:t>“</w:t>
      </w:r>
      <w:r w:rsidRPr="00730B17">
        <w:rPr>
          <w:rFonts w:ascii="Times New Roman" w:hAnsi="Times New Roman" w:cs="Times New Roman"/>
          <w:sz w:val="24"/>
          <w:szCs w:val="24"/>
          <w:shd w:val="clear" w:color="auto" w:fill="FFFFFF"/>
        </w:rPr>
        <w:t>La unidad de mercado como reto pendiente para la libertad de empresa</w:t>
      </w:r>
      <w:r>
        <w:rPr>
          <w:rFonts w:ascii="Times New Roman" w:hAnsi="Times New Roman" w:cs="Times New Roman"/>
          <w:sz w:val="24"/>
          <w:szCs w:val="24"/>
          <w:shd w:val="clear" w:color="auto" w:fill="FFFFFF"/>
        </w:rPr>
        <w:t>”</w:t>
      </w:r>
      <w:r w:rsidRPr="00730B17">
        <w:rPr>
          <w:rFonts w:ascii="Times New Roman" w:hAnsi="Times New Roman" w:cs="Times New Roman"/>
          <w:sz w:val="24"/>
          <w:szCs w:val="24"/>
          <w:shd w:val="clear" w:color="auto" w:fill="FFFFFF"/>
        </w:rPr>
        <w:t>.</w:t>
      </w:r>
    </w:p>
    <w:p w:rsidR="00043F6A" w:rsidRPr="00730B17" w:rsidRDefault="00043F6A" w:rsidP="00043F6A">
      <w:pPr>
        <w:numPr>
          <w:ilvl w:val="0"/>
          <w:numId w:val="34"/>
        </w:numPr>
        <w:spacing w:after="0" w:line="240" w:lineRule="auto"/>
        <w:ind w:left="0"/>
        <w:jc w:val="both"/>
        <w:textAlignment w:val="baseline"/>
        <w:rPr>
          <w:rFonts w:ascii="Times New Roman" w:eastAsia="Times New Roman" w:hAnsi="Times New Roman" w:cs="Times New Roman"/>
          <w:color w:val="000000"/>
          <w:sz w:val="24"/>
          <w:szCs w:val="24"/>
          <w:lang w:eastAsia="es-ES"/>
        </w:rPr>
      </w:pPr>
      <w:r w:rsidRPr="00730B17">
        <w:rPr>
          <w:rFonts w:ascii="Times New Roman" w:eastAsia="Times New Roman" w:hAnsi="Times New Roman" w:cs="Times New Roman"/>
          <w:iCs/>
          <w:color w:val="000000"/>
          <w:sz w:val="24"/>
          <w:szCs w:val="24"/>
          <w:bdr w:val="none" w:sz="0" w:space="0" w:color="auto" w:frame="1"/>
          <w:lang w:eastAsia="es-ES"/>
        </w:rPr>
        <w:t>España se sitúa en el puesto 41 a nivel mundial de los 184 países analizados en el Índice de Libertad Económica (ILE) en 2022. Centrándonos en los 38 países de la OCDE, España ocupa el puesto 29, un 6,2% por debajo de la media, mientras que se encuentra un 5,9% por debajo del promedio de la UE-27.</w:t>
      </w:r>
    </w:p>
    <w:p w:rsidR="00043F6A" w:rsidRPr="00730B17" w:rsidRDefault="00043F6A" w:rsidP="00043F6A">
      <w:pPr>
        <w:numPr>
          <w:ilvl w:val="0"/>
          <w:numId w:val="35"/>
        </w:numPr>
        <w:spacing w:after="0" w:line="240" w:lineRule="auto"/>
        <w:ind w:left="0"/>
        <w:jc w:val="both"/>
        <w:textAlignment w:val="baseline"/>
        <w:rPr>
          <w:rFonts w:ascii="Times New Roman" w:eastAsia="Times New Roman" w:hAnsi="Times New Roman" w:cs="Times New Roman"/>
          <w:color w:val="000000"/>
          <w:sz w:val="24"/>
          <w:szCs w:val="24"/>
          <w:lang w:eastAsia="es-ES"/>
        </w:rPr>
      </w:pPr>
      <w:r w:rsidRPr="00730B17">
        <w:rPr>
          <w:rFonts w:ascii="Times New Roman" w:eastAsia="Times New Roman" w:hAnsi="Times New Roman" w:cs="Times New Roman"/>
          <w:iCs/>
          <w:color w:val="000000"/>
          <w:sz w:val="24"/>
          <w:szCs w:val="24"/>
          <w:bdr w:val="none" w:sz="0" w:space="0" w:color="auto" w:frame="1"/>
          <w:lang w:eastAsia="es-ES"/>
        </w:rPr>
        <w:t>Esta mala posición se ve condicionada por el comportamiento de variables que están influidas por políticas que se implementan en clave nacional, como son la carga impositiva, el gasto público y la salud fiscal, mientras que las variables donde España alcanza las mejores clasificaciones son las que están determinadas principalmente por nuestra pertenencia a las instituciones europeas.</w:t>
      </w:r>
    </w:p>
    <w:p w:rsidR="00043F6A" w:rsidRPr="00730B17" w:rsidRDefault="00043F6A" w:rsidP="00043F6A">
      <w:pPr>
        <w:numPr>
          <w:ilvl w:val="0"/>
          <w:numId w:val="36"/>
        </w:numPr>
        <w:spacing w:after="0" w:line="240" w:lineRule="auto"/>
        <w:ind w:left="0"/>
        <w:jc w:val="both"/>
        <w:textAlignment w:val="baseline"/>
        <w:rPr>
          <w:rFonts w:ascii="Times New Roman" w:eastAsia="Times New Roman" w:hAnsi="Times New Roman" w:cs="Times New Roman"/>
          <w:color w:val="000000"/>
          <w:sz w:val="24"/>
          <w:szCs w:val="24"/>
          <w:lang w:eastAsia="es-ES"/>
        </w:rPr>
      </w:pPr>
      <w:r w:rsidRPr="00730B17">
        <w:rPr>
          <w:rFonts w:ascii="Times New Roman" w:eastAsia="Times New Roman" w:hAnsi="Times New Roman" w:cs="Times New Roman"/>
          <w:iCs/>
          <w:color w:val="000000"/>
          <w:sz w:val="24"/>
          <w:szCs w:val="24"/>
          <w:bdr w:val="none" w:sz="0" w:space="0" w:color="auto" w:frame="1"/>
          <w:lang w:eastAsia="es-ES"/>
        </w:rPr>
        <w:t>En el ranking de libertad de empresa, España ocupa la posición 32 dentro de los 38 países de la OCDE, con una puntuación (93,3 puntos) un 6,7% inferior a la de la media de la OCDE y un 6,5% menor que el promedio de la UE-27.</w:t>
      </w:r>
    </w:p>
    <w:p w:rsidR="00043F6A" w:rsidRPr="00730B17" w:rsidRDefault="00043F6A" w:rsidP="00043F6A">
      <w:pPr>
        <w:numPr>
          <w:ilvl w:val="0"/>
          <w:numId w:val="37"/>
        </w:numPr>
        <w:spacing w:after="0" w:line="240" w:lineRule="auto"/>
        <w:ind w:left="0"/>
        <w:jc w:val="both"/>
        <w:textAlignment w:val="baseline"/>
        <w:rPr>
          <w:rFonts w:ascii="Times New Roman" w:eastAsia="Times New Roman" w:hAnsi="Times New Roman" w:cs="Times New Roman"/>
          <w:color w:val="000000"/>
          <w:sz w:val="24"/>
          <w:szCs w:val="24"/>
          <w:lang w:eastAsia="es-ES"/>
        </w:rPr>
      </w:pPr>
      <w:r w:rsidRPr="00730B17">
        <w:rPr>
          <w:rFonts w:ascii="Times New Roman" w:eastAsia="Times New Roman" w:hAnsi="Times New Roman" w:cs="Times New Roman"/>
          <w:iCs/>
          <w:color w:val="000000"/>
          <w:sz w:val="24"/>
          <w:szCs w:val="24"/>
          <w:bdr w:val="none" w:sz="0" w:space="0" w:color="auto" w:frame="1"/>
          <w:lang w:eastAsia="es-ES"/>
        </w:rPr>
        <w:t>La reducción de la fragmentación normativa y la consecución de una verdadera unidad de mercado supondría una mejora de la libertad de empresa y un impulso sobre el crecimiento económico a largo plazo de entre el 1,5% y el 3% del PIB.</w:t>
      </w:r>
    </w:p>
    <w:p w:rsidR="00043F6A" w:rsidRDefault="00043F6A" w:rsidP="00043F6A">
      <w:pPr>
        <w:numPr>
          <w:ilvl w:val="0"/>
          <w:numId w:val="38"/>
        </w:numPr>
        <w:spacing w:after="0" w:line="240" w:lineRule="auto"/>
        <w:ind w:left="0"/>
        <w:jc w:val="both"/>
        <w:textAlignment w:val="baseline"/>
        <w:rPr>
          <w:rFonts w:ascii="Times New Roman" w:eastAsia="Times New Roman" w:hAnsi="Times New Roman" w:cs="Times New Roman"/>
          <w:color w:val="000000"/>
          <w:sz w:val="24"/>
          <w:szCs w:val="24"/>
          <w:lang w:eastAsia="es-ES"/>
        </w:rPr>
      </w:pPr>
      <w:r w:rsidRPr="00730B17">
        <w:rPr>
          <w:rFonts w:ascii="Times New Roman" w:eastAsia="Times New Roman" w:hAnsi="Times New Roman" w:cs="Times New Roman"/>
          <w:iCs/>
          <w:color w:val="000000"/>
          <w:sz w:val="24"/>
          <w:szCs w:val="24"/>
          <w:bdr w:val="none" w:sz="0" w:space="0" w:color="auto" w:frame="1"/>
          <w:lang w:eastAsia="es-ES"/>
        </w:rPr>
        <w:t>La Ley de Mercado Abierto de la Comunidad de Madrid sienta un valioso precedente a imitar por el resto de comunidades autónomas para lograr la unidad de mercado “de abajo hacia arriba”, y favorecer así la libertad de empresa.</w:t>
      </w:r>
    </w:p>
    <w:p w:rsidR="00043F6A" w:rsidRPr="00730B17"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r w:rsidRPr="00730B17">
        <w:rPr>
          <w:rFonts w:ascii="Times New Roman" w:eastAsia="Times New Roman" w:hAnsi="Times New Roman" w:cs="Times New Roman"/>
          <w:color w:val="000000"/>
          <w:sz w:val="24"/>
          <w:szCs w:val="24"/>
          <w:lang w:eastAsia="es-ES"/>
        </w:rPr>
        <w:t>La Unidad de Mercado como reto pendiente de la libertad de empresa</w:t>
      </w:r>
    </w:p>
    <w:p w:rsidR="00043F6A" w:rsidRPr="00730B17"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p>
    <w:p w:rsidR="00043F6A" w:rsidRPr="00730B17"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r w:rsidRPr="00730B17">
        <w:rPr>
          <w:rFonts w:ascii="Times New Roman" w:eastAsia="Times New Roman" w:hAnsi="Times New Roman" w:cs="Times New Roman"/>
          <w:color w:val="000000"/>
          <w:sz w:val="24"/>
          <w:szCs w:val="24"/>
          <w:lang w:eastAsia="es-ES"/>
        </w:rPr>
        <w:t xml:space="preserve">Un elemento clave para la mejora de la libertad económica y, en especial, para garantizar la libertad de empresa es la del establecimiento de un marco regulatorio adecuado, y dentro de este, en España adquiere un papel muy relevante la cuestión de la fragmentación del mercado interior. En las últimas décadas se ha producido una gran proliferación normativa en nuestro país, que configura un marco legislativo excesivamente complejo, con los consiguientes perjuicios y costes para el tejido empresarial y la actividad económica, que ha venido impulsado por la potestad legislativa de las comunidades autónomas, cuya normativa supone </w:t>
      </w:r>
      <w:r w:rsidRPr="00730B17">
        <w:rPr>
          <w:rFonts w:ascii="Times New Roman" w:eastAsia="Times New Roman" w:hAnsi="Times New Roman" w:cs="Times New Roman"/>
          <w:color w:val="000000"/>
          <w:sz w:val="24"/>
          <w:szCs w:val="24"/>
          <w:lang w:eastAsia="es-ES"/>
        </w:rPr>
        <w:lastRenderedPageBreak/>
        <w:t>el 70% del volumen total de normas. La potestad legislativa de las comunidades autónomas no es mala en sí misma, pero cuando se emplea de manera contraria a los principios de buenas prácticas regulatorias, se convierte en el contexto idóneo para que aparezca el fenómeno de la fragmentación regulatoria y, por tanto, un quebranto de la unidad de mercado. Esto supone un deterioro de la calidad del marco normativo y un impacto negativo sobre la libertad de empresa, dificultando la actividad económica, la creación de empleo y, en definitiva, el bienestar social a largo plazo.</w:t>
      </w:r>
    </w:p>
    <w:p w:rsidR="00043F6A" w:rsidRPr="00730B17"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p>
    <w:p w:rsidR="00043F6A" w:rsidRPr="00730B17"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r w:rsidRPr="00730B17">
        <w:rPr>
          <w:rFonts w:ascii="Times New Roman" w:eastAsia="Times New Roman" w:hAnsi="Times New Roman" w:cs="Times New Roman"/>
          <w:color w:val="000000"/>
          <w:sz w:val="24"/>
          <w:szCs w:val="24"/>
          <w:lang w:eastAsia="es-ES"/>
        </w:rPr>
        <w:t>Esta fragmentación normativa genera sobrecostes para las empresas, obligando a estas a dedicar un importante volumen de recursos a entender y cumplir con toda esta regulación. Esto supone una fuga de recursos que no pueden ser destinados a su actividad principal. Además, un elevado nivel de dicha fragmentación provoca incertidumbre e inseguridad jurídica, afectando negativamente a la confianza de los agentes y al dinamismo de la actividad económica. Todo ello genera obstáculos y trabas para la iniciativa y el desarrollo empresarial; es decir, supone tanto una barrera de entrada como una barrera al crecimiento de nuestras empresas, produciendo una pérdida de competitividad y de productividad, para las empresas y para el conjunto de la economía. También hay que indicar que el efecto restrictivo sobre la movilidad geográfica de empresas y trabajadores disminuye el bienestar de estos trabajadores y lastra la productividad. Por último, los consumidores también se ven perjudicados por esta fragmentación, ya que estos efectos negativos se trasladan en forma de mayores precios finales y una menor variedad, calidad y cantidad de los productos y servicios disponibles.</w:t>
      </w:r>
    </w:p>
    <w:p w:rsidR="00043F6A" w:rsidRPr="00730B17"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p>
    <w:p w:rsidR="00043F6A" w:rsidRPr="00730B17"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r w:rsidRPr="00730B17">
        <w:rPr>
          <w:rFonts w:ascii="Times New Roman" w:eastAsia="Times New Roman" w:hAnsi="Times New Roman" w:cs="Times New Roman"/>
          <w:color w:val="000000"/>
          <w:sz w:val="24"/>
          <w:szCs w:val="24"/>
          <w:lang w:eastAsia="es-ES"/>
        </w:rPr>
        <w:t>El cumplimiento de cargas administrativas derivadas de esta fragmentación normativa supone costes para las empresas de entre el 1,5% y el 2,5% del PIB, mientras que la liberación de estos recursos y la mejora del marco regulatorio que se deriva de una reducción de la fragmentación normativa supondría un impulso sobre el crecimiento económico a largo plazo de entre el 1,5% y el 3% del PIB. Un impacto positivo que puede ser incluso superior si se produce también una mejora en clave europea, es decir, si otros países también llevan a cabo reformas de esta índole y se avanza en la consecución del mercado único europeo.</w:t>
      </w:r>
    </w:p>
    <w:p w:rsidR="00043F6A" w:rsidRPr="00730B17"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p>
    <w:p w:rsidR="00043F6A" w:rsidRPr="00730B17"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r w:rsidRPr="00730B17">
        <w:rPr>
          <w:rFonts w:ascii="Times New Roman" w:eastAsia="Times New Roman" w:hAnsi="Times New Roman" w:cs="Times New Roman"/>
          <w:color w:val="000000"/>
          <w:sz w:val="24"/>
          <w:szCs w:val="24"/>
          <w:lang w:eastAsia="es-ES"/>
        </w:rPr>
        <w:t>Los esfuerzos realizados en España en materia de reducción de la fragmentación normativa han estado centrados en la transposición de la Directiva de servicios que tenía por objeto eliminar obstáculos normativos y lograr un verdadero mercado único interior europeo para las actividades de servicios. Y, por otro lado, en la Ley de Garantía de la Unidad de Mercado del año 2013 que buscaba una simplificación de cargas y una reducción de la fragmentación normativa también en el ámbito de los mercados de productos. En ambos casos, los avances han sido lentos y su alcance limitado. A lo que hay que añadir que, en junio de 2017, y en posteriores sentencias, el Tribunal Constitucional declaró nula aquella parte del articulado de la ley que estaba relacionada con el principio de eficacia nacional o licencia única, lo que suponía tumbar uno de los dos pilares sobre los que se sustentaba la ley.</w:t>
      </w:r>
    </w:p>
    <w:p w:rsidR="00043F6A" w:rsidRPr="00730B17"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p>
    <w:p w:rsidR="00043F6A"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r w:rsidRPr="00730B17">
        <w:rPr>
          <w:rFonts w:ascii="Times New Roman" w:eastAsia="Times New Roman" w:hAnsi="Times New Roman" w:cs="Times New Roman"/>
          <w:color w:val="000000"/>
          <w:sz w:val="24"/>
          <w:szCs w:val="24"/>
          <w:lang w:eastAsia="es-ES"/>
        </w:rPr>
        <w:t>En cualquier caso, seguir avanzando en la aplicación de la parte que queda vigente de la Ley de Unidad de Mercado permitiría reducir parte de la fragmentación normativa existente, mediante la aplicación de los principios de buenas prácticas, que facilitarían reducir las cargas administrativas y mejorar la calidad del marco regulatorio.</w:t>
      </w:r>
    </w:p>
    <w:p w:rsidR="00043F6A"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p>
    <w:p w:rsidR="00043F6A"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r w:rsidRPr="00F848F3">
        <w:rPr>
          <w:rFonts w:ascii="Times New Roman" w:eastAsia="Times New Roman" w:hAnsi="Times New Roman" w:cs="Times New Roman"/>
          <w:color w:val="000000"/>
          <w:sz w:val="24"/>
          <w:szCs w:val="24"/>
          <w:lang w:eastAsia="es-ES"/>
        </w:rPr>
        <w:t>La Comisión Europea</w:t>
      </w:r>
      <w:r>
        <w:rPr>
          <w:rFonts w:ascii="Times New Roman" w:eastAsia="Times New Roman" w:hAnsi="Times New Roman" w:cs="Times New Roman"/>
          <w:color w:val="000000"/>
          <w:sz w:val="24"/>
          <w:szCs w:val="24"/>
          <w:lang w:eastAsia="es-ES"/>
        </w:rPr>
        <w:t xml:space="preserve"> ya</w:t>
      </w:r>
      <w:r w:rsidRPr="00F848F3">
        <w:rPr>
          <w:rFonts w:ascii="Times New Roman" w:eastAsia="Times New Roman" w:hAnsi="Times New Roman" w:cs="Times New Roman"/>
          <w:color w:val="000000"/>
          <w:sz w:val="24"/>
          <w:szCs w:val="24"/>
          <w:lang w:eastAsia="es-ES"/>
        </w:rPr>
        <w:t xml:space="preserve"> alerta</w:t>
      </w:r>
      <w:r>
        <w:rPr>
          <w:rFonts w:ascii="Times New Roman" w:eastAsia="Times New Roman" w:hAnsi="Times New Roman" w:cs="Times New Roman"/>
          <w:color w:val="000000"/>
          <w:sz w:val="24"/>
          <w:szCs w:val="24"/>
          <w:lang w:eastAsia="es-ES"/>
        </w:rPr>
        <w:t>ba</w:t>
      </w:r>
      <w:r w:rsidRPr="00F848F3">
        <w:rPr>
          <w:rFonts w:ascii="Times New Roman" w:eastAsia="Times New Roman" w:hAnsi="Times New Roman" w:cs="Times New Roman"/>
          <w:color w:val="000000"/>
          <w:sz w:val="24"/>
          <w:szCs w:val="24"/>
          <w:lang w:eastAsia="es-ES"/>
        </w:rPr>
        <w:t xml:space="preserve"> del problema de la Unidad de Mercado en la economía española</w:t>
      </w:r>
      <w:r>
        <w:rPr>
          <w:rFonts w:ascii="Times New Roman" w:eastAsia="Times New Roman" w:hAnsi="Times New Roman" w:cs="Times New Roman"/>
          <w:color w:val="000000"/>
          <w:sz w:val="24"/>
          <w:szCs w:val="24"/>
          <w:lang w:eastAsia="es-ES"/>
        </w:rPr>
        <w:t>, a la finalización de Semestre Europeo 2019: “E</w:t>
      </w:r>
      <w:r w:rsidRPr="00F848F3">
        <w:rPr>
          <w:rFonts w:ascii="Times New Roman" w:eastAsia="Times New Roman" w:hAnsi="Times New Roman" w:cs="Times New Roman"/>
          <w:color w:val="000000"/>
          <w:sz w:val="24"/>
          <w:szCs w:val="24"/>
          <w:lang w:eastAsia="es-ES"/>
        </w:rPr>
        <w:t xml:space="preserve">l carácter restrictivo y fragmentado de la regulación en España impide a las empresas aprovechar las economías de escala”. Es </w:t>
      </w:r>
      <w:r w:rsidRPr="00F848F3">
        <w:rPr>
          <w:rFonts w:ascii="Times New Roman" w:eastAsia="Times New Roman" w:hAnsi="Times New Roman" w:cs="Times New Roman"/>
          <w:color w:val="000000"/>
          <w:sz w:val="24"/>
          <w:szCs w:val="24"/>
          <w:lang w:eastAsia="es-ES"/>
        </w:rPr>
        <w:lastRenderedPageBreak/>
        <w:t>decir, estrangula el crecimiento de las empresas y explica, entre otras cosas, “la brecha de productividad” frente a otros Estados Miembros y “una menor capacidad de absorción de conocimientos y tecnología”.</w:t>
      </w:r>
      <w:r>
        <w:rPr>
          <w:rFonts w:ascii="Times New Roman" w:eastAsia="Times New Roman" w:hAnsi="Times New Roman" w:cs="Times New Roman"/>
          <w:color w:val="000000"/>
          <w:sz w:val="24"/>
          <w:szCs w:val="24"/>
          <w:lang w:eastAsia="es-ES"/>
        </w:rPr>
        <w:t xml:space="preserve"> “</w:t>
      </w:r>
      <w:r w:rsidRPr="00F848F3">
        <w:rPr>
          <w:rFonts w:ascii="Times New Roman" w:eastAsia="Times New Roman" w:hAnsi="Times New Roman" w:cs="Times New Roman"/>
          <w:color w:val="000000"/>
          <w:sz w:val="24"/>
          <w:szCs w:val="24"/>
          <w:lang w:eastAsia="es-ES"/>
        </w:rPr>
        <w:t>En un entorno competitivo global, marcado por la disrupción tecnológica y el cambio de paradigma en los modelos de negocio convencionales, la falta de Unidad de Mercado puede convertirse en un talón de Aquiles para la modernización de la economía española</w:t>
      </w:r>
      <w:r>
        <w:rPr>
          <w:rFonts w:ascii="Times New Roman" w:eastAsia="Times New Roman" w:hAnsi="Times New Roman" w:cs="Times New Roman"/>
          <w:color w:val="000000"/>
          <w:sz w:val="24"/>
          <w:szCs w:val="24"/>
          <w:lang w:eastAsia="es-ES"/>
        </w:rPr>
        <w:t>”..</w:t>
      </w:r>
      <w:r w:rsidRPr="00F848F3">
        <w:rPr>
          <w:rFonts w:ascii="Times New Roman" w:eastAsia="Times New Roman" w:hAnsi="Times New Roman" w:cs="Times New Roman"/>
          <w:color w:val="000000"/>
          <w:sz w:val="24"/>
          <w:szCs w:val="24"/>
          <w:lang w:eastAsia="es-ES"/>
        </w:rPr>
        <w:t>.</w:t>
      </w:r>
      <w:r>
        <w:rPr>
          <w:rFonts w:ascii="Times New Roman" w:eastAsia="Times New Roman" w:hAnsi="Times New Roman" w:cs="Times New Roman"/>
          <w:color w:val="000000"/>
          <w:sz w:val="24"/>
          <w:szCs w:val="24"/>
          <w:lang w:eastAsia="es-ES"/>
        </w:rPr>
        <w:t xml:space="preserve"> </w:t>
      </w:r>
    </w:p>
    <w:p w:rsidR="00043F6A" w:rsidRPr="005B1750" w:rsidRDefault="00043F6A" w:rsidP="00043F6A">
      <w:pPr>
        <w:spacing w:after="0" w:line="240" w:lineRule="auto"/>
        <w:jc w:val="both"/>
        <w:textAlignment w:val="baseline"/>
        <w:rPr>
          <w:rFonts w:ascii="Times New Roman" w:eastAsia="Times New Roman" w:hAnsi="Times New Roman" w:cs="Times New Roman"/>
          <w:color w:val="000000"/>
          <w:sz w:val="24"/>
          <w:szCs w:val="24"/>
          <w:lang w:eastAsia="es-ES"/>
        </w:rPr>
      </w:pPr>
    </w:p>
    <w:p w:rsidR="00043F6A" w:rsidRPr="005D6EF5" w:rsidRDefault="00662569"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00043F6A">
        <w:rPr>
          <w:noProof/>
          <w:lang w:eastAsia="es-ES"/>
        </w:rPr>
        <w:drawing>
          <wp:inline distT="0" distB="0" distL="0" distR="0" wp14:anchorId="4ED9E0CA" wp14:editId="17917423">
            <wp:extent cx="5264150" cy="7448550"/>
            <wp:effectExtent l="0" t="0" r="0" b="0"/>
            <wp:docPr id="157" name="Imagen 157" descr="https://www.anged.es/wp-content/uploads/2019/03/anged_info_b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nged.es/wp-content/uploads/2019/03/anged_info_blog-1.png"/>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5263558" cy="7447713"/>
                    </a:xfrm>
                    <a:prstGeom prst="rect">
                      <a:avLst/>
                    </a:prstGeom>
                    <a:noFill/>
                    <a:ln>
                      <a:noFill/>
                    </a:ln>
                  </pic:spPr>
                </pic:pic>
              </a:graphicData>
            </a:graphic>
          </wp:inline>
        </w:drawing>
      </w:r>
    </w:p>
    <w:p w:rsidR="00043F6A" w:rsidRPr="005B1750" w:rsidRDefault="00043F6A" w:rsidP="00043F6A">
      <w:pPr>
        <w:spacing w:line="240" w:lineRule="auto"/>
        <w:jc w:val="both"/>
        <w:rPr>
          <w:rFonts w:ascii="Times New Roman" w:hAnsi="Times New Roman" w:cs="Times New Roman"/>
          <w:sz w:val="24"/>
          <w:szCs w:val="24"/>
          <w:shd w:val="clear" w:color="auto" w:fill="FFFFFF"/>
        </w:rPr>
      </w:pPr>
      <w:r w:rsidRPr="005B1750">
        <w:rPr>
          <w:rFonts w:ascii="Times New Roman" w:hAnsi="Times New Roman" w:cs="Times New Roman"/>
          <w:b/>
          <w:color w:val="FF0000"/>
          <w:sz w:val="24"/>
          <w:szCs w:val="24"/>
          <w:shd w:val="clear" w:color="auto" w:fill="FFFFFF"/>
        </w:rPr>
        <w:lastRenderedPageBreak/>
        <w:t>Nota</w:t>
      </w:r>
      <w:r w:rsidRPr="005B1750">
        <w:rPr>
          <w:rFonts w:ascii="Times New Roman" w:hAnsi="Times New Roman" w:cs="Times New Roman"/>
          <w:color w:val="FF0000"/>
          <w:sz w:val="24"/>
          <w:szCs w:val="24"/>
          <w:shd w:val="clear" w:color="auto" w:fill="FFFFFF"/>
        </w:rPr>
        <w:t>:</w:t>
      </w:r>
      <w:r>
        <w:rPr>
          <w:rFonts w:ascii="Times New Roman" w:hAnsi="Times New Roman" w:cs="Times New Roman"/>
          <w:sz w:val="24"/>
          <w:szCs w:val="24"/>
          <w:shd w:val="clear" w:color="auto" w:fill="FFFFFF"/>
        </w:rPr>
        <w:t xml:space="preserve"> </w:t>
      </w:r>
      <w:r>
        <w:rPr>
          <w:rFonts w:ascii="Times New Roman" w:hAnsi="Times New Roman" w:cs="Times New Roman"/>
          <w:color w:val="FF0000"/>
          <w:sz w:val="24"/>
          <w:szCs w:val="24"/>
          <w:shd w:val="clear" w:color="auto" w:fill="FFFFFF"/>
        </w:rPr>
        <w:t xml:space="preserve">España no es una nación </w:t>
      </w:r>
      <w:r w:rsidRPr="00730B17">
        <w:rPr>
          <w:rFonts w:ascii="Times New Roman" w:hAnsi="Times New Roman" w:cs="Times New Roman"/>
          <w:color w:val="FF0000"/>
          <w:sz w:val="24"/>
          <w:szCs w:val="24"/>
          <w:shd w:val="clear" w:color="auto" w:fill="FFFFFF"/>
        </w:rPr>
        <w:t>lo suficientemente grande, como para trocearla en diecisiete mercados diferentes. Donde la competitividad se puede ver limitada por el uso de una determinada lengua. Donde las reglas medioambientales, urbanísticas, o sanitarias frenan el desarrollo y expansión empresarial. Y donde las distintas regulaciones de los colegios profesionales impiden el libre ejercicio de algunos profesionales liberales, encorsetados en sus respectivas normativas autonómicas.</w:t>
      </w:r>
      <w:r>
        <w:rPr>
          <w:rFonts w:ascii="Times New Roman" w:hAnsi="Times New Roman" w:cs="Times New Roman"/>
          <w:sz w:val="24"/>
          <w:szCs w:val="24"/>
          <w:shd w:val="clear" w:color="auto" w:fill="FFFFFF"/>
        </w:rPr>
        <w:t xml:space="preserve"> </w:t>
      </w:r>
      <w:r w:rsidRPr="00730B17">
        <w:rPr>
          <w:rFonts w:ascii="Times New Roman" w:hAnsi="Times New Roman" w:cs="Times New Roman"/>
          <w:color w:val="FF0000"/>
          <w:sz w:val="24"/>
          <w:szCs w:val="24"/>
          <w:shd w:val="clear" w:color="auto" w:fill="FFFFFF"/>
        </w:rPr>
        <w:t>Por eso, James Roberts decía que las comunidades autónomas suponen un freno a la unidad de mercado</w:t>
      </w:r>
      <w:r>
        <w:rPr>
          <w:rFonts w:ascii="Times New Roman" w:hAnsi="Times New Roman" w:cs="Times New Roman"/>
          <w:color w:val="FF0000"/>
          <w:sz w:val="24"/>
          <w:szCs w:val="24"/>
          <w:shd w:val="clear" w:color="auto" w:fill="FFFFFF"/>
        </w:rPr>
        <w:t>. Y esto</w:t>
      </w:r>
      <w:r w:rsidRPr="00730B17">
        <w:rPr>
          <w:rFonts w:ascii="Times New Roman" w:hAnsi="Times New Roman" w:cs="Times New Roman"/>
          <w:color w:val="FF0000"/>
          <w:sz w:val="24"/>
          <w:szCs w:val="24"/>
          <w:shd w:val="clear" w:color="auto" w:fill="FFFFFF"/>
        </w:rPr>
        <w:t>, no se soluciona con más autonomía.</w:t>
      </w:r>
      <w:r>
        <w:rPr>
          <w:rFonts w:ascii="Times New Roman" w:hAnsi="Times New Roman" w:cs="Times New Roman"/>
          <w:color w:val="FF0000"/>
          <w:sz w:val="24"/>
          <w:szCs w:val="24"/>
          <w:shd w:val="clear" w:color="auto" w:fill="FFFFFF"/>
        </w:rPr>
        <w:t xml:space="preserve"> E</w:t>
      </w:r>
      <w:r w:rsidRPr="005B1750">
        <w:rPr>
          <w:rFonts w:ascii="Times New Roman" w:hAnsi="Times New Roman" w:cs="Times New Roman"/>
          <w:color w:val="FF0000"/>
          <w:sz w:val="24"/>
          <w:szCs w:val="24"/>
          <w:shd w:val="clear" w:color="auto" w:fill="FFFFFF"/>
        </w:rPr>
        <w:t>s importante avanzar hacia un marco normativo moderno, que responda a la realidad del consumidor actual y favorezca el crecimiento empresarial. Desde luego, la Unidad de Mercado es una palanca imprescindible para ello.</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5B1750">
        <w:rPr>
          <w:rFonts w:ascii="Times New Roman" w:hAnsi="Times New Roman" w:cs="Times New Roman"/>
          <w:color w:val="FF0000"/>
          <w:sz w:val="24"/>
          <w:szCs w:val="24"/>
          <w:shd w:val="clear" w:color="auto" w:fill="FFFFFF"/>
        </w:rPr>
        <w:t>- No admitir sobrecostes (imprevistos, modificados) en los contratos de Obras Públicas</w:t>
      </w:r>
    </w:p>
    <w:p w:rsidR="00043F6A" w:rsidRPr="005B1750" w:rsidRDefault="00043F6A" w:rsidP="00043F6A">
      <w:pPr>
        <w:spacing w:line="240" w:lineRule="auto"/>
        <w:jc w:val="both"/>
        <w:rPr>
          <w:rFonts w:ascii="Times New Roman" w:hAnsi="Times New Roman" w:cs="Times New Roman"/>
          <w:sz w:val="24"/>
          <w:szCs w:val="24"/>
          <w:shd w:val="clear" w:color="auto" w:fill="FFFFFF"/>
        </w:rPr>
      </w:pPr>
      <w:r w:rsidRPr="005B1750">
        <w:rPr>
          <w:rFonts w:ascii="Times New Roman" w:hAnsi="Times New Roman" w:cs="Times New Roman"/>
          <w:sz w:val="24"/>
          <w:szCs w:val="24"/>
          <w:shd w:val="clear" w:color="auto" w:fill="FFFFFF"/>
        </w:rPr>
        <w:t>En contratos de obra pública, el porcentaje promedio de imprevistos y modificaciones suele ubicarse entre el 10% y el 20% del precio inicial del contrato, según lo establecido en la Ley de Contratos del Sector Público (LCSP). Sin embargo, este porcentaje puede variar dependiendo de si las modificaciones están previstas en los pliegos o son sobrevenidas.</w:t>
      </w:r>
      <w:r>
        <w:rPr>
          <w:rFonts w:ascii="Times New Roman" w:hAnsi="Times New Roman" w:cs="Times New Roman"/>
          <w:sz w:val="24"/>
          <w:szCs w:val="24"/>
          <w:shd w:val="clear" w:color="auto" w:fill="FFFFFF"/>
        </w:rPr>
        <w:t xml:space="preserve"> (Fuente: Google - Vista creada con IA)</w:t>
      </w:r>
      <w:r w:rsidRPr="005B1750">
        <w:rPr>
          <w:rFonts w:ascii="Times New Roman" w:hAnsi="Times New Roman" w:cs="Times New Roman"/>
          <w:sz w:val="24"/>
          <w:szCs w:val="24"/>
          <w:shd w:val="clear" w:color="auto" w:fill="FFFFFF"/>
        </w:rPr>
        <w:t xml:space="preserve"> </w:t>
      </w:r>
    </w:p>
    <w:p w:rsidR="00043F6A" w:rsidRPr="005B1750" w:rsidRDefault="00043F6A" w:rsidP="00043F6A">
      <w:pPr>
        <w:spacing w:line="240" w:lineRule="auto"/>
        <w:jc w:val="both"/>
        <w:rPr>
          <w:rFonts w:ascii="Times New Roman" w:hAnsi="Times New Roman" w:cs="Times New Roman"/>
          <w:sz w:val="24"/>
          <w:szCs w:val="24"/>
          <w:shd w:val="clear" w:color="auto" w:fill="FFFFFF"/>
        </w:rPr>
      </w:pPr>
      <w:r w:rsidRPr="005B1750">
        <w:rPr>
          <w:rFonts w:ascii="Times New Roman" w:hAnsi="Times New Roman" w:cs="Times New Roman"/>
          <w:sz w:val="24"/>
          <w:szCs w:val="24"/>
          <w:shd w:val="clear" w:color="auto" w:fill="FFFFFF"/>
        </w:rPr>
        <w:t xml:space="preserve">Modificaciones previstas </w:t>
      </w:r>
      <w:r>
        <w:rPr>
          <w:rFonts w:ascii="Times New Roman" w:hAnsi="Times New Roman" w:cs="Times New Roman"/>
          <w:sz w:val="24"/>
          <w:szCs w:val="24"/>
          <w:shd w:val="clear" w:color="auto" w:fill="FFFFFF"/>
        </w:rPr>
        <w:t xml:space="preserve">en los pliegos (art. 204 LCSP): </w:t>
      </w:r>
      <w:r w:rsidRPr="005B1750">
        <w:rPr>
          <w:rFonts w:ascii="Times New Roman" w:hAnsi="Times New Roman" w:cs="Times New Roman"/>
          <w:sz w:val="24"/>
          <w:szCs w:val="24"/>
          <w:shd w:val="clear" w:color="auto" w:fill="FFFFFF"/>
        </w:rPr>
        <w:t>Las modificaciones previstas en los pliegos de cláusulas administrativas particulares pueden alcanzar hasta un 20% del precio inicial d</w:t>
      </w:r>
      <w:r>
        <w:rPr>
          <w:rFonts w:ascii="Times New Roman" w:hAnsi="Times New Roman" w:cs="Times New Roman"/>
          <w:sz w:val="24"/>
          <w:szCs w:val="24"/>
          <w:shd w:val="clear" w:color="auto" w:fill="FFFFFF"/>
        </w:rPr>
        <w:t xml:space="preserve">el contrato, excluyendo el IVA. </w:t>
      </w:r>
      <w:r w:rsidRPr="005B1750">
        <w:rPr>
          <w:rFonts w:ascii="Times New Roman" w:hAnsi="Times New Roman" w:cs="Times New Roman"/>
          <w:sz w:val="24"/>
          <w:szCs w:val="24"/>
          <w:shd w:val="clear" w:color="auto" w:fill="FFFFFF"/>
        </w:rPr>
        <w:t xml:space="preserve">Estas modificaciones deben estar claramente especificadas en los pliegos, incluyendo su </w:t>
      </w:r>
      <w:r>
        <w:rPr>
          <w:rFonts w:ascii="Times New Roman" w:hAnsi="Times New Roman" w:cs="Times New Roman"/>
          <w:sz w:val="24"/>
          <w:szCs w:val="24"/>
          <w:shd w:val="clear" w:color="auto" w:fill="FFFFFF"/>
        </w:rPr>
        <w:t xml:space="preserve">alcance, límites y condiciones. </w:t>
      </w:r>
      <w:r w:rsidRPr="005B1750">
        <w:rPr>
          <w:rFonts w:ascii="Times New Roman" w:hAnsi="Times New Roman" w:cs="Times New Roman"/>
          <w:sz w:val="24"/>
          <w:szCs w:val="24"/>
          <w:shd w:val="clear" w:color="auto" w:fill="FFFFFF"/>
        </w:rPr>
        <w:t xml:space="preserve">No deben alterar la naturaleza global del contrato ni establecer nuevos precios unitarios no previstos. </w:t>
      </w:r>
    </w:p>
    <w:p w:rsidR="00043F6A" w:rsidRPr="005B1750" w:rsidRDefault="00043F6A" w:rsidP="00043F6A">
      <w:pPr>
        <w:spacing w:line="240" w:lineRule="auto"/>
        <w:jc w:val="both"/>
        <w:rPr>
          <w:rFonts w:ascii="Times New Roman" w:hAnsi="Times New Roman" w:cs="Times New Roman"/>
          <w:sz w:val="24"/>
          <w:szCs w:val="24"/>
          <w:shd w:val="clear" w:color="auto" w:fill="FFFFFF"/>
        </w:rPr>
      </w:pPr>
      <w:r w:rsidRPr="005B1750">
        <w:rPr>
          <w:rFonts w:ascii="Times New Roman" w:hAnsi="Times New Roman" w:cs="Times New Roman"/>
          <w:sz w:val="24"/>
          <w:szCs w:val="24"/>
          <w:shd w:val="clear" w:color="auto" w:fill="FFFFFF"/>
        </w:rPr>
        <w:t xml:space="preserve">Modificaciones no previstas </w:t>
      </w:r>
      <w:r>
        <w:rPr>
          <w:rFonts w:ascii="Times New Roman" w:hAnsi="Times New Roman" w:cs="Times New Roman"/>
          <w:sz w:val="24"/>
          <w:szCs w:val="24"/>
          <w:shd w:val="clear" w:color="auto" w:fill="FFFFFF"/>
        </w:rPr>
        <w:t xml:space="preserve">en los pliegos (art. 205 LCSP): </w:t>
      </w:r>
      <w:r w:rsidRPr="005B1750">
        <w:rPr>
          <w:rFonts w:ascii="Times New Roman" w:hAnsi="Times New Roman" w:cs="Times New Roman"/>
          <w:sz w:val="24"/>
          <w:szCs w:val="24"/>
          <w:shd w:val="clear" w:color="auto" w:fill="FFFFFF"/>
        </w:rPr>
        <w:t>Las modificaciones no previstas se rigen por el artículo 205 de la LCSP y pueden ser de tres tipos: adicionales, por circunstancias sobrevenidas e im</w:t>
      </w:r>
      <w:r>
        <w:rPr>
          <w:rFonts w:ascii="Times New Roman" w:hAnsi="Times New Roman" w:cs="Times New Roman"/>
          <w:sz w:val="24"/>
          <w:szCs w:val="24"/>
          <w:shd w:val="clear" w:color="auto" w:fill="FFFFFF"/>
        </w:rPr>
        <w:t xml:space="preserve">previsibles, o no sustanciales. </w:t>
      </w:r>
      <w:r w:rsidRPr="005B1750">
        <w:rPr>
          <w:rFonts w:ascii="Times New Roman" w:hAnsi="Times New Roman" w:cs="Times New Roman"/>
          <w:sz w:val="24"/>
          <w:szCs w:val="24"/>
          <w:shd w:val="clear" w:color="auto" w:fill="FFFFFF"/>
        </w:rPr>
        <w:t xml:space="preserve">En general, estas modificaciones no pueden exceder, junto con otras modificaciones, del 50% del precio inicial del contrato, IVA excluido, aunque existen matices según el tipo de modificación. </w:t>
      </w:r>
    </w:p>
    <w:p w:rsidR="00043F6A" w:rsidRPr="005B1750" w:rsidRDefault="00043F6A" w:rsidP="00043F6A">
      <w:pPr>
        <w:spacing w:line="240" w:lineRule="auto"/>
        <w:jc w:val="both"/>
        <w:rPr>
          <w:rFonts w:ascii="Times New Roman" w:hAnsi="Times New Roman" w:cs="Times New Roman"/>
          <w:sz w:val="24"/>
          <w:szCs w:val="24"/>
          <w:shd w:val="clear" w:color="auto" w:fill="FFFFFF"/>
        </w:rPr>
      </w:pPr>
      <w:r w:rsidRPr="005B1750">
        <w:rPr>
          <w:rFonts w:ascii="Times New Roman" w:hAnsi="Times New Roman" w:cs="Times New Roman"/>
          <w:sz w:val="24"/>
          <w:szCs w:val="24"/>
          <w:shd w:val="clear" w:color="auto" w:fill="FFFFFF"/>
        </w:rPr>
        <w:t>Ejemplos de modificaciones:</w:t>
      </w:r>
    </w:p>
    <w:p w:rsidR="00043F6A" w:rsidRPr="005B1750"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Previstas: </w:t>
      </w:r>
      <w:r w:rsidRPr="005B1750">
        <w:rPr>
          <w:rFonts w:ascii="Times New Roman" w:hAnsi="Times New Roman" w:cs="Times New Roman"/>
          <w:sz w:val="24"/>
          <w:szCs w:val="24"/>
          <w:shd w:val="clear" w:color="auto" w:fill="FFFFFF"/>
        </w:rPr>
        <w:t xml:space="preserve">Sustitución de un tipo de bota de trabajo por otro con mejores características, siempre que se ajuste a lo establecido en los pliegos. </w:t>
      </w:r>
    </w:p>
    <w:p w:rsidR="00043F6A" w:rsidRPr="005B1750"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No previstas (adicionales): </w:t>
      </w:r>
      <w:r w:rsidRPr="005B1750">
        <w:rPr>
          <w:rFonts w:ascii="Times New Roman" w:hAnsi="Times New Roman" w:cs="Times New Roman"/>
          <w:sz w:val="24"/>
          <w:szCs w:val="24"/>
          <w:shd w:val="clear" w:color="auto" w:fill="FFFFFF"/>
        </w:rPr>
        <w:t xml:space="preserve">Incorporación de nuevas obras o servicios que no se contemplaban inicialmente, si no es posible cambiar de contratista y el cambio genera inconvenientes significativos o aumento de costes. </w:t>
      </w:r>
    </w:p>
    <w:p w:rsidR="00043F6A" w:rsidRPr="005B1750" w:rsidRDefault="00043F6A" w:rsidP="00043F6A">
      <w:pPr>
        <w:spacing w:line="240" w:lineRule="auto"/>
        <w:jc w:val="both"/>
        <w:rPr>
          <w:rFonts w:ascii="Times New Roman" w:hAnsi="Times New Roman" w:cs="Times New Roman"/>
          <w:sz w:val="24"/>
          <w:szCs w:val="24"/>
          <w:shd w:val="clear" w:color="auto" w:fill="FFFFFF"/>
        </w:rPr>
      </w:pPr>
      <w:r w:rsidRPr="005B1750">
        <w:rPr>
          <w:rFonts w:ascii="Times New Roman" w:hAnsi="Times New Roman" w:cs="Times New Roman"/>
          <w:sz w:val="24"/>
          <w:szCs w:val="24"/>
          <w:shd w:val="clear" w:color="auto" w:fill="FFFFFF"/>
        </w:rPr>
        <w:t>No previstas</w:t>
      </w:r>
      <w:r>
        <w:rPr>
          <w:rFonts w:ascii="Times New Roman" w:hAnsi="Times New Roman" w:cs="Times New Roman"/>
          <w:sz w:val="24"/>
          <w:szCs w:val="24"/>
          <w:shd w:val="clear" w:color="auto" w:fill="FFFFFF"/>
        </w:rPr>
        <w:t xml:space="preserve"> (circunstancias sobrevenidas): </w:t>
      </w:r>
      <w:r w:rsidRPr="005B1750">
        <w:rPr>
          <w:rFonts w:ascii="Times New Roman" w:hAnsi="Times New Roman" w:cs="Times New Roman"/>
          <w:sz w:val="24"/>
          <w:szCs w:val="24"/>
          <w:shd w:val="clear" w:color="auto" w:fill="FFFFFF"/>
        </w:rPr>
        <w:t xml:space="preserve">Modificaciones derivadas de eventos imprevisibles como cambios en la normativa o en las condiciones del terreno, que alteren el proyecto original. </w:t>
      </w:r>
    </w:p>
    <w:p w:rsidR="00043F6A"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Consideraciones adicionales: </w:t>
      </w:r>
      <w:r w:rsidRPr="005B1750">
        <w:rPr>
          <w:rFonts w:ascii="Times New Roman" w:hAnsi="Times New Roman" w:cs="Times New Roman"/>
          <w:sz w:val="24"/>
          <w:szCs w:val="24"/>
          <w:shd w:val="clear" w:color="auto" w:fill="FFFFFF"/>
        </w:rPr>
        <w:t>La legislación española limita las modificaciones a un 20% en contratos de obras, mientras que la legislación com</w:t>
      </w:r>
      <w:r>
        <w:rPr>
          <w:rFonts w:ascii="Times New Roman" w:hAnsi="Times New Roman" w:cs="Times New Roman"/>
          <w:sz w:val="24"/>
          <w:szCs w:val="24"/>
          <w:shd w:val="clear" w:color="auto" w:fill="FFFFFF"/>
        </w:rPr>
        <w:t xml:space="preserve">unitaria permite hasta un 50%. </w:t>
      </w:r>
      <w:r w:rsidRPr="005B1750">
        <w:rPr>
          <w:rFonts w:ascii="Times New Roman" w:hAnsi="Times New Roman" w:cs="Times New Roman"/>
          <w:sz w:val="24"/>
          <w:szCs w:val="24"/>
          <w:shd w:val="clear" w:color="auto" w:fill="FFFFFF"/>
        </w:rPr>
        <w:t>Es importante que las modificaciones, tanto previstas como no previstas, cumplan con los requisitos establecidos en la LCSP para garantizar la seguridad jurídica y la transparencia en la contratación pública, según el Observatorio de Contratación Pública.</w:t>
      </w:r>
    </w:p>
    <w:p w:rsidR="00043F6A" w:rsidRDefault="00043F6A" w:rsidP="00043F6A">
      <w:pPr>
        <w:spacing w:line="240" w:lineRule="auto"/>
        <w:jc w:val="both"/>
        <w:rPr>
          <w:rFonts w:ascii="Times New Roman" w:hAnsi="Times New Roman" w:cs="Times New Roman"/>
          <w:sz w:val="24"/>
          <w:szCs w:val="24"/>
          <w:shd w:val="clear" w:color="auto" w:fill="FFFFFF"/>
        </w:rPr>
      </w:pP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F971CF">
        <w:rPr>
          <w:rFonts w:ascii="Times New Roman" w:hAnsi="Times New Roman" w:cs="Times New Roman"/>
          <w:sz w:val="24"/>
          <w:szCs w:val="24"/>
          <w:u w:val="single"/>
          <w:shd w:val="clear" w:color="auto" w:fill="FFFFFF"/>
        </w:rPr>
        <w:t>Por qué la obra pública en España es un nido de corrupción: falta de transparencia y arbitrariedad política</w:t>
      </w:r>
      <w:r w:rsidR="0066256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Manuel Llamas - Libre Mercado - </w:t>
      </w:r>
      <w:r w:rsidRPr="004D2202">
        <w:rPr>
          <w:rFonts w:ascii="Times New Roman" w:hAnsi="Times New Roman" w:cs="Times New Roman"/>
          <w:b/>
          <w:sz w:val="24"/>
          <w:szCs w:val="24"/>
          <w:shd w:val="clear" w:color="auto" w:fill="FFFFFF"/>
        </w:rPr>
        <w:t>23/4/17</w:t>
      </w:r>
      <w:r>
        <w:rPr>
          <w:rFonts w:ascii="Times New Roman" w:hAnsi="Times New Roman" w:cs="Times New Roman"/>
          <w:sz w:val="24"/>
          <w:szCs w:val="24"/>
          <w:shd w:val="clear" w:color="auto" w:fill="FFFFFF"/>
        </w:rPr>
        <w:t>)</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La Operación Lezo evidencia de nuevo los graves problemas de contratación pública. España está a la cola de los grandes países en esta materia.</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Que la concesión y adjudicación de obra pública es un campo abonado para la corrupción política no es ninguna novedad. De hecho, es uno de los grandes problemas estructurales que padece España desde hace tiempo. El último ejemplo lo constituye la Operación Lezo que ha tenido lugar esta semana a raíz del presunto fraude cometido en el Canal de Isabel II, pero cuya investigación se ha exte</w:t>
      </w:r>
      <w:r>
        <w:rPr>
          <w:rFonts w:ascii="Times New Roman" w:hAnsi="Times New Roman" w:cs="Times New Roman"/>
          <w:sz w:val="24"/>
          <w:szCs w:val="24"/>
          <w:shd w:val="clear" w:color="auto" w:fill="FFFFFF"/>
        </w:rPr>
        <w:t>ndido también a otras empresas.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 xml:space="preserve">La Unidad Central Operativa (UCO) de la Guardia Civil registró las sedes centrales en Madrid de la constructora OHL, la tecnológica Indra o la gestora de torres de control aeroportuaria Saerco, entre otras compañías, en el marco de las investigaciones sobre supuesta financiación ilegal del PP en Madrid que sigue en una pieza separada el juez de la Audiencia Nacional Eloy Velasco. Entre otras actuaciones, la Guardia Civil detuvo el viernes al consejero de OHL Javier López Madrid por </w:t>
      </w:r>
      <w:r>
        <w:rPr>
          <w:rFonts w:ascii="Times New Roman" w:hAnsi="Times New Roman" w:cs="Times New Roman"/>
          <w:sz w:val="24"/>
          <w:szCs w:val="24"/>
          <w:shd w:val="clear" w:color="auto" w:fill="FFFFFF"/>
        </w:rPr>
        <w:t>el supuesto pago de comisiones.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Pero no es la única. Otras cuatro grandes constructoras, Acciona Infraestructuras, Dragados, Sacyr y San José, también están siendo investigadas por un presunto desvío de fondos públicos de ADIF en las obras del AVE a Murcia. Asimismo, el caso de las comisiones del 3% en la adjudicación de obras públicas en Cataluña por parte de la antigua Convergència y sus fundaciones también ha afectado a numerosas e importantes compañías del sector. Y estos son sólo algunos de los escá</w:t>
      </w:r>
      <w:r>
        <w:rPr>
          <w:rFonts w:ascii="Times New Roman" w:hAnsi="Times New Roman" w:cs="Times New Roman"/>
          <w:sz w:val="24"/>
          <w:szCs w:val="24"/>
          <w:shd w:val="clear" w:color="auto" w:fill="FFFFFF"/>
        </w:rPr>
        <w:t>ndalos más sonados y recientes.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No se trata, pues, de un fenómeno aislado y puntual, ni mucho menos. Pese a ello, el ministro de Fomento, Íñigo de la Serna, cree que las detenciones de empresarios y de políticos, como el expresidente de la Comunidad de Madrid</w:t>
      </w:r>
      <w:r w:rsidR="00662569">
        <w:rPr>
          <w:rFonts w:ascii="Times New Roman" w:hAnsi="Times New Roman" w:cs="Times New Roman"/>
          <w:sz w:val="24"/>
          <w:szCs w:val="24"/>
          <w:shd w:val="clear" w:color="auto" w:fill="FFFFFF"/>
        </w:rPr>
        <w:t xml:space="preserve"> Ignacio González, no minan el “prestigio”</w:t>
      </w:r>
      <w:r w:rsidRPr="00A846A1">
        <w:rPr>
          <w:rFonts w:ascii="Times New Roman" w:hAnsi="Times New Roman" w:cs="Times New Roman"/>
          <w:sz w:val="24"/>
          <w:szCs w:val="24"/>
          <w:shd w:val="clear" w:color="auto" w:fill="FFFFFF"/>
        </w:rPr>
        <w:t xml:space="preserve"> de la obra pública española. Sin embargo, una cosa es que las constructoras españolas destaquen por su liderazgo a nivel internacional y otra muy distinta que la corrupción en materia de infraestructuras no constituya un</w:t>
      </w:r>
      <w:r>
        <w:rPr>
          <w:rFonts w:ascii="Times New Roman" w:hAnsi="Times New Roman" w:cs="Times New Roman"/>
          <w:sz w:val="24"/>
          <w:szCs w:val="24"/>
          <w:shd w:val="clear" w:color="auto" w:fill="FFFFFF"/>
        </w:rPr>
        <w:t xml:space="preserve"> problema importante en España.</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Los contratos públicos, nido de corrupción</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Tal y como denuncia Trans</w:t>
      </w:r>
      <w:r w:rsidR="00662569">
        <w:rPr>
          <w:rFonts w:ascii="Times New Roman" w:hAnsi="Times New Roman" w:cs="Times New Roman"/>
          <w:sz w:val="24"/>
          <w:szCs w:val="24"/>
          <w:shd w:val="clear" w:color="auto" w:fill="FFFFFF"/>
        </w:rPr>
        <w:t>parencia Internacional España, “</w:t>
      </w:r>
      <w:r w:rsidRPr="00A846A1">
        <w:rPr>
          <w:rFonts w:ascii="Times New Roman" w:hAnsi="Times New Roman" w:cs="Times New Roman"/>
          <w:sz w:val="24"/>
          <w:szCs w:val="24"/>
          <w:shd w:val="clear" w:color="auto" w:fill="FFFFFF"/>
        </w:rPr>
        <w:t>el mercado de los contratos públicos es donde existen mayores tentaciones y ofrecen más oportunidades a la corrupción en los distintos ámbitos de las actividades del sector público</w:t>
      </w:r>
      <w:r w:rsidR="00662569">
        <w:rPr>
          <w:rFonts w:ascii="Times New Roman" w:hAnsi="Times New Roman" w:cs="Times New Roman"/>
          <w:sz w:val="24"/>
          <w:szCs w:val="24"/>
          <w:shd w:val="clear" w:color="auto" w:fill="FFFFFF"/>
        </w:rPr>
        <w:t>”</w:t>
      </w:r>
      <w:r w:rsidRPr="00A846A1">
        <w:rPr>
          <w:rFonts w:ascii="Times New Roman" w:hAnsi="Times New Roman" w:cs="Times New Roman"/>
          <w:sz w:val="24"/>
          <w:szCs w:val="24"/>
          <w:shd w:val="clear" w:color="auto" w:fill="FFFFFF"/>
        </w:rPr>
        <w:t>. Dich</w:t>
      </w:r>
      <w:r w:rsidR="00662569">
        <w:rPr>
          <w:rFonts w:ascii="Times New Roman" w:hAnsi="Times New Roman" w:cs="Times New Roman"/>
          <w:sz w:val="24"/>
          <w:szCs w:val="24"/>
          <w:shd w:val="clear" w:color="auto" w:fill="FFFFFF"/>
        </w:rPr>
        <w:t>a ONG estima que, en promedio, “</w:t>
      </w:r>
      <w:r w:rsidRPr="00A846A1">
        <w:rPr>
          <w:rFonts w:ascii="Times New Roman" w:hAnsi="Times New Roman" w:cs="Times New Roman"/>
          <w:sz w:val="24"/>
          <w:szCs w:val="24"/>
          <w:shd w:val="clear" w:color="auto" w:fill="FFFFFF"/>
        </w:rPr>
        <w:t>el 10% del gasto en contrataciones públicas se desp</w:t>
      </w:r>
      <w:r w:rsidR="00662569">
        <w:rPr>
          <w:rFonts w:ascii="Times New Roman" w:hAnsi="Times New Roman" w:cs="Times New Roman"/>
          <w:sz w:val="24"/>
          <w:szCs w:val="24"/>
          <w:shd w:val="clear" w:color="auto" w:fill="FFFFFF"/>
        </w:rPr>
        <w:t>erdicia en corrupción y soborno”</w:t>
      </w:r>
      <w:r w:rsidRPr="00A846A1">
        <w:rPr>
          <w:rFonts w:ascii="Times New Roman" w:hAnsi="Times New Roman" w:cs="Times New Roman"/>
          <w:sz w:val="24"/>
          <w:szCs w:val="24"/>
          <w:shd w:val="clear" w:color="auto" w:fill="FFFFFF"/>
        </w:rPr>
        <w:t>, mientras que la Comisión Nacional de los Mercados y la Competencia (CNMC) estima que la obra pública en España sufre un sobrecoste equivalente al 4,6% del PIB por culpa de la corrupción y la ausencia de un eficiente pro</w:t>
      </w:r>
      <w:r>
        <w:rPr>
          <w:rFonts w:ascii="Times New Roman" w:hAnsi="Times New Roman" w:cs="Times New Roman"/>
          <w:sz w:val="24"/>
          <w:szCs w:val="24"/>
          <w:shd w:val="clear" w:color="auto" w:fill="FFFFFF"/>
        </w:rPr>
        <w:t>ceso de licitación.</w:t>
      </w:r>
    </w:p>
    <w:p w:rsidR="00043F6A"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Dado el volumen de dinero que maneja la inversión pública, el tamaño de las mordidas no es menor. Así, a pesar de que la crisis ha reducido de forma sustancial el presupuesto destinado a obras e infraestructuras, su cuantía supera los 100.000 millones euros al año (10,4% del PIB en 2015), proporcionando empleo a casi un millón de trabajadores.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Pr>
          <w:noProof/>
          <w:lang w:eastAsia="es-ES"/>
        </w:rPr>
        <w:lastRenderedPageBreak/>
        <w:drawing>
          <wp:inline distT="0" distB="0" distL="0" distR="0" wp14:anchorId="51AC695B" wp14:editId="5E52A378">
            <wp:extent cx="5731510" cy="3566857"/>
            <wp:effectExtent l="0" t="0" r="2540" b="0"/>
            <wp:docPr id="162" name="Imagen 162" descr="https://s.libertaddigital.com/2017/04/21/obco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17/04/21/obcor1.jpg"/>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731510" cy="3566857"/>
                    </a:xfrm>
                    <a:prstGeom prst="rect">
                      <a:avLst/>
                    </a:prstGeom>
                    <a:noFill/>
                    <a:ln>
                      <a:noFill/>
                    </a:ln>
                  </pic:spPr>
                </pic:pic>
              </a:graphicData>
            </a:graphic>
          </wp:inline>
        </w:drawing>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El Índice de Percepción de la Corrupción (IPC) que elabora Transparencia Internacional clasifica al gobierno y al sector público de 168 países teniendo en cuenta aspectos como la transparencia en la información pública, el gobierno abierto, la rendición de cuentas o los niveles de integridad en la prestación de servicios públicos. En el año 2015, España ocupó la posición 36 de la escala mundial, muy por detrás de la mayoría de los países europeos: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3A1AA95A" wp14:editId="2BDFB039">
            <wp:extent cx="5731510" cy="3779638"/>
            <wp:effectExtent l="0" t="0" r="2540" b="0"/>
            <wp:docPr id="186" name="Imagen 186" descr="https://s.libertaddigital.com/2017/04/21/obco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libertaddigital.com/2017/04/21/obcor2.jpg"/>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731510" cy="3779638"/>
                    </a:xfrm>
                    <a:prstGeom prst="rect">
                      <a:avLst/>
                    </a:prstGeom>
                    <a:noFill/>
                    <a:ln>
                      <a:noFill/>
                    </a:ln>
                  </pic:spPr>
                </pic:pic>
              </a:graphicData>
            </a:graphic>
          </wp:inline>
        </w:drawing>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lastRenderedPageBreak/>
        <w:t>Ahora bien, ¿cuáles son sus causas? ¿Por qué la contratación pública en España es más corrupta que en otros países desarrollados? Según un reciente informe elaborado por la consultora internacional EY sobre esta materia, el</w:t>
      </w:r>
      <w:r>
        <w:rPr>
          <w:rFonts w:ascii="Times New Roman" w:hAnsi="Times New Roman" w:cs="Times New Roman"/>
          <w:sz w:val="24"/>
          <w:szCs w:val="24"/>
          <w:shd w:val="clear" w:color="auto" w:fill="FFFFFF"/>
        </w:rPr>
        <w:t xml:space="preserve"> </w:t>
      </w:r>
      <w:r w:rsidRPr="00A846A1">
        <w:rPr>
          <w:rFonts w:ascii="Times New Roman" w:hAnsi="Times New Roman" w:cs="Times New Roman"/>
          <w:sz w:val="24"/>
          <w:szCs w:val="24"/>
          <w:shd w:val="clear" w:color="auto" w:fill="FFFFFF"/>
        </w:rPr>
        <w:t xml:space="preserve">sistema de contratación padece graves problemas relacionados con la falta de transparencia e ineficiencia en la adjudicación y ejecución de obras, cuyos </w:t>
      </w:r>
      <w:r>
        <w:rPr>
          <w:rFonts w:ascii="Times New Roman" w:hAnsi="Times New Roman" w:cs="Times New Roman"/>
          <w:sz w:val="24"/>
          <w:szCs w:val="24"/>
          <w:shd w:val="clear" w:color="auto" w:fill="FFFFFF"/>
        </w:rPr>
        <w:t>ejes se resumen a continuación.</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Inseguridad jurídica y arbitrariedad política</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La dispersión normativa, la ausencia de unidad de mercado y las modificaciones legales con carác</w:t>
      </w:r>
      <w:r w:rsidR="00662569">
        <w:rPr>
          <w:rFonts w:ascii="Times New Roman" w:hAnsi="Times New Roman" w:cs="Times New Roman"/>
          <w:sz w:val="24"/>
          <w:szCs w:val="24"/>
          <w:shd w:val="clear" w:color="auto" w:fill="FFFFFF"/>
        </w:rPr>
        <w:t>ter retroactivo dan lugar a un “</w:t>
      </w:r>
      <w:r w:rsidRPr="00A846A1">
        <w:rPr>
          <w:rFonts w:ascii="Times New Roman" w:hAnsi="Times New Roman" w:cs="Times New Roman"/>
          <w:sz w:val="24"/>
          <w:szCs w:val="24"/>
          <w:shd w:val="clear" w:color="auto" w:fill="FFFFFF"/>
        </w:rPr>
        <w:t>escenar</w:t>
      </w:r>
      <w:r w:rsidR="00662569">
        <w:rPr>
          <w:rFonts w:ascii="Times New Roman" w:hAnsi="Times New Roman" w:cs="Times New Roman"/>
          <w:sz w:val="24"/>
          <w:szCs w:val="24"/>
          <w:shd w:val="clear" w:color="auto" w:fill="FFFFFF"/>
        </w:rPr>
        <w:t>io de gran inseguridad jurídica”</w:t>
      </w:r>
      <w:r w:rsidRPr="00A846A1">
        <w:rPr>
          <w:rFonts w:ascii="Times New Roman" w:hAnsi="Times New Roman" w:cs="Times New Roman"/>
          <w:sz w:val="24"/>
          <w:szCs w:val="24"/>
          <w:shd w:val="clear" w:color="auto" w:fill="FFFFFF"/>
        </w:rPr>
        <w:t xml:space="preserve">. Además, existen diferentes parámetros de exigencia en el cumplimiento de principios básicos, según las administraciones y organismos públicos de los que se trate, para la existencia de una competencia efectiva, como los relativos </w:t>
      </w:r>
      <w:r>
        <w:rPr>
          <w:rFonts w:ascii="Times New Roman" w:hAnsi="Times New Roman" w:cs="Times New Roman"/>
          <w:sz w:val="24"/>
          <w:szCs w:val="24"/>
          <w:shd w:val="clear" w:color="auto" w:fill="FFFFFF"/>
        </w:rPr>
        <w:t>a la publicidad y concurrencia.</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También existe una gran fragmentación, ya que la publicación de los anuncios de licitación no está centralizada -cada órgano emite sus propios perfiles- y, aunque la publicidad de los contratos debería recogerse en la Plataforma de Contratación del Sect</w:t>
      </w:r>
      <w:r w:rsidR="00662569">
        <w:rPr>
          <w:rFonts w:ascii="Times New Roman" w:hAnsi="Times New Roman" w:cs="Times New Roman"/>
          <w:sz w:val="24"/>
          <w:szCs w:val="24"/>
          <w:shd w:val="clear" w:color="auto" w:fill="FFFFFF"/>
        </w:rPr>
        <w:t>or Público, “</w:t>
      </w:r>
      <w:r w:rsidRPr="00A846A1">
        <w:rPr>
          <w:rFonts w:ascii="Times New Roman" w:hAnsi="Times New Roman" w:cs="Times New Roman"/>
          <w:sz w:val="24"/>
          <w:szCs w:val="24"/>
          <w:shd w:val="clear" w:color="auto" w:fill="FFFFFF"/>
        </w:rPr>
        <w:t>la transparencia no está totalmente garantizada en tanto que los poderes adjudicadores que no reúnen el carácter de administración pública solo tienen obligación de publicar sus contratos no sujetos a regulación armonizada en s</w:t>
      </w:r>
      <w:r w:rsidR="00662569">
        <w:rPr>
          <w:rFonts w:ascii="Times New Roman" w:hAnsi="Times New Roman" w:cs="Times New Roman"/>
          <w:sz w:val="24"/>
          <w:szCs w:val="24"/>
          <w:shd w:val="clear" w:color="auto" w:fill="FFFFFF"/>
        </w:rPr>
        <w:t>u perfil”</w:t>
      </w:r>
      <w:r>
        <w:rPr>
          <w:rFonts w:ascii="Times New Roman" w:hAnsi="Times New Roman" w:cs="Times New Roman"/>
          <w:sz w:val="24"/>
          <w:szCs w:val="24"/>
          <w:shd w:val="clear" w:color="auto" w:fill="FFFFFF"/>
        </w:rPr>
        <w:t>, advierte el informe.</w:t>
      </w:r>
    </w:p>
    <w:p w:rsidR="00043F6A" w:rsidRPr="00A846A1" w:rsidRDefault="00662569"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043F6A" w:rsidRPr="00A846A1">
        <w:rPr>
          <w:rFonts w:ascii="Times New Roman" w:hAnsi="Times New Roman" w:cs="Times New Roman"/>
          <w:sz w:val="24"/>
          <w:szCs w:val="24"/>
          <w:shd w:val="clear" w:color="auto" w:fill="FFFFFF"/>
        </w:rPr>
        <w:t>Fruto de esta situación, existe un alto grado de divergencia -rayando en la arbitrariedad- en la aplicación de las normas de contratación po</w:t>
      </w:r>
      <w:r>
        <w:rPr>
          <w:rFonts w:ascii="Times New Roman" w:hAnsi="Times New Roman" w:cs="Times New Roman"/>
          <w:sz w:val="24"/>
          <w:szCs w:val="24"/>
          <w:shd w:val="clear" w:color="auto" w:fill="FFFFFF"/>
        </w:rPr>
        <w:t>r parte de los poderes públicos”</w:t>
      </w:r>
      <w:r w:rsidR="00043F6A" w:rsidRPr="00A846A1">
        <w:rPr>
          <w:rFonts w:ascii="Times New Roman" w:hAnsi="Times New Roman" w:cs="Times New Roman"/>
          <w:sz w:val="24"/>
          <w:szCs w:val="24"/>
          <w:shd w:val="clear" w:color="auto" w:fill="FFFFFF"/>
        </w:rPr>
        <w:t>. La combinación de inseguridad jurídica y arbitrariedad política es la receta idónea para el surgimiento de corruptelas y el consiguiente cobro de comisiones por part</w:t>
      </w:r>
      <w:r w:rsidR="00043F6A">
        <w:rPr>
          <w:rFonts w:ascii="Times New Roman" w:hAnsi="Times New Roman" w:cs="Times New Roman"/>
          <w:sz w:val="24"/>
          <w:szCs w:val="24"/>
          <w:shd w:val="clear" w:color="auto" w:fill="FFFFFF"/>
        </w:rPr>
        <w:t>e de los responsables públicos.</w:t>
      </w:r>
    </w:p>
    <w:p w:rsidR="00043F6A" w:rsidRPr="00A846A1" w:rsidRDefault="00662569"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043F6A" w:rsidRPr="00A846A1">
        <w:rPr>
          <w:rFonts w:ascii="Times New Roman" w:hAnsi="Times New Roman" w:cs="Times New Roman"/>
          <w:sz w:val="24"/>
          <w:szCs w:val="24"/>
          <w:shd w:val="clear" w:color="auto" w:fill="FFFFFF"/>
        </w:rPr>
        <w:t>Se trata de una sensación típicamente presente cuando existe un problema de calidad normativa. Ejemplos de esta situación pueden observarse en la dispar selección de requisitos de solvencia técnica y económica exigidos para procedimientos de contratación sustancialmente iguales; en el establecimiento y aplicación de criterios de valoración muy diferentes en supuestos análogos, etc</w:t>
      </w:r>
      <w:r w:rsidR="00043F6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w:t>
      </w:r>
      <w:r w:rsidR="00043F6A" w:rsidRPr="00A846A1">
        <w:rPr>
          <w:rFonts w:ascii="Times New Roman" w:hAnsi="Times New Roman" w:cs="Times New Roman"/>
          <w:sz w:val="24"/>
          <w:szCs w:val="24"/>
          <w:shd w:val="clear" w:color="auto" w:fill="FFFFFF"/>
        </w:rPr>
        <w:t>, añaden l</w:t>
      </w:r>
      <w:r w:rsidR="00043F6A">
        <w:rPr>
          <w:rFonts w:ascii="Times New Roman" w:hAnsi="Times New Roman" w:cs="Times New Roman"/>
          <w:sz w:val="24"/>
          <w:szCs w:val="24"/>
          <w:shd w:val="clear" w:color="auto" w:fill="FFFFFF"/>
        </w:rPr>
        <w:t>os expertos del EY.</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Falta de transparencia</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Otro de los aspectos importantes es la falta de transparencia que acompaña a todo el proceso de contratación, desde la adjudicación y la tramitación del mismo a la ejecución de la obra o la resolución de los conf</w:t>
      </w:r>
      <w:r>
        <w:rPr>
          <w:rFonts w:ascii="Times New Roman" w:hAnsi="Times New Roman" w:cs="Times New Roman"/>
          <w:sz w:val="24"/>
          <w:szCs w:val="24"/>
          <w:shd w:val="clear" w:color="auto" w:fill="FFFFFF"/>
        </w:rPr>
        <w:t>lictos que puedan surgir.</w:t>
      </w:r>
    </w:p>
    <w:p w:rsidR="00043F6A" w:rsidRPr="00A846A1" w:rsidRDefault="00662569"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043F6A" w:rsidRPr="00A846A1">
        <w:rPr>
          <w:rFonts w:ascii="Times New Roman" w:hAnsi="Times New Roman" w:cs="Times New Roman"/>
          <w:sz w:val="24"/>
          <w:szCs w:val="24"/>
          <w:shd w:val="clear" w:color="auto" w:fill="FFFFFF"/>
        </w:rPr>
        <w:t>La transparencia en el proceso de contratación pública en el caso español es una de las principales áreas de mejora señala</w:t>
      </w:r>
      <w:r>
        <w:rPr>
          <w:rFonts w:ascii="Times New Roman" w:hAnsi="Times New Roman" w:cs="Times New Roman"/>
          <w:sz w:val="24"/>
          <w:szCs w:val="24"/>
          <w:shd w:val="clear" w:color="auto" w:fill="FFFFFF"/>
        </w:rPr>
        <w:t>das por los agentes consultados”</w:t>
      </w:r>
      <w:r w:rsidR="00043F6A" w:rsidRPr="00A846A1">
        <w:rPr>
          <w:rFonts w:ascii="Times New Roman" w:hAnsi="Times New Roman" w:cs="Times New Roman"/>
          <w:sz w:val="24"/>
          <w:szCs w:val="24"/>
          <w:shd w:val="clear" w:color="auto" w:fill="FFFFFF"/>
        </w:rPr>
        <w:t>. Algunos de los signos de esta falta de transparencia son, por ejemplo, la escasa información disponible acerca de los contratos de obra pública (en comparación con las políticas de apertura total en este ámbito en otros países desarrollados), la ausencia de planificación a largo plazo, la ausencia o insuficiencia de mecanismos efectivos de resolución de dudas durante el plazo de presentación de ofertas y la ausencia o insuficiencia de una explicación o justificación a los licitadores so</w:t>
      </w:r>
      <w:r w:rsidR="00043F6A">
        <w:rPr>
          <w:rFonts w:ascii="Times New Roman" w:hAnsi="Times New Roman" w:cs="Times New Roman"/>
          <w:sz w:val="24"/>
          <w:szCs w:val="24"/>
          <w:shd w:val="clear" w:color="auto" w:fill="FFFFFF"/>
        </w:rPr>
        <w:t>bre la valoración de la oferta…</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Y</w:t>
      </w:r>
      <w:r>
        <w:rPr>
          <w:rFonts w:ascii="Times New Roman" w:hAnsi="Times New Roman" w:cs="Times New Roman"/>
          <w:sz w:val="24"/>
          <w:szCs w:val="24"/>
          <w:shd w:val="clear" w:color="auto" w:fill="FFFFFF"/>
        </w:rPr>
        <w:t xml:space="preserve"> esta opacidad no hace otra cos</w:t>
      </w:r>
      <w:r w:rsidRPr="00A846A1">
        <w:rPr>
          <w:rFonts w:ascii="Times New Roman" w:hAnsi="Times New Roman" w:cs="Times New Roman"/>
          <w:sz w:val="24"/>
          <w:szCs w:val="24"/>
          <w:shd w:val="clear" w:color="auto" w:fill="FFFFFF"/>
        </w:rPr>
        <w:t>a que reforzar el grado de arbitrariedad política que existe en España para amañar contratos a cambio de mordidas.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lastRenderedPageBreak/>
        <w:t>España, a la cola de los países desarrollados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En base a estos y otros defectos, el estudio de EY divide el proceso de contratación en cuatro grandes fases (Planificación, Actuaciones preparatorias, Adjudicación y el capítulo relativo a la Ejecución, modificación y extinción del contrato), con sus correspondientes parámetros, y evalúa su calidad y valoración en distintos países (Alemania, Bélgica, Francia, Holanda, Noruega, Portugal, Reino Unido y Suecia; Australia, Canadá, Chile y Estados Unidos). El resultado no pued</w:t>
      </w:r>
      <w:r w:rsidR="00662569">
        <w:rPr>
          <w:rFonts w:ascii="Times New Roman" w:hAnsi="Times New Roman" w:cs="Times New Roman"/>
          <w:sz w:val="24"/>
          <w:szCs w:val="24"/>
          <w:shd w:val="clear" w:color="auto" w:fill="FFFFFF"/>
        </w:rPr>
        <w:t>e ser más desalentador, ya que “</w:t>
      </w:r>
      <w:r w:rsidRPr="00A846A1">
        <w:rPr>
          <w:rFonts w:ascii="Times New Roman" w:hAnsi="Times New Roman" w:cs="Times New Roman"/>
          <w:sz w:val="24"/>
          <w:szCs w:val="24"/>
          <w:shd w:val="clear" w:color="auto" w:fill="FFFFFF"/>
        </w:rPr>
        <w:t xml:space="preserve">la posición de España es, en todos los casos, muy inferior a la del resto de jurisdicciones estudiadas, situándose de manera </w:t>
      </w:r>
      <w:r w:rsidR="00662569">
        <w:rPr>
          <w:rFonts w:ascii="Times New Roman" w:hAnsi="Times New Roman" w:cs="Times New Roman"/>
          <w:sz w:val="24"/>
          <w:szCs w:val="24"/>
          <w:shd w:val="clear" w:color="auto" w:fill="FFFFFF"/>
        </w:rPr>
        <w:t>sistemática en el último lugar”</w:t>
      </w:r>
    </w:p>
    <w:p w:rsidR="00043F6A"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1. Planificación y transparencia</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0D1A9241" wp14:editId="4F698248">
            <wp:extent cx="5733678" cy="5391150"/>
            <wp:effectExtent l="0" t="0" r="635" b="0"/>
            <wp:docPr id="197" name="Imagen 197" descr="https://s.libertaddigital.com/2017/04/21/obco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libertaddigital.com/2017/04/21/obcor3.jpg"/>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5731510" cy="5389112"/>
                    </a:xfrm>
                    <a:prstGeom prst="rect">
                      <a:avLst/>
                    </a:prstGeom>
                    <a:noFill/>
                    <a:ln>
                      <a:noFill/>
                    </a:ln>
                  </pic:spPr>
                </pic:pic>
              </a:graphicData>
            </a:graphic>
          </wp:inline>
        </w:drawing>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 xml:space="preserve">Entre otros problemas, destaca la falta de linealidad en los volúmenes de inversión pública anual impide una adecuada planificación de los recursos por parte del sector privado que desarrolla las obras; la ausencia de participación del sector privado y de la sociedad en la planificación de las inversiones; la insuficiencia de evaluación y seguimiento en la ejecución de los planes; la inexistencia de coordinación entre los diferentes niveles de la administración </w:t>
      </w:r>
      <w:r w:rsidRPr="00A846A1">
        <w:rPr>
          <w:rFonts w:ascii="Times New Roman" w:hAnsi="Times New Roman" w:cs="Times New Roman"/>
          <w:sz w:val="24"/>
          <w:szCs w:val="24"/>
          <w:shd w:val="clear" w:color="auto" w:fill="FFFFFF"/>
        </w:rPr>
        <w:lastRenderedPageBreak/>
        <w:t>para el desarrollo de una estrategia coherente; la inexistencia de estudios de viabilidad y de co</w:t>
      </w:r>
      <w:r>
        <w:rPr>
          <w:rFonts w:ascii="Times New Roman" w:hAnsi="Times New Roman" w:cs="Times New Roman"/>
          <w:sz w:val="24"/>
          <w:szCs w:val="24"/>
          <w:shd w:val="clear" w:color="auto" w:fill="FFFFFF"/>
        </w:rPr>
        <w:t>ste-beneficio de los proyectos…</w:t>
      </w:r>
    </w:p>
    <w:p w:rsidR="00043F6A" w:rsidRPr="00AA5CF8" w:rsidRDefault="00AA5CF8" w:rsidP="00AA5CF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2. </w:t>
      </w:r>
      <w:r w:rsidR="00043F6A" w:rsidRPr="00AA5CF8">
        <w:rPr>
          <w:rFonts w:ascii="Times New Roman" w:hAnsi="Times New Roman" w:cs="Times New Roman"/>
          <w:sz w:val="24"/>
          <w:szCs w:val="24"/>
          <w:shd w:val="clear" w:color="auto" w:fill="FFFFFF"/>
        </w:rPr>
        <w:t>Actuaciones preparatorias, publicación y presentación de las ofertas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78A8D0E5" wp14:editId="7F62E450">
            <wp:extent cx="5732079" cy="5111750"/>
            <wp:effectExtent l="0" t="0" r="2540" b="0"/>
            <wp:docPr id="198" name="Imagen 198" descr="https://s.libertaddigital.com/2017/04/21/obco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libertaddigital.com/2017/04/21/obcor4.jpg"/>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5731510" cy="5111243"/>
                    </a:xfrm>
                    <a:prstGeom prst="rect">
                      <a:avLst/>
                    </a:prstGeom>
                    <a:noFill/>
                    <a:ln>
                      <a:noFill/>
                    </a:ln>
                  </pic:spPr>
                </pic:pic>
              </a:graphicData>
            </a:graphic>
          </wp:inline>
        </w:drawing>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Esta fase es clave y, sin embargo, sufre importantes deficiencias por culpa de la fragmentación normativa y la inexistencia de prácticas estandarizadas y guías, lo cual afecta a la selección de la modalidad de contrato más adecuado, a la estimación de su coste, al análisis coste-beneficio cuando se trata de u</w:t>
      </w:r>
      <w:r w:rsidR="00662569">
        <w:rPr>
          <w:rFonts w:ascii="Times New Roman" w:hAnsi="Times New Roman" w:cs="Times New Roman"/>
          <w:sz w:val="24"/>
          <w:szCs w:val="24"/>
          <w:shd w:val="clear" w:color="auto" w:fill="FFFFFF"/>
        </w:rPr>
        <w:t>na concesión y, en definitiva, “</w:t>
      </w:r>
      <w:r w:rsidRPr="00A846A1">
        <w:rPr>
          <w:rFonts w:ascii="Times New Roman" w:hAnsi="Times New Roman" w:cs="Times New Roman"/>
          <w:sz w:val="24"/>
          <w:szCs w:val="24"/>
          <w:shd w:val="clear" w:color="auto" w:fill="FFFFFF"/>
        </w:rPr>
        <w:t>a los aspectos más críticos para garantizar el correcto desarrollo de las obras que se quieran contratar dentro d</w:t>
      </w:r>
      <w:r w:rsidR="00662569">
        <w:rPr>
          <w:rFonts w:ascii="Times New Roman" w:hAnsi="Times New Roman" w:cs="Times New Roman"/>
          <w:sz w:val="24"/>
          <w:szCs w:val="24"/>
          <w:shd w:val="clear" w:color="auto" w:fill="FFFFFF"/>
        </w:rPr>
        <w:t>e los plazos y costes previstos”</w:t>
      </w:r>
      <w:r w:rsidRPr="00A846A1">
        <w:rPr>
          <w:rFonts w:ascii="Times New Roman" w:hAnsi="Times New Roman" w:cs="Times New Roman"/>
          <w:sz w:val="24"/>
          <w:szCs w:val="24"/>
          <w:shd w:val="clear" w:color="auto" w:fill="FFFFFF"/>
        </w:rPr>
        <w:t>.</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Asimismo, otro de los problemas típicos es la ausencia de comunicación al mercado de los proyectos hasta el momento de información pública, ya que la documentación preliminar y los borradores no se ponen a disposición del sector, a diferencia de lo que sucede en otros países. Tampoco existen procesos de precalificación de licitadores que permitan seleccionar a los mejores contratistas para, posteriormente, aplicar baremos objetivables cuantitativamente (esencialmente el precio), garantizando que los seleccionados podrán desarrollar adecu</w:t>
      </w:r>
      <w:r>
        <w:rPr>
          <w:rFonts w:ascii="Times New Roman" w:hAnsi="Times New Roman" w:cs="Times New Roman"/>
          <w:sz w:val="24"/>
          <w:szCs w:val="24"/>
          <w:shd w:val="clear" w:color="auto" w:fill="FFFFFF"/>
        </w:rPr>
        <w:t>adamente las obras.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lastRenderedPageBreak/>
        <w:t xml:space="preserve">Asimismo, más allá del precio, los criterios de </w:t>
      </w:r>
      <w:r w:rsidR="00662569">
        <w:rPr>
          <w:rFonts w:ascii="Times New Roman" w:hAnsi="Times New Roman" w:cs="Times New Roman"/>
          <w:sz w:val="24"/>
          <w:szCs w:val="24"/>
          <w:shd w:val="clear" w:color="auto" w:fill="FFFFFF"/>
        </w:rPr>
        <w:t>valoración que dependen de los “juicios de valor”</w:t>
      </w:r>
      <w:r w:rsidRPr="00A846A1">
        <w:rPr>
          <w:rFonts w:ascii="Times New Roman" w:hAnsi="Times New Roman" w:cs="Times New Roman"/>
          <w:sz w:val="24"/>
          <w:szCs w:val="24"/>
          <w:shd w:val="clear" w:color="auto" w:fill="FFFFFF"/>
        </w:rPr>
        <w:t xml:space="preserve"> del organismo contratante no se desarrollan con detalle en los pliegos, en cuanto a su ponderación y a sus criterios de evaluación, lo cual redunda, una vez más, en una amplia discrecionalidad política a la h</w:t>
      </w:r>
      <w:r>
        <w:rPr>
          <w:rFonts w:ascii="Times New Roman" w:hAnsi="Times New Roman" w:cs="Times New Roman"/>
          <w:sz w:val="24"/>
          <w:szCs w:val="24"/>
          <w:shd w:val="clear" w:color="auto" w:fill="FFFFFF"/>
        </w:rPr>
        <w:t>ora de adjudicar los contratos.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Y, por último, es habitual que los plazos que se otorgan para la presentación de las ofertas coincidan con los mínimos legales en un intento de acelerar el proceso que puede tener consecuencias muy negativas, al no permitir el tiempo necesario para el estudio y preparación</w:t>
      </w:r>
      <w:r>
        <w:rPr>
          <w:rFonts w:ascii="Times New Roman" w:hAnsi="Times New Roman" w:cs="Times New Roman"/>
          <w:sz w:val="24"/>
          <w:szCs w:val="24"/>
          <w:shd w:val="clear" w:color="auto" w:fill="FFFFFF"/>
        </w:rPr>
        <w:t xml:space="preserve"> de ofertas de elevada calidad.</w:t>
      </w:r>
    </w:p>
    <w:p w:rsidR="00043F6A" w:rsidRPr="00AA5CF8" w:rsidRDefault="00AA5CF8" w:rsidP="00AA5CF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3. </w:t>
      </w:r>
      <w:r w:rsidR="00043F6A" w:rsidRPr="00AA5CF8">
        <w:rPr>
          <w:rFonts w:ascii="Times New Roman" w:hAnsi="Times New Roman" w:cs="Times New Roman"/>
          <w:sz w:val="24"/>
          <w:szCs w:val="24"/>
          <w:shd w:val="clear" w:color="auto" w:fill="FFFFFF"/>
        </w:rPr>
        <w:t>Adjudicación del contrato</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4C545ACC" wp14:editId="5B2C2943">
            <wp:extent cx="5730811" cy="5537200"/>
            <wp:effectExtent l="0" t="0" r="3810" b="6350"/>
            <wp:docPr id="205" name="Imagen 205" descr="https://s.libertaddigital.com/2017/04/21/obco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libertaddigital.com/2017/04/21/obcor5.jpg"/>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731510" cy="5537875"/>
                    </a:xfrm>
                    <a:prstGeom prst="rect">
                      <a:avLst/>
                    </a:prstGeom>
                    <a:noFill/>
                    <a:ln>
                      <a:noFill/>
                    </a:ln>
                  </pic:spPr>
                </pic:pic>
              </a:graphicData>
            </a:graphic>
          </wp:inline>
        </w:drawing>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Los operadores del mercado en España perciben esta fase como una de las de mayor indefensión, a diferencia de otros países, donde existe mayor conformidad y confianza en relación con la fase de adjudicación de los contratos.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En España, es más habitual que se adjudiquen contratos con precios anormalmente bajos, que, sin embargo, luego son modificados al alza durante el transcurso de las obras mediante los tradicionales desvíos y sobrecostes.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lastRenderedPageBreak/>
        <w:t>4. Ejecución, modificación y extinción del contrato</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6DAD99D7" wp14:editId="37F3BC4D">
            <wp:extent cx="5733526" cy="5232400"/>
            <wp:effectExtent l="0" t="0" r="635" b="6350"/>
            <wp:docPr id="212" name="Imagen 212" descr="https://s.libertaddigital.com/2017/04/21/obco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libertaddigital.com/2017/04/21/obcor6.jp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5731510" cy="5230560"/>
                    </a:xfrm>
                    <a:prstGeom prst="rect">
                      <a:avLst/>
                    </a:prstGeom>
                    <a:noFill/>
                    <a:ln>
                      <a:noFill/>
                    </a:ln>
                  </pic:spPr>
                </pic:pic>
              </a:graphicData>
            </a:graphic>
          </wp:inline>
        </w:drawing>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Por último, una vez adjudicada la obra, España también se caracteriza por los retrasos y la paralización de la ejecu</w:t>
      </w:r>
      <w:r w:rsidR="00662569">
        <w:rPr>
          <w:rFonts w:ascii="Times New Roman" w:hAnsi="Times New Roman" w:cs="Times New Roman"/>
          <w:sz w:val="24"/>
          <w:szCs w:val="24"/>
          <w:shd w:val="clear" w:color="auto" w:fill="FFFFFF"/>
        </w:rPr>
        <w:t xml:space="preserve">ción como consecuencia de la </w:t>
      </w:r>
      <w:r w:rsidRPr="00A846A1">
        <w:rPr>
          <w:rFonts w:ascii="Times New Roman" w:hAnsi="Times New Roman" w:cs="Times New Roman"/>
          <w:sz w:val="24"/>
          <w:szCs w:val="24"/>
          <w:shd w:val="clear" w:color="auto" w:fill="FFFFFF"/>
        </w:rPr>
        <w:t>modificación de los contratos, la falta de claridad a la hora distribuir los riesgos entre las partes para evitar discrepancias posteriores, el importe de las compensaciones y, sobre todo, la frecuencia con la que se acude a la vía judicial para dirimir disputas, con los consiguientes</w:t>
      </w:r>
      <w:r>
        <w:rPr>
          <w:rFonts w:ascii="Times New Roman" w:hAnsi="Times New Roman" w:cs="Times New Roman"/>
          <w:sz w:val="24"/>
          <w:szCs w:val="24"/>
          <w:shd w:val="clear" w:color="auto" w:fill="FFFFFF"/>
        </w:rPr>
        <w:t xml:space="preserve"> costes y demoras.</w:t>
      </w:r>
    </w:p>
    <w:p w:rsidR="00043F6A"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Las constructoras españolas gozan de un gran prestigio, tanto dentro como fuera de España, sin duda, pero las graves deficiencias y los numerosos escándalos asociados a la obra pública por culpa de la opacidad y la amplia arbitrariedad política convierten a este sector en el principal núcleo de corrupción en España, junto al urbanístico, que se rige por licencias municipales y autonómicas.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971CF">
        <w:rPr>
          <w:rFonts w:ascii="Times New Roman" w:hAnsi="Times New Roman" w:cs="Times New Roman"/>
          <w:sz w:val="24"/>
          <w:szCs w:val="24"/>
          <w:u w:val="single"/>
          <w:shd w:val="clear" w:color="auto" w:fill="FFFFFF"/>
        </w:rPr>
        <w:t xml:space="preserve">Los técnicos de Hacienda </w:t>
      </w:r>
      <w:r w:rsidR="00662569">
        <w:rPr>
          <w:rFonts w:ascii="Times New Roman" w:hAnsi="Times New Roman" w:cs="Times New Roman"/>
          <w:sz w:val="24"/>
          <w:szCs w:val="24"/>
          <w:u w:val="single"/>
          <w:shd w:val="clear" w:color="auto" w:fill="FFFFFF"/>
        </w:rPr>
        <w:t>advierten de una “escalada de corrupción”</w:t>
      </w:r>
      <w:r w:rsidRPr="00F971CF">
        <w:rPr>
          <w:rFonts w:ascii="Times New Roman" w:hAnsi="Times New Roman" w:cs="Times New Roman"/>
          <w:sz w:val="24"/>
          <w:szCs w:val="24"/>
          <w:u w:val="single"/>
          <w:shd w:val="clear" w:color="auto" w:fill="FFFFFF"/>
        </w:rPr>
        <w:t xml:space="preserve"> en obra pública con una cifra récord de denuncias</w:t>
      </w:r>
      <w:r>
        <w:rPr>
          <w:rFonts w:ascii="Times New Roman" w:hAnsi="Times New Roman" w:cs="Times New Roman"/>
          <w:sz w:val="24"/>
          <w:szCs w:val="24"/>
          <w:shd w:val="clear" w:color="auto" w:fill="FFFFFF"/>
        </w:rPr>
        <w:t xml:space="preserve"> (Fuente: 20minutos.es - </w:t>
      </w:r>
      <w:r w:rsidRPr="004D2202">
        <w:rPr>
          <w:rFonts w:ascii="Times New Roman" w:hAnsi="Times New Roman" w:cs="Times New Roman"/>
          <w:b/>
          <w:sz w:val="24"/>
          <w:szCs w:val="24"/>
          <w:shd w:val="clear" w:color="auto" w:fill="FFFFFF"/>
        </w:rPr>
        <w:t>23/6/25</w:t>
      </w:r>
      <w:r>
        <w:rPr>
          <w:rFonts w:ascii="Times New Roman" w:hAnsi="Times New Roman" w:cs="Times New Roman"/>
          <w:sz w:val="24"/>
          <w:szCs w:val="24"/>
          <w:shd w:val="clear" w:color="auto" w:fill="FFFFFF"/>
        </w:rPr>
        <w:t xml:space="preserve">) </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Los técn</w:t>
      </w:r>
      <w:r w:rsidR="00662569">
        <w:rPr>
          <w:rFonts w:ascii="Times New Roman" w:hAnsi="Times New Roman" w:cs="Times New Roman"/>
          <w:sz w:val="24"/>
          <w:szCs w:val="24"/>
          <w:shd w:val="clear" w:color="auto" w:fill="FFFFFF"/>
        </w:rPr>
        <w:t>icos de Hacienda han detectado “una escalada en la corrupción”</w:t>
      </w:r>
      <w:r w:rsidRPr="00A846A1">
        <w:rPr>
          <w:rFonts w:ascii="Times New Roman" w:hAnsi="Times New Roman" w:cs="Times New Roman"/>
          <w:sz w:val="24"/>
          <w:szCs w:val="24"/>
          <w:shd w:val="clear" w:color="auto" w:fill="FFFFFF"/>
        </w:rPr>
        <w:t xml:space="preserve"> en obra pública en España, que se plasma en una cifra récord de denuncias registradas. Gestha, la asociación mayoritaria del gremio, señala que en 2023 (último año con datos disponibles) se registraron </w:t>
      </w:r>
      <w:r w:rsidRPr="00A846A1">
        <w:rPr>
          <w:rFonts w:ascii="Times New Roman" w:hAnsi="Times New Roman" w:cs="Times New Roman"/>
          <w:sz w:val="24"/>
          <w:szCs w:val="24"/>
          <w:shd w:val="clear" w:color="auto" w:fill="FFFFFF"/>
        </w:rPr>
        <w:lastRenderedPageBreak/>
        <w:t>221 denuncias. Una cifra sin precedentes desde que empezaron a recopilarse datos en 2018 y que supone un aumento del</w:t>
      </w:r>
      <w:r>
        <w:rPr>
          <w:rFonts w:ascii="Times New Roman" w:hAnsi="Times New Roman" w:cs="Times New Roman"/>
          <w:sz w:val="24"/>
          <w:szCs w:val="24"/>
          <w:shd w:val="clear" w:color="auto" w:fill="FFFFFF"/>
        </w:rPr>
        <w:t xml:space="preserve"> 18% respecto al año anterior. </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Así lo ha trasladado el colectivo en una nota difundida a los medios este lunes. Una información que coincide con la revelación de una presunta red corrupta en la cúpula del PSOE en la que estarían implicados el ex secretario de Organización Santos Cerdán; su predecesor y exministro de Transportes José Luis Ábalos, y el exasesor de este Koldo García. Todos ellos señalados por la UCO por cobrar supuestamente comisiones por la</w:t>
      </w:r>
      <w:r>
        <w:rPr>
          <w:rFonts w:ascii="Times New Roman" w:hAnsi="Times New Roman" w:cs="Times New Roman"/>
          <w:sz w:val="24"/>
          <w:szCs w:val="24"/>
          <w:shd w:val="clear" w:color="auto" w:fill="FFFFFF"/>
        </w:rPr>
        <w:t xml:space="preserve"> adjudicación de obra pública. </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 xml:space="preserve">El sindicato Gestha ha analizado los indicadores de fraude y corrupción procedentes de la Oficina Independiente de Regulación y Supervisión en la Contratación (OIReScon), un organismo independiente adscrito al Ministerio de Hacienda. En concreto, se fijan en cuatro indicadores, en los que observan un incremento en la corrupción y el fraude en la contratación pública. </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Los datos analizados por los técnicos de Hacienda apuntan a que lo habitual es que las denuncias presentadas no prosperen o tarden mucho en resolverse. De las 957 que se han formalizado desde 2018, una de cada cinco se ha archivado y la mitad siguen todavía en trámite. Un parón que en Gestha atribuyen a la falta de técnicos de investigaci</w:t>
      </w:r>
      <w:r>
        <w:rPr>
          <w:rFonts w:ascii="Times New Roman" w:hAnsi="Times New Roman" w:cs="Times New Roman"/>
          <w:sz w:val="24"/>
          <w:szCs w:val="24"/>
          <w:shd w:val="clear" w:color="auto" w:fill="FFFFFF"/>
        </w:rPr>
        <w:t xml:space="preserve">ón en las agencias antifraude. </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Solo el 18,3% de las denuncias presentadas han tenido consecuencias de algún tipo. Bien porque concluyeron con un informe o recomendación por parte de la OIeScon (12,9% del total) o, en menor medida, porque acabaron judicializadas, llegaron a la fiscalía o a tribunales de cuentas (5,4%).</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Adjudicación y prácticas corruptas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 xml:space="preserve">Los técnicos de Hacienda destacan que el motivo de denuncia más frecuente se centra en la fase de adjudicación del contrato. Una de cada tres irregularidades denunciadas se </w:t>
      </w:r>
      <w:r w:rsidR="00662569" w:rsidRPr="00A846A1">
        <w:rPr>
          <w:rFonts w:ascii="Times New Roman" w:hAnsi="Times New Roman" w:cs="Times New Roman"/>
          <w:sz w:val="24"/>
          <w:szCs w:val="24"/>
          <w:shd w:val="clear" w:color="auto" w:fill="FFFFFF"/>
        </w:rPr>
        <w:t>refiere</w:t>
      </w:r>
      <w:r w:rsidRPr="00A846A1">
        <w:rPr>
          <w:rFonts w:ascii="Times New Roman" w:hAnsi="Times New Roman" w:cs="Times New Roman"/>
          <w:sz w:val="24"/>
          <w:szCs w:val="24"/>
          <w:shd w:val="clear" w:color="auto" w:fill="FFFFFF"/>
        </w:rPr>
        <w:t xml:space="preserve"> a la adjudicación, lo que incluye la tramitación del expediente</w:t>
      </w:r>
      <w:r>
        <w:rPr>
          <w:rFonts w:ascii="Times New Roman" w:hAnsi="Times New Roman" w:cs="Times New Roman"/>
          <w:sz w:val="24"/>
          <w:szCs w:val="24"/>
          <w:shd w:val="clear" w:color="auto" w:fill="FFFFFF"/>
        </w:rPr>
        <w:t xml:space="preserve"> y la licitación del contrato. </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La segunda causa más repetida de denuncia son prácticas corruptas en la contratación, que incluyen conductas como conflictos de interés, tráfico de influencias o trato de favor a empresas. Estas casuísticas suponen un 21%</w:t>
      </w:r>
      <w:r>
        <w:rPr>
          <w:rFonts w:ascii="Times New Roman" w:hAnsi="Times New Roman" w:cs="Times New Roman"/>
          <w:sz w:val="24"/>
          <w:szCs w:val="24"/>
          <w:shd w:val="clear" w:color="auto" w:fill="FFFFFF"/>
        </w:rPr>
        <w:t xml:space="preserve"> de las denuncias presentadas. </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La segunda causa más importante de denuncia son prácticas corruptas como los conflictos de interés, el tráfico de influencias o el trato de favor a una empresa,</w:t>
      </w:r>
      <w:r>
        <w:rPr>
          <w:rFonts w:ascii="Times New Roman" w:hAnsi="Times New Roman" w:cs="Times New Roman"/>
          <w:sz w:val="24"/>
          <w:szCs w:val="24"/>
          <w:shd w:val="clear" w:color="auto" w:fill="FFFFFF"/>
        </w:rPr>
        <w:t xml:space="preserve"> con el 20,6% de las denuncias.</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 xml:space="preserve">Los recursos y denuncias que se presentan </w:t>
      </w:r>
      <w:r w:rsidR="00662569" w:rsidRPr="00A846A1">
        <w:rPr>
          <w:rFonts w:ascii="Times New Roman" w:hAnsi="Times New Roman" w:cs="Times New Roman"/>
          <w:sz w:val="24"/>
          <w:szCs w:val="24"/>
          <w:shd w:val="clear" w:color="auto" w:fill="FFFFFF"/>
        </w:rPr>
        <w:t>palidecen</w:t>
      </w:r>
      <w:r w:rsidRPr="00A846A1">
        <w:rPr>
          <w:rFonts w:ascii="Times New Roman" w:hAnsi="Times New Roman" w:cs="Times New Roman"/>
          <w:sz w:val="24"/>
          <w:szCs w:val="24"/>
          <w:shd w:val="clear" w:color="auto" w:fill="FFFFFF"/>
        </w:rPr>
        <w:t xml:space="preserve"> si se comparan con el número de licitaciones anuales en el sector público de España. Solo el año pasado se licitaron 206.210 expedientes que movieron 113.091 millones de euros en licitaciones. Según los cálculos de Gestha, la suma de denuncias y recursos “vivos” apenas representan el 0,7% de todos los expedientes. Algo que para los técnicos de hacienda prueba que la contratación pública en España es, “en general, correcta”.</w:t>
      </w:r>
    </w:p>
    <w:p w:rsidR="00043F6A" w:rsidRPr="00A846A1" w:rsidRDefault="00043F6A" w:rsidP="00043F6A">
      <w:pPr>
        <w:spacing w:line="240" w:lineRule="auto"/>
        <w:jc w:val="both"/>
        <w:rPr>
          <w:rFonts w:ascii="Times New Roman" w:hAnsi="Times New Roman" w:cs="Times New Roman"/>
          <w:sz w:val="24"/>
          <w:szCs w:val="24"/>
          <w:shd w:val="clear" w:color="auto" w:fill="FFFFFF"/>
        </w:rPr>
      </w:pPr>
      <w:r w:rsidRPr="00A846A1">
        <w:rPr>
          <w:rFonts w:ascii="Times New Roman" w:hAnsi="Times New Roman" w:cs="Times New Roman"/>
          <w:sz w:val="24"/>
          <w:szCs w:val="24"/>
          <w:shd w:val="clear" w:color="auto" w:fill="FFFFFF"/>
        </w:rPr>
        <w:t xml:space="preserve">Desde Gestha sostienen que se espera un aumento en las denuncias por fraude o corrupción, entre ellas las relacionadas con la contratación pública, por el refuerzo en la protección al denunciante que se recoge en la ley de protección al confidente. Ante este previsto incremento en las denuncias, Gestha insta a los gobiernos regionales que todavía no tienen oficinas antifraude a que las constituyan. </w:t>
      </w:r>
    </w:p>
    <w:p w:rsidR="00043F6A" w:rsidRPr="00F971CF"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F971CF">
        <w:rPr>
          <w:rFonts w:ascii="Times New Roman" w:hAnsi="Times New Roman" w:cs="Times New Roman"/>
          <w:sz w:val="24"/>
          <w:szCs w:val="24"/>
          <w:u w:val="single"/>
          <w:shd w:val="clear" w:color="auto" w:fill="FFFFFF"/>
        </w:rPr>
        <w:t>La contratación pública como escenario de corrupción. Situación general</w:t>
      </w:r>
      <w:r>
        <w:rPr>
          <w:rFonts w:ascii="Times New Roman" w:hAnsi="Times New Roman" w:cs="Times New Roman"/>
          <w:sz w:val="24"/>
          <w:szCs w:val="24"/>
          <w:shd w:val="clear" w:color="auto" w:fill="FFFFFF"/>
        </w:rPr>
        <w:t xml:space="preserve"> (Fuente: </w:t>
      </w:r>
      <w:r w:rsidRPr="00F971CF">
        <w:rPr>
          <w:rFonts w:ascii="Times New Roman" w:hAnsi="Times New Roman" w:cs="Times New Roman"/>
          <w:sz w:val="24"/>
          <w:szCs w:val="24"/>
          <w:shd w:val="clear" w:color="auto" w:fill="FFFFFF"/>
        </w:rPr>
        <w:t>vlex.es/vid/corrupcion-contratacion-publica-646065625</w:t>
      </w:r>
      <w:r>
        <w:rPr>
          <w:rFonts w:ascii="Times New Roman" w:hAnsi="Times New Roman" w:cs="Times New Roman"/>
          <w:sz w:val="24"/>
          <w:szCs w:val="24"/>
          <w:shd w:val="clear" w:color="auto" w:fill="FFFFFF"/>
        </w:rPr>
        <w:t>)</w:t>
      </w:r>
    </w:p>
    <w:p w:rsidR="00043F6A" w:rsidRPr="00F971CF" w:rsidRDefault="00043F6A" w:rsidP="00043F6A">
      <w:pPr>
        <w:spacing w:line="240" w:lineRule="auto"/>
        <w:jc w:val="both"/>
        <w:rPr>
          <w:rFonts w:ascii="Times New Roman" w:hAnsi="Times New Roman" w:cs="Times New Roman"/>
          <w:sz w:val="24"/>
          <w:szCs w:val="24"/>
          <w:shd w:val="clear" w:color="auto" w:fill="FFFFFF"/>
        </w:rPr>
      </w:pPr>
      <w:r w:rsidRPr="00F971CF">
        <w:rPr>
          <w:rFonts w:ascii="Times New Roman" w:hAnsi="Times New Roman" w:cs="Times New Roman"/>
          <w:sz w:val="24"/>
          <w:szCs w:val="24"/>
          <w:shd w:val="clear" w:color="auto" w:fill="FFFFFF"/>
        </w:rPr>
        <w:t>La contratación pública es, sin duda, el principal teatro donde analizar, y reflexionar, sobre la función</w:t>
      </w:r>
      <w:r>
        <w:rPr>
          <w:rFonts w:ascii="Times New Roman" w:hAnsi="Times New Roman" w:cs="Times New Roman"/>
          <w:sz w:val="24"/>
          <w:szCs w:val="24"/>
          <w:shd w:val="clear" w:color="auto" w:fill="FFFFFF"/>
        </w:rPr>
        <w:t xml:space="preserve"> y el efecto de la trasparencia</w:t>
      </w:r>
      <w:r w:rsidRPr="00F971CF">
        <w:rPr>
          <w:rFonts w:ascii="Times New Roman" w:hAnsi="Times New Roman" w:cs="Times New Roman"/>
          <w:sz w:val="24"/>
          <w:szCs w:val="24"/>
          <w:shd w:val="clear" w:color="auto" w:fill="FFFFFF"/>
        </w:rPr>
        <w:t>. Y ello, principal-mente, porque el impacto económico de los contratos públicos es de tal dimensión que afecta a la consecución del objetivo del mercado interior y desarrollo de la actividad económica transfronteriza. Los últimos estudios publicados por la Comisión Europea son elocuentes: en el año 2008, la compra de bienes, obras y servicios por parte del sector público se cifró en 2.155 billones de euros que equivalen a un 17,23% de</w:t>
      </w:r>
      <w:r>
        <w:rPr>
          <w:rFonts w:ascii="Times New Roman" w:hAnsi="Times New Roman" w:cs="Times New Roman"/>
          <w:sz w:val="24"/>
          <w:szCs w:val="24"/>
          <w:shd w:val="clear" w:color="auto" w:fill="FFFFFF"/>
        </w:rPr>
        <w:t xml:space="preserve">l producto interior bruto (PIB) </w:t>
      </w:r>
      <w:r w:rsidRPr="00F971CF">
        <w:rPr>
          <w:rFonts w:ascii="Times New Roman" w:hAnsi="Times New Roman" w:cs="Times New Roman"/>
          <w:sz w:val="24"/>
          <w:szCs w:val="24"/>
          <w:shd w:val="clear" w:color="auto" w:fill="FFFFFF"/>
        </w:rPr>
        <w:t>e</w:t>
      </w:r>
      <w:r>
        <w:rPr>
          <w:rFonts w:ascii="Times New Roman" w:hAnsi="Times New Roman" w:cs="Times New Roman"/>
          <w:sz w:val="24"/>
          <w:szCs w:val="24"/>
          <w:shd w:val="clear" w:color="auto" w:fill="FFFFFF"/>
        </w:rPr>
        <w:t>uropeo y en el 2010 más del 19%</w:t>
      </w:r>
      <w:r w:rsidRPr="00F971CF">
        <w:rPr>
          <w:rFonts w:ascii="Times New Roman" w:hAnsi="Times New Roman" w:cs="Times New Roman"/>
          <w:sz w:val="24"/>
          <w:szCs w:val="24"/>
          <w:shd w:val="clear" w:color="auto" w:fill="FFFFFF"/>
        </w:rPr>
        <w:t>. Ello explica, por sí solo, porque es en este escenario donde están proliferando las causas de corrupción que obedecen a muchas causas y exigen soluciones distintas y coordinadas con el fin de asegurar la gestión eficiente y libre de corru</w:t>
      </w:r>
      <w:r>
        <w:rPr>
          <w:rFonts w:ascii="Times New Roman" w:hAnsi="Times New Roman" w:cs="Times New Roman"/>
          <w:sz w:val="24"/>
          <w:szCs w:val="24"/>
          <w:shd w:val="clear" w:color="auto" w:fill="FFFFFF"/>
        </w:rPr>
        <w:t>pción de los contratos públicos</w:t>
      </w:r>
      <w:r w:rsidRPr="00F971CF">
        <w:rPr>
          <w:rFonts w:ascii="Times New Roman" w:hAnsi="Times New Roman" w:cs="Times New Roman"/>
          <w:sz w:val="24"/>
          <w:szCs w:val="24"/>
          <w:shd w:val="clear" w:color="auto" w:fill="FFFFFF"/>
        </w:rPr>
        <w:t>.</w:t>
      </w:r>
    </w:p>
    <w:p w:rsidR="00043F6A" w:rsidRPr="00F971CF" w:rsidRDefault="00043F6A" w:rsidP="00043F6A">
      <w:pPr>
        <w:spacing w:line="240" w:lineRule="auto"/>
        <w:jc w:val="both"/>
        <w:rPr>
          <w:rFonts w:ascii="Times New Roman" w:hAnsi="Times New Roman" w:cs="Times New Roman"/>
          <w:sz w:val="24"/>
          <w:szCs w:val="24"/>
          <w:shd w:val="clear" w:color="auto" w:fill="FFFFFF"/>
        </w:rPr>
      </w:pPr>
      <w:r w:rsidRPr="00F971CF">
        <w:rPr>
          <w:rFonts w:ascii="Times New Roman" w:hAnsi="Times New Roman" w:cs="Times New Roman"/>
          <w:sz w:val="24"/>
          <w:szCs w:val="24"/>
          <w:shd w:val="clear" w:color="auto" w:fill="FFFFFF"/>
        </w:rPr>
        <w:t>La realidad nos presenta como en los procedimiento y ejecución de contratos públicos concurren numerosos casos de corrupción y de prácticas clientelares, de las que derivan evidentes ineficiencias económicas (la corrupción genera pérdidas en la economía de la UE que se estiman en unos 12</w:t>
      </w:r>
      <w:r>
        <w:rPr>
          <w:rFonts w:ascii="Times New Roman" w:hAnsi="Times New Roman" w:cs="Times New Roman"/>
          <w:sz w:val="24"/>
          <w:szCs w:val="24"/>
          <w:shd w:val="clear" w:color="auto" w:fill="FFFFFF"/>
        </w:rPr>
        <w:t>0.000 millones de euros al año -1% del PIB europeo-</w:t>
      </w:r>
      <w:r w:rsidRPr="00F971CF">
        <w:rPr>
          <w:rFonts w:ascii="Times New Roman" w:hAnsi="Times New Roman" w:cs="Times New Roman"/>
          <w:sz w:val="24"/>
          <w:szCs w:val="24"/>
          <w:shd w:val="clear" w:color="auto" w:fill="FFFFFF"/>
        </w:rPr>
        <w:t xml:space="preserve"> y conlleva la distorsión del funci</w:t>
      </w:r>
      <w:r>
        <w:rPr>
          <w:rFonts w:ascii="Times New Roman" w:hAnsi="Times New Roman" w:cs="Times New Roman"/>
          <w:sz w:val="24"/>
          <w:szCs w:val="24"/>
          <w:shd w:val="clear" w:color="auto" w:fill="FFFFFF"/>
        </w:rPr>
        <w:t>onamiento del mercado interior -</w:t>
      </w:r>
      <w:r w:rsidRPr="00F971CF">
        <w:rPr>
          <w:rFonts w:ascii="Times New Roman" w:hAnsi="Times New Roman" w:cs="Times New Roman"/>
          <w:sz w:val="24"/>
          <w:szCs w:val="24"/>
          <w:shd w:val="clear" w:color="auto" w:fill="FFFFFF"/>
        </w:rPr>
        <w:t>Comunicación de la Comisión Lucha contra la corrupción en la UE, COM (2011)</w:t>
      </w:r>
      <w:r>
        <w:rPr>
          <w:rFonts w:ascii="Times New Roman" w:hAnsi="Times New Roman" w:cs="Times New Roman"/>
          <w:sz w:val="24"/>
          <w:szCs w:val="24"/>
          <w:shd w:val="clear" w:color="auto" w:fill="FFFFFF"/>
        </w:rPr>
        <w:t xml:space="preserve"> 308 final, de 6 de junio, p. 3-</w:t>
      </w:r>
      <w:r w:rsidRPr="00F971CF">
        <w:rPr>
          <w:rFonts w:ascii="Times New Roman" w:hAnsi="Times New Roman" w:cs="Times New Roman"/>
          <w:sz w:val="24"/>
          <w:szCs w:val="24"/>
          <w:shd w:val="clear" w:color="auto" w:fill="FFFFFF"/>
        </w:rPr>
        <w:t xml:space="preserve"> y, por supuesto, pérdida de legitimación democrática de las instituciones adminis</w:t>
      </w:r>
      <w:r>
        <w:rPr>
          <w:rFonts w:ascii="Times New Roman" w:hAnsi="Times New Roman" w:cs="Times New Roman"/>
          <w:sz w:val="24"/>
          <w:szCs w:val="24"/>
          <w:shd w:val="clear" w:color="auto" w:fill="FFFFFF"/>
        </w:rPr>
        <w:t>trativas y políticas.</w:t>
      </w:r>
    </w:p>
    <w:p w:rsidR="00043F6A" w:rsidRPr="003912B1" w:rsidRDefault="00043F6A" w:rsidP="00043F6A">
      <w:pPr>
        <w:spacing w:line="240" w:lineRule="auto"/>
        <w:jc w:val="both"/>
        <w:rPr>
          <w:rFonts w:ascii="Times New Roman" w:hAnsi="Times New Roman" w:cs="Times New Roman"/>
          <w:color w:val="FF0000"/>
          <w:sz w:val="24"/>
          <w:szCs w:val="24"/>
          <w:shd w:val="clear" w:color="auto" w:fill="FFFFFF"/>
        </w:rPr>
      </w:pPr>
      <w:r w:rsidRPr="003912B1">
        <w:rPr>
          <w:rFonts w:ascii="Times New Roman" w:hAnsi="Times New Roman" w:cs="Times New Roman"/>
          <w:color w:val="FF0000"/>
          <w:sz w:val="24"/>
          <w:szCs w:val="24"/>
          <w:shd w:val="clear" w:color="auto" w:fill="FFFFFF"/>
        </w:rPr>
        <w:t>El mercado de los contratos pú</w:t>
      </w:r>
      <w:r w:rsidR="00662569">
        <w:rPr>
          <w:rFonts w:ascii="Times New Roman" w:hAnsi="Times New Roman" w:cs="Times New Roman"/>
          <w:color w:val="FF0000"/>
          <w:sz w:val="24"/>
          <w:szCs w:val="24"/>
          <w:shd w:val="clear" w:color="auto" w:fill="FFFFFF"/>
        </w:rPr>
        <w:t>blicos es donde existen “mayores tentaciones”</w:t>
      </w:r>
      <w:r w:rsidRPr="003912B1">
        <w:rPr>
          <w:rFonts w:ascii="Times New Roman" w:hAnsi="Times New Roman" w:cs="Times New Roman"/>
          <w:color w:val="FF0000"/>
          <w:sz w:val="24"/>
          <w:szCs w:val="24"/>
          <w:shd w:val="clear" w:color="auto" w:fill="FFFFFF"/>
        </w:rPr>
        <w:t xml:space="preserve"> y ofrecen más oportunidades a la corrupción en los distintos ámbitos de las actividades del sector público. De hecho la organización Transparencia Internacional afirma que «la corrupción en la contratación pública es reconocida actualmente como el factor principal de desperdicio e ineficiencia en el manejo de los recursos en la región. Se estima que, en promedio, el 10% del gasto en contrataciones públicas se desperdicia en corrupción y soborno. Frente a esta problemática, el combate de la corrupción en la contratación pública se vuelve una condición básica para propiciar la adecuada satisfacción de las necesidades de los ciudadanos, así como para promover la ética pública y</w:t>
      </w:r>
      <w:r w:rsidR="00662569">
        <w:rPr>
          <w:rFonts w:ascii="Times New Roman" w:hAnsi="Times New Roman" w:cs="Times New Roman"/>
          <w:color w:val="FF0000"/>
          <w:sz w:val="24"/>
          <w:szCs w:val="24"/>
          <w:shd w:val="clear" w:color="auto" w:fill="FFFFFF"/>
        </w:rPr>
        <w:t xml:space="preserve"> la responsabilidad empresarial”</w:t>
      </w:r>
      <w:r w:rsidRPr="003912B1">
        <w:rPr>
          <w:rFonts w:ascii="Times New Roman" w:hAnsi="Times New Roman" w:cs="Times New Roman"/>
          <w:color w:val="FF0000"/>
          <w:sz w:val="24"/>
          <w:szCs w:val="24"/>
          <w:shd w:val="clear" w:color="auto" w:fill="FFFFFF"/>
        </w:rPr>
        <w:t>.</w:t>
      </w:r>
    </w:p>
    <w:p w:rsidR="00043F6A" w:rsidRPr="00F971CF" w:rsidRDefault="00043F6A" w:rsidP="00043F6A">
      <w:pPr>
        <w:spacing w:line="240" w:lineRule="auto"/>
        <w:jc w:val="both"/>
        <w:rPr>
          <w:rFonts w:ascii="Times New Roman" w:hAnsi="Times New Roman" w:cs="Times New Roman"/>
          <w:sz w:val="24"/>
          <w:szCs w:val="24"/>
          <w:shd w:val="clear" w:color="auto" w:fill="FFFFFF"/>
        </w:rPr>
      </w:pPr>
      <w:r w:rsidRPr="00F971CF">
        <w:rPr>
          <w:rFonts w:ascii="Times New Roman" w:hAnsi="Times New Roman" w:cs="Times New Roman"/>
          <w:sz w:val="24"/>
          <w:szCs w:val="24"/>
          <w:shd w:val="clear" w:color="auto" w:fill="FFFFFF"/>
        </w:rPr>
        <w:t>Asimismo, el Parlamento Eu</w:t>
      </w:r>
      <w:r w:rsidR="00662569">
        <w:rPr>
          <w:rFonts w:ascii="Times New Roman" w:hAnsi="Times New Roman" w:cs="Times New Roman"/>
          <w:sz w:val="24"/>
          <w:szCs w:val="24"/>
          <w:shd w:val="clear" w:color="auto" w:fill="FFFFFF"/>
        </w:rPr>
        <w:t>ropeo ha llegado a afirmar que “</w:t>
      </w:r>
      <w:r w:rsidRPr="00F971CF">
        <w:rPr>
          <w:rFonts w:ascii="Times New Roman" w:hAnsi="Times New Roman" w:cs="Times New Roman"/>
          <w:sz w:val="24"/>
          <w:szCs w:val="24"/>
          <w:shd w:val="clear" w:color="auto" w:fill="FFFFFF"/>
        </w:rPr>
        <w:t xml:space="preserve">el sector de la contratación pública es el más expuesto a los riegos de gestión irregular, fraude y corrupción y que estas conductas ilícitas distorsionan el mercado, provocan un aumento de los precios y de las tarifas abonadas por los consumidores para la adquisición de bienes y servicios, y siembran la desconfianza </w:t>
      </w:r>
      <w:r w:rsidR="00662569">
        <w:rPr>
          <w:rFonts w:ascii="Times New Roman" w:hAnsi="Times New Roman" w:cs="Times New Roman"/>
          <w:sz w:val="24"/>
          <w:szCs w:val="24"/>
          <w:shd w:val="clear" w:color="auto" w:fill="FFFFFF"/>
        </w:rPr>
        <w:t>con respecto a la Unión Europea”</w:t>
      </w:r>
      <w:r w:rsidRPr="00F971CF">
        <w:rPr>
          <w:rFonts w:ascii="Times New Roman" w:hAnsi="Times New Roman" w:cs="Times New Roman"/>
          <w:sz w:val="24"/>
          <w:szCs w:val="24"/>
          <w:shd w:val="clear" w:color="auto" w:fill="FFFFFF"/>
        </w:rPr>
        <w:t>, e insta a los Estados miembros a que establezcan como máxima prioridad la lucha contra la corrupción en la contratación a través de una adecuada aplicación de las Directivas sobre contratos públicos, merced a los «efectos devastadores de la corrupción en términos de inflación de costes, adquisición de equipos innecesarios, in</w:t>
      </w:r>
      <w:r>
        <w:rPr>
          <w:rFonts w:ascii="Times New Roman" w:hAnsi="Times New Roman" w:cs="Times New Roman"/>
          <w:sz w:val="24"/>
          <w:szCs w:val="24"/>
          <w:shd w:val="clear" w:color="auto" w:fill="FFFFFF"/>
        </w:rPr>
        <w:t>adecuados o de calidad inferior.</w:t>
      </w:r>
    </w:p>
    <w:p w:rsidR="00043F6A" w:rsidRPr="00F971CF" w:rsidRDefault="00043F6A" w:rsidP="00043F6A">
      <w:pPr>
        <w:spacing w:line="240" w:lineRule="auto"/>
        <w:jc w:val="both"/>
        <w:rPr>
          <w:rFonts w:ascii="Times New Roman" w:hAnsi="Times New Roman" w:cs="Times New Roman"/>
          <w:sz w:val="24"/>
          <w:szCs w:val="24"/>
          <w:shd w:val="clear" w:color="auto" w:fill="FFFFFF"/>
        </w:rPr>
      </w:pPr>
      <w:r w:rsidRPr="00F971CF">
        <w:rPr>
          <w:rFonts w:ascii="Times New Roman" w:hAnsi="Times New Roman" w:cs="Times New Roman"/>
          <w:sz w:val="24"/>
          <w:szCs w:val="24"/>
          <w:shd w:val="clear" w:color="auto" w:fill="FFFFFF"/>
        </w:rPr>
        <w:t>La Unión Europea viene insistiendo en esta idea y es abiertamente combativa con</w:t>
      </w:r>
      <w:r>
        <w:rPr>
          <w:rFonts w:ascii="Times New Roman" w:hAnsi="Times New Roman" w:cs="Times New Roman"/>
          <w:sz w:val="24"/>
          <w:szCs w:val="24"/>
          <w:shd w:val="clear" w:color="auto" w:fill="FFFFFF"/>
        </w:rPr>
        <w:t>tra los supuestos de corrupción</w:t>
      </w:r>
      <w:r w:rsidRPr="00F971CF">
        <w:rPr>
          <w:rFonts w:ascii="Times New Roman" w:hAnsi="Times New Roman" w:cs="Times New Roman"/>
          <w:sz w:val="24"/>
          <w:szCs w:val="24"/>
          <w:shd w:val="clear" w:color="auto" w:fill="FFFFFF"/>
        </w:rPr>
        <w:t>. Por ello, en el Informe Anticorrupción de la UE 2014, se insiste en la necesidad de una actitud proactiva contra las prácticas corruptas en tanto puede ponerse en riesgo</w:t>
      </w:r>
      <w:r>
        <w:rPr>
          <w:rFonts w:ascii="Times New Roman" w:hAnsi="Times New Roman" w:cs="Times New Roman"/>
          <w:sz w:val="24"/>
          <w:szCs w:val="24"/>
          <w:shd w:val="clear" w:color="auto" w:fill="FFFFFF"/>
        </w:rPr>
        <w:t xml:space="preserve"> la competitividad en la Unión.</w:t>
      </w:r>
    </w:p>
    <w:p w:rsidR="00043F6A" w:rsidRPr="00F971CF" w:rsidRDefault="00043F6A" w:rsidP="00043F6A">
      <w:pPr>
        <w:spacing w:line="240" w:lineRule="auto"/>
        <w:jc w:val="both"/>
        <w:rPr>
          <w:rFonts w:ascii="Times New Roman" w:hAnsi="Times New Roman" w:cs="Times New Roman"/>
          <w:sz w:val="24"/>
          <w:szCs w:val="24"/>
          <w:shd w:val="clear" w:color="auto" w:fill="FFFFFF"/>
        </w:rPr>
      </w:pPr>
      <w:r w:rsidRPr="00F971CF">
        <w:rPr>
          <w:rFonts w:ascii="Times New Roman" w:hAnsi="Times New Roman" w:cs="Times New Roman"/>
          <w:sz w:val="24"/>
          <w:szCs w:val="24"/>
          <w:shd w:val="clear" w:color="auto" w:fill="FFFFFF"/>
        </w:rPr>
        <w:t>Una de las principales razones que explican el avance de estas prácticas se encuentra, como ya se ha indicado, en el elevado volumen de recursos que moviliza la c</w:t>
      </w:r>
      <w:r>
        <w:rPr>
          <w:rFonts w:ascii="Times New Roman" w:hAnsi="Times New Roman" w:cs="Times New Roman"/>
          <w:sz w:val="24"/>
          <w:szCs w:val="24"/>
          <w:shd w:val="clear" w:color="auto" w:fill="FFFFFF"/>
        </w:rPr>
        <w:t>ontratación del sector público</w:t>
      </w:r>
      <w:r w:rsidRPr="00F971CF">
        <w:rPr>
          <w:rFonts w:ascii="Times New Roman" w:hAnsi="Times New Roman" w:cs="Times New Roman"/>
          <w:sz w:val="24"/>
          <w:szCs w:val="24"/>
          <w:shd w:val="clear" w:color="auto" w:fill="FFFFFF"/>
        </w:rPr>
        <w:t xml:space="preserve">. Entre los tipos contractuales potencialmente más expuestos a la corrupción, se viene mencionando que son los contratos de obras los que han dejado al descubierto los escándalos más sonados de casos de corrupción. Los grandes proyectos de obras o infraestructuras, las </w:t>
      </w:r>
      <w:r w:rsidRPr="00F971CF">
        <w:rPr>
          <w:rFonts w:ascii="Times New Roman" w:hAnsi="Times New Roman" w:cs="Times New Roman"/>
          <w:sz w:val="24"/>
          <w:szCs w:val="24"/>
          <w:shd w:val="clear" w:color="auto" w:fill="FFFFFF"/>
        </w:rPr>
        <w:lastRenderedPageBreak/>
        <w:t>telecomunicaciones o los relacionados con el sector energético y el de la defensa son igualmente considerados como propensos a prácticas corruptas, ya que la complejidad tecnológica de dichos sectores ofrece una mayor oportunidad para ocultar diversas y variadas prácticas corruptas. Pero en los últimos años han crecido exponencialmente estas prácticas indebidas en los contratos menores, que, en ocasiones, se han utilizado para financiación ilegal de partidos políticos o adjudicar directamente a personas o empresas afines.</w:t>
      </w:r>
    </w:p>
    <w:p w:rsidR="00043F6A" w:rsidRPr="00F971CF" w:rsidRDefault="00043F6A" w:rsidP="00043F6A">
      <w:pPr>
        <w:spacing w:line="240" w:lineRule="auto"/>
        <w:jc w:val="both"/>
        <w:rPr>
          <w:rFonts w:ascii="Times New Roman" w:hAnsi="Times New Roman" w:cs="Times New Roman"/>
          <w:sz w:val="24"/>
          <w:szCs w:val="24"/>
          <w:shd w:val="clear" w:color="auto" w:fill="FFFFFF"/>
        </w:rPr>
      </w:pPr>
      <w:r w:rsidRPr="00F971CF">
        <w:rPr>
          <w:rFonts w:ascii="Times New Roman" w:hAnsi="Times New Roman" w:cs="Times New Roman"/>
          <w:sz w:val="24"/>
          <w:szCs w:val="24"/>
          <w:shd w:val="clear" w:color="auto" w:fill="FFFFFF"/>
        </w:rPr>
        <w:t>Los efectos de la corrupción en la gestió</w:t>
      </w:r>
      <w:r>
        <w:rPr>
          <w:rFonts w:ascii="Times New Roman" w:hAnsi="Times New Roman" w:cs="Times New Roman"/>
          <w:sz w:val="24"/>
          <w:szCs w:val="24"/>
          <w:shd w:val="clear" w:color="auto" w:fill="FFFFFF"/>
        </w:rPr>
        <w:t>n administrativa son evidentes</w:t>
      </w:r>
      <w:r w:rsidRPr="00F971CF">
        <w:rPr>
          <w:rFonts w:ascii="Times New Roman" w:hAnsi="Times New Roman" w:cs="Times New Roman"/>
          <w:sz w:val="24"/>
          <w:szCs w:val="24"/>
          <w:shd w:val="clear" w:color="auto" w:fill="FFFFFF"/>
        </w:rPr>
        <w:t>.</w:t>
      </w:r>
    </w:p>
    <w:p w:rsidR="00043F6A" w:rsidRPr="00F971CF" w:rsidRDefault="00043F6A" w:rsidP="00043F6A">
      <w:pPr>
        <w:spacing w:line="240" w:lineRule="auto"/>
        <w:jc w:val="both"/>
        <w:rPr>
          <w:rFonts w:ascii="Times New Roman" w:hAnsi="Times New Roman" w:cs="Times New Roman"/>
          <w:sz w:val="24"/>
          <w:szCs w:val="24"/>
          <w:shd w:val="clear" w:color="auto" w:fill="FFFFFF"/>
        </w:rPr>
      </w:pPr>
      <w:r w:rsidRPr="00F971CF">
        <w:rPr>
          <w:rFonts w:ascii="Times New Roman" w:hAnsi="Times New Roman" w:cs="Times New Roman"/>
          <w:sz w:val="24"/>
          <w:szCs w:val="24"/>
          <w:shd w:val="clear" w:color="auto" w:fill="FFFFFF"/>
        </w:rPr>
        <w:t>Amén de una clara ineficiencia en la gestión de f</w:t>
      </w:r>
      <w:r>
        <w:rPr>
          <w:rFonts w:ascii="Times New Roman" w:hAnsi="Times New Roman" w:cs="Times New Roman"/>
          <w:sz w:val="24"/>
          <w:szCs w:val="24"/>
          <w:shd w:val="clear" w:color="auto" w:fill="FFFFFF"/>
        </w:rPr>
        <w:t>ondos públicos, es una pérdi</w:t>
      </w:r>
      <w:r w:rsidRPr="00F971CF">
        <w:rPr>
          <w:rFonts w:ascii="Times New Roman" w:hAnsi="Times New Roman" w:cs="Times New Roman"/>
          <w:sz w:val="24"/>
          <w:szCs w:val="24"/>
          <w:shd w:val="clear" w:color="auto" w:fill="FFFFFF"/>
        </w:rPr>
        <w:t>da de competencia que afecta a la solvencia cualitativa del sector empresarial. Sin una competencia real, la ejecución de obras, la adquisición de bienes o la prestación de servicios resulta más costosa para el erario público y deja al descubierto una importante desviación de recursos públicos. En tiempos de crisis como los actuales son muchos más visibles estos efectos (como acaba de poner de relieve el citado Informe de la Com</w:t>
      </w:r>
      <w:r>
        <w:rPr>
          <w:rFonts w:ascii="Times New Roman" w:hAnsi="Times New Roman" w:cs="Times New Roman"/>
          <w:sz w:val="24"/>
          <w:szCs w:val="24"/>
          <w:shd w:val="clear" w:color="auto" w:fill="FFFFFF"/>
        </w:rPr>
        <w:t>isión Europea sobre corrupción).</w:t>
      </w:r>
    </w:p>
    <w:p w:rsidR="00043F6A" w:rsidRPr="00F971CF" w:rsidRDefault="00043F6A" w:rsidP="00043F6A">
      <w:pPr>
        <w:spacing w:line="240" w:lineRule="auto"/>
        <w:jc w:val="both"/>
        <w:rPr>
          <w:rFonts w:ascii="Times New Roman" w:hAnsi="Times New Roman" w:cs="Times New Roman"/>
          <w:sz w:val="24"/>
          <w:szCs w:val="24"/>
          <w:shd w:val="clear" w:color="auto" w:fill="FFFFFF"/>
        </w:rPr>
      </w:pPr>
      <w:r w:rsidRPr="00F971CF">
        <w:rPr>
          <w:rFonts w:ascii="Times New Roman" w:hAnsi="Times New Roman" w:cs="Times New Roman"/>
          <w:sz w:val="24"/>
          <w:szCs w:val="24"/>
          <w:shd w:val="clear" w:color="auto" w:fill="FFFFFF"/>
        </w:rPr>
        <w:t>Esta cuestión no puede resultar indiferente para quienes enseñamos el Derecho Administrativo y creemos en su carácte</w:t>
      </w:r>
      <w:r>
        <w:rPr>
          <w:rFonts w:ascii="Times New Roman" w:hAnsi="Times New Roman" w:cs="Times New Roman"/>
          <w:sz w:val="24"/>
          <w:szCs w:val="24"/>
          <w:shd w:val="clear" w:color="auto" w:fill="FFFFFF"/>
        </w:rPr>
        <w:t>r transformador de la sociedad.</w:t>
      </w:r>
    </w:p>
    <w:p w:rsidR="00043F6A" w:rsidRDefault="00043F6A" w:rsidP="00043F6A">
      <w:pPr>
        <w:spacing w:line="240" w:lineRule="auto"/>
        <w:jc w:val="both"/>
        <w:rPr>
          <w:rFonts w:ascii="Times New Roman" w:hAnsi="Times New Roman" w:cs="Times New Roman"/>
          <w:sz w:val="24"/>
          <w:szCs w:val="24"/>
          <w:shd w:val="clear" w:color="auto" w:fill="FFFFFF"/>
        </w:rPr>
      </w:pPr>
      <w:r w:rsidRPr="00F971CF">
        <w:rPr>
          <w:rFonts w:ascii="Times New Roman" w:hAnsi="Times New Roman" w:cs="Times New Roman"/>
          <w:sz w:val="24"/>
          <w:szCs w:val="24"/>
          <w:shd w:val="clear" w:color="auto" w:fill="FFFFFF"/>
        </w:rPr>
        <w:t>Por ello, frente a la opción de una descripción propedéutica de los cambios que contiene las nuevas Directivas comunitarias, parece oportuno reflexionar sobre los puntos críticos de nuestra legislación de contratos públicos, que, pese a su extensión y detalle ha fracasado en el objetivo de prevención de la corrupción. Intentaré</w:t>
      </w:r>
      <w:r w:rsidR="00662569">
        <w:rPr>
          <w:rFonts w:ascii="Times New Roman" w:hAnsi="Times New Roman" w:cs="Times New Roman"/>
          <w:sz w:val="24"/>
          <w:szCs w:val="24"/>
          <w:shd w:val="clear" w:color="auto" w:fill="FFFFFF"/>
        </w:rPr>
        <w:t xml:space="preserve"> sistematizar lo que considero “ideas fuerza”</w:t>
      </w:r>
      <w:r w:rsidRPr="00F971CF">
        <w:rPr>
          <w:rFonts w:ascii="Times New Roman" w:hAnsi="Times New Roman" w:cs="Times New Roman"/>
          <w:sz w:val="24"/>
          <w:szCs w:val="24"/>
          <w:shd w:val="clear" w:color="auto" w:fill="FFFFFF"/>
        </w:rPr>
        <w:t xml:space="preserve"> para reforzar, desde el paradigma de la integridad y buen gobierno, la legislación </w:t>
      </w:r>
      <w:r>
        <w:rPr>
          <w:rFonts w:ascii="Times New Roman" w:hAnsi="Times New Roman" w:cs="Times New Roman"/>
          <w:sz w:val="24"/>
          <w:szCs w:val="24"/>
          <w:shd w:val="clear" w:color="auto" w:fill="FFFFFF"/>
        </w:rPr>
        <w:t>nacional de contratos públicos</w:t>
      </w:r>
      <w:r w:rsidRPr="00F971CF">
        <w:rPr>
          <w:rFonts w:ascii="Times New Roman" w:hAnsi="Times New Roman" w:cs="Times New Roman"/>
          <w:sz w:val="24"/>
          <w:szCs w:val="24"/>
          <w:shd w:val="clear" w:color="auto" w:fill="FFFFFF"/>
        </w:rPr>
        <w:t>.</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3912B1">
        <w:rPr>
          <w:rFonts w:ascii="Times New Roman" w:hAnsi="Times New Roman" w:cs="Times New Roman"/>
          <w:b/>
          <w:color w:val="FF0000"/>
          <w:sz w:val="24"/>
          <w:szCs w:val="24"/>
          <w:shd w:val="clear" w:color="auto" w:fill="FFFFFF"/>
        </w:rPr>
        <w:t>Nota</w:t>
      </w:r>
      <w:r>
        <w:rPr>
          <w:rFonts w:ascii="Times New Roman" w:hAnsi="Times New Roman" w:cs="Times New Roman"/>
          <w:b/>
          <w:color w:val="FF0000"/>
          <w:sz w:val="24"/>
          <w:szCs w:val="24"/>
          <w:shd w:val="clear" w:color="auto" w:fill="FFFFFF"/>
        </w:rPr>
        <w:t xml:space="preserve"> I</w:t>
      </w:r>
      <w:r w:rsidRPr="003912B1">
        <w:rPr>
          <w:rFonts w:ascii="Times New Roman" w:hAnsi="Times New Roman" w:cs="Times New Roman"/>
          <w:color w:val="FF0000"/>
          <w:sz w:val="24"/>
          <w:szCs w:val="24"/>
          <w:shd w:val="clear" w:color="auto" w:fill="FFFFFF"/>
        </w:rPr>
        <w:t xml:space="preserve">: </w:t>
      </w:r>
      <w:r w:rsidRPr="001179D1">
        <w:rPr>
          <w:rFonts w:ascii="Times New Roman" w:hAnsi="Times New Roman" w:cs="Times New Roman"/>
          <w:b/>
          <w:color w:val="FF0000"/>
          <w:sz w:val="24"/>
          <w:szCs w:val="24"/>
          <w:shd w:val="clear" w:color="auto" w:fill="FFFFFF"/>
        </w:rPr>
        <w:t>R. K</w:t>
      </w:r>
      <w:r>
        <w:rPr>
          <w:rFonts w:ascii="Times New Roman" w:hAnsi="Times New Roman" w:cs="Times New Roman"/>
          <w:b/>
          <w:color w:val="FF0000"/>
          <w:sz w:val="24"/>
          <w:szCs w:val="24"/>
          <w:shd w:val="clear" w:color="auto" w:fill="FFFFFF"/>
        </w:rPr>
        <w:t>litgaard</w:t>
      </w:r>
      <w:r w:rsidRPr="001179D1">
        <w:rPr>
          <w:rFonts w:ascii="Times New Roman" w:hAnsi="Times New Roman" w:cs="Times New Roman"/>
          <w:b/>
          <w:color w:val="FF0000"/>
          <w:sz w:val="24"/>
          <w:szCs w:val="24"/>
          <w:shd w:val="clear" w:color="auto" w:fill="FFFFFF"/>
        </w:rPr>
        <w:t xml:space="preserve"> define con una simple ecuación el gran problema de la corrupción</w:t>
      </w:r>
      <w:r w:rsidRPr="003912B1">
        <w:rPr>
          <w:rFonts w:ascii="Times New Roman" w:hAnsi="Times New Roman" w:cs="Times New Roman"/>
          <w:color w:val="FF0000"/>
          <w:sz w:val="24"/>
          <w:szCs w:val="24"/>
          <w:shd w:val="clear" w:color="auto" w:fill="FFFFFF"/>
        </w:rPr>
        <w:t>: C= M + A - T. C es Corrupción, M Monopolio, A Arbitrariedad y T Transparencia. Cuanto menor la transparencia (entendida como rendición de cuentas), mayor resulta el índice de corrupción17. Es decir, monopolio en la toma de decisiones, con una importante capacidad de discrecionalidad en la decisión, y ausencia o escasa necesidad de rendir cuentas, son los elementos que explican un mayor nivel de corrupción. Si se añade a esto, el dato de un marco normativo complejo (o disperso, o muy cambiante), como ya sucedido en urbanismo o contratación pública, es fácil entender el elevado índice de corrupción en España.</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3912B1">
        <w:rPr>
          <w:rFonts w:ascii="Times New Roman" w:hAnsi="Times New Roman" w:cs="Times New Roman"/>
          <w:color w:val="FF0000"/>
          <w:sz w:val="24"/>
          <w:szCs w:val="24"/>
          <w:shd w:val="clear" w:color="auto" w:fill="FFFFFF"/>
        </w:rPr>
        <w:t>La corrupción en la obra pública puede generar sobrecostos significativos, llegando a representar entre un 10% y un 25% del presupuesto original, según estimaciones de organismos como el Banco Mundial. Estos sobrecostos se deben a prácticas corruptas como el direccionamiento de contratos y el pago de sobornos a cambio de favores en la adjudi</w:t>
      </w:r>
      <w:r>
        <w:rPr>
          <w:rFonts w:ascii="Times New Roman" w:hAnsi="Times New Roman" w:cs="Times New Roman"/>
          <w:color w:val="FF0000"/>
          <w:sz w:val="24"/>
          <w:szCs w:val="24"/>
          <w:shd w:val="clear" w:color="auto" w:fill="FFFFFF"/>
        </w:rPr>
        <w:t>cación y ejecución de proyectos. (Fuente: Google - Vista creada con IA)</w:t>
      </w:r>
    </w:p>
    <w:p w:rsidR="00043F6A" w:rsidRPr="00662569" w:rsidRDefault="00043F6A" w:rsidP="00043F6A">
      <w:pPr>
        <w:pStyle w:val="Ttulo1"/>
        <w:shd w:val="clear" w:color="auto" w:fill="FFFFFF"/>
        <w:jc w:val="both"/>
        <w:rPr>
          <w:rFonts w:ascii="Times New Roman" w:hAnsi="Times New Roman" w:cs="Times New Roman"/>
          <w:b w:val="0"/>
          <w:bCs w:val="0"/>
          <w:color w:val="FF0000"/>
          <w:sz w:val="24"/>
          <w:szCs w:val="24"/>
        </w:rPr>
      </w:pPr>
      <w:r w:rsidRPr="00662569">
        <w:rPr>
          <w:rFonts w:ascii="Times New Roman" w:hAnsi="Times New Roman" w:cs="Times New Roman"/>
          <w:color w:val="FF0000"/>
          <w:sz w:val="24"/>
          <w:szCs w:val="24"/>
          <w:shd w:val="clear" w:color="auto" w:fill="FFFFFF"/>
        </w:rPr>
        <w:t xml:space="preserve">Nota II: </w:t>
      </w:r>
      <w:r w:rsidRPr="00662569">
        <w:rPr>
          <w:rStyle w:val="Textoennegrita"/>
          <w:rFonts w:ascii="Times New Roman" w:hAnsi="Times New Roman" w:cs="Times New Roman"/>
          <w:color w:val="FF0000"/>
          <w:sz w:val="24"/>
          <w:szCs w:val="24"/>
        </w:rPr>
        <w:t>Dificultad para cuantificar las pérdidas y los daños identificados</w:t>
      </w:r>
      <w:r w:rsidRPr="00662569">
        <w:rPr>
          <w:rFonts w:ascii="Times New Roman" w:hAnsi="Times New Roman" w:cs="Times New Roman"/>
          <w:color w:val="FF0000"/>
          <w:sz w:val="24"/>
          <w:szCs w:val="24"/>
        </w:rPr>
        <w:t xml:space="preserve">. </w:t>
      </w:r>
      <w:r w:rsidRPr="00662569">
        <w:rPr>
          <w:rFonts w:ascii="Times New Roman" w:hAnsi="Times New Roman" w:cs="Times New Roman"/>
          <w:b w:val="0"/>
          <w:color w:val="FF0000"/>
          <w:sz w:val="24"/>
          <w:szCs w:val="24"/>
        </w:rPr>
        <w:t>Incluso si se establecieran todos los tipos de pérdidas derivadas de la actividad corrupta, sería necesario intentar calcular la cuantía de estas pérdidas. Esto probablemente sea imposible. Por ejemplo:</w:t>
      </w:r>
    </w:p>
    <w:p w:rsidR="00043F6A" w:rsidRPr="005879F6" w:rsidRDefault="00043F6A" w:rsidP="00043F6A">
      <w:pPr>
        <w:numPr>
          <w:ilvl w:val="0"/>
          <w:numId w:val="39"/>
        </w:numPr>
        <w:spacing w:before="100" w:beforeAutospacing="1" w:after="100" w:afterAutospacing="1" w:line="240" w:lineRule="auto"/>
        <w:jc w:val="both"/>
        <w:textAlignment w:val="baseline"/>
        <w:rPr>
          <w:rFonts w:ascii="Times New Roman" w:hAnsi="Times New Roman" w:cs="Times New Roman"/>
          <w:color w:val="FF0000"/>
          <w:sz w:val="24"/>
          <w:szCs w:val="24"/>
        </w:rPr>
      </w:pPr>
      <w:r w:rsidRPr="005879F6">
        <w:rPr>
          <w:rFonts w:ascii="Times New Roman" w:hAnsi="Times New Roman" w:cs="Times New Roman"/>
          <w:color w:val="FF0000"/>
          <w:sz w:val="24"/>
          <w:szCs w:val="24"/>
        </w:rPr>
        <w:t>¿Cuánta pérdida ha sufrido un contratista que no logró obtener el contrato debido al soborno de un competidor? ¿Logró el contratista reemplazar el trabajo perdido con otro? ¿Habría alcanzado el contratista la ganancia estimada si hubiera ganado el contrato?</w:t>
      </w:r>
    </w:p>
    <w:p w:rsidR="00043F6A" w:rsidRPr="005879F6" w:rsidRDefault="00043F6A" w:rsidP="00043F6A">
      <w:pPr>
        <w:numPr>
          <w:ilvl w:val="0"/>
          <w:numId w:val="39"/>
        </w:numPr>
        <w:spacing w:before="100" w:beforeAutospacing="1" w:after="100" w:afterAutospacing="1" w:line="240" w:lineRule="auto"/>
        <w:jc w:val="both"/>
        <w:textAlignment w:val="baseline"/>
        <w:rPr>
          <w:rFonts w:ascii="Times New Roman" w:hAnsi="Times New Roman" w:cs="Times New Roman"/>
          <w:color w:val="FF0000"/>
          <w:sz w:val="24"/>
          <w:szCs w:val="24"/>
        </w:rPr>
      </w:pPr>
      <w:r w:rsidRPr="005879F6">
        <w:rPr>
          <w:rFonts w:ascii="Times New Roman" w:hAnsi="Times New Roman" w:cs="Times New Roman"/>
          <w:color w:val="FF0000"/>
          <w:sz w:val="24"/>
          <w:szCs w:val="24"/>
        </w:rPr>
        <w:lastRenderedPageBreak/>
        <w:t>¿Cuánto ha perdido el propietario de un proyecto porque un contratista pagó un soborno para ganar el proyecto (por ejemplo, ¿fue solo el costo del soborno o el contratista aumentó el precio de su oferta y, de ser así, en cuánto?). </w:t>
      </w:r>
    </w:p>
    <w:p w:rsidR="00043F6A" w:rsidRPr="005879F6" w:rsidRDefault="00043F6A" w:rsidP="00043F6A">
      <w:pPr>
        <w:numPr>
          <w:ilvl w:val="0"/>
          <w:numId w:val="39"/>
        </w:numPr>
        <w:spacing w:before="100" w:beforeAutospacing="1" w:after="100" w:afterAutospacing="1" w:line="240" w:lineRule="auto"/>
        <w:jc w:val="both"/>
        <w:textAlignment w:val="baseline"/>
        <w:rPr>
          <w:rFonts w:ascii="Times New Roman" w:hAnsi="Times New Roman" w:cs="Times New Roman"/>
          <w:color w:val="FF0000"/>
          <w:sz w:val="24"/>
          <w:szCs w:val="24"/>
        </w:rPr>
      </w:pPr>
      <w:r w:rsidRPr="005879F6">
        <w:rPr>
          <w:rFonts w:ascii="Times New Roman" w:hAnsi="Times New Roman" w:cs="Times New Roman"/>
          <w:color w:val="FF0000"/>
          <w:sz w:val="24"/>
          <w:szCs w:val="24"/>
        </w:rPr>
        <w:t>¿Cuánto ha perdido la población a causa de una central eléctrica sobredimensionada (¿debería haber sido la tarifa eléctrica un 5% más baja?</w:t>
      </w:r>
      <w:r>
        <w:rPr>
          <w:rFonts w:ascii="Times New Roman" w:hAnsi="Times New Roman" w:cs="Times New Roman"/>
          <w:color w:val="FF0000"/>
          <w:sz w:val="24"/>
          <w:szCs w:val="24"/>
        </w:rPr>
        <w:t xml:space="preserve"> o</w:t>
      </w:r>
      <w:r w:rsidRPr="005879F6">
        <w:rPr>
          <w:rFonts w:ascii="Times New Roman" w:hAnsi="Times New Roman" w:cs="Times New Roman"/>
          <w:color w:val="FF0000"/>
          <w:sz w:val="24"/>
          <w:szCs w:val="24"/>
        </w:rPr>
        <w:t xml:space="preserve"> ¿un 10% más baja?). </w:t>
      </w:r>
    </w:p>
    <w:p w:rsidR="00043F6A" w:rsidRPr="005879F6" w:rsidRDefault="00043F6A" w:rsidP="00043F6A">
      <w:pPr>
        <w:numPr>
          <w:ilvl w:val="0"/>
          <w:numId w:val="39"/>
        </w:numPr>
        <w:spacing w:before="100" w:beforeAutospacing="1" w:after="100" w:afterAutospacing="1" w:line="240" w:lineRule="auto"/>
        <w:jc w:val="both"/>
        <w:textAlignment w:val="baseline"/>
        <w:rPr>
          <w:rFonts w:ascii="Times New Roman" w:hAnsi="Times New Roman" w:cs="Times New Roman"/>
          <w:color w:val="FF0000"/>
          <w:sz w:val="24"/>
          <w:szCs w:val="24"/>
        </w:rPr>
      </w:pPr>
      <w:r w:rsidRPr="005879F6">
        <w:rPr>
          <w:rFonts w:ascii="Times New Roman" w:hAnsi="Times New Roman" w:cs="Times New Roman"/>
          <w:color w:val="FF0000"/>
          <w:sz w:val="24"/>
          <w:szCs w:val="24"/>
        </w:rPr>
        <w:t>¿Cuánto ha perdido una comunidad en términos financieros cuando una carretera resulta dañada durante una inundación, como resultado de una construcción defectuosa y corrupta?</w:t>
      </w:r>
    </w:p>
    <w:p w:rsidR="00043F6A" w:rsidRDefault="00043F6A" w:rsidP="00043F6A">
      <w:pPr>
        <w:numPr>
          <w:ilvl w:val="0"/>
          <w:numId w:val="39"/>
        </w:numPr>
        <w:spacing w:before="100" w:beforeAutospacing="1" w:after="100" w:afterAutospacing="1" w:line="240" w:lineRule="auto"/>
        <w:jc w:val="both"/>
        <w:textAlignment w:val="baseline"/>
        <w:rPr>
          <w:rFonts w:ascii="Times New Roman" w:hAnsi="Times New Roman" w:cs="Times New Roman"/>
          <w:color w:val="FF0000"/>
          <w:sz w:val="24"/>
          <w:szCs w:val="24"/>
        </w:rPr>
      </w:pPr>
      <w:r w:rsidRPr="005879F6">
        <w:rPr>
          <w:rFonts w:ascii="Times New Roman" w:hAnsi="Times New Roman" w:cs="Times New Roman"/>
          <w:color w:val="FF0000"/>
          <w:sz w:val="24"/>
          <w:szCs w:val="24"/>
        </w:rPr>
        <w:t>¿Cuánto ha perdido la familia de una persona fallecida a causa de una infraestructura defectuosa?</w:t>
      </w:r>
    </w:p>
    <w:p w:rsidR="00043F6A" w:rsidRPr="005879F6" w:rsidRDefault="00043F6A" w:rsidP="00043F6A">
      <w:pPr>
        <w:pStyle w:val="Ttulo4"/>
        <w:shd w:val="clear" w:color="auto" w:fill="FFFFFF"/>
        <w:jc w:val="both"/>
        <w:rPr>
          <w:rFonts w:ascii="Times New Roman" w:hAnsi="Times New Roman" w:cs="Times New Roman"/>
          <w:b w:val="0"/>
          <w:bCs w:val="0"/>
          <w:i w:val="0"/>
          <w:color w:val="000000"/>
          <w:sz w:val="24"/>
          <w:szCs w:val="24"/>
        </w:rPr>
      </w:pPr>
      <w:r>
        <w:rPr>
          <w:rFonts w:ascii="Times New Roman" w:hAnsi="Times New Roman" w:cs="Times New Roman"/>
          <w:b w:val="0"/>
          <w:bCs w:val="0"/>
          <w:i w:val="0"/>
          <w:color w:val="000000"/>
          <w:sz w:val="24"/>
          <w:szCs w:val="24"/>
        </w:rPr>
        <w:t xml:space="preserve">- </w:t>
      </w:r>
      <w:r w:rsidRPr="001179D1">
        <w:rPr>
          <w:rFonts w:ascii="Times New Roman" w:hAnsi="Times New Roman" w:cs="Times New Roman"/>
          <w:b w:val="0"/>
          <w:bCs w:val="0"/>
          <w:i w:val="0"/>
          <w:color w:val="000000"/>
          <w:sz w:val="24"/>
          <w:szCs w:val="24"/>
          <w:u w:val="single"/>
        </w:rPr>
        <w:t>Ejemplos de cálculos de costes hipotéticos de un proyecto</w:t>
      </w:r>
      <w:r>
        <w:rPr>
          <w:rFonts w:ascii="Times New Roman" w:hAnsi="Times New Roman" w:cs="Times New Roman"/>
          <w:b w:val="0"/>
          <w:bCs w:val="0"/>
          <w:i w:val="0"/>
          <w:color w:val="000000"/>
          <w:sz w:val="24"/>
          <w:szCs w:val="24"/>
        </w:rPr>
        <w:t xml:space="preserve"> (Fuente: </w:t>
      </w:r>
      <w:r w:rsidRPr="005879F6">
        <w:rPr>
          <w:rFonts w:ascii="Times New Roman" w:hAnsi="Times New Roman" w:cs="Times New Roman"/>
          <w:b w:val="0"/>
          <w:bCs w:val="0"/>
          <w:i w:val="0"/>
          <w:color w:val="000000"/>
          <w:sz w:val="24"/>
          <w:szCs w:val="24"/>
        </w:rPr>
        <w:t>giacce</w:t>
      </w:r>
      <w:r>
        <w:rPr>
          <w:rFonts w:ascii="Times New Roman" w:hAnsi="Times New Roman" w:cs="Times New Roman"/>
          <w:b w:val="0"/>
          <w:bCs w:val="0"/>
          <w:i w:val="0"/>
          <w:color w:val="000000"/>
          <w:sz w:val="24"/>
          <w:szCs w:val="24"/>
        </w:rPr>
        <w:t xml:space="preserve">ntre.org/the-cost-of-corruption - </w:t>
      </w:r>
      <w:r w:rsidRPr="004D2202">
        <w:rPr>
          <w:rFonts w:ascii="Times New Roman" w:hAnsi="Times New Roman" w:cs="Times New Roman"/>
          <w:bCs w:val="0"/>
          <w:i w:val="0"/>
          <w:color w:val="000000"/>
          <w:sz w:val="24"/>
          <w:szCs w:val="24"/>
        </w:rPr>
        <w:t>6/4/24</w:t>
      </w:r>
      <w:r>
        <w:rPr>
          <w:rFonts w:ascii="Times New Roman" w:hAnsi="Times New Roman" w:cs="Times New Roman"/>
          <w:b w:val="0"/>
          <w:bCs w:val="0"/>
          <w:i w:val="0"/>
          <w:color w:val="000000"/>
          <w:sz w:val="24"/>
          <w:szCs w:val="24"/>
        </w:rPr>
        <w:t>)</w:t>
      </w:r>
    </w:p>
    <w:p w:rsidR="00043F6A" w:rsidRPr="001179D1" w:rsidRDefault="00043F6A" w:rsidP="00043F6A">
      <w:pPr>
        <w:pStyle w:val="NormalWeb"/>
        <w:shd w:val="clear" w:color="auto" w:fill="FFFFFF"/>
        <w:spacing w:before="132" w:beforeAutospacing="0" w:after="180" w:afterAutospacing="0"/>
        <w:jc w:val="both"/>
        <w:rPr>
          <w:color w:val="000000"/>
        </w:rPr>
      </w:pPr>
      <w:r w:rsidRPr="001179D1">
        <w:rPr>
          <w:color w:val="000000"/>
        </w:rPr>
        <w:t>Como es probable que sea imposible calcular el costo real de la corrupción (como se explicó en la sección anterior), es útil considerar los posibles costos de la corrupción en un proyecto sobre una base hipotética.</w:t>
      </w:r>
    </w:p>
    <w:p w:rsidR="00043F6A" w:rsidRPr="001179D1" w:rsidRDefault="00043F6A" w:rsidP="00043F6A">
      <w:pPr>
        <w:pStyle w:val="NormalWeb"/>
        <w:shd w:val="clear" w:color="auto" w:fill="FFFFFF"/>
        <w:spacing w:before="132" w:beforeAutospacing="0" w:after="180" w:afterAutospacing="0"/>
        <w:jc w:val="both"/>
        <w:rPr>
          <w:color w:val="000000"/>
        </w:rPr>
      </w:pPr>
      <w:r w:rsidRPr="001179D1">
        <w:rPr>
          <w:color w:val="000000"/>
        </w:rPr>
        <w:t>El beneficio de hacerlo es que ilustra, cuando se toman en cuenta varios actos corruptos diferentes posibles, el efecto acumulativo de la corrupción sobre los costos del proyecto.</w:t>
      </w:r>
    </w:p>
    <w:p w:rsidR="00043F6A" w:rsidRPr="001179D1" w:rsidRDefault="00043F6A" w:rsidP="00043F6A">
      <w:pPr>
        <w:pStyle w:val="NormalWeb"/>
        <w:shd w:val="clear" w:color="auto" w:fill="FFFFFF"/>
        <w:spacing w:before="132" w:beforeAutospacing="0" w:after="180" w:afterAutospacing="0"/>
        <w:jc w:val="both"/>
        <w:rPr>
          <w:color w:val="000000"/>
        </w:rPr>
      </w:pPr>
      <w:r w:rsidRPr="001179D1">
        <w:rPr>
          <w:color w:val="000000"/>
        </w:rPr>
        <w:t>Por lo tanto, el GIACC ha desarrollado dos ejemplos del costo de la corrupción en proyectos hipotéticos de infraestructura. Estos muestran el efecto multiplicador de la corrupción en los costos del proyecto utilizando dos escenarios diferentes.</w:t>
      </w:r>
    </w:p>
    <w:p w:rsidR="00043F6A" w:rsidRPr="004D2202" w:rsidRDefault="00043F6A" w:rsidP="00043F6A">
      <w:pPr>
        <w:numPr>
          <w:ilvl w:val="0"/>
          <w:numId w:val="40"/>
        </w:numPr>
        <w:spacing w:before="100" w:beforeAutospacing="1" w:after="100" w:afterAutospacing="1" w:line="240" w:lineRule="auto"/>
        <w:jc w:val="both"/>
        <w:textAlignment w:val="baseline"/>
        <w:rPr>
          <w:rFonts w:ascii="Times New Roman" w:hAnsi="Times New Roman" w:cs="Times New Roman"/>
          <w:color w:val="000000"/>
          <w:sz w:val="24"/>
          <w:szCs w:val="24"/>
        </w:rPr>
      </w:pPr>
      <w:r w:rsidRPr="001179D1">
        <w:rPr>
          <w:rFonts w:ascii="Times New Roman" w:hAnsi="Times New Roman" w:cs="Times New Roman"/>
          <w:color w:val="000000"/>
          <w:sz w:val="24"/>
          <w:szCs w:val="24"/>
        </w:rPr>
        <w:t>El Ejemplo Uno muestra el efecto multiplicador en el costo del proyecto si todas las partes, a lo largo de la cadena contractual, tuvieran que pagar un soborno equivalente al 5% del costo de sus respectivos contratos para obtener el contrato. El resultado del ejemplo no es un costo adicional del 5%, como cabría esperar, sino del 16%.</w:t>
      </w:r>
    </w:p>
    <w:p w:rsidR="000E44B4" w:rsidRPr="000E44B4" w:rsidRDefault="00043F6A" w:rsidP="000E44B4">
      <w:pPr>
        <w:numPr>
          <w:ilvl w:val="0"/>
          <w:numId w:val="40"/>
        </w:numPr>
        <w:spacing w:before="100" w:beforeAutospacing="1" w:after="100" w:afterAutospacing="1" w:line="240" w:lineRule="auto"/>
        <w:jc w:val="both"/>
        <w:textAlignment w:val="baseline"/>
        <w:rPr>
          <w:rFonts w:ascii="Times New Roman" w:hAnsi="Times New Roman" w:cs="Times New Roman"/>
          <w:color w:val="000000"/>
          <w:sz w:val="24"/>
          <w:szCs w:val="24"/>
        </w:rPr>
      </w:pPr>
      <w:r w:rsidRPr="001179D1">
        <w:rPr>
          <w:rFonts w:ascii="Times New Roman" w:hAnsi="Times New Roman" w:cs="Times New Roman"/>
          <w:color w:val="000000"/>
          <w:sz w:val="24"/>
          <w:szCs w:val="24"/>
        </w:rPr>
        <w:t>El segundo ejemplo muestra el efecto acumulativo en el costo del proyecto si se producen varios tipos de corrupción durante el proyecto. El efecto acumulativo de todos estos actos de corrupción en el ejemplo es:</w:t>
      </w:r>
    </w:p>
    <w:p w:rsidR="00043F6A" w:rsidRPr="001179D1" w:rsidRDefault="00043F6A" w:rsidP="00043F6A">
      <w:pPr>
        <w:numPr>
          <w:ilvl w:val="1"/>
          <w:numId w:val="41"/>
        </w:numPr>
        <w:spacing w:before="100" w:beforeAutospacing="1" w:after="100" w:afterAutospacing="1" w:line="240" w:lineRule="auto"/>
        <w:jc w:val="both"/>
        <w:textAlignment w:val="baseline"/>
        <w:rPr>
          <w:rFonts w:ascii="Times New Roman" w:hAnsi="Times New Roman" w:cs="Times New Roman"/>
          <w:color w:val="000000"/>
          <w:sz w:val="24"/>
          <w:szCs w:val="24"/>
        </w:rPr>
      </w:pPr>
      <w:r w:rsidRPr="001179D1">
        <w:rPr>
          <w:rFonts w:ascii="Times New Roman" w:hAnsi="Times New Roman" w:cs="Times New Roman"/>
          <w:color w:val="000000"/>
          <w:sz w:val="24"/>
          <w:szCs w:val="24"/>
        </w:rPr>
        <w:t>un aumento del precio del contrato del 58%</w:t>
      </w:r>
    </w:p>
    <w:p w:rsidR="00043F6A" w:rsidRPr="001179D1" w:rsidRDefault="00043F6A" w:rsidP="00043F6A">
      <w:pPr>
        <w:numPr>
          <w:ilvl w:val="1"/>
          <w:numId w:val="41"/>
        </w:numPr>
        <w:spacing w:before="100" w:beforeAutospacing="1" w:after="100" w:afterAutospacing="1" w:line="240" w:lineRule="auto"/>
        <w:jc w:val="both"/>
        <w:textAlignment w:val="baseline"/>
        <w:rPr>
          <w:rFonts w:ascii="Times New Roman" w:hAnsi="Times New Roman" w:cs="Times New Roman"/>
          <w:color w:val="000000"/>
          <w:sz w:val="24"/>
          <w:szCs w:val="24"/>
        </w:rPr>
      </w:pPr>
      <w:r w:rsidRPr="001179D1">
        <w:rPr>
          <w:rFonts w:ascii="Times New Roman" w:hAnsi="Times New Roman" w:cs="Times New Roman"/>
          <w:color w:val="000000"/>
          <w:sz w:val="24"/>
          <w:szCs w:val="24"/>
        </w:rPr>
        <w:t>un aumento anual de los costos de financiamiento del 3,5% del costo de capital, y</w:t>
      </w:r>
    </w:p>
    <w:p w:rsidR="00043F6A" w:rsidRPr="001179D1" w:rsidRDefault="00043F6A" w:rsidP="00043F6A">
      <w:pPr>
        <w:numPr>
          <w:ilvl w:val="1"/>
          <w:numId w:val="41"/>
        </w:numPr>
        <w:spacing w:before="100" w:beforeAutospacing="1" w:after="100" w:afterAutospacing="1" w:line="240" w:lineRule="auto"/>
        <w:jc w:val="both"/>
        <w:textAlignment w:val="baseline"/>
        <w:rPr>
          <w:rFonts w:ascii="Times New Roman" w:hAnsi="Times New Roman" w:cs="Times New Roman"/>
          <w:color w:val="000000"/>
          <w:sz w:val="24"/>
          <w:szCs w:val="24"/>
        </w:rPr>
      </w:pPr>
      <w:r w:rsidRPr="001179D1">
        <w:rPr>
          <w:rFonts w:ascii="Times New Roman" w:hAnsi="Times New Roman" w:cs="Times New Roman"/>
          <w:color w:val="000000"/>
          <w:sz w:val="24"/>
          <w:szCs w:val="24"/>
        </w:rPr>
        <w:t>un proyecto fallido.</w:t>
      </w:r>
    </w:p>
    <w:p w:rsidR="00043F6A" w:rsidRPr="001179D1" w:rsidRDefault="00043F6A" w:rsidP="00043F6A">
      <w:pPr>
        <w:pStyle w:val="NormalWeb"/>
        <w:shd w:val="clear" w:color="auto" w:fill="FFFFFF"/>
        <w:spacing w:before="132" w:beforeAutospacing="0" w:after="180" w:afterAutospacing="0"/>
        <w:jc w:val="both"/>
        <w:rPr>
          <w:color w:val="000000"/>
        </w:rPr>
      </w:pPr>
      <w:r w:rsidRPr="001179D1">
        <w:rPr>
          <w:color w:val="000000"/>
        </w:rPr>
        <w:t>En la segunda sección, se cita la estimación, ampliamente difundida, de que la corrupción podría costar el 5% del PIB. Los dos ejemplos hipotéticos anteriores sugieren que, considerando el efecto multiplicador de la corrupción, la cifra de pérdidas económicas en infraestructura podría ser muy superior al 5%.</w:t>
      </w:r>
    </w:p>
    <w:p w:rsidR="00043F6A" w:rsidRDefault="00043F6A" w:rsidP="00043F6A">
      <w:pPr>
        <w:pStyle w:val="NormalWeb"/>
        <w:shd w:val="clear" w:color="auto" w:fill="FFFFFF"/>
        <w:spacing w:before="132" w:beforeAutospacing="0" w:after="180" w:afterAutospacing="0"/>
        <w:jc w:val="both"/>
        <w:rPr>
          <w:color w:val="000000"/>
        </w:rPr>
      </w:pPr>
      <w:r w:rsidRPr="001179D1">
        <w:rPr>
          <w:color w:val="000000"/>
        </w:rPr>
        <w:t>Esto pone de relieve la necesidad crítica de implementar controles anticorrupción efectivos en un proyecto con antelación, a fin de evitar que se produzcan este tipo de actos corruptos y evitar así las posibles consecuencias adversas en términos de costos mencionadas anteriormente.</w:t>
      </w:r>
    </w:p>
    <w:p w:rsidR="00043F6A" w:rsidRPr="004C284E" w:rsidRDefault="00043F6A" w:rsidP="00043F6A">
      <w:pPr>
        <w:spacing w:line="240" w:lineRule="auto"/>
        <w:jc w:val="both"/>
        <w:rPr>
          <w:rFonts w:ascii="Times New Roman" w:hAnsi="Times New Roman" w:cs="Times New Roman"/>
          <w:color w:val="FF0000"/>
          <w:sz w:val="24"/>
          <w:szCs w:val="24"/>
          <w:shd w:val="clear" w:color="auto" w:fill="FFFFFF"/>
        </w:rPr>
      </w:pPr>
      <w:r w:rsidRPr="004C284E">
        <w:rPr>
          <w:rFonts w:ascii="Times New Roman" w:hAnsi="Times New Roman" w:cs="Times New Roman"/>
          <w:b/>
          <w:color w:val="FF0000"/>
          <w:sz w:val="24"/>
          <w:szCs w:val="24"/>
        </w:rPr>
        <w:t>Nota III</w:t>
      </w:r>
      <w:r w:rsidRPr="004C284E">
        <w:rPr>
          <w:rFonts w:ascii="Times New Roman" w:hAnsi="Times New Roman" w:cs="Times New Roman"/>
          <w:color w:val="FF0000"/>
          <w:sz w:val="24"/>
          <w:szCs w:val="24"/>
        </w:rPr>
        <w:t xml:space="preserve">: Cuanto menos medidas anticorrupción existan, mayor será el riesgo de corrupción. </w:t>
      </w:r>
      <w:r w:rsidRPr="004C284E">
        <w:rPr>
          <w:rFonts w:ascii="Times New Roman" w:hAnsi="Times New Roman" w:cs="Times New Roman"/>
          <w:color w:val="FF0000"/>
          <w:sz w:val="24"/>
          <w:szCs w:val="24"/>
          <w:shd w:val="clear" w:color="auto" w:fill="FFFFFF"/>
        </w:rPr>
        <w:t>No admitir sobrecostes (imprevistos, modificados) en los contratos de Obras Públicas, puede ayudar a eliminar una de las fórmulas más fraudulentas utilizadas por las “partes interesadas”.</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D94545">
        <w:rPr>
          <w:rFonts w:ascii="Times New Roman" w:hAnsi="Times New Roman" w:cs="Times New Roman"/>
          <w:b/>
          <w:color w:val="FF0000"/>
          <w:sz w:val="24"/>
          <w:szCs w:val="24"/>
          <w:shd w:val="clear" w:color="auto" w:fill="FFFFFF"/>
        </w:rPr>
        <w:lastRenderedPageBreak/>
        <w:t>Nota IV</w:t>
      </w:r>
      <w:r>
        <w:rPr>
          <w:rFonts w:ascii="Times New Roman" w:hAnsi="Times New Roman" w:cs="Times New Roman"/>
          <w:color w:val="FF0000"/>
          <w:sz w:val="24"/>
          <w:szCs w:val="24"/>
          <w:shd w:val="clear" w:color="auto" w:fill="FFFFFF"/>
        </w:rPr>
        <w:t xml:space="preserve">: </w:t>
      </w:r>
      <w:r w:rsidRPr="004D2202">
        <w:rPr>
          <w:rFonts w:ascii="Times New Roman" w:hAnsi="Times New Roman" w:cs="Times New Roman"/>
          <w:color w:val="FF0000"/>
          <w:sz w:val="24"/>
          <w:szCs w:val="24"/>
          <w:shd w:val="clear" w:color="auto" w:fill="FFFFFF"/>
        </w:rPr>
        <w:t>En España, el nivel de gasto en contratación pública en 2022 alcanzó el 11,52% del PIB y el 24,11% del total del gasto público, según la Organización para la Cooperación y el Desarrollo Económicos (OCDE).</w:t>
      </w:r>
      <w:r>
        <w:rPr>
          <w:rFonts w:ascii="Times New Roman" w:hAnsi="Times New Roman" w:cs="Times New Roman"/>
          <w:color w:val="FF0000"/>
          <w:sz w:val="24"/>
          <w:szCs w:val="24"/>
          <w:shd w:val="clear" w:color="auto" w:fill="FFFFFF"/>
        </w:rPr>
        <w:t xml:space="preserve"> </w:t>
      </w:r>
      <w:r w:rsidRPr="00D94545">
        <w:rPr>
          <w:rFonts w:ascii="Times New Roman" w:hAnsi="Times New Roman" w:cs="Times New Roman"/>
          <w:color w:val="FF0000"/>
          <w:sz w:val="24"/>
          <w:szCs w:val="24"/>
          <w:shd w:val="clear" w:color="auto" w:fill="FFFFFF"/>
        </w:rPr>
        <w:t>El dinero que se emplea en obra pública en España en 2024 se estimaba en más de 138.000 millones de euros, según datos de licitaciones, y fue un incremento del 10,6% respecto al año anterior. Este gasto corresponde a la ejecución de más de 162.000 concursos públicos de obras, servicios y suministros.</w:t>
      </w:r>
      <w:r>
        <w:rPr>
          <w:rFonts w:ascii="Times New Roman" w:hAnsi="Times New Roman" w:cs="Times New Roman"/>
          <w:color w:val="FF0000"/>
          <w:sz w:val="24"/>
          <w:szCs w:val="24"/>
          <w:shd w:val="clear" w:color="auto" w:fill="FFFFFF"/>
        </w:rPr>
        <w:t xml:space="preserve"> </w:t>
      </w:r>
      <w:r w:rsidRPr="00D94545">
        <w:rPr>
          <w:rFonts w:ascii="Times New Roman" w:hAnsi="Times New Roman" w:cs="Times New Roman"/>
          <w:color w:val="FF0000"/>
          <w:sz w:val="24"/>
          <w:szCs w:val="24"/>
          <w:u w:val="single"/>
          <w:shd w:val="clear" w:color="auto" w:fill="FFFFFF"/>
        </w:rPr>
        <w:t>Un cálculo sencillo</w:t>
      </w:r>
      <w:r>
        <w:rPr>
          <w:rFonts w:ascii="Times New Roman" w:hAnsi="Times New Roman" w:cs="Times New Roman"/>
          <w:color w:val="FF0000"/>
          <w:sz w:val="24"/>
          <w:szCs w:val="24"/>
          <w:shd w:val="clear" w:color="auto" w:fill="FFFFFF"/>
        </w:rPr>
        <w:t>: 5% sobre 138.000 millones de euros = 6.900 millones de euros/año, de pérdida por corrupción.</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4C284E">
        <w:rPr>
          <w:rFonts w:ascii="Times New Roman" w:hAnsi="Times New Roman" w:cs="Times New Roman"/>
          <w:color w:val="FF0000"/>
          <w:sz w:val="24"/>
          <w:szCs w:val="24"/>
          <w:shd w:val="clear" w:color="auto" w:fill="FFFFFF"/>
        </w:rPr>
        <w:t>- Eliminar de la lista de proveedores del estado aquellas empresas o empresarios que tengan alguna pena por corrupción</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4C284E">
        <w:rPr>
          <w:rFonts w:ascii="Times New Roman" w:hAnsi="Times New Roman" w:cs="Times New Roman"/>
          <w:sz w:val="24"/>
          <w:szCs w:val="24"/>
          <w:u w:val="single"/>
          <w:shd w:val="clear" w:color="auto" w:fill="FFFFFF"/>
        </w:rPr>
        <w:t>Acciona, Ferrovial, Sacyr: sobre la corrupción estructural y la doble traición del PSOE</w:t>
      </w:r>
      <w:r>
        <w:rPr>
          <w:rFonts w:ascii="Times New Roman" w:hAnsi="Times New Roman" w:cs="Times New Roman"/>
          <w:sz w:val="24"/>
          <w:szCs w:val="24"/>
          <w:shd w:val="clear" w:color="auto" w:fill="FFFFFF"/>
        </w:rPr>
        <w:t xml:space="preserve"> (Fuente - lamarea.com - </w:t>
      </w:r>
      <w:r w:rsidRPr="00D94545">
        <w:rPr>
          <w:rFonts w:ascii="Times New Roman" w:hAnsi="Times New Roman" w:cs="Times New Roman"/>
          <w:b/>
          <w:sz w:val="24"/>
          <w:szCs w:val="24"/>
          <w:shd w:val="clear" w:color="auto" w:fill="FFFFFF"/>
        </w:rPr>
        <w:t>18/6/25</w:t>
      </w:r>
      <w:r>
        <w:rPr>
          <w:rFonts w:ascii="Times New Roman" w:hAnsi="Times New Roman" w:cs="Times New Roman"/>
          <w:sz w:val="24"/>
          <w:szCs w:val="24"/>
          <w:shd w:val="clear" w:color="auto" w:fill="FFFFFF"/>
        </w:rPr>
        <w:t>)</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La corrupción no es una excepción, es una estructura. Empresas como Acciona, Ferrovial o Sacyr moldean la administración pública con cómplices políticos.</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La investigación de la Unidad Central Operativa (UCO) de la Guardia Civil, según documentos judiciales publicados en distintos medios de comunicación, está revelando una arquitectura empresarial e institucional diseñada para condicionar concursos públicos y canalizar comisiones en beneficio de intermediarios políticos. Según la UCO, Acciona habría abonado hasta 620.000 € en comisiones vinculadas a cinco proyectos cofinanciados con fondos europeos entre 2018 y 2021, coincidiendo con la etapa de José Luis Ábalos al frente del Ministerio de Transportes. De esas cantidades, al menos 450.000 € seguían pendientes de pago, y Acciona figuraba como adjudicataria en el 75% de las obras afectadas. Esto es solo una pequeña parte de lo que ya se ha publicado y, probablemente, también de lo q</w:t>
      </w:r>
      <w:r>
        <w:rPr>
          <w:rFonts w:ascii="Times New Roman" w:hAnsi="Times New Roman" w:cs="Times New Roman"/>
          <w:sz w:val="24"/>
          <w:szCs w:val="24"/>
          <w:shd w:val="clear" w:color="auto" w:fill="FFFFFF"/>
        </w:rPr>
        <w:t>ue aún está por salir a la luz.</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La corrupción estructural: una trama normalizada</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El caso de corrupción en las filas del PSOE recuerda que la corrupción no es una anomalía, sino el tejido mismo del sistema. Empresas como Acciona, Ferrovial o Sacyr no solo participan en la administración pública, sino que la moldean, con la complicidad de cargos políticos que, en el caso del PSOE, traicionan no solo la confianza pública, sino los principios fundacionales de un partido que se proclama defensor de los trabajadores y trabajadoras. Esta doble traición, política e ideológica, revela una crisis profunda. Un partido de izquierdas que, lejos de combatir el poder económico, se somete a él, convirtiéndose en un instrumento de los intereses pr</w:t>
      </w:r>
      <w:r>
        <w:rPr>
          <w:rFonts w:ascii="Times New Roman" w:hAnsi="Times New Roman" w:cs="Times New Roman"/>
          <w:sz w:val="24"/>
          <w:szCs w:val="24"/>
          <w:shd w:val="clear" w:color="auto" w:fill="FFFFFF"/>
        </w:rPr>
        <w:t>ivados a los que dice oponerse.</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Como decía Antonio Gramsci, “la hegemonía se construye cuando los dominados aceptan los valores de los dominantes como propios”. En el caso del PSOE, esa aceptación no es solo pasiva</w:t>
      </w:r>
      <w:r>
        <w:rPr>
          <w:rFonts w:ascii="Times New Roman" w:hAnsi="Times New Roman" w:cs="Times New Roman"/>
          <w:sz w:val="24"/>
          <w:szCs w:val="24"/>
          <w:shd w:val="clear" w:color="auto" w:fill="FFFFFF"/>
        </w:rPr>
        <w:t>, sino activa, y el caso Cerdán-Ábalos-Koldo es una prueba descarnada.</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Por si fuera poco, los audios interceptados, filtrados en el marco de la investigación judicial, aportan detalles explosivos. En una conversación, Koldo García afirma: “Que yo tenga contabilizado en mi registro, creo que son 47 empresas, 47. A Sacyr, a Ferrovial, ¿eh? Es decir, que me han venido a contarme un problema y yo lo he resuelto, ¿vale? Todos esos problemas son problemas técnicos, que son reuniones, ¿vale? Son reuniones con el director de Carreteras, con AENA”. En otro fragmento, se escucha a Koldo García explicar a Santos Cerdán haber recibido tres sobres por valor de 450.000 €, ante la preocupación</w:t>
      </w:r>
      <w:r>
        <w:rPr>
          <w:rFonts w:ascii="Times New Roman" w:hAnsi="Times New Roman" w:cs="Times New Roman"/>
          <w:sz w:val="24"/>
          <w:szCs w:val="24"/>
          <w:shd w:val="clear" w:color="auto" w:fill="FFFFFF"/>
        </w:rPr>
        <w:t xml:space="preserve"> de este último, que le suelta -</w:t>
      </w:r>
      <w:r w:rsidRPr="004C284E">
        <w:rPr>
          <w:rFonts w:ascii="Times New Roman" w:hAnsi="Times New Roman" w:cs="Times New Roman"/>
          <w:sz w:val="24"/>
          <w:szCs w:val="24"/>
          <w:shd w:val="clear" w:color="auto" w:fill="FFFFFF"/>
        </w:rPr>
        <w:t>intentando</w:t>
      </w:r>
      <w:r>
        <w:rPr>
          <w:rFonts w:ascii="Times New Roman" w:hAnsi="Times New Roman" w:cs="Times New Roman"/>
          <w:sz w:val="24"/>
          <w:szCs w:val="24"/>
          <w:shd w:val="clear" w:color="auto" w:fill="FFFFFF"/>
        </w:rPr>
        <w:t xml:space="preserve"> prevenir lo que no supo frenar-</w:t>
      </w:r>
      <w:r w:rsidRPr="004C284E">
        <w:rPr>
          <w:rFonts w:ascii="Times New Roman" w:hAnsi="Times New Roman" w:cs="Times New Roman"/>
          <w:sz w:val="24"/>
          <w:szCs w:val="24"/>
          <w:shd w:val="clear" w:color="auto" w:fill="FFFFFF"/>
        </w:rPr>
        <w:t>: “Que no quiero qu</w:t>
      </w:r>
      <w:r>
        <w:rPr>
          <w:rFonts w:ascii="Times New Roman" w:hAnsi="Times New Roman" w:cs="Times New Roman"/>
          <w:sz w:val="24"/>
          <w:szCs w:val="24"/>
          <w:shd w:val="clear" w:color="auto" w:fill="FFFFFF"/>
        </w:rPr>
        <w:t>e hables, de esto no se habla”.</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lastRenderedPageBreak/>
        <w:t>Nombramientos estratégicos y empresas pantalla</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En una reunión celebrada en junio de 2018, solo tres días después de que Ábalos asumiera el ministerio, Santos Cerdán, Koldo García y el directivo de Acciona Fernando Merino se reunieron, según indica la UCO, con el objetivo de asegu</w:t>
      </w:r>
      <w:r>
        <w:rPr>
          <w:rFonts w:ascii="Times New Roman" w:hAnsi="Times New Roman" w:cs="Times New Roman"/>
          <w:sz w:val="24"/>
          <w:szCs w:val="24"/>
          <w:shd w:val="clear" w:color="auto" w:fill="FFFFFF"/>
        </w:rPr>
        <w:t>rar nombramientos estratégicos -</w:t>
      </w:r>
      <w:r w:rsidRPr="004C284E">
        <w:rPr>
          <w:rFonts w:ascii="Times New Roman" w:hAnsi="Times New Roman" w:cs="Times New Roman"/>
          <w:sz w:val="24"/>
          <w:szCs w:val="24"/>
          <w:shd w:val="clear" w:color="auto" w:fill="FFFFFF"/>
        </w:rPr>
        <w:t>como los de J</w:t>
      </w:r>
      <w:r>
        <w:rPr>
          <w:rFonts w:ascii="Times New Roman" w:hAnsi="Times New Roman" w:cs="Times New Roman"/>
          <w:sz w:val="24"/>
          <w:szCs w:val="24"/>
          <w:shd w:val="clear" w:color="auto" w:fill="FFFFFF"/>
        </w:rPr>
        <w:t>avier Herrero o Rosario Cornejo-</w:t>
      </w:r>
      <w:r w:rsidRPr="004C284E">
        <w:rPr>
          <w:rFonts w:ascii="Times New Roman" w:hAnsi="Times New Roman" w:cs="Times New Roman"/>
          <w:sz w:val="24"/>
          <w:szCs w:val="24"/>
          <w:shd w:val="clear" w:color="auto" w:fill="FFFFFF"/>
        </w:rPr>
        <w:t xml:space="preserve"> en los organismos adjudicadores. Bajo la consigna: “como no podamos meter a alguno, nada será posible sin esto”, se escucha decir a Santos Cerdán.</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La trama incluye también empresas pantalla como Noran SC y Servinabar 2000 SL, utilizadas para camuflar adjudicaciones a Acciona en pr</w:t>
      </w:r>
      <w:r>
        <w:rPr>
          <w:rFonts w:ascii="Times New Roman" w:hAnsi="Times New Roman" w:cs="Times New Roman"/>
          <w:sz w:val="24"/>
          <w:szCs w:val="24"/>
          <w:shd w:val="clear" w:color="auto" w:fill="FFFFFF"/>
        </w:rPr>
        <w:t>oyectos en Navarra -</w:t>
      </w:r>
      <w:r w:rsidRPr="004C284E">
        <w:rPr>
          <w:rFonts w:ascii="Times New Roman" w:hAnsi="Times New Roman" w:cs="Times New Roman"/>
          <w:sz w:val="24"/>
          <w:szCs w:val="24"/>
          <w:shd w:val="clear" w:color="auto" w:fill="FFFFFF"/>
        </w:rPr>
        <w:t xml:space="preserve">como </w:t>
      </w:r>
      <w:r>
        <w:rPr>
          <w:rFonts w:ascii="Times New Roman" w:hAnsi="Times New Roman" w:cs="Times New Roman"/>
          <w:sz w:val="24"/>
          <w:szCs w:val="24"/>
          <w:shd w:val="clear" w:color="auto" w:fill="FFFFFF"/>
        </w:rPr>
        <w:t>la mina Muga o el Navarra Arena-</w:t>
      </w:r>
      <w:r w:rsidRPr="004C284E">
        <w:rPr>
          <w:rFonts w:ascii="Times New Roman" w:hAnsi="Times New Roman" w:cs="Times New Roman"/>
          <w:sz w:val="24"/>
          <w:szCs w:val="24"/>
          <w:shd w:val="clear" w:color="auto" w:fill="FFFFFF"/>
        </w:rPr>
        <w:t>, canalizando así capital a través del PSOE. Además, se han documentado pagos encubiertos: 88.000 € para un piso en Plaza España de Madrid y 526.000 € para un chalet en La Línea (Cádiz), satisfechos a través de testaferros como reco</w:t>
      </w:r>
      <w:r>
        <w:rPr>
          <w:rFonts w:ascii="Times New Roman" w:hAnsi="Times New Roman" w:cs="Times New Roman"/>
          <w:sz w:val="24"/>
          <w:szCs w:val="24"/>
          <w:shd w:val="clear" w:color="auto" w:fill="FFFFFF"/>
        </w:rPr>
        <w:t>mpensa por influencia política.</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Varias de estas empresas ya habían sido señaladas en escándalos de corrupción o favoritismo en otros proyectos públicos. Un ejemplo paradigmático es el caso Palau de la Música, donde grandes empresas financiaban a partidos políticos a cambio de contratos y favores. Sin embargo, esta dinámica no es exclusiva del PSOE ni de Convergència. Casos como Gürtel, que implicó al PP en una red de financiación ilegal y adjudicaciones irregulares a empresas afines, demuestran que estas prácticas atraviesan todo el espec</w:t>
      </w:r>
      <w:r>
        <w:rPr>
          <w:rFonts w:ascii="Times New Roman" w:hAnsi="Times New Roman" w:cs="Times New Roman"/>
          <w:sz w:val="24"/>
          <w:szCs w:val="24"/>
          <w:shd w:val="clear" w:color="auto" w:fill="FFFFFF"/>
        </w:rPr>
        <w:t>tro político.</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Tanto el PP como el PSOE han sido señalados en escándalos que revelan una misma lógica: el intercambio de favores entre el poder económico y el político, con empresas como Acciona, Ferrovial o Sacyr como beneficiarias recurrentes. Todo ello apunta a un problema sistémico, donde los partidos mayoritarios, pese a sus diferencias ideológicas, convergen a menudo en la subordin</w:t>
      </w:r>
      <w:r>
        <w:rPr>
          <w:rFonts w:ascii="Times New Roman" w:hAnsi="Times New Roman" w:cs="Times New Roman"/>
          <w:sz w:val="24"/>
          <w:szCs w:val="24"/>
          <w:shd w:val="clear" w:color="auto" w:fill="FFFFFF"/>
        </w:rPr>
        <w:t>ación a los intereses privados.</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El control empresarial sobre las decisiones públicas</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Las relaciones entre grandes empresas y partidos políticos no son nunca neutrales ni puntuales. Configuran una trama profunda de poder que trasciende la simple colaboración institucional. Cuando se analizan estas conexiones, se constata cómo las grandes empresas ejercen un control indirecto, pero potente, sobre decisiones públicas, moldeando proyect</w:t>
      </w:r>
      <w:r>
        <w:rPr>
          <w:rFonts w:ascii="Times New Roman" w:hAnsi="Times New Roman" w:cs="Times New Roman"/>
          <w:sz w:val="24"/>
          <w:szCs w:val="24"/>
          <w:shd w:val="clear" w:color="auto" w:fill="FFFFFF"/>
        </w:rPr>
        <w:t>os y adjudicaciones a su favor.</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Este mosaico de evidencias -</w:t>
      </w:r>
      <w:r w:rsidRPr="004C284E">
        <w:rPr>
          <w:rFonts w:ascii="Times New Roman" w:hAnsi="Times New Roman" w:cs="Times New Roman"/>
          <w:sz w:val="24"/>
          <w:szCs w:val="24"/>
          <w:shd w:val="clear" w:color="auto" w:fill="FFFFFF"/>
        </w:rPr>
        <w:t>comisiones masivas, audios comprometidos, nombramientos dirigidos, empresas pantalla, pagos encu</w:t>
      </w:r>
      <w:r>
        <w:rPr>
          <w:rFonts w:ascii="Times New Roman" w:hAnsi="Times New Roman" w:cs="Times New Roman"/>
          <w:sz w:val="24"/>
          <w:szCs w:val="24"/>
          <w:shd w:val="clear" w:color="auto" w:fill="FFFFFF"/>
        </w:rPr>
        <w:t>biertos y adjudicaciones opacas-</w:t>
      </w:r>
      <w:r w:rsidRPr="004C284E">
        <w:rPr>
          <w:rFonts w:ascii="Times New Roman" w:hAnsi="Times New Roman" w:cs="Times New Roman"/>
          <w:sz w:val="24"/>
          <w:szCs w:val="24"/>
          <w:shd w:val="clear" w:color="auto" w:fill="FFFFFF"/>
        </w:rPr>
        <w:t xml:space="preserve"> constituye un modelo de corrupción estructural. Un modelo que trasciende lo individual para formar parte de </w:t>
      </w:r>
      <w:r>
        <w:rPr>
          <w:rFonts w:ascii="Times New Roman" w:hAnsi="Times New Roman" w:cs="Times New Roman"/>
          <w:sz w:val="24"/>
          <w:szCs w:val="24"/>
          <w:shd w:val="clear" w:color="auto" w:fill="FFFFFF"/>
        </w:rPr>
        <w:t>la lógica empresarial-política.</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Las grandes corporaciones no solo aspiran a contratos: moldean la administración pública a su medida, con la ayuda de cargos colaboracionistas</w:t>
      </w:r>
      <w:r>
        <w:rPr>
          <w:rFonts w:ascii="Times New Roman" w:hAnsi="Times New Roman" w:cs="Times New Roman"/>
          <w:sz w:val="24"/>
          <w:szCs w:val="24"/>
          <w:shd w:val="clear" w:color="auto" w:fill="FFFFFF"/>
        </w:rPr>
        <w:t>,</w:t>
      </w:r>
      <w:r w:rsidRPr="004C284E">
        <w:rPr>
          <w:rFonts w:ascii="Times New Roman" w:hAnsi="Times New Roman" w:cs="Times New Roman"/>
          <w:sz w:val="24"/>
          <w:szCs w:val="24"/>
          <w:shd w:val="clear" w:color="auto" w:fill="FFFFFF"/>
        </w:rPr>
        <w:t xml:space="preserve"> y operativas institucionales. Como señalaba Pierre Bourdieu, “el capital político se transforma a menudo en un instrumento al servicio del capital económico, cuando las élites políticas se convierten en agentes de los intereses dominan</w:t>
      </w:r>
      <w:r>
        <w:rPr>
          <w:rFonts w:ascii="Times New Roman" w:hAnsi="Times New Roman" w:cs="Times New Roman"/>
          <w:sz w:val="24"/>
          <w:szCs w:val="24"/>
          <w:shd w:val="clear" w:color="auto" w:fill="FFFFFF"/>
        </w:rPr>
        <w:t>tes”.</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t>La gravedad del caso Santos Cerdán, Ábalos y Koldo no reside únicamente en la presunta trama de sobornos. Está en cómo expone la hipocresía de un partido que se presenta como baluarte de la justicia social mientras facilita el enriquecimiento de élites económicas. Esta contradicción ideológica resulta especialmente dolorosa porque el PSOE, históricamente, ha reclamado el apoyo de las clases trabajadoras con promes</w:t>
      </w:r>
      <w:r>
        <w:rPr>
          <w:rFonts w:ascii="Times New Roman" w:hAnsi="Times New Roman" w:cs="Times New Roman"/>
          <w:sz w:val="24"/>
          <w:szCs w:val="24"/>
          <w:shd w:val="clear" w:color="auto" w:fill="FFFFFF"/>
        </w:rPr>
        <w:t>as de redistribución y equidad.</w:t>
      </w:r>
    </w:p>
    <w:p w:rsidR="00043F6A" w:rsidRPr="004C284E" w:rsidRDefault="00043F6A" w:rsidP="00043F6A">
      <w:pPr>
        <w:spacing w:line="240" w:lineRule="auto"/>
        <w:jc w:val="both"/>
        <w:rPr>
          <w:rFonts w:ascii="Times New Roman" w:hAnsi="Times New Roman" w:cs="Times New Roman"/>
          <w:sz w:val="24"/>
          <w:szCs w:val="24"/>
          <w:shd w:val="clear" w:color="auto" w:fill="FFFFFF"/>
        </w:rPr>
      </w:pPr>
      <w:r w:rsidRPr="004C284E">
        <w:rPr>
          <w:rFonts w:ascii="Times New Roman" w:hAnsi="Times New Roman" w:cs="Times New Roman"/>
          <w:sz w:val="24"/>
          <w:szCs w:val="24"/>
          <w:shd w:val="clear" w:color="auto" w:fill="FFFFFF"/>
        </w:rPr>
        <w:lastRenderedPageBreak/>
        <w:t>Sin embargo, su implicación en tramas como esta sugiere que, en lugar de desafiar la hegemonía del capital, el partido se ha integrado en ella. Actúa como gestor de los intereses de las grandes corporaciones. Y, de paso, le ha servido en bandeja a la extrema derecha el acceso a las máximas instituciones del Estado. Casi nada.</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4C284E">
        <w:rPr>
          <w:rFonts w:ascii="Times New Roman" w:hAnsi="Times New Roman" w:cs="Times New Roman"/>
          <w:color w:val="000000"/>
          <w:sz w:val="24"/>
          <w:szCs w:val="24"/>
          <w:u w:val="single"/>
          <w:shd w:val="clear" w:color="auto" w:fill="FFFFFF"/>
        </w:rPr>
        <w:t>Entrecanales desliga a Acciona del amaño de contratos y dice que su exjefe en Navarra “tenía autonomía” para introducir a Servinabar</w:t>
      </w:r>
      <w:r>
        <w:rPr>
          <w:rFonts w:ascii="Times New Roman" w:hAnsi="Times New Roman" w:cs="Times New Roman"/>
          <w:color w:val="000000"/>
          <w:sz w:val="24"/>
          <w:szCs w:val="24"/>
          <w:shd w:val="clear" w:color="auto" w:fill="FFFFFF"/>
        </w:rPr>
        <w:t xml:space="preserve"> (El País - </w:t>
      </w:r>
      <w:r w:rsidRPr="004C284E">
        <w:rPr>
          <w:rFonts w:ascii="Times New Roman" w:hAnsi="Times New Roman" w:cs="Times New Roman"/>
          <w:b/>
          <w:color w:val="000000"/>
          <w:sz w:val="24"/>
          <w:szCs w:val="24"/>
          <w:shd w:val="clear" w:color="auto" w:fill="FFFFFF"/>
        </w:rPr>
        <w:t>26/6/25</w:t>
      </w:r>
      <w:r>
        <w:rPr>
          <w:rFonts w:ascii="Times New Roman" w:hAnsi="Times New Roman" w:cs="Times New Roman"/>
          <w:color w:val="000000"/>
          <w:sz w:val="24"/>
          <w:szCs w:val="24"/>
          <w:shd w:val="clear" w:color="auto" w:fill="FFFFFF"/>
        </w:rPr>
        <w:t>)</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El ejecutivo afirma que las obras investigadas por la UCO “representan un importe muy pequeño en comparación con el volumen total de actividad del negocio de construcción”</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El presidente de Acciona, José Manuel Entrecanales, ha intentado descargar esta mañana de responsabilidad a su empresa en el escándalo sobre el presunto amaño de cinco contratos millonarios de Adif y la Dirección General de Carreteras, investigados por la UCO dentro del caso Cerdán. El ejecutivo, que ha reconocido un impacto reputacional, pero no en el negocio ni en la cotización de Acciona, ha intervenido en la junta de accionistas de la compañía dedicando varios minutos a desmarcarse del relato construido por la Unidad Central Operativa (UCO) sobre el pago de supuestas mordidas a responsables del PSOE. El informe policial reúne, a lo largo de 500 páginas, indicios que se sostienen en grabaciones de llamadas, correos electrónicos y mensajes de WhatsA</w:t>
      </w:r>
      <w:r>
        <w:rPr>
          <w:rFonts w:ascii="Times New Roman" w:hAnsi="Times New Roman" w:cs="Times New Roman"/>
          <w:color w:val="000000"/>
          <w:sz w:val="24"/>
          <w:szCs w:val="24"/>
          <w:shd w:val="clear" w:color="auto" w:fill="FFFFFF"/>
        </w:rPr>
        <w:t>pp intervenidos a Koldo García.</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El máximo responsable de Acciona achaca cualquier posible actividad ilícita a la actuación del exdirectivo Fernando Merino y de la pequeña constructora navarra Servinabar, aliada de Acciona en distintas obras. Despedido en abril de 2021, Merino era el director de Acciona Construcción en La Rioja y Navarra, y su nombre aparece en el informe de la UCO como una de las figuras clave en la presunta trama corrupta que intercambiaba proyectos de obra pública por pagos ilícitos. Entrecanales ha afirmado que, cinco niveles por debajo de la presidencia, Merino tenía autonomía para actuar sobre los procesos de contratación, pero también ha sido taxativo al asegurar que no disponía de li</w:t>
      </w:r>
      <w:r>
        <w:rPr>
          <w:rFonts w:ascii="Times New Roman" w:hAnsi="Times New Roman" w:cs="Times New Roman"/>
          <w:color w:val="000000"/>
          <w:sz w:val="24"/>
          <w:szCs w:val="24"/>
          <w:shd w:val="clear" w:color="auto" w:fill="FFFFFF"/>
        </w:rPr>
        <w:t>bre acceso a fondos de Acciona.</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La UCO interpreta que la constructora habría repartido 550.000 euros, dejando pendiente de abono otros 450.000 euros, al triángulo formado por el exsecretario de Organización del PSOE, Santos Cerdán, el exministro de Transportes, José Luis Ábalos, y el asesor de este último Koldo García, señalados por la UCO como principales integrantes de la presunta trama corrupta. El responsable jurídico de Acciona, José Julio Figueroa, ha calificado de “presunciones” el contenido del dosier de la Guardia Civil, y ha afirmado ante los medios que la empresa podría personar</w:t>
      </w:r>
      <w:r>
        <w:rPr>
          <w:rFonts w:ascii="Times New Roman" w:hAnsi="Times New Roman" w:cs="Times New Roman"/>
          <w:color w:val="000000"/>
          <w:sz w:val="24"/>
          <w:szCs w:val="24"/>
          <w:shd w:val="clear" w:color="auto" w:fill="FFFFFF"/>
        </w:rPr>
        <w:t>se en el caso como damnificada.</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 xml:space="preserve">Entrecanales ha dado su palabra de no conocer ni haber mantenido contacto alguno con Santos Cerdán o Koldo García. En cuanto a Ábalos, el empresario ha limitado cualquier relación a un solo contacto: “A ese sí le conozco”, ha concedido. José Manuel Entrecanales tuvo una reunión “de cortesía” en el Ministerio de Transportes cuando Ábalos fue nombrado ministro en julio de 2018: “Suelo mantener este tipo de encuentros de forma frecuente con autoridades españolas y extranjeras. Es parte de mi trabajo”. La cita, registrada en los libros del ministerio y que fue circunscrita por la UCO al ámbito protocolario, sirvió para despachar “sobre </w:t>
      </w:r>
      <w:r>
        <w:rPr>
          <w:rFonts w:ascii="Times New Roman" w:hAnsi="Times New Roman" w:cs="Times New Roman"/>
          <w:color w:val="000000"/>
          <w:sz w:val="24"/>
          <w:szCs w:val="24"/>
          <w:shd w:val="clear" w:color="auto" w:fill="FFFFFF"/>
        </w:rPr>
        <w:t>generalidades durante un rato”.</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Ante la junta de accionistas, Entrecanales ha reafirmado “el compromiso de Acciona con el más profundo respeto a la legalidad y a la ética empresarial”. El ejecutivo ha relatado cómo “en los últimos días han trascendido informaciones acerca de supuestas irregularidades que involucran, entre otros, a un exem</w:t>
      </w:r>
      <w:r w:rsidR="000E44B4">
        <w:rPr>
          <w:rFonts w:ascii="Times New Roman" w:hAnsi="Times New Roman" w:cs="Times New Roman"/>
          <w:color w:val="000000"/>
          <w:sz w:val="24"/>
          <w:szCs w:val="24"/>
          <w:shd w:val="clear" w:color="auto" w:fill="FFFFFF"/>
        </w:rPr>
        <w:t>pleado de Acciona Construcción (por Fernando Merino)</w:t>
      </w:r>
      <w:r w:rsidRPr="004C284E">
        <w:rPr>
          <w:rFonts w:ascii="Times New Roman" w:hAnsi="Times New Roman" w:cs="Times New Roman"/>
          <w:color w:val="000000"/>
          <w:sz w:val="24"/>
          <w:szCs w:val="24"/>
          <w:shd w:val="clear" w:color="auto" w:fill="FFFFFF"/>
        </w:rPr>
        <w:t xml:space="preserve"> y a una tercera empresa ob</w:t>
      </w:r>
      <w:r w:rsidR="000E44B4">
        <w:rPr>
          <w:rFonts w:ascii="Times New Roman" w:hAnsi="Times New Roman" w:cs="Times New Roman"/>
          <w:color w:val="000000"/>
          <w:sz w:val="24"/>
          <w:szCs w:val="24"/>
          <w:shd w:val="clear" w:color="auto" w:fill="FFFFFF"/>
        </w:rPr>
        <w:t>jeto de investigación judicial (por Servinabar)</w:t>
      </w:r>
      <w:r w:rsidRPr="004C284E">
        <w:rPr>
          <w:rFonts w:ascii="Times New Roman" w:hAnsi="Times New Roman" w:cs="Times New Roman"/>
          <w:color w:val="000000"/>
          <w:sz w:val="24"/>
          <w:szCs w:val="24"/>
          <w:shd w:val="clear" w:color="auto" w:fill="FFFFFF"/>
        </w:rPr>
        <w:t xml:space="preserve">. Nos duele </w:t>
      </w:r>
      <w:r w:rsidRPr="004C284E">
        <w:rPr>
          <w:rFonts w:ascii="Times New Roman" w:hAnsi="Times New Roman" w:cs="Times New Roman"/>
          <w:color w:val="000000"/>
          <w:sz w:val="24"/>
          <w:szCs w:val="24"/>
          <w:shd w:val="clear" w:color="auto" w:fill="FFFFFF"/>
        </w:rPr>
        <w:lastRenderedPageBreak/>
        <w:t>profundamente el impacto reputacional que estas informaciones pudieran tener, tanto sobre nuestra compañía como sobre los más de 66.000 empleados que cada día desarrollamos nuestro trabajo con ilusión, esfuerzo, compromiso y la má</w:t>
      </w:r>
      <w:r>
        <w:rPr>
          <w:rFonts w:ascii="Times New Roman" w:hAnsi="Times New Roman" w:cs="Times New Roman"/>
          <w:color w:val="000000"/>
          <w:sz w:val="24"/>
          <w:szCs w:val="24"/>
          <w:shd w:val="clear" w:color="auto" w:fill="FFFFFF"/>
        </w:rPr>
        <w:t>s absoluta integridad y rigor”.</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Libertad para atraer socios</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 xml:space="preserve">El que también es primer accionista del grupo de infraestructuras ha relatado que “los hechos se relacionan directamente con la conducta de un exempleado de una filial del grupo </w:t>
      </w:r>
      <w:r>
        <w:rPr>
          <w:rFonts w:ascii="Times New Roman" w:hAnsi="Times New Roman" w:cs="Times New Roman"/>
          <w:color w:val="000000"/>
          <w:sz w:val="24"/>
          <w:szCs w:val="24"/>
          <w:shd w:val="clear" w:color="auto" w:fill="FFFFFF"/>
        </w:rPr>
        <w:t>(Acciona Construcción)</w:t>
      </w:r>
      <w:r w:rsidRPr="004C284E">
        <w:rPr>
          <w:rFonts w:ascii="Times New Roman" w:hAnsi="Times New Roman" w:cs="Times New Roman"/>
          <w:color w:val="000000"/>
          <w:sz w:val="24"/>
          <w:szCs w:val="24"/>
          <w:shd w:val="clear" w:color="auto" w:fill="FFFFFF"/>
        </w:rPr>
        <w:t xml:space="preserve"> que fue despedido en 2021 por pérdida de confianza por parte de sus superiores jerárquicos, sin llegar a tener entonces constancia alguna sobre posibles actuaciones irregulares”. En segundo lugar, ha explicado que Merino “actuaba con la autonomía propia de su responsabilidad en una organización descentralizada y tenía la autoridad sobre contratos cuyo volumen agregado, sin restar importancia a su cuantía, representa un importe muy pequeño en comparación con el volumen total de actividad del negocio de construcción”. Acciona estima que la obra pública en España represen</w:t>
      </w:r>
      <w:r>
        <w:rPr>
          <w:rFonts w:ascii="Times New Roman" w:hAnsi="Times New Roman" w:cs="Times New Roman"/>
          <w:color w:val="000000"/>
          <w:sz w:val="24"/>
          <w:szCs w:val="24"/>
          <w:shd w:val="clear" w:color="auto" w:fill="FFFFFF"/>
        </w:rPr>
        <w:t>ta un 3% del negocio del grupo.</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El directivo Merino “habría introducido una empres</w:t>
      </w:r>
      <w:r>
        <w:rPr>
          <w:rFonts w:ascii="Times New Roman" w:hAnsi="Times New Roman" w:cs="Times New Roman"/>
          <w:color w:val="000000"/>
          <w:sz w:val="24"/>
          <w:szCs w:val="24"/>
          <w:shd w:val="clear" w:color="auto" w:fill="FFFFFF"/>
        </w:rPr>
        <w:t>a externa (por Servinabar)</w:t>
      </w:r>
      <w:r w:rsidRPr="004C284E">
        <w:rPr>
          <w:rFonts w:ascii="Times New Roman" w:hAnsi="Times New Roman" w:cs="Times New Roman"/>
          <w:color w:val="000000"/>
          <w:sz w:val="24"/>
          <w:szCs w:val="24"/>
          <w:shd w:val="clear" w:color="auto" w:fill="FFFFFF"/>
        </w:rPr>
        <w:t>, ahora bajo investigación, en el ecosistema de más de 30.000 empresas colaboradoras de Acciona”, ha dicho Entrecanales. Y a renglón seguido, ha recordado a los accionistas que ya se ha producido el despido del responsable del negocio de construcción en España, Justo Vicente Pelegrini, por una posible “falta de diligencia en el ejercicio de sus responsabilidades de dirección y supervisión”. También ha reiterado que está en curso una investigación interna “para determinar cómo los controles previstos en nuestras políticas y procedimientos pudieran habe</w:t>
      </w:r>
      <w:r>
        <w:rPr>
          <w:rFonts w:ascii="Times New Roman" w:hAnsi="Times New Roman" w:cs="Times New Roman"/>
          <w:color w:val="000000"/>
          <w:sz w:val="24"/>
          <w:szCs w:val="24"/>
          <w:shd w:val="clear" w:color="auto" w:fill="FFFFFF"/>
        </w:rPr>
        <w:t>r sido incumplidos o eludidos”.</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Acciona ha iniciado los trámites legales para la “definitiva terminación de los contra</w:t>
      </w:r>
      <w:r>
        <w:rPr>
          <w:rFonts w:ascii="Times New Roman" w:hAnsi="Times New Roman" w:cs="Times New Roman"/>
          <w:color w:val="000000"/>
          <w:sz w:val="24"/>
          <w:szCs w:val="24"/>
          <w:shd w:val="clear" w:color="auto" w:fill="FFFFFF"/>
        </w:rPr>
        <w:t>tos con la empresa en cuestión (Servinabar)</w:t>
      </w:r>
      <w:r w:rsidRPr="004C284E">
        <w:rPr>
          <w:rFonts w:ascii="Times New Roman" w:hAnsi="Times New Roman" w:cs="Times New Roman"/>
          <w:color w:val="000000"/>
          <w:sz w:val="24"/>
          <w:szCs w:val="24"/>
          <w:shd w:val="clear" w:color="auto" w:fill="FFFFFF"/>
        </w:rPr>
        <w:t>, objeto de investigación, por incumplimiento de nuestros estándares normativos y de conducta”. La madrileña y la navarra comparten consorcio en la construcci</w:t>
      </w:r>
      <w:r>
        <w:rPr>
          <w:rFonts w:ascii="Times New Roman" w:hAnsi="Times New Roman" w:cs="Times New Roman"/>
          <w:color w:val="000000"/>
          <w:sz w:val="24"/>
          <w:szCs w:val="24"/>
          <w:shd w:val="clear" w:color="auto" w:fill="FFFFFF"/>
        </w:rPr>
        <w:t>ón del túnel navarro de Belate.</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Colaboración con la justicia</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Toda la culpa, de haberla, sería de un jefe que actuaba con alta autonomía, según la versión de José Manuel Entrecanales, que ha argumentado que el funcionamiento de grandes empresas se basa en los sistemas de control, pero también en la confianza: “No podemos poner un vigilante detrás de cada directivo”, ha llegado a decir en un encuentro con la prensa. Junto a él ha comparecido su primo y vicepresidente del grupo familiar, Juan Ignacio Entrecanales, y su propio hijo, José Entrecanales, director Financiero y de Sostenibilidad (CFSO) del grupo desde el pasado mes d</w:t>
      </w:r>
      <w:r>
        <w:rPr>
          <w:rFonts w:ascii="Times New Roman" w:hAnsi="Times New Roman" w:cs="Times New Roman"/>
          <w:color w:val="000000"/>
          <w:sz w:val="24"/>
          <w:szCs w:val="24"/>
          <w:shd w:val="clear" w:color="auto" w:fill="FFFFFF"/>
        </w:rPr>
        <w:t>e marzo.</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La UCO requirió a la empresa días atrás la documentación sobre los cinco con</w:t>
      </w:r>
      <w:r>
        <w:rPr>
          <w:rFonts w:ascii="Times New Roman" w:hAnsi="Times New Roman" w:cs="Times New Roman"/>
          <w:color w:val="000000"/>
          <w:sz w:val="24"/>
          <w:szCs w:val="24"/>
          <w:shd w:val="clear" w:color="auto" w:fill="FFFFFF"/>
        </w:rPr>
        <w:t>tratos bajo sospecha de amaño, a</w:t>
      </w:r>
      <w:r w:rsidRPr="004C284E">
        <w:rPr>
          <w:rFonts w:ascii="Times New Roman" w:hAnsi="Times New Roman" w:cs="Times New Roman"/>
          <w:color w:val="000000"/>
          <w:sz w:val="24"/>
          <w:szCs w:val="24"/>
          <w:shd w:val="clear" w:color="auto" w:fill="FFFFFF"/>
        </w:rPr>
        <w:t xml:space="preserve">sí como el contenido del correo electrónico de Fernando Merino. Acciona, según el jefe del departamento jurídico, “cumplió de inmediato”. La empresa </w:t>
      </w:r>
      <w:r>
        <w:rPr>
          <w:rFonts w:ascii="Times New Roman" w:hAnsi="Times New Roman" w:cs="Times New Roman"/>
          <w:color w:val="000000"/>
          <w:sz w:val="24"/>
          <w:szCs w:val="24"/>
          <w:shd w:val="clear" w:color="auto" w:fill="FFFFFF"/>
        </w:rPr>
        <w:t>no ha llegado a ser registrada.</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 xml:space="preserve">Las adjudicaciones que aparecen en la investigación son el soterramiento de la red ferroviaria en Murcia (158,8 millones de importe de adjudicación); la ejecución de la plataforma del Corredor Mediterráneo en el tramo Pulpí-Vera (121,2 millones de euros); la construcción del tramo Arrúbal-Navarrete de la autovía A-68, en La Rioja (92,4 millones); obras en el puente sevillano del Centenario (102,8 millones), y la ejecución de la integración del ferrocarril en la barcelonesa Sant Felui de Llobregat (62 millones). El abogado de la casa, José Julio </w:t>
      </w:r>
      <w:r w:rsidRPr="004C284E">
        <w:rPr>
          <w:rFonts w:ascii="Times New Roman" w:hAnsi="Times New Roman" w:cs="Times New Roman"/>
          <w:color w:val="000000"/>
          <w:sz w:val="24"/>
          <w:szCs w:val="24"/>
          <w:shd w:val="clear" w:color="auto" w:fill="FFFFFF"/>
        </w:rPr>
        <w:lastRenderedPageBreak/>
        <w:t>Figueroa, ha recordado que ninguna de esas adjudicaciones fue impugnada y que los trámites respetaron la Ley de Contratos del Sector Público. También se ha referido a que la composición de las mesas de contratación, con abogados e interventores del Estado, hace prácticamente imposible cualquier tipo de fraude.</w:t>
      </w:r>
    </w:p>
    <w:p w:rsidR="00043F6A" w:rsidRPr="004C284E"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Acciona cuenta con 66.000 empleados y más de 30.000 empresas asociadas, con las que trabaja en 40 países. La dirección sostiene que en todos esos mercados actúa “conforme a los más altos estándares de cumplimiento normativo y sometemos nuestras actividades y nuestras alianzas a estrictos mecanismos de control y de auditoría internos y externos”, ha sostenido Entrecanales. También da por sentado que todos sus trabajadores y colaboradores “conocen y entienden nuestras normas y mecanismos de control y si se constataran incumplimientos individuales de las mismas o la elusión de controles, adoptaremos las medidas oportunas co</w:t>
      </w:r>
      <w:r>
        <w:rPr>
          <w:rFonts w:ascii="Times New Roman" w:hAnsi="Times New Roman" w:cs="Times New Roman"/>
          <w:color w:val="000000"/>
          <w:sz w:val="24"/>
          <w:szCs w:val="24"/>
          <w:shd w:val="clear" w:color="auto" w:fill="FFFFFF"/>
        </w:rPr>
        <w:t>n toda contundencia posible”.</w:t>
      </w:r>
    </w:p>
    <w:p w:rsidR="00043F6A" w:rsidRDefault="00043F6A" w:rsidP="00043F6A">
      <w:pPr>
        <w:spacing w:line="240" w:lineRule="auto"/>
        <w:jc w:val="both"/>
        <w:rPr>
          <w:rFonts w:ascii="Times New Roman" w:hAnsi="Times New Roman" w:cs="Times New Roman"/>
          <w:color w:val="000000"/>
          <w:sz w:val="24"/>
          <w:szCs w:val="24"/>
          <w:shd w:val="clear" w:color="auto" w:fill="FFFFFF"/>
        </w:rPr>
      </w:pPr>
      <w:r w:rsidRPr="004C284E">
        <w:rPr>
          <w:rFonts w:ascii="Times New Roman" w:hAnsi="Times New Roman" w:cs="Times New Roman"/>
          <w:color w:val="000000"/>
          <w:sz w:val="24"/>
          <w:szCs w:val="24"/>
          <w:shd w:val="clear" w:color="auto" w:fill="FFFFFF"/>
        </w:rPr>
        <w:t>La resistencia de la cotización de Acciona al supuesto caso de corrupción aflorado por la Guardia Civil se ha convertido en una sentencia definitiva a favor para la alta dirección de Acciona. “Creemos que no sufriremos un impacto negativo. La acción ha subido un poquito desde que se dio el problema, y el juicio más comprometido para nosotros es el de los inversores que depositan su dinero. Acciona tiene más inversores que compran que los que venden”, ha celebrado el presidente Entrecanales.</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B716BF">
        <w:rPr>
          <w:rFonts w:ascii="Times New Roman" w:hAnsi="Times New Roman" w:cs="Times New Roman"/>
          <w:b/>
          <w:color w:val="FF0000"/>
          <w:sz w:val="24"/>
          <w:szCs w:val="24"/>
          <w:shd w:val="clear" w:color="auto" w:fill="FFFFFF"/>
        </w:rPr>
        <w:t>Nota</w:t>
      </w:r>
      <w:r w:rsidRPr="00B716BF">
        <w:rPr>
          <w:rFonts w:ascii="Times New Roman" w:hAnsi="Times New Roman" w:cs="Times New Roman"/>
          <w:color w:val="FF0000"/>
          <w:sz w:val="24"/>
          <w:szCs w:val="24"/>
          <w:shd w:val="clear" w:color="auto" w:fill="FFFFFF"/>
        </w:rPr>
        <w:t xml:space="preserve"> </w:t>
      </w:r>
      <w:r w:rsidRPr="00B716BF">
        <w:rPr>
          <w:rFonts w:ascii="Times New Roman" w:hAnsi="Times New Roman" w:cs="Times New Roman"/>
          <w:b/>
          <w:color w:val="FF0000"/>
          <w:sz w:val="24"/>
          <w:szCs w:val="24"/>
          <w:shd w:val="clear" w:color="auto" w:fill="FFFFFF"/>
        </w:rPr>
        <w:t>I</w:t>
      </w:r>
      <w:r w:rsidRPr="00B716BF">
        <w:rPr>
          <w:rFonts w:ascii="Times New Roman" w:hAnsi="Times New Roman" w:cs="Times New Roman"/>
          <w:color w:val="FF0000"/>
          <w:sz w:val="24"/>
          <w:szCs w:val="24"/>
          <w:shd w:val="clear" w:color="auto" w:fill="FFFFFF"/>
        </w:rPr>
        <w:t>: Acciona cerró el ejercicio 2024 con una facturación récord de 19.190 millones de euros. Este dato representa un aumento del 12,7% con respecto al año anterior, mostrando un crecimiento sólido en todas sus áreas de negocio. En el año 2024, la división de Infraestructuras de Acciona, que incluye obras y servicios públicos, facturó 8.146 millones de euros, representando un aumento del 5.5% con respecto al año anterior. Esta cifra es un máximo histórico para la división y contribuye a la facturación total récord de Acciona de 19.190 millones de euros.</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B716BF">
        <w:rPr>
          <w:rFonts w:ascii="Times New Roman" w:hAnsi="Times New Roman" w:cs="Times New Roman"/>
          <w:b/>
          <w:color w:val="FF0000"/>
          <w:sz w:val="24"/>
          <w:szCs w:val="24"/>
          <w:shd w:val="clear" w:color="auto" w:fill="FFFFFF"/>
        </w:rPr>
        <w:t>Nota II</w:t>
      </w:r>
      <w:r>
        <w:rPr>
          <w:rFonts w:ascii="Times New Roman" w:hAnsi="Times New Roman" w:cs="Times New Roman"/>
          <w:color w:val="FF0000"/>
          <w:sz w:val="24"/>
          <w:szCs w:val="24"/>
          <w:shd w:val="clear" w:color="auto" w:fill="FFFFFF"/>
        </w:rPr>
        <w:t xml:space="preserve">: </w:t>
      </w:r>
      <w:r w:rsidRPr="00B716BF">
        <w:rPr>
          <w:rFonts w:ascii="Times New Roman" w:hAnsi="Times New Roman" w:cs="Times New Roman"/>
          <w:color w:val="FF0000"/>
          <w:sz w:val="24"/>
          <w:szCs w:val="24"/>
          <w:shd w:val="clear" w:color="auto" w:fill="FFFFFF"/>
        </w:rPr>
        <w:t>Las grandes constructoras españolas, como ACS, FCC, Acciona o Sacyr, son actores clave en la construcción de grandes infraestructuras y en la prestación de servicios, que a menudo son licitados por la</w:t>
      </w:r>
      <w:r>
        <w:rPr>
          <w:rFonts w:ascii="Times New Roman" w:hAnsi="Times New Roman" w:cs="Times New Roman"/>
          <w:color w:val="FF0000"/>
          <w:sz w:val="24"/>
          <w:szCs w:val="24"/>
          <w:shd w:val="clear" w:color="auto" w:fill="FFFFFF"/>
        </w:rPr>
        <w:t xml:space="preserve"> administración pública. </w:t>
      </w:r>
      <w:r w:rsidRPr="00B716BF">
        <w:rPr>
          <w:rFonts w:ascii="Times New Roman" w:hAnsi="Times New Roman" w:cs="Times New Roman"/>
          <w:color w:val="FF0000"/>
          <w:sz w:val="24"/>
          <w:szCs w:val="24"/>
          <w:shd w:val="clear" w:color="auto" w:fill="FFFFFF"/>
        </w:rPr>
        <w:t>Aunque no se tiene un porcentaje específico, es un hecho que los contratos de obras públicas (autopistas, ferrocarriles, etc.) y de servicios públicos (mantenimiento de infraestructuras, gestión de servicios) representan una parte importante de la facturación de estas empresas en el mercado nacional.</w:t>
      </w:r>
    </w:p>
    <w:p w:rsidR="00043F6A" w:rsidRDefault="00043F6A" w:rsidP="00043F6A">
      <w:pPr>
        <w:spacing w:line="240" w:lineRule="auto"/>
        <w:jc w:val="both"/>
        <w:rPr>
          <w:rFonts w:ascii="Times New Roman" w:hAnsi="Times New Roman" w:cs="Times New Roman"/>
          <w:sz w:val="24"/>
          <w:szCs w:val="24"/>
          <w:shd w:val="clear" w:color="auto" w:fill="FFFFFF"/>
        </w:rPr>
      </w:pPr>
      <w:r w:rsidRPr="00BD5CAD">
        <w:rPr>
          <w:rFonts w:ascii="Times New Roman" w:hAnsi="Times New Roman" w:cs="Times New Roman"/>
          <w:sz w:val="24"/>
          <w:szCs w:val="24"/>
          <w:shd w:val="clear" w:color="auto" w:fill="FFFFFF"/>
        </w:rPr>
        <w:t xml:space="preserve">- </w:t>
      </w:r>
      <w:r w:rsidRPr="00BD5CAD">
        <w:rPr>
          <w:rFonts w:ascii="Times New Roman" w:hAnsi="Times New Roman" w:cs="Times New Roman"/>
          <w:sz w:val="24"/>
          <w:szCs w:val="24"/>
          <w:u w:val="single"/>
          <w:shd w:val="clear" w:color="auto" w:fill="FFFFFF"/>
        </w:rPr>
        <w:t>Las grandes constructoras elevan un 16% su volumen de obras, hasta 144.700 millones</w:t>
      </w:r>
      <w:r w:rsidRPr="00BD5CAD">
        <w:rPr>
          <w:rFonts w:ascii="Times New Roman" w:hAnsi="Times New Roman" w:cs="Times New Roman"/>
          <w:sz w:val="24"/>
          <w:szCs w:val="24"/>
          <w:shd w:val="clear" w:color="auto" w:fill="FFFFFF"/>
        </w:rPr>
        <w:t xml:space="preserve"> (Fuente: El Economista - </w:t>
      </w:r>
      <w:r w:rsidRPr="00D94545">
        <w:rPr>
          <w:rFonts w:ascii="Times New Roman" w:hAnsi="Times New Roman" w:cs="Times New Roman"/>
          <w:b/>
          <w:sz w:val="24"/>
          <w:szCs w:val="24"/>
          <w:shd w:val="clear" w:color="auto" w:fill="FFFFFF"/>
        </w:rPr>
        <w:t>6/1/25</w:t>
      </w:r>
      <w:r w:rsidRPr="00BD5CAD">
        <w:rPr>
          <w:rFonts w:ascii="Times New Roman" w:hAnsi="Times New Roman" w:cs="Times New Roman"/>
          <w:sz w:val="24"/>
          <w:szCs w:val="24"/>
          <w:shd w:val="clear" w:color="auto" w:fill="FFFFFF"/>
        </w:rPr>
        <w:t>)</w:t>
      </w:r>
    </w:p>
    <w:p w:rsidR="00043F6A" w:rsidRPr="00BD5CAD" w:rsidRDefault="00043F6A" w:rsidP="00043F6A">
      <w:pPr>
        <w:spacing w:line="240" w:lineRule="auto"/>
        <w:jc w:val="both"/>
        <w:rPr>
          <w:rFonts w:ascii="Times New Roman" w:hAnsi="Times New Roman" w:cs="Times New Roman"/>
          <w:sz w:val="24"/>
          <w:szCs w:val="24"/>
          <w:shd w:val="clear" w:color="auto" w:fill="FFFFFF"/>
        </w:rPr>
      </w:pPr>
      <w:r w:rsidRPr="00BD5CAD">
        <w:rPr>
          <w:rFonts w:ascii="Times New Roman" w:hAnsi="Times New Roman" w:cs="Times New Roman"/>
          <w:sz w:val="24"/>
          <w:szCs w:val="24"/>
          <w:shd w:val="clear" w:color="auto" w:fill="FFFFFF"/>
        </w:rPr>
        <w:t>Las seis mayores constructoras españolas elevaron su cartera de obras hasta los 144.735 millones de euros al cierre del tercer trimestre de 2024, lo que representa un 15,57% más que la cifra que presentaban un año antes (125.232 millones). A este crecimiento contribuyen las seis compañías, ACS, Acciona, Ferrovial, Sacyr, OHLA y FCC, que registran en todos los casos variaciones positivas.</w:t>
      </w:r>
    </w:p>
    <w:p w:rsidR="00043F6A" w:rsidRPr="00B716BF" w:rsidRDefault="00043F6A" w:rsidP="00043F6A">
      <w:pPr>
        <w:spacing w:line="240" w:lineRule="auto"/>
        <w:jc w:val="both"/>
        <w:rPr>
          <w:rFonts w:ascii="Times New Roman" w:hAnsi="Times New Roman" w:cs="Times New Roman"/>
          <w:color w:val="FF0000"/>
          <w:sz w:val="24"/>
          <w:szCs w:val="24"/>
          <w:shd w:val="clear" w:color="auto" w:fill="FFFFFF"/>
        </w:rPr>
      </w:pPr>
      <w:r w:rsidRPr="00B716BF">
        <w:rPr>
          <w:rFonts w:ascii="Times New Roman" w:hAnsi="Times New Roman" w:cs="Times New Roman"/>
          <w:color w:val="FF0000"/>
          <w:sz w:val="24"/>
          <w:szCs w:val="24"/>
          <w:shd w:val="clear" w:color="auto" w:fill="FFFFFF"/>
        </w:rPr>
        <w:t xml:space="preserve">El volumen de obras atañe a la actividad de construcción de infraestructuras de transporte, agua, edificación, residencial y no residencial, o proyectos industriales. Quedan fuera, en la mayoría de los casos, los contratos de servicios y la cartera ligada a las concesiones para la explotación y el mantenimiento de los activos. No en vano, la cifra de pedidos total de los seis grupos, incluyendo todas las divisiones, se aproxima ya a los 250.000 millones de </w:t>
      </w:r>
      <w:r>
        <w:rPr>
          <w:rFonts w:ascii="Times New Roman" w:hAnsi="Times New Roman" w:cs="Times New Roman"/>
          <w:color w:val="FF0000"/>
          <w:sz w:val="24"/>
          <w:szCs w:val="24"/>
          <w:shd w:val="clear" w:color="auto" w:fill="FFFFFF"/>
        </w:rPr>
        <w:t>euros, en máximos históricos.</w:t>
      </w:r>
    </w:p>
    <w:p w:rsidR="00043F6A" w:rsidRPr="00BD5CAD" w:rsidRDefault="00043F6A" w:rsidP="00043F6A">
      <w:pPr>
        <w:spacing w:line="240" w:lineRule="auto"/>
        <w:jc w:val="both"/>
        <w:rPr>
          <w:rFonts w:ascii="Times New Roman" w:hAnsi="Times New Roman" w:cs="Times New Roman"/>
          <w:sz w:val="24"/>
          <w:szCs w:val="24"/>
          <w:shd w:val="clear" w:color="auto" w:fill="FFFFFF"/>
        </w:rPr>
      </w:pPr>
    </w:p>
    <w:p w:rsidR="00043F6A" w:rsidRPr="00BD5CAD" w:rsidRDefault="00043F6A" w:rsidP="00043F6A">
      <w:pPr>
        <w:spacing w:line="240" w:lineRule="auto"/>
        <w:jc w:val="both"/>
        <w:rPr>
          <w:rFonts w:ascii="Times New Roman" w:hAnsi="Times New Roman" w:cs="Times New Roman"/>
          <w:sz w:val="24"/>
          <w:szCs w:val="24"/>
          <w:shd w:val="clear" w:color="auto" w:fill="FFFFFF"/>
        </w:rPr>
      </w:pPr>
      <w:r w:rsidRPr="00BD5CAD">
        <w:rPr>
          <w:rFonts w:ascii="Times New Roman" w:hAnsi="Times New Roman" w:cs="Times New Roman"/>
          <w:noProof/>
          <w:sz w:val="24"/>
          <w:szCs w:val="24"/>
          <w:shd w:val="clear" w:color="auto" w:fill="FFFFFF"/>
          <w:lang w:eastAsia="es-ES"/>
        </w:rPr>
        <w:drawing>
          <wp:inline distT="0" distB="0" distL="0" distR="0" wp14:anchorId="180552E0" wp14:editId="1F491B89">
            <wp:extent cx="5727700" cy="3644900"/>
            <wp:effectExtent l="0" t="0" r="635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5729820" cy="3646249"/>
                    </a:xfrm>
                    <a:prstGeom prst="rect">
                      <a:avLst/>
                    </a:prstGeom>
                  </pic:spPr>
                </pic:pic>
              </a:graphicData>
            </a:graphic>
          </wp:inline>
        </w:drawing>
      </w:r>
    </w:p>
    <w:p w:rsidR="00043F6A" w:rsidRPr="00B716BF" w:rsidRDefault="00043F6A" w:rsidP="00043F6A">
      <w:pPr>
        <w:spacing w:line="240" w:lineRule="auto"/>
        <w:jc w:val="both"/>
        <w:rPr>
          <w:rFonts w:ascii="Times New Roman" w:hAnsi="Times New Roman" w:cs="Times New Roman"/>
          <w:color w:val="FF0000"/>
          <w:sz w:val="24"/>
          <w:szCs w:val="24"/>
          <w:shd w:val="clear" w:color="auto" w:fill="FFFFFF"/>
        </w:rPr>
      </w:pPr>
      <w:r w:rsidRPr="00BD5CAD">
        <w:rPr>
          <w:rFonts w:ascii="Times New Roman" w:hAnsi="Times New Roman" w:cs="Times New Roman"/>
          <w:sz w:val="24"/>
          <w:szCs w:val="24"/>
          <w:shd w:val="clear" w:color="auto" w:fill="FFFFFF"/>
        </w:rPr>
        <w:t xml:space="preserve">La positiva evolución de la cartera de construcción se sustenta tanto en el negocio internacional como en el nacional, toda vez que los fondos Next Generation de la Unión Europea están propiciando un espaldarazo a la obra civil en España. </w:t>
      </w:r>
      <w:r w:rsidRPr="00B716BF">
        <w:rPr>
          <w:rFonts w:ascii="Times New Roman" w:hAnsi="Times New Roman" w:cs="Times New Roman"/>
          <w:color w:val="FF0000"/>
          <w:sz w:val="24"/>
          <w:szCs w:val="24"/>
          <w:shd w:val="clear" w:color="auto" w:fill="FFFFFF"/>
        </w:rPr>
        <w:t>No en vano, la licitación de las Administraciones Públicas (Estados, Comunidades Autónomas y entes locales) superó los 25.946 millones de euros entre enero y noviembre de 2023, un 8,7% más que los 23.869 millones del mismo periodo de 2023, según los últimos datos divulgados por la patronal que engloba a las grandes constructoras y concesionarias españolas, Seopan.</w:t>
      </w:r>
    </w:p>
    <w:p w:rsidR="00043F6A" w:rsidRPr="00BD5CAD" w:rsidRDefault="00043F6A" w:rsidP="00043F6A">
      <w:pPr>
        <w:spacing w:line="240" w:lineRule="auto"/>
        <w:jc w:val="both"/>
        <w:rPr>
          <w:rFonts w:ascii="Times New Roman" w:hAnsi="Times New Roman" w:cs="Times New Roman"/>
          <w:sz w:val="24"/>
          <w:szCs w:val="24"/>
          <w:shd w:val="clear" w:color="auto" w:fill="FFFFFF"/>
        </w:rPr>
      </w:pPr>
      <w:r w:rsidRPr="00BD5CAD">
        <w:rPr>
          <w:rFonts w:ascii="Times New Roman" w:hAnsi="Times New Roman" w:cs="Times New Roman"/>
          <w:sz w:val="24"/>
          <w:szCs w:val="24"/>
          <w:shd w:val="clear" w:color="auto" w:fill="FFFFFF"/>
        </w:rPr>
        <w:t>ACS continúa engordando la brecha con el resto de constructoras españolas y aporta más de la mitad (11.647 millones) del aumento total conjunto de las seis enseñas (19. 503 millones). Se destaca como líder absoluto con una cartera de 86.555 millones de euros, un importe que supone un alza del 15,55% con respecto a septiembre de 2023. Se trata de una cifra que coquetea con los máximos de siempre -en junio llegó a 86.693 millones- apoyada en un frenético ritmo de contratación.</w:t>
      </w:r>
    </w:p>
    <w:p w:rsidR="00043F6A" w:rsidRPr="00BD5CAD" w:rsidRDefault="00043F6A" w:rsidP="00043F6A">
      <w:pPr>
        <w:spacing w:line="240" w:lineRule="auto"/>
        <w:jc w:val="both"/>
        <w:rPr>
          <w:rFonts w:ascii="Times New Roman" w:hAnsi="Times New Roman" w:cs="Times New Roman"/>
          <w:sz w:val="24"/>
          <w:szCs w:val="24"/>
          <w:shd w:val="clear" w:color="auto" w:fill="FFFFFF"/>
        </w:rPr>
      </w:pPr>
      <w:r w:rsidRPr="00BD5CAD">
        <w:rPr>
          <w:rFonts w:ascii="Times New Roman" w:hAnsi="Times New Roman" w:cs="Times New Roman"/>
          <w:sz w:val="24"/>
          <w:szCs w:val="24"/>
          <w:shd w:val="clear" w:color="auto" w:fill="FFFFFF"/>
        </w:rPr>
        <w:t>Así, la multinacional que preside Florentino Pérez sumó nuevos proyectos por un valor de 40.400 millones de euros, un 16% más que los 34.700 millones que firmó en los nueve primeros meses de 2023. Este impulso deviene, en gran medida, de la apuesta del grupo por las infraestructuras de nueva generación, con una posición al alza en centros de datos, área en la que durante 2024 acumuló adjudicaciones por más de 10.000 millones de euros. También se ha consolidado como referente en la construcción de estadios deportivos, principalmente en Estados Unidos. Precisamente este país y Australia emergen como sus principales mercados.</w:t>
      </w:r>
    </w:p>
    <w:p w:rsidR="00043F6A" w:rsidRPr="00BD5CAD" w:rsidRDefault="00043F6A" w:rsidP="00043F6A">
      <w:pPr>
        <w:spacing w:line="240" w:lineRule="auto"/>
        <w:jc w:val="both"/>
        <w:rPr>
          <w:rFonts w:ascii="Times New Roman" w:hAnsi="Times New Roman" w:cs="Times New Roman"/>
          <w:sz w:val="24"/>
          <w:szCs w:val="24"/>
          <w:shd w:val="clear" w:color="auto" w:fill="FFFFFF"/>
        </w:rPr>
      </w:pPr>
      <w:r w:rsidRPr="00BD5CAD">
        <w:rPr>
          <w:rFonts w:ascii="Times New Roman" w:hAnsi="Times New Roman" w:cs="Times New Roman"/>
          <w:sz w:val="24"/>
          <w:szCs w:val="24"/>
          <w:shd w:val="clear" w:color="auto" w:fill="FFFFFF"/>
        </w:rPr>
        <w:t xml:space="preserve">Acciona, por su parte, se coloca como segundo mayor grupo por cartera de construcción, con 18.705 millones tras elevar este importe un 22,4%. En esta partida se incluyen grandes proyectos como el del Anillo Vial Periférico de Lima (Perú), que el grupo que preside José Manuel Entrecanales se adjudicó en una alianza que también integran Ferrovial y Sacyr. </w:t>
      </w:r>
      <w:r w:rsidRPr="00BD5CAD">
        <w:rPr>
          <w:rFonts w:ascii="Times New Roman" w:hAnsi="Times New Roman" w:cs="Times New Roman"/>
          <w:sz w:val="24"/>
          <w:szCs w:val="24"/>
          <w:shd w:val="clear" w:color="auto" w:fill="FFFFFF"/>
        </w:rPr>
        <w:lastRenderedPageBreak/>
        <w:t>También figuran los contratos de ejecución de obras de agua. La compañía dispara hasta los 27.207 millones la cartera total de infraestructuras (sumando concesiones y servicios), un 26% más que en septiembre de 2023 y en niveles récord.</w:t>
      </w:r>
    </w:p>
    <w:p w:rsidR="00043F6A" w:rsidRPr="00BD5CAD" w:rsidRDefault="00043F6A" w:rsidP="00043F6A">
      <w:pPr>
        <w:spacing w:line="240" w:lineRule="auto"/>
        <w:jc w:val="both"/>
        <w:rPr>
          <w:rFonts w:ascii="Times New Roman" w:hAnsi="Times New Roman" w:cs="Times New Roman"/>
          <w:sz w:val="24"/>
          <w:szCs w:val="24"/>
          <w:shd w:val="clear" w:color="auto" w:fill="FFFFFF"/>
        </w:rPr>
      </w:pPr>
      <w:r w:rsidRPr="00BD5CAD">
        <w:rPr>
          <w:rFonts w:ascii="Times New Roman" w:hAnsi="Times New Roman" w:cs="Times New Roman"/>
          <w:sz w:val="24"/>
          <w:szCs w:val="24"/>
          <w:shd w:val="clear" w:color="auto" w:fill="FFFFFF"/>
        </w:rPr>
        <w:t>También en máximos históricos se sitúa Ferrovial, que completa el podio con un volumen de obras de 15.586 millones, un 2,7% más que un año antes. En su caso, sobresalen, además del proyecto peruano, la buena marcha de su filial polaca Budimex. En el último trimestre, además, sumó obras por cerca de 2.000 millones en la alta velocidad británica.</w:t>
      </w:r>
    </w:p>
    <w:p w:rsidR="00043F6A" w:rsidRPr="00BD5CAD" w:rsidRDefault="00043F6A" w:rsidP="00043F6A">
      <w:pPr>
        <w:spacing w:line="240" w:lineRule="auto"/>
        <w:jc w:val="both"/>
        <w:rPr>
          <w:rFonts w:ascii="Times New Roman" w:hAnsi="Times New Roman" w:cs="Times New Roman"/>
          <w:sz w:val="24"/>
          <w:szCs w:val="24"/>
          <w:shd w:val="clear" w:color="auto" w:fill="FFFFFF"/>
        </w:rPr>
      </w:pPr>
      <w:r w:rsidRPr="00BD5CAD">
        <w:rPr>
          <w:rFonts w:ascii="Times New Roman" w:hAnsi="Times New Roman" w:cs="Times New Roman"/>
          <w:sz w:val="24"/>
          <w:szCs w:val="24"/>
          <w:shd w:val="clear" w:color="auto" w:fill="FFFFFF"/>
        </w:rPr>
        <w:t>El mayor incremento de la cartera de construcción, en todo caso, corresponde a Sacyr. Con una subida del 32,4%, la empresa elevó la cuantía hasta los 9.938 millones. De ellos, el 67% se atribuye a contratos de concesiones de la compañía, frente al 52% que presentaba al término del tercer trimestre de 2023.</w:t>
      </w:r>
    </w:p>
    <w:p w:rsidR="00043F6A" w:rsidRDefault="00043F6A" w:rsidP="00043F6A">
      <w:pPr>
        <w:spacing w:line="240" w:lineRule="auto"/>
        <w:jc w:val="both"/>
        <w:rPr>
          <w:rFonts w:ascii="Times New Roman" w:hAnsi="Times New Roman" w:cs="Times New Roman"/>
          <w:sz w:val="24"/>
          <w:szCs w:val="24"/>
          <w:shd w:val="clear" w:color="auto" w:fill="FFFFFF"/>
        </w:rPr>
      </w:pPr>
      <w:r w:rsidRPr="00BD5CAD">
        <w:rPr>
          <w:rFonts w:ascii="Times New Roman" w:hAnsi="Times New Roman" w:cs="Times New Roman"/>
          <w:sz w:val="24"/>
          <w:szCs w:val="24"/>
          <w:shd w:val="clear" w:color="auto" w:fill="FFFFFF"/>
        </w:rPr>
        <w:t>Mientras, OHLA incrementó su cartera de construcción un 17,3%, hasta 7.185 millones gracias al empuje de Estados Unidos, República Checa y España y algunos contratos en Suecia y Brasil, donde regresó el curso pasado. FCC, por último, subió sus pedidos de construcción un 8,6%, hasta 6.766 millones, si bien la cifra sería superior si se incluyen obras de Aqualia.</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3A6FF8">
        <w:rPr>
          <w:rFonts w:ascii="Times New Roman" w:hAnsi="Times New Roman" w:cs="Times New Roman"/>
          <w:b/>
          <w:color w:val="FF0000"/>
          <w:sz w:val="24"/>
          <w:szCs w:val="24"/>
          <w:shd w:val="clear" w:color="auto" w:fill="FFFFFF"/>
        </w:rPr>
        <w:t>Nota III</w:t>
      </w:r>
      <w:r w:rsidRPr="003A6FF8">
        <w:rPr>
          <w:rFonts w:ascii="Times New Roman" w:hAnsi="Times New Roman" w:cs="Times New Roman"/>
          <w:color w:val="FF0000"/>
          <w:sz w:val="24"/>
          <w:szCs w:val="24"/>
          <w:shd w:val="clear" w:color="auto" w:fill="FFFFFF"/>
        </w:rPr>
        <w:t>: El estado en sus diferentes niveles (nacional, autonómico y municipal) realiza contrataciones públicas significativas en obras y servicios. La contratación pública en España representa alrededor del 20% del Producto Interior Bruto (PIB). Estos contratos abarcan diversas áreas, desde obras públicas hasta servicios como limpieza, transporte y suministros. (Fuente: Google - Vista creada con IA)</w:t>
      </w:r>
      <w:r>
        <w:rPr>
          <w:rFonts w:ascii="Times New Roman" w:hAnsi="Times New Roman" w:cs="Times New Roman"/>
          <w:color w:val="FF0000"/>
          <w:sz w:val="24"/>
          <w:szCs w:val="24"/>
          <w:shd w:val="clear" w:color="auto" w:fill="FFFFFF"/>
        </w:rPr>
        <w:t>.</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3A6FF8">
        <w:rPr>
          <w:rFonts w:ascii="Times New Roman" w:hAnsi="Times New Roman" w:cs="Times New Roman"/>
          <w:b/>
          <w:color w:val="FF0000"/>
          <w:sz w:val="24"/>
          <w:szCs w:val="24"/>
          <w:shd w:val="clear" w:color="auto" w:fill="FFFFFF"/>
        </w:rPr>
        <w:t>Nota IV</w:t>
      </w:r>
      <w:r>
        <w:rPr>
          <w:rFonts w:ascii="Times New Roman" w:hAnsi="Times New Roman" w:cs="Times New Roman"/>
          <w:color w:val="FF0000"/>
          <w:sz w:val="24"/>
          <w:szCs w:val="24"/>
          <w:shd w:val="clear" w:color="auto" w:fill="FFFFFF"/>
        </w:rPr>
        <w:t xml:space="preserve">: </w:t>
      </w:r>
      <w:r w:rsidRPr="004C284E">
        <w:rPr>
          <w:rFonts w:ascii="Times New Roman" w:hAnsi="Times New Roman" w:cs="Times New Roman"/>
          <w:color w:val="FF0000"/>
          <w:sz w:val="24"/>
          <w:szCs w:val="24"/>
          <w:shd w:val="clear" w:color="auto" w:fill="FFFFFF"/>
        </w:rPr>
        <w:t>Eliminar de la lista de proveedores del estado aquellas empresas</w:t>
      </w:r>
      <w:r>
        <w:rPr>
          <w:rFonts w:ascii="Times New Roman" w:hAnsi="Times New Roman" w:cs="Times New Roman"/>
          <w:color w:val="FF0000"/>
          <w:sz w:val="24"/>
          <w:szCs w:val="24"/>
          <w:shd w:val="clear" w:color="auto" w:fill="FFFFFF"/>
        </w:rPr>
        <w:t>,</w:t>
      </w:r>
      <w:r w:rsidRPr="004C284E">
        <w:rPr>
          <w:rFonts w:ascii="Times New Roman" w:hAnsi="Times New Roman" w:cs="Times New Roman"/>
          <w:color w:val="FF0000"/>
          <w:sz w:val="24"/>
          <w:szCs w:val="24"/>
          <w:shd w:val="clear" w:color="auto" w:fill="FFFFFF"/>
        </w:rPr>
        <w:t xml:space="preserve"> o empresarios</w:t>
      </w:r>
      <w:r>
        <w:rPr>
          <w:rFonts w:ascii="Times New Roman" w:hAnsi="Times New Roman" w:cs="Times New Roman"/>
          <w:color w:val="FF0000"/>
          <w:sz w:val="24"/>
          <w:szCs w:val="24"/>
          <w:shd w:val="clear" w:color="auto" w:fill="FFFFFF"/>
        </w:rPr>
        <w:t>,</w:t>
      </w:r>
      <w:r w:rsidRPr="004C284E">
        <w:rPr>
          <w:rFonts w:ascii="Times New Roman" w:hAnsi="Times New Roman" w:cs="Times New Roman"/>
          <w:color w:val="FF0000"/>
          <w:sz w:val="24"/>
          <w:szCs w:val="24"/>
          <w:shd w:val="clear" w:color="auto" w:fill="FFFFFF"/>
        </w:rPr>
        <w:t xml:space="preserve"> que tengan alguna pena por corrupción</w:t>
      </w:r>
      <w:r>
        <w:rPr>
          <w:rFonts w:ascii="Times New Roman" w:hAnsi="Times New Roman" w:cs="Times New Roman"/>
          <w:color w:val="FF0000"/>
          <w:sz w:val="24"/>
          <w:szCs w:val="24"/>
          <w:shd w:val="clear" w:color="auto" w:fill="FFFFFF"/>
        </w:rPr>
        <w:t>. Las empresas, o empresarios, condenados por alguna causa de corrupción, más allá de las penas judiciales, QUEDARÁN INHABILITADOS PARA CONTRATAR CON EL ESTADO NACIONAL, AUTONÓMICO, O MUNICIPAL (en el nivel administrativo, que corresponda a la causa). Tal vez así, sean más “prudentes”.</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982E02">
        <w:rPr>
          <w:rFonts w:ascii="Times New Roman" w:hAnsi="Times New Roman" w:cs="Times New Roman"/>
          <w:color w:val="FF0000"/>
          <w:sz w:val="24"/>
          <w:szCs w:val="24"/>
          <w:shd w:val="clear" w:color="auto" w:fill="FFFFFF"/>
        </w:rPr>
        <w:t>- Dejar de subvencionar a todo tipo de ONG</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 xml:space="preserve">El gobierno español destina cantidades variables y a menudo específicas en subvenciones a ONG, no una cifra única total que se publique regularmente. Por ejemplo, en 2025, se aprobaron 94 millones de euros para subvenciones estatales del 0,7% a diversas ONGs, y en 2024, se repartieron 5.000 millones en subvenciones generales (incluyendo a ONG). Las subvenciones pueden variar desde cifras concretas para programas específicos, como 392 millones para acogida de refugiados en 2022, hasta 66 millones para ayuda humanitaria en 2025. </w:t>
      </w:r>
      <w:r>
        <w:rPr>
          <w:rFonts w:ascii="Times New Roman" w:hAnsi="Times New Roman" w:cs="Times New Roman"/>
          <w:sz w:val="24"/>
          <w:szCs w:val="24"/>
          <w:shd w:val="clear" w:color="auto" w:fill="FFFFFF"/>
        </w:rPr>
        <w:t>(Fuente: Google - Vista creada con IA)</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Ejemplos de subvenciones a ONG:</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94 millones de euros en 2025: </w:t>
      </w:r>
      <w:r w:rsidRPr="00EA063B">
        <w:rPr>
          <w:rFonts w:ascii="Times New Roman" w:hAnsi="Times New Roman" w:cs="Times New Roman"/>
          <w:sz w:val="24"/>
          <w:szCs w:val="24"/>
          <w:shd w:val="clear" w:color="auto" w:fill="FFFFFF"/>
        </w:rPr>
        <w:t xml:space="preserve">Destinados a las subvenciones estatales del 0,7% a través del Ministerio de Derechos Sociales. </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66 millones de euros en 2025: </w:t>
      </w:r>
      <w:r w:rsidRPr="00EA063B">
        <w:rPr>
          <w:rFonts w:ascii="Times New Roman" w:hAnsi="Times New Roman" w:cs="Times New Roman"/>
          <w:sz w:val="24"/>
          <w:szCs w:val="24"/>
          <w:shd w:val="clear" w:color="auto" w:fill="FFFFFF"/>
        </w:rPr>
        <w:t xml:space="preserve">Para contribuciones voluntarias a diversos organismos internacionales, principalmente para ayuda humanitaria. </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392 millones de euros en 2022: </w:t>
      </w:r>
      <w:r w:rsidRPr="00EA063B">
        <w:rPr>
          <w:rFonts w:ascii="Times New Roman" w:hAnsi="Times New Roman" w:cs="Times New Roman"/>
          <w:sz w:val="24"/>
          <w:szCs w:val="24"/>
          <w:shd w:val="clear" w:color="auto" w:fill="FFFFFF"/>
        </w:rPr>
        <w:t xml:space="preserve">Dirigidos a entidades del sistema de acogida de refugiados por el Ministerio de Inclusión. </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lastRenderedPageBreak/>
        <w:t>1.458 millones de euros en los</w:t>
      </w:r>
      <w:r>
        <w:rPr>
          <w:rFonts w:ascii="Times New Roman" w:hAnsi="Times New Roman" w:cs="Times New Roman"/>
          <w:sz w:val="24"/>
          <w:szCs w:val="24"/>
          <w:shd w:val="clear" w:color="auto" w:fill="FFFFFF"/>
        </w:rPr>
        <w:t xml:space="preserve"> últimos tres años (2022-2024): </w:t>
      </w:r>
      <w:r w:rsidRPr="00EA063B">
        <w:rPr>
          <w:rFonts w:ascii="Times New Roman" w:hAnsi="Times New Roman" w:cs="Times New Roman"/>
          <w:sz w:val="24"/>
          <w:szCs w:val="24"/>
          <w:shd w:val="clear" w:color="auto" w:fill="FFFFFF"/>
        </w:rPr>
        <w:t xml:space="preserve">Subvenciones a ONG para la acogida de inmigrantes sin papeles, según Libre Mercado. </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 xml:space="preserve">Fuentes de financiación para las ONG: </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Fondos públicos: Subvenciones directas del gobierno central, autonomías y ayuntamientos.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Donaciones privadas: Aportaciones de particulares y empresas.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Ingresos por actividades propias: Eventos, servicios u otras iniciativas de las propias ONG.</w:t>
      </w:r>
    </w:p>
    <w:p w:rsidR="00043F6A"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Es importante tener en cuenta que el dinero que se destina a las ONG a través de subvenciones es variable y suele ser para fines específicos, no una cifra única anual que agrupe todas las aportaciones.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A063B">
        <w:rPr>
          <w:rFonts w:ascii="Times New Roman" w:hAnsi="Times New Roman" w:cs="Times New Roman"/>
          <w:sz w:val="24"/>
          <w:szCs w:val="24"/>
          <w:u w:val="single"/>
          <w:shd w:val="clear" w:color="auto" w:fill="FFFFFF"/>
        </w:rPr>
        <w:t>Las subvenciones a ONG que acogen a inmigrantes sin papeles suman 1.458 millones</w:t>
      </w:r>
      <w:r w:rsidR="000E44B4">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Libre Mercado - Libertad Digital - </w:t>
      </w:r>
      <w:r w:rsidRPr="00EA063B">
        <w:rPr>
          <w:rFonts w:ascii="Times New Roman" w:hAnsi="Times New Roman" w:cs="Times New Roman"/>
          <w:b/>
          <w:sz w:val="24"/>
          <w:szCs w:val="24"/>
          <w:shd w:val="clear" w:color="auto" w:fill="FFFFFF"/>
        </w:rPr>
        <w:t>4/7/25</w:t>
      </w:r>
      <w:r>
        <w:rPr>
          <w:rFonts w:ascii="Times New Roman" w:hAnsi="Times New Roman" w:cs="Times New Roman"/>
          <w:sz w:val="24"/>
          <w:szCs w:val="24"/>
          <w:shd w:val="clear" w:color="auto" w:fill="FFFFFF"/>
        </w:rPr>
        <w:t>)</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La mayoría se adjudican sin licitación. No hay transparencia sobre el grado de integraci</w:t>
      </w:r>
      <w:r>
        <w:rPr>
          <w:rFonts w:ascii="Times New Roman" w:hAnsi="Times New Roman" w:cs="Times New Roman"/>
          <w:sz w:val="24"/>
          <w:szCs w:val="24"/>
          <w:shd w:val="clear" w:color="auto" w:fill="FFFFFF"/>
        </w:rPr>
        <w:t>ón conseguida con estos fondos.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EA063B">
        <w:rPr>
          <w:rFonts w:ascii="Times New Roman" w:hAnsi="Times New Roman" w:cs="Times New Roman"/>
          <w:sz w:val="24"/>
          <w:szCs w:val="24"/>
          <w:shd w:val="clear" w:color="auto" w:fill="FFFFFF"/>
        </w:rPr>
        <w:t>Diego Sánchez de la Cruz</w:t>
      </w:r>
      <w:r>
        <w:rPr>
          <w:rFonts w:ascii="Times New Roman" w:hAnsi="Times New Roman" w:cs="Times New Roman"/>
          <w:sz w:val="24"/>
          <w:szCs w:val="24"/>
          <w:shd w:val="clear" w:color="auto" w:fill="FFFFFF"/>
        </w:rPr>
        <w:t>)</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Las llegadas de inmigrantes sin papeles se han disparado en los últimos años. Según datos oficiales del Ministerio del Interior, en 2024 se registraron un total de 63.970 llegadas irregulares, lo que supone un incremento del 12,5% respecto a las cifras de 2023 (56.852). De hecho, el pasado ejercicio estuvo cerca de rozar el récor</w:t>
      </w:r>
      <w:r>
        <w:rPr>
          <w:rFonts w:ascii="Times New Roman" w:hAnsi="Times New Roman" w:cs="Times New Roman"/>
          <w:sz w:val="24"/>
          <w:szCs w:val="24"/>
          <w:shd w:val="clear" w:color="auto" w:fill="FFFFFF"/>
        </w:rPr>
        <w:t>d de 64 .298 alcanzado en 2018.</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Los desembarcos irregulares alcanzaron un total de 32.449 en 2019, 41.861 en 2020, 41.945 en 2021 y 31.219 en 2022, de modo que el total acumulado desde que Pedro Sánchez llegó al gobierno en 2018 asciende a 275.742, siempre de acuerdo con las publicaciones oficiales que edita el Ministerio del Interior, cuya estadística ofrece datos quincen</w:t>
      </w:r>
      <w:r>
        <w:rPr>
          <w:rFonts w:ascii="Times New Roman" w:hAnsi="Times New Roman" w:cs="Times New Roman"/>
          <w:sz w:val="24"/>
          <w:szCs w:val="24"/>
          <w:shd w:val="clear" w:color="auto" w:fill="FFFFFF"/>
        </w:rPr>
        <w:t>ales, amén de un resumen anual.</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Estos mismos datos del departamento de gobierno que dirige Fernando Grande-Marlaska acreditan que la ruta de entrada más popular son las Islas Canarias, puesto que el archipiélago recibió en 2024 un total de 46.843 entradas de inmigrantes sin papeles, lo que supone tres cuartas partes del total. Las ciudades autónomas de Ceuta y Melilla figuran en segunda pos</w:t>
      </w:r>
      <w:r w:rsidR="000E44B4">
        <w:rPr>
          <w:rFonts w:ascii="Times New Roman" w:hAnsi="Times New Roman" w:cs="Times New Roman"/>
          <w:sz w:val="24"/>
          <w:szCs w:val="24"/>
          <w:shd w:val="clear" w:color="auto" w:fill="FFFFFF"/>
        </w:rPr>
        <w:t>ición y se erigen como el otro “</w:t>
      </w:r>
      <w:r w:rsidRPr="00EA063B">
        <w:rPr>
          <w:rFonts w:ascii="Times New Roman" w:hAnsi="Times New Roman" w:cs="Times New Roman"/>
          <w:sz w:val="24"/>
          <w:szCs w:val="24"/>
          <w:shd w:val="clear" w:color="auto" w:fill="FFFFFF"/>
        </w:rPr>
        <w:t>punto calient</w:t>
      </w:r>
      <w:r w:rsidR="000E44B4">
        <w:rPr>
          <w:rFonts w:ascii="Times New Roman" w:hAnsi="Times New Roman" w:cs="Times New Roman"/>
          <w:sz w:val="24"/>
          <w:szCs w:val="24"/>
          <w:shd w:val="clear" w:color="auto" w:fill="FFFFFF"/>
        </w:rPr>
        <w:t>e”</w:t>
      </w:r>
      <w:r>
        <w:rPr>
          <w:rFonts w:ascii="Times New Roman" w:hAnsi="Times New Roman" w:cs="Times New Roman"/>
          <w:sz w:val="24"/>
          <w:szCs w:val="24"/>
          <w:shd w:val="clear" w:color="auto" w:fill="FFFFFF"/>
        </w:rPr>
        <w:t xml:space="preserve"> de las entradas irregulares.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El sistema de acogida que da cobertura a las personas que llegan a nuestro país en estas circunstancias ha sido generosamente financiado por el Ministerio de Inclusión, Seguridad Social y Migraciones. En 2022, el Ejecutivo puso en marcha un sistema de "acción concertada" que le permite canalizar cientos de millones de euros a ONGs dedicadas a esta cuestión. Dicho paradigma, que toma su base legal en la Ley 9/2017, se desarrolló a través del Real Decreto 220/2022 y la Orden ISM/680/2022 y ha servido para celebrar adjudicaciones indirectas, sin contratos públicos, a aquellas entidades previamente acredit</w:t>
      </w:r>
      <w:r>
        <w:rPr>
          <w:rFonts w:ascii="Times New Roman" w:hAnsi="Times New Roman" w:cs="Times New Roman"/>
          <w:sz w:val="24"/>
          <w:szCs w:val="24"/>
          <w:shd w:val="clear" w:color="auto" w:fill="FFFFFF"/>
        </w:rPr>
        <w:t>adas por el Ejecutivo.</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El gasto pre</w:t>
      </w:r>
      <w:r w:rsidR="000E44B4">
        <w:rPr>
          <w:rFonts w:ascii="Times New Roman" w:hAnsi="Times New Roman" w:cs="Times New Roman"/>
          <w:sz w:val="24"/>
          <w:szCs w:val="24"/>
          <w:shd w:val="clear" w:color="auto" w:fill="FFFFFF"/>
        </w:rPr>
        <w:t>supuestado para el programa de “</w:t>
      </w:r>
      <w:r w:rsidRPr="00EA063B">
        <w:rPr>
          <w:rFonts w:ascii="Times New Roman" w:hAnsi="Times New Roman" w:cs="Times New Roman"/>
          <w:sz w:val="24"/>
          <w:szCs w:val="24"/>
          <w:shd w:val="clear" w:color="auto" w:fill="FFFFFF"/>
        </w:rPr>
        <w:t>acción concerta</w:t>
      </w:r>
      <w:r w:rsidR="000E44B4">
        <w:rPr>
          <w:rFonts w:ascii="Times New Roman" w:hAnsi="Times New Roman" w:cs="Times New Roman"/>
          <w:sz w:val="24"/>
          <w:szCs w:val="24"/>
          <w:shd w:val="clear" w:color="auto" w:fill="FFFFFF"/>
        </w:rPr>
        <w:t>da”</w:t>
      </w:r>
      <w:r w:rsidRPr="00EA063B">
        <w:rPr>
          <w:rFonts w:ascii="Times New Roman" w:hAnsi="Times New Roman" w:cs="Times New Roman"/>
          <w:sz w:val="24"/>
          <w:szCs w:val="24"/>
          <w:shd w:val="clear" w:color="auto" w:fill="FFFFFF"/>
        </w:rPr>
        <w:t xml:space="preserve"> alcanzó 173 millones de euros en 2022, cifra que se elevó a 633 millones en el año 2023 y que creció a 652 millones en el ejercicio 2024. En total, el último trienio habría sumado 1.458 millones desembolsados en esta cuestión. Esta cifra asciende a casi 10.000 euros por cada inmigrante sin papeles registrado en las estadísticas del Ministerio del</w:t>
      </w:r>
      <w:r>
        <w:rPr>
          <w:rFonts w:ascii="Times New Roman" w:hAnsi="Times New Roman" w:cs="Times New Roman"/>
          <w:sz w:val="24"/>
          <w:szCs w:val="24"/>
          <w:shd w:val="clear" w:color="auto" w:fill="FFFFFF"/>
        </w:rPr>
        <w:t xml:space="preserve"> Interior para 2022, 2023 2024.</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lastRenderedPageBreak/>
        <w:t>Sin embargo, el desglose de los gastos realmente ejecutados arroja cifras aún más abultadas. Así, el gasto entre enero y septiembre de 2022 fue estimado en el entorno de los 490 millones, frente a un presupuesto para todo el año de 173 millones. No se han publicado evaluaciones integrales que amplíen este cálculo al conjunto de 2022, así como a los años 2023 y 2024, pero todo apunta a que los desembolsos acumulados son, de hecho, aún mayores de lo previsto por en las cuentas del Ministerio de Inclusión, Seguridad Social y Migraciones.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De estas ayudas, los datos de enero a septiembre de 2022 sugieren que en torno a un 50% fue a parar a Cruz Roja, mientras que otras ONGs como CEAR o ACCEM se hicieron con un volumen de ayudas superior al 15%, en cada caso. Así pues, estas tres entidades sumaron alrededor del 85% del total de fondos desembolsad</w:t>
      </w:r>
      <w:r>
        <w:rPr>
          <w:rFonts w:ascii="Times New Roman" w:hAnsi="Times New Roman" w:cs="Times New Roman"/>
          <w:sz w:val="24"/>
          <w:szCs w:val="24"/>
          <w:shd w:val="clear" w:color="auto" w:fill="FFFFFF"/>
        </w:rPr>
        <w:t>os a través de estos programas.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Las ONG del ramo</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Por encima de los 5 millones de euros, los datos de los tres primeros trimestres de 2022 reflejan el peso de otras entidades como CEAR, ACCEM, CEPAIM, Movimiento por la Paz, Red Acoge, Asociación Provivienda, Diaconía España, APIP-ACAM o Asociación Progestión. Hablamos de ONGs que suman adjudicaciones por un monto cercano al 15% del total.</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 xml:space="preserve">Si buceamos en las cuentas de algunas de estas organizaciones, podemos ver que sus cuentas reciben importantes cuantías de dinero público que van más allá de los programas ministeriales. Es el caso de CEPAIM, que se embolsó más de 50 millones de euros en 2022, cifra </w:t>
      </w:r>
      <w:r w:rsidR="000E44B4">
        <w:rPr>
          <w:rFonts w:ascii="Times New Roman" w:hAnsi="Times New Roman" w:cs="Times New Roman"/>
          <w:sz w:val="24"/>
          <w:szCs w:val="24"/>
          <w:shd w:val="clear" w:color="auto" w:fill="FFFFFF"/>
        </w:rPr>
        <w:t>que incluyó 23,4 millones para “</w:t>
      </w:r>
      <w:r w:rsidRPr="00EA063B">
        <w:rPr>
          <w:rFonts w:ascii="Times New Roman" w:hAnsi="Times New Roman" w:cs="Times New Roman"/>
          <w:sz w:val="24"/>
          <w:szCs w:val="24"/>
          <w:shd w:val="clear" w:color="auto" w:fill="FFFFFF"/>
        </w:rPr>
        <w:t>atención y aco</w:t>
      </w:r>
      <w:r w:rsidR="000E44B4">
        <w:rPr>
          <w:rFonts w:ascii="Times New Roman" w:hAnsi="Times New Roman" w:cs="Times New Roman"/>
          <w:sz w:val="24"/>
          <w:szCs w:val="24"/>
          <w:shd w:val="clear" w:color="auto" w:fill="FFFFFF"/>
        </w:rPr>
        <w:t>gida de inmigrantes vulnerables”, 24,6 millones para “</w:t>
      </w:r>
      <w:r w:rsidRPr="00EA063B">
        <w:rPr>
          <w:rFonts w:ascii="Times New Roman" w:hAnsi="Times New Roman" w:cs="Times New Roman"/>
          <w:sz w:val="24"/>
          <w:szCs w:val="24"/>
          <w:shd w:val="clear" w:color="auto" w:fill="FFFFFF"/>
        </w:rPr>
        <w:t>desarroll</w:t>
      </w:r>
      <w:r w:rsidR="000E44B4">
        <w:rPr>
          <w:rFonts w:ascii="Times New Roman" w:hAnsi="Times New Roman" w:cs="Times New Roman"/>
          <w:sz w:val="24"/>
          <w:szCs w:val="24"/>
          <w:shd w:val="clear" w:color="auto" w:fill="FFFFFF"/>
        </w:rPr>
        <w:t>o de itinerarios de integración”</w:t>
      </w:r>
      <w:r w:rsidRPr="00EA063B">
        <w:rPr>
          <w:rFonts w:ascii="Times New Roman" w:hAnsi="Times New Roman" w:cs="Times New Roman"/>
          <w:sz w:val="24"/>
          <w:szCs w:val="24"/>
          <w:shd w:val="clear" w:color="auto" w:fill="FFFFFF"/>
        </w:rPr>
        <w:t xml:space="preserve"> y 1 millón p</w:t>
      </w:r>
      <w:r w:rsidR="000E44B4">
        <w:rPr>
          <w:rFonts w:ascii="Times New Roman" w:hAnsi="Times New Roman" w:cs="Times New Roman"/>
          <w:sz w:val="24"/>
          <w:szCs w:val="24"/>
          <w:shd w:val="clear" w:color="auto" w:fill="FFFFFF"/>
        </w:rPr>
        <w:t>ara “</w:t>
      </w:r>
      <w:r w:rsidRPr="00EA063B">
        <w:rPr>
          <w:rFonts w:ascii="Times New Roman" w:hAnsi="Times New Roman" w:cs="Times New Roman"/>
          <w:sz w:val="24"/>
          <w:szCs w:val="24"/>
          <w:shd w:val="clear" w:color="auto" w:fill="FFFFFF"/>
        </w:rPr>
        <w:t xml:space="preserve">inserción laboral de personas </w:t>
      </w:r>
      <w:r w:rsidR="000E44B4">
        <w:rPr>
          <w:rFonts w:ascii="Times New Roman" w:hAnsi="Times New Roman" w:cs="Times New Roman"/>
          <w:sz w:val="24"/>
          <w:szCs w:val="24"/>
          <w:shd w:val="clear" w:color="auto" w:fill="FFFFFF"/>
        </w:rPr>
        <w:t>bajo protección internacional”</w:t>
      </w:r>
      <w:r>
        <w:rPr>
          <w:rFonts w:ascii="Times New Roman" w:hAnsi="Times New Roman" w:cs="Times New Roman"/>
          <w:sz w:val="24"/>
          <w:szCs w:val="24"/>
          <w:shd w:val="clear" w:color="auto" w:fill="FFFFFF"/>
        </w:rPr>
        <w:t>.</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Esta ONG está presidida por Juan Antonio Miralles Ortega, un antiguo candidato de Izquierda Unida. Paula Moreno, que ha ejercido distintos cargos en Sumar, ha trabajado también en esta entidad. CEPAIM ocupó titulares de prensa tras la crisis de seguridad que sufrió el municipio de Guardamar del Segura, en la provincia de Alicante. En julio de 2024, los vecinos denunciaron que algunos de los inmigrantes acogidos por la ONG habrían incurrido en delitos tales como agresiones sexuales, robos o altercados nocturnos, motiv</w:t>
      </w:r>
      <w:r w:rsidR="000E44B4">
        <w:rPr>
          <w:rFonts w:ascii="Times New Roman" w:hAnsi="Times New Roman" w:cs="Times New Roman"/>
          <w:sz w:val="24"/>
          <w:szCs w:val="24"/>
          <w:shd w:val="clear" w:color="auto" w:fill="FFFFFF"/>
        </w:rPr>
        <w:t>ando incluso la adopción de un “toque de queda”</w:t>
      </w:r>
      <w:r w:rsidRPr="00EA063B">
        <w:rPr>
          <w:rFonts w:ascii="Times New Roman" w:hAnsi="Times New Roman" w:cs="Times New Roman"/>
          <w:sz w:val="24"/>
          <w:szCs w:val="24"/>
          <w:shd w:val="clear" w:color="auto" w:fill="FFFFFF"/>
        </w:rPr>
        <w:t xml:space="preserve"> a part</w:t>
      </w:r>
      <w:r>
        <w:rPr>
          <w:rFonts w:ascii="Times New Roman" w:hAnsi="Times New Roman" w:cs="Times New Roman"/>
          <w:sz w:val="24"/>
          <w:szCs w:val="24"/>
          <w:shd w:val="clear" w:color="auto" w:fill="FFFFFF"/>
        </w:rPr>
        <w:t>ir de las 23 horas de la noche.</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Otra de las ONG con mayor presencia en este tipo de programas es APIP-ACAM, que recibió 174 subvenciones entre los años 2020 y 2024, generando ingresos por valor de 42,9 millones de euros, de acuerdo con un análisis de Israel Cabrera realizado con datos del BOE. En su caso, la gestión de un grupo de inmigrantes sin papeles a Tossa de Mar, en la provincia de Gerona, fue motivo de queja ent</w:t>
      </w:r>
      <w:r>
        <w:rPr>
          <w:rFonts w:ascii="Times New Roman" w:hAnsi="Times New Roman" w:cs="Times New Roman"/>
          <w:sz w:val="24"/>
          <w:szCs w:val="24"/>
          <w:shd w:val="clear" w:color="auto" w:fill="FFFFFF"/>
        </w:rPr>
        <w:t>re los vecinos de la localidad.</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Opacidad y dudas. </w:t>
      </w:r>
      <w:r w:rsidRPr="00EA063B">
        <w:rPr>
          <w:rFonts w:ascii="Times New Roman" w:hAnsi="Times New Roman" w:cs="Times New Roman"/>
          <w:sz w:val="24"/>
          <w:szCs w:val="24"/>
          <w:shd w:val="clear" w:color="auto" w:fill="FFFFFF"/>
        </w:rPr>
        <w:t xml:space="preserve">El sistema de acogida carece de transparencia en cuanto a los resultados de integración que consigue. No existen evaluaciones públicas realizadas por organismos o expertos independientes que midan si los inmigrantes atendidos logran integrarse efectivamente, pese a que sería fácil determinar cuántos aprenden el idioma, acceden a </w:t>
      </w:r>
      <w:r>
        <w:rPr>
          <w:rFonts w:ascii="Times New Roman" w:hAnsi="Times New Roman" w:cs="Times New Roman"/>
          <w:sz w:val="24"/>
          <w:szCs w:val="24"/>
          <w:shd w:val="clear" w:color="auto" w:fill="FFFFFF"/>
        </w:rPr>
        <w:t>un empleo o alcanzan autonomía.</w:t>
      </w:r>
    </w:p>
    <w:p w:rsidR="00043F6A"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 xml:space="preserve">Las memorias de actividad disponibles aportan cifras de gasto y números referidos a las atenciones prestadas, pero omiten indicadores verificables de eficacia. Además, algunas organizaciones del ramo ni siquiera publican sus cuentas desde hace años, a pesar de que reciben más del 90% de sus ingresos de fondos públicos, lo que dificulta la tarea de fiscalizar </w:t>
      </w:r>
      <w:r w:rsidRPr="00EA063B">
        <w:rPr>
          <w:rFonts w:ascii="Times New Roman" w:hAnsi="Times New Roman" w:cs="Times New Roman"/>
          <w:sz w:val="24"/>
          <w:szCs w:val="24"/>
          <w:shd w:val="clear" w:color="auto" w:fill="FFFFFF"/>
        </w:rPr>
        <w:lastRenderedPageBreak/>
        <w:t>sus ingresos y medir sus resultados. Esta opacidad es especialmente preocupante dado que el modelo se basa en adjudicaciones directas, sin licitación pública ni control competitivo, lo que reduce los incentivos a rendir cuentas.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A063B">
        <w:rPr>
          <w:rFonts w:ascii="Times New Roman" w:hAnsi="Times New Roman" w:cs="Times New Roman"/>
          <w:sz w:val="24"/>
          <w:szCs w:val="24"/>
          <w:u w:val="single"/>
          <w:shd w:val="clear" w:color="auto" w:fill="FFFFFF"/>
        </w:rPr>
        <w:t>Sánchez reparte 5.000 millones en subvenciones en 2024 a más de 6.000 organismos</w:t>
      </w:r>
      <w:r>
        <w:rPr>
          <w:rFonts w:ascii="Times New Roman" w:hAnsi="Times New Roman" w:cs="Times New Roman"/>
          <w:sz w:val="24"/>
          <w:szCs w:val="24"/>
          <w:shd w:val="clear" w:color="auto" w:fill="FFFFFF"/>
        </w:rPr>
        <w:t xml:space="preserve"> (Libre Mercado - Libertad Digital - </w:t>
      </w:r>
      <w:r w:rsidRPr="00EA063B">
        <w:rPr>
          <w:rFonts w:ascii="Times New Roman" w:hAnsi="Times New Roman" w:cs="Times New Roman"/>
          <w:b/>
          <w:sz w:val="24"/>
          <w:szCs w:val="24"/>
          <w:shd w:val="clear" w:color="auto" w:fill="FFFFFF"/>
        </w:rPr>
        <w:t>5/7/25</w:t>
      </w:r>
      <w:r>
        <w:rPr>
          <w:rFonts w:ascii="Times New Roman" w:hAnsi="Times New Roman" w:cs="Times New Roman"/>
          <w:sz w:val="24"/>
          <w:szCs w:val="24"/>
          <w:shd w:val="clear" w:color="auto" w:fill="FFFFFF"/>
        </w:rPr>
        <w:t>)</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Entre los grandes beneficiarios de estos 5.000 millones hay numerosas ONG, también sindicatos</w:t>
      </w:r>
      <w:r>
        <w:rPr>
          <w:rFonts w:ascii="Times New Roman" w:hAnsi="Times New Roman" w:cs="Times New Roman"/>
          <w:sz w:val="24"/>
          <w:szCs w:val="24"/>
          <w:shd w:val="clear" w:color="auto" w:fill="FFFFFF"/>
        </w:rPr>
        <w:t>,</w:t>
      </w:r>
      <w:r w:rsidRPr="00EA063B">
        <w:rPr>
          <w:rFonts w:ascii="Times New Roman" w:hAnsi="Times New Roman" w:cs="Times New Roman"/>
          <w:sz w:val="24"/>
          <w:szCs w:val="24"/>
          <w:shd w:val="clear" w:color="auto" w:fill="FFFFFF"/>
        </w:rPr>
        <w:t xml:space="preserve"> como UGT y CCOO, y partidos como ERC y el PSC.</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EA063B">
        <w:rPr>
          <w:rFonts w:ascii="Times New Roman" w:hAnsi="Times New Roman" w:cs="Times New Roman"/>
          <w:sz w:val="24"/>
          <w:szCs w:val="24"/>
          <w:shd w:val="clear" w:color="auto" w:fill="FFFFFF"/>
        </w:rPr>
        <w:t>Miguel Puga</w:t>
      </w:r>
      <w:r>
        <w:rPr>
          <w:rFonts w:ascii="Times New Roman" w:hAnsi="Times New Roman" w:cs="Times New Roman"/>
          <w:sz w:val="24"/>
          <w:szCs w:val="24"/>
          <w:shd w:val="clear" w:color="auto" w:fill="FFFFFF"/>
        </w:rPr>
        <w:t>)</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Si hace unas semanas contábamos en Libre Mercado como el Gobierno de Pedro Sánchez había regalado más de 455 millones de euros a distintos organismos extranjeros a lo largo del 2024, entre los que se encontraban el Ministerio de Finanzas de Palestina o el Ministerio de Igualdad de Colombia, la noticia que traemos hoy hace que estas cantidades parezcan ridículas en comparación con lo que recibieron más de 6.000 organismos en España. En este artículo te vamos a contar todos los detalles.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Como ya hiciéramos en el a</w:t>
      </w:r>
      <w:r w:rsidR="000E44B4">
        <w:rPr>
          <w:rFonts w:ascii="Times New Roman" w:hAnsi="Times New Roman" w:cs="Times New Roman"/>
          <w:sz w:val="24"/>
          <w:szCs w:val="24"/>
          <w:shd w:val="clear" w:color="auto" w:fill="FFFFFF"/>
        </w:rPr>
        <w:t>rtículo pasado, si acudimos al “</w:t>
      </w:r>
      <w:r w:rsidRPr="00EA063B">
        <w:rPr>
          <w:rFonts w:ascii="Times New Roman" w:hAnsi="Times New Roman" w:cs="Times New Roman"/>
          <w:sz w:val="24"/>
          <w:szCs w:val="24"/>
          <w:shd w:val="clear" w:color="auto" w:fill="FFFFFF"/>
        </w:rPr>
        <w:t>Listado de G</w:t>
      </w:r>
      <w:r w:rsidR="000E44B4">
        <w:rPr>
          <w:rFonts w:ascii="Times New Roman" w:hAnsi="Times New Roman" w:cs="Times New Roman"/>
          <w:sz w:val="24"/>
          <w:szCs w:val="24"/>
          <w:shd w:val="clear" w:color="auto" w:fill="FFFFFF"/>
        </w:rPr>
        <w:t>randes Beneficiarios 2024 (XLS)”</w:t>
      </w:r>
      <w:r w:rsidRPr="00EA063B">
        <w:rPr>
          <w:rFonts w:ascii="Times New Roman" w:hAnsi="Times New Roman" w:cs="Times New Roman"/>
          <w:sz w:val="24"/>
          <w:szCs w:val="24"/>
          <w:shd w:val="clear" w:color="auto" w:fill="FFFFFF"/>
        </w:rPr>
        <w:t xml:space="preserve"> que proporciona el Ministerio de Hacienda en su página web, podremos ver</w:t>
      </w:r>
      <w:r w:rsidR="000E44B4">
        <w:rPr>
          <w:rFonts w:ascii="Times New Roman" w:hAnsi="Times New Roman" w:cs="Times New Roman"/>
          <w:sz w:val="24"/>
          <w:szCs w:val="24"/>
          <w:shd w:val="clear" w:color="auto" w:fill="FFFFFF"/>
        </w:rPr>
        <w:t xml:space="preserve"> un excel donde en la parte de “Asociaciones”</w:t>
      </w:r>
      <w:r w:rsidRPr="00EA063B">
        <w:rPr>
          <w:rFonts w:ascii="Times New Roman" w:hAnsi="Times New Roman" w:cs="Times New Roman"/>
          <w:sz w:val="24"/>
          <w:szCs w:val="24"/>
          <w:shd w:val="clear" w:color="auto" w:fill="FFFFFF"/>
        </w:rPr>
        <w:t xml:space="preserve"> nos podremos encontrar con los datos a</w:t>
      </w:r>
      <w:r>
        <w:rPr>
          <w:rFonts w:ascii="Times New Roman" w:hAnsi="Times New Roman" w:cs="Times New Roman"/>
          <w:sz w:val="24"/>
          <w:szCs w:val="24"/>
          <w:shd w:val="clear" w:color="auto" w:fill="FFFFFF"/>
        </w:rPr>
        <w:t xml:space="preserve"> los que vamos a hacer mención.</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Si hacemos el cálculo total, nos encontramos con que 6.196 asociaciones distintas recibieron en el año 2024 un total de 4.952 millones de euros. Entre estas organizaciones nos podemos encontrar algunas tales como la Sociedad Española de Ornitología que recibió 5,089 millones de euros o la Fundación e Investigación de la Industria del Jugu</w:t>
      </w:r>
      <w:r>
        <w:rPr>
          <w:rFonts w:ascii="Times New Roman" w:hAnsi="Times New Roman" w:cs="Times New Roman"/>
          <w:sz w:val="24"/>
          <w:szCs w:val="24"/>
          <w:shd w:val="clear" w:color="auto" w:fill="FFFFFF"/>
        </w:rPr>
        <w:t>ete con 4,99 millones de euros.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De estos casi 5.000 millones de euros destinados a dar subvenciones y otorgar ayudas hay 919,741 millones de euros que pertenecen a fondos europeos a través del Mecanismo de Recuperación y Resiliencia (MRR), es decir, casi un 20% de estas ayudas están financiadas co</w:t>
      </w:r>
      <w:r>
        <w:rPr>
          <w:rFonts w:ascii="Times New Roman" w:hAnsi="Times New Roman" w:cs="Times New Roman"/>
          <w:sz w:val="24"/>
          <w:szCs w:val="24"/>
          <w:shd w:val="clear" w:color="auto" w:fill="FFFFFF"/>
        </w:rPr>
        <w:t>n dinero de todos los europeos.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Entre las organizaciones que más dinero recibieron en 2024</w:t>
      </w:r>
      <w:r>
        <w:rPr>
          <w:rFonts w:ascii="Times New Roman" w:hAnsi="Times New Roman" w:cs="Times New Roman"/>
          <w:sz w:val="24"/>
          <w:szCs w:val="24"/>
          <w:shd w:val="clear" w:color="auto" w:fill="FFFFFF"/>
        </w:rPr>
        <w:t>, se encuentran las siguientes: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A063B">
        <w:rPr>
          <w:rFonts w:ascii="Times New Roman" w:hAnsi="Times New Roman" w:cs="Times New Roman"/>
          <w:sz w:val="24"/>
          <w:szCs w:val="24"/>
          <w:shd w:val="clear" w:color="auto" w:fill="FFFFFF"/>
        </w:rPr>
        <w:t>Unión Profesional, que recibió 200 millones de euros.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A063B">
        <w:rPr>
          <w:rFonts w:ascii="Times New Roman" w:hAnsi="Times New Roman" w:cs="Times New Roman"/>
          <w:sz w:val="24"/>
          <w:szCs w:val="24"/>
          <w:shd w:val="clear" w:color="auto" w:fill="FFFFFF"/>
        </w:rPr>
        <w:t>Fundación Cibervoluntarios, que recibió 76,63 millones de euros.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A063B">
        <w:rPr>
          <w:rFonts w:ascii="Times New Roman" w:hAnsi="Times New Roman" w:cs="Times New Roman"/>
          <w:sz w:val="24"/>
          <w:szCs w:val="24"/>
          <w:shd w:val="clear" w:color="auto" w:fill="FFFFFF"/>
        </w:rPr>
        <w:t>Consejo Valenciano de Colegios de Abogados, que recibió 51,8 millones de euros.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A063B">
        <w:rPr>
          <w:rFonts w:ascii="Times New Roman" w:hAnsi="Times New Roman" w:cs="Times New Roman"/>
          <w:sz w:val="24"/>
          <w:szCs w:val="24"/>
          <w:shd w:val="clear" w:color="auto" w:fill="FFFFFF"/>
        </w:rPr>
        <w:t>CESGA, que recibió 51,42 millones de euros.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A063B">
        <w:rPr>
          <w:rFonts w:ascii="Times New Roman" w:hAnsi="Times New Roman" w:cs="Times New Roman"/>
          <w:sz w:val="24"/>
          <w:szCs w:val="24"/>
          <w:shd w:val="clear" w:color="auto" w:fill="FFFFFF"/>
        </w:rPr>
        <w:t>Fundación para la Universidad Abierta de Cataluña, que recibió 50,64 millones de euros.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A063B">
        <w:rPr>
          <w:rFonts w:ascii="Times New Roman" w:hAnsi="Times New Roman" w:cs="Times New Roman"/>
          <w:sz w:val="24"/>
          <w:szCs w:val="24"/>
          <w:shd w:val="clear" w:color="auto" w:fill="FFFFFF"/>
        </w:rPr>
        <w:t>Centro de Investigación Biomédica en Red, que recibió 30,62 millones de euros.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A063B">
        <w:rPr>
          <w:rFonts w:ascii="Times New Roman" w:hAnsi="Times New Roman" w:cs="Times New Roman"/>
          <w:sz w:val="24"/>
          <w:szCs w:val="24"/>
          <w:shd w:val="clear" w:color="auto" w:fill="FFFFFF"/>
        </w:rPr>
        <w:t>Fundación Eurecat, que recibió 25,60 millones de euros.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A063B">
        <w:rPr>
          <w:rFonts w:ascii="Times New Roman" w:hAnsi="Times New Roman" w:cs="Times New Roman"/>
          <w:sz w:val="24"/>
          <w:szCs w:val="24"/>
          <w:shd w:val="clear" w:color="auto" w:fill="FFFFFF"/>
        </w:rPr>
        <w:t>Médicos del mundo, que recibió 24,56 millones de euros.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A063B">
        <w:rPr>
          <w:rFonts w:ascii="Times New Roman" w:hAnsi="Times New Roman" w:cs="Times New Roman"/>
          <w:sz w:val="24"/>
          <w:szCs w:val="24"/>
          <w:shd w:val="clear" w:color="auto" w:fill="FFFFFF"/>
        </w:rPr>
        <w:t>Fundación Laboral de la Construcción, que recibió 23,02 millones de euros.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EA063B">
        <w:rPr>
          <w:rFonts w:ascii="Times New Roman" w:hAnsi="Times New Roman" w:cs="Times New Roman"/>
          <w:sz w:val="24"/>
          <w:szCs w:val="24"/>
          <w:shd w:val="clear" w:color="auto" w:fill="FFFFFF"/>
        </w:rPr>
        <w:t>Asociación España con Acnur, que recibió 22,72 millones de euros.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Grandes beneficiarios: ONG, sindicatos y partidos políticos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Entre las ONGs que figuran en esta lista nos podemos encontrar con Nuevo Hogar Betania que recibió 5,15 millones de euros, la ONG Rescate Internacional que obtuvo 5,095 millones de euros, Oxfam Intermón que recibió 5,049 millones de euros, la Fundación Alianza Derechos de Igualdad y Solidaridad que percibió 10,3 millones de euros, la Fundación Mujeres que recibió 3,5 millones de euros, la Asociación Catalana por la Paz que recibió 3,028 millones de euros, la Comisión Española de Ayuda al Refugiado que recibió 2,78 millones de euros y hasta una ONG llamada Veterinarios sin fronteras también recibió su parte con 2,86 millones de euros.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Por otro lado, los sindicatos y partidos políticos también recibieron su parte, como no podía ser de otra forma, así vemos como UGT recibió 10,8 millones de euros y como CCOO recibió 7,9 millones de euros. También las distintas filiales de UGT y CCOO se vieron beneficiadas, como ejemplo tenemos a UGT de Cataluña que recibió 3,7 millones de euros o a CCOO Castilla La-Mancha que recibió 2,6 millones de euros. También vemos como el PSC recibió 7,2 millones de euros y ERC</w:t>
      </w:r>
      <w:r>
        <w:rPr>
          <w:rFonts w:ascii="Times New Roman" w:hAnsi="Times New Roman" w:cs="Times New Roman"/>
          <w:sz w:val="24"/>
          <w:szCs w:val="24"/>
          <w:shd w:val="clear" w:color="auto" w:fill="FFFFFF"/>
        </w:rPr>
        <w:t xml:space="preserve"> recibió 3,8 millones de euros.</w:t>
      </w:r>
    </w:p>
    <w:p w:rsidR="00043F6A" w:rsidRPr="00EA063B"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Así podríamos seguir hasta enumerar a las más de 6.000 organizaciones que se han repartido casi 5.000 millones de euros. Hay que recordar, como ya ocurriera con lo contado en el pasado artículo sobre los 455 millones de euros a organismos extranjeros, que este listado de Hacienda sólo tiene en cuenta las ayudas o subvenciones superiores a 100.000 euros, de manera que es más que previsible que la cantidad total de estas ayudas supere holgadamen</w:t>
      </w:r>
      <w:r>
        <w:rPr>
          <w:rFonts w:ascii="Times New Roman" w:hAnsi="Times New Roman" w:cs="Times New Roman"/>
          <w:sz w:val="24"/>
          <w:szCs w:val="24"/>
          <w:shd w:val="clear" w:color="auto" w:fill="FFFFFF"/>
        </w:rPr>
        <w:t>te los 5.000 millones de euros.</w:t>
      </w:r>
    </w:p>
    <w:p w:rsidR="00043F6A" w:rsidRDefault="00043F6A" w:rsidP="00043F6A">
      <w:pPr>
        <w:spacing w:line="240" w:lineRule="auto"/>
        <w:jc w:val="both"/>
        <w:rPr>
          <w:rFonts w:ascii="Times New Roman" w:hAnsi="Times New Roman" w:cs="Times New Roman"/>
          <w:sz w:val="24"/>
          <w:szCs w:val="24"/>
          <w:shd w:val="clear" w:color="auto" w:fill="FFFFFF"/>
        </w:rPr>
      </w:pPr>
      <w:r w:rsidRPr="00EA063B">
        <w:rPr>
          <w:rFonts w:ascii="Times New Roman" w:hAnsi="Times New Roman" w:cs="Times New Roman"/>
          <w:sz w:val="24"/>
          <w:szCs w:val="24"/>
          <w:shd w:val="clear" w:color="auto" w:fill="FFFFFF"/>
        </w:rPr>
        <w:t>En resumidas cuentas, hemos visto como una enorme cantidad de recursos públicos, nada menos que 5.000 millones de euros, van a parar a diversas ONGs, partidos políticos, sindicatos, o incluso a organizaciones tales como veterinarios sin fronteras o asociaciones de ornitología, una cantidad superior al coste del Ingreso Mínimo Vital, o hasta 21 veces más que lo que costaría financiar la Ley ELA para que aquellas personas que sufren esta enfermedad puedan ser atendidos en condiciones correctas y no seguir como en la situación actual.</w:t>
      </w:r>
    </w:p>
    <w:p w:rsidR="00043F6A" w:rsidRPr="003124E6"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3124E6">
        <w:rPr>
          <w:rFonts w:ascii="Times New Roman" w:hAnsi="Times New Roman" w:cs="Times New Roman"/>
          <w:sz w:val="24"/>
          <w:szCs w:val="24"/>
          <w:u w:val="single"/>
          <w:shd w:val="clear" w:color="auto" w:fill="FFFFFF"/>
        </w:rPr>
        <w:t>Las subvenciones a organismos públicos y ONG alcanzaron los 19.000 millones en 2024</w:t>
      </w:r>
      <w:r w:rsidR="000E44B4">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The Objective - </w:t>
      </w:r>
      <w:r w:rsidRPr="003124E6">
        <w:rPr>
          <w:rFonts w:ascii="Times New Roman" w:hAnsi="Times New Roman" w:cs="Times New Roman"/>
          <w:b/>
          <w:sz w:val="24"/>
          <w:szCs w:val="24"/>
          <w:shd w:val="clear" w:color="auto" w:fill="FFFFFF"/>
        </w:rPr>
        <w:t>18/6/25</w:t>
      </w:r>
      <w:r>
        <w:rPr>
          <w:rFonts w:ascii="Times New Roman" w:hAnsi="Times New Roman" w:cs="Times New Roman"/>
          <w:sz w:val="24"/>
          <w:szCs w:val="24"/>
          <w:shd w:val="clear" w:color="auto" w:fill="FFFFFF"/>
        </w:rPr>
        <w:t>)</w:t>
      </w:r>
    </w:p>
    <w:p w:rsidR="00043F6A" w:rsidRPr="003124E6" w:rsidRDefault="00043F6A" w:rsidP="00043F6A">
      <w:pPr>
        <w:spacing w:line="240" w:lineRule="auto"/>
        <w:jc w:val="both"/>
        <w:rPr>
          <w:rFonts w:ascii="Times New Roman" w:hAnsi="Times New Roman" w:cs="Times New Roman"/>
          <w:sz w:val="24"/>
          <w:szCs w:val="24"/>
          <w:shd w:val="clear" w:color="auto" w:fill="FFFFFF"/>
        </w:rPr>
      </w:pPr>
      <w:r w:rsidRPr="003124E6">
        <w:rPr>
          <w:rFonts w:ascii="Times New Roman" w:hAnsi="Times New Roman" w:cs="Times New Roman"/>
          <w:sz w:val="24"/>
          <w:szCs w:val="24"/>
          <w:shd w:val="clear" w:color="auto" w:fill="FFFFFF"/>
        </w:rPr>
        <w:t>Más de 12.000 entidades públicas y asociaciones han captado</w:t>
      </w:r>
      <w:r>
        <w:rPr>
          <w:rFonts w:ascii="Times New Roman" w:hAnsi="Times New Roman" w:cs="Times New Roman"/>
          <w:sz w:val="24"/>
          <w:szCs w:val="24"/>
          <w:shd w:val="clear" w:color="auto" w:fill="FFFFFF"/>
        </w:rPr>
        <w:t xml:space="preserve"> fondos de las administraciones</w:t>
      </w:r>
    </w:p>
    <w:p w:rsidR="00043F6A" w:rsidRPr="003124E6" w:rsidRDefault="00043F6A" w:rsidP="00043F6A">
      <w:pPr>
        <w:spacing w:line="240" w:lineRule="auto"/>
        <w:jc w:val="both"/>
        <w:rPr>
          <w:rFonts w:ascii="Times New Roman" w:hAnsi="Times New Roman" w:cs="Times New Roman"/>
          <w:sz w:val="24"/>
          <w:szCs w:val="24"/>
          <w:shd w:val="clear" w:color="auto" w:fill="FFFFFF"/>
        </w:rPr>
      </w:pPr>
      <w:r w:rsidRPr="003124E6">
        <w:rPr>
          <w:rFonts w:ascii="Times New Roman" w:hAnsi="Times New Roman" w:cs="Times New Roman"/>
          <w:sz w:val="24"/>
          <w:szCs w:val="24"/>
          <w:shd w:val="clear" w:color="auto" w:fill="FFFFFF"/>
        </w:rPr>
        <w:t>Las subvenciones a organismos públicos y ONG alcanza</w:t>
      </w:r>
      <w:r>
        <w:rPr>
          <w:rFonts w:ascii="Times New Roman" w:hAnsi="Times New Roman" w:cs="Times New Roman"/>
          <w:sz w:val="24"/>
          <w:szCs w:val="24"/>
          <w:shd w:val="clear" w:color="auto" w:fill="FFFFFF"/>
        </w:rPr>
        <w:t>ron los 19.000 millones en 2024</w:t>
      </w:r>
    </w:p>
    <w:p w:rsidR="00043F6A" w:rsidRPr="003124E6"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3124E6">
        <w:rPr>
          <w:rFonts w:ascii="Times New Roman" w:hAnsi="Times New Roman" w:cs="Times New Roman"/>
          <w:sz w:val="24"/>
          <w:szCs w:val="24"/>
          <w:shd w:val="clear" w:color="auto" w:fill="FFFFFF"/>
        </w:rPr>
        <w:t>Enrique Morales</w:t>
      </w:r>
      <w:r>
        <w:rPr>
          <w:rFonts w:ascii="Times New Roman" w:hAnsi="Times New Roman" w:cs="Times New Roman"/>
          <w:sz w:val="24"/>
          <w:szCs w:val="24"/>
          <w:shd w:val="clear" w:color="auto" w:fill="FFFFFF"/>
        </w:rPr>
        <w:t>)</w:t>
      </w:r>
    </w:p>
    <w:p w:rsidR="00043F6A" w:rsidRPr="003124E6" w:rsidRDefault="00043F6A" w:rsidP="00043F6A">
      <w:pPr>
        <w:spacing w:line="240" w:lineRule="auto"/>
        <w:jc w:val="both"/>
        <w:rPr>
          <w:rFonts w:ascii="Times New Roman" w:hAnsi="Times New Roman" w:cs="Times New Roman"/>
          <w:sz w:val="24"/>
          <w:szCs w:val="24"/>
          <w:shd w:val="clear" w:color="auto" w:fill="FFFFFF"/>
        </w:rPr>
      </w:pPr>
      <w:r w:rsidRPr="003124E6">
        <w:rPr>
          <w:rFonts w:ascii="Times New Roman" w:hAnsi="Times New Roman" w:cs="Times New Roman"/>
          <w:sz w:val="24"/>
          <w:szCs w:val="24"/>
          <w:shd w:val="clear" w:color="auto" w:fill="FFFFFF"/>
        </w:rPr>
        <w:t>Las administraciones públicas repartieron durante 2024 un total de 19.325 millones de euros en subvenciones a 12.867 organismos públicos, ONG, asociaciones y fundaciones. Englobados en el epígrafe Grandes beneficiarios, todas estas entidades percibieron ayudas por un importe iguales o superiores a 100.000 euros. Una parte de este dinero procede de fondos europeos. El listado de grandes beneficiarios, al que ha accedido T</w:t>
      </w:r>
      <w:r>
        <w:rPr>
          <w:rFonts w:ascii="Times New Roman" w:hAnsi="Times New Roman" w:cs="Times New Roman"/>
          <w:sz w:val="24"/>
          <w:szCs w:val="24"/>
          <w:shd w:val="clear" w:color="auto" w:fill="FFFFFF"/>
        </w:rPr>
        <w:t>he Objective</w:t>
      </w:r>
      <w:r w:rsidRPr="003124E6">
        <w:rPr>
          <w:rFonts w:ascii="Times New Roman" w:hAnsi="Times New Roman" w:cs="Times New Roman"/>
          <w:sz w:val="24"/>
          <w:szCs w:val="24"/>
          <w:shd w:val="clear" w:color="auto" w:fill="FFFFFF"/>
        </w:rPr>
        <w:t>, muestra que universidades, ayuntamientos y entes públicos como el Consejo Superior de Investigaciones Científicas (CSIC) capitalizan las subv</w:t>
      </w:r>
      <w:r>
        <w:rPr>
          <w:rFonts w:ascii="Times New Roman" w:hAnsi="Times New Roman" w:cs="Times New Roman"/>
          <w:sz w:val="24"/>
          <w:szCs w:val="24"/>
          <w:shd w:val="clear" w:color="auto" w:fill="FFFFFF"/>
        </w:rPr>
        <w:t>enciones a organismos públicos.</w:t>
      </w:r>
    </w:p>
    <w:p w:rsidR="00043F6A" w:rsidRPr="003124E6" w:rsidRDefault="00043F6A" w:rsidP="00043F6A">
      <w:pPr>
        <w:spacing w:line="240" w:lineRule="auto"/>
        <w:jc w:val="both"/>
        <w:rPr>
          <w:rFonts w:ascii="Times New Roman" w:hAnsi="Times New Roman" w:cs="Times New Roman"/>
          <w:sz w:val="24"/>
          <w:szCs w:val="24"/>
          <w:shd w:val="clear" w:color="auto" w:fill="FFFFFF"/>
        </w:rPr>
      </w:pPr>
      <w:r w:rsidRPr="003124E6">
        <w:rPr>
          <w:rFonts w:ascii="Times New Roman" w:hAnsi="Times New Roman" w:cs="Times New Roman"/>
          <w:sz w:val="24"/>
          <w:szCs w:val="24"/>
          <w:shd w:val="clear" w:color="auto" w:fill="FFFFFF"/>
        </w:rPr>
        <w:lastRenderedPageBreak/>
        <w:t xml:space="preserve">En total, 6.800 de estas entidades percibieron ayudas que sumaban 14.619 millones de euros. Mientras, las asociaciones y las ONG consideradas grandes beneficiarios captaron fondos por 4.707 millones. Las asociaciones beneficiadas superaron la 6.000. Desde 2022, en el listado de estas subvenciones se detalla el importe de las mismas que han sido concedidas con cargo al Mecanismo de Recuperación y </w:t>
      </w:r>
      <w:r w:rsidR="000E44B4" w:rsidRPr="003124E6">
        <w:rPr>
          <w:rFonts w:ascii="Times New Roman" w:hAnsi="Times New Roman" w:cs="Times New Roman"/>
          <w:sz w:val="24"/>
          <w:szCs w:val="24"/>
          <w:shd w:val="clear" w:color="auto" w:fill="FFFFFF"/>
        </w:rPr>
        <w:t>Resiliencia</w:t>
      </w:r>
      <w:r w:rsidRPr="003124E6">
        <w:rPr>
          <w:rFonts w:ascii="Times New Roman" w:hAnsi="Times New Roman" w:cs="Times New Roman"/>
          <w:sz w:val="24"/>
          <w:szCs w:val="24"/>
          <w:shd w:val="clear" w:color="auto" w:fill="FFFFFF"/>
        </w:rPr>
        <w:t xml:space="preserve"> (MRR). Estos fondos sumaron 2.209 millones en el caso de los organismos públicos y 919 millones, en el</w:t>
      </w:r>
      <w:r>
        <w:rPr>
          <w:rFonts w:ascii="Times New Roman" w:hAnsi="Times New Roman" w:cs="Times New Roman"/>
          <w:sz w:val="24"/>
          <w:szCs w:val="24"/>
          <w:shd w:val="clear" w:color="auto" w:fill="FFFFFF"/>
        </w:rPr>
        <w:t xml:space="preserve"> de las ONG y asociaciones.</w:t>
      </w:r>
    </w:p>
    <w:p w:rsidR="00043F6A" w:rsidRDefault="00043F6A" w:rsidP="00043F6A">
      <w:pPr>
        <w:spacing w:line="240" w:lineRule="auto"/>
        <w:jc w:val="both"/>
        <w:rPr>
          <w:rFonts w:ascii="Times New Roman" w:hAnsi="Times New Roman" w:cs="Times New Roman"/>
          <w:sz w:val="24"/>
          <w:szCs w:val="24"/>
          <w:shd w:val="clear" w:color="auto" w:fill="FFFFFF"/>
        </w:rPr>
      </w:pPr>
      <w:r w:rsidRPr="003124E6">
        <w:rPr>
          <w:rFonts w:ascii="Times New Roman" w:hAnsi="Times New Roman" w:cs="Times New Roman"/>
          <w:sz w:val="24"/>
          <w:szCs w:val="24"/>
          <w:shd w:val="clear" w:color="auto" w:fill="FFFFFF"/>
        </w:rPr>
        <w:t>La Universidad de Valencia -483,7 millones-, la Agencia Estatal CSIC -383 millones- y la Universidad Politécnica de Valencia -373,6 millones- son los organismos públicos que más dinero recibieron en forma de subvenciones en 2024. Entre estas tres entidades suman más 1.240 millones. Otras dos universidades, la de Alicante y la de Murcia, completan los cinco primeros puestos. Mientras, la Comunidad de Madrid, en sexta posició</w:t>
      </w:r>
      <w:r>
        <w:rPr>
          <w:rFonts w:ascii="Times New Roman" w:hAnsi="Times New Roman" w:cs="Times New Roman"/>
          <w:sz w:val="24"/>
          <w:szCs w:val="24"/>
          <w:shd w:val="clear" w:color="auto" w:fill="FFFFFF"/>
        </w:rPr>
        <w:t>n, es la primera región en el ra</w:t>
      </w:r>
      <w:r w:rsidRPr="003124E6">
        <w:rPr>
          <w:rFonts w:ascii="Times New Roman" w:hAnsi="Times New Roman" w:cs="Times New Roman"/>
          <w:sz w:val="24"/>
          <w:szCs w:val="24"/>
          <w:shd w:val="clear" w:color="auto" w:fill="FFFFFF"/>
        </w:rPr>
        <w:t>nking, un puesto que ocupó Cataluña en 2023 -año electoral-. La autonomía capitaneada por Isabel Díaz Ayuso recibió 188 millones el año pasado y Cataluña, 144 millones.</w:t>
      </w:r>
    </w:p>
    <w:p w:rsidR="00043F6A" w:rsidRDefault="00043F6A" w:rsidP="00043F6A">
      <w:pPr>
        <w:spacing w:line="240" w:lineRule="auto"/>
        <w:jc w:val="both"/>
        <w:rPr>
          <w:rFonts w:ascii="Times New Roman" w:hAnsi="Times New Roman" w:cs="Times New Roman"/>
          <w:sz w:val="24"/>
          <w:szCs w:val="24"/>
          <w:shd w:val="clear" w:color="auto" w:fill="FFFFFF"/>
        </w:rPr>
      </w:pPr>
      <w:r w:rsidRPr="003124E6">
        <w:rPr>
          <w:rFonts w:ascii="Times New Roman" w:hAnsi="Times New Roman" w:cs="Times New Roman"/>
          <w:noProof/>
          <w:sz w:val="24"/>
          <w:szCs w:val="24"/>
          <w:shd w:val="clear" w:color="auto" w:fill="FFFFFF"/>
          <w:lang w:eastAsia="es-ES"/>
        </w:rPr>
        <w:drawing>
          <wp:inline distT="0" distB="0" distL="0" distR="0" wp14:anchorId="00621875" wp14:editId="4E50EBF6">
            <wp:extent cx="5079385" cy="5384800"/>
            <wp:effectExtent l="0" t="0" r="6985" b="635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5077534" cy="5382837"/>
                    </a:xfrm>
                    <a:prstGeom prst="rect">
                      <a:avLst/>
                    </a:prstGeom>
                  </pic:spPr>
                </pic:pic>
              </a:graphicData>
            </a:graphic>
          </wp:inline>
        </w:drawing>
      </w:r>
    </w:p>
    <w:p w:rsidR="00043F6A" w:rsidRDefault="00043F6A" w:rsidP="00043F6A">
      <w:pPr>
        <w:spacing w:line="240" w:lineRule="auto"/>
        <w:jc w:val="both"/>
        <w:rPr>
          <w:rFonts w:ascii="Times New Roman" w:hAnsi="Times New Roman" w:cs="Times New Roman"/>
          <w:sz w:val="24"/>
          <w:szCs w:val="24"/>
          <w:shd w:val="clear" w:color="auto" w:fill="FFFFFF"/>
        </w:rPr>
      </w:pPr>
      <w:r w:rsidRPr="003124E6">
        <w:rPr>
          <w:rFonts w:ascii="Times New Roman" w:hAnsi="Times New Roman" w:cs="Times New Roman"/>
          <w:noProof/>
          <w:sz w:val="24"/>
          <w:szCs w:val="24"/>
          <w:shd w:val="clear" w:color="auto" w:fill="FFFFFF"/>
          <w:lang w:eastAsia="es-ES"/>
        </w:rPr>
        <w:lastRenderedPageBreak/>
        <w:drawing>
          <wp:inline distT="0" distB="0" distL="0" distR="0" wp14:anchorId="6F5B3808" wp14:editId="198178FB">
            <wp:extent cx="4991100" cy="1612900"/>
            <wp:effectExtent l="0" t="0" r="0" b="635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stretch>
                      <a:fillRect/>
                    </a:stretch>
                  </pic:blipFill>
                  <pic:spPr>
                    <a:xfrm>
                      <a:off x="0" y="0"/>
                      <a:ext cx="5000343" cy="1615887"/>
                    </a:xfrm>
                    <a:prstGeom prst="rect">
                      <a:avLst/>
                    </a:prstGeom>
                  </pic:spPr>
                </pic:pic>
              </a:graphicData>
            </a:graphic>
          </wp:inline>
        </w:drawing>
      </w:r>
    </w:p>
    <w:p w:rsidR="00043F6A" w:rsidRDefault="00043F6A" w:rsidP="00043F6A">
      <w:pPr>
        <w:spacing w:line="240" w:lineRule="auto"/>
        <w:jc w:val="both"/>
        <w:rPr>
          <w:rFonts w:ascii="Times New Roman" w:hAnsi="Times New Roman" w:cs="Times New Roman"/>
          <w:sz w:val="24"/>
          <w:szCs w:val="24"/>
          <w:shd w:val="clear" w:color="auto" w:fill="FFFFFF"/>
        </w:rPr>
      </w:pPr>
      <w:r w:rsidRPr="000B548C">
        <w:rPr>
          <w:rFonts w:ascii="Times New Roman" w:hAnsi="Times New Roman" w:cs="Times New Roman"/>
          <w:noProof/>
          <w:sz w:val="24"/>
          <w:szCs w:val="24"/>
          <w:shd w:val="clear" w:color="auto" w:fill="FFFFFF"/>
          <w:lang w:eastAsia="es-ES"/>
        </w:rPr>
        <w:drawing>
          <wp:inline distT="0" distB="0" distL="0" distR="0" wp14:anchorId="17953831" wp14:editId="52996BF8">
            <wp:extent cx="5019675" cy="3848100"/>
            <wp:effectExtent l="0" t="0" r="9525" b="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5020376" cy="3848637"/>
                    </a:xfrm>
                    <a:prstGeom prst="rect">
                      <a:avLst/>
                    </a:prstGeom>
                  </pic:spPr>
                </pic:pic>
              </a:graphicData>
            </a:graphic>
          </wp:inline>
        </w:drawing>
      </w:r>
    </w:p>
    <w:p w:rsidR="00043F6A" w:rsidRPr="000B548C" w:rsidRDefault="00043F6A" w:rsidP="00043F6A">
      <w:pPr>
        <w:spacing w:line="240" w:lineRule="auto"/>
        <w:jc w:val="both"/>
        <w:rPr>
          <w:rFonts w:ascii="Times New Roman" w:hAnsi="Times New Roman" w:cs="Times New Roman"/>
          <w:sz w:val="24"/>
          <w:szCs w:val="24"/>
          <w:shd w:val="clear" w:color="auto" w:fill="FFFFFF"/>
        </w:rPr>
      </w:pPr>
      <w:r w:rsidRPr="000B548C">
        <w:rPr>
          <w:rFonts w:ascii="Times New Roman" w:hAnsi="Times New Roman" w:cs="Times New Roman"/>
          <w:sz w:val="24"/>
          <w:szCs w:val="24"/>
          <w:shd w:val="clear" w:color="auto" w:fill="FFFFFF"/>
        </w:rPr>
        <w:t>Subvenciones y fondos europeos</w:t>
      </w:r>
    </w:p>
    <w:p w:rsidR="00043F6A" w:rsidRPr="000B548C" w:rsidRDefault="00043F6A" w:rsidP="00043F6A">
      <w:pPr>
        <w:spacing w:line="240" w:lineRule="auto"/>
        <w:jc w:val="both"/>
        <w:rPr>
          <w:rFonts w:ascii="Times New Roman" w:hAnsi="Times New Roman" w:cs="Times New Roman"/>
          <w:sz w:val="24"/>
          <w:szCs w:val="24"/>
          <w:shd w:val="clear" w:color="auto" w:fill="FFFFFF"/>
        </w:rPr>
      </w:pPr>
      <w:r w:rsidRPr="000B548C">
        <w:rPr>
          <w:rFonts w:ascii="Times New Roman" w:hAnsi="Times New Roman" w:cs="Times New Roman"/>
          <w:sz w:val="24"/>
          <w:szCs w:val="24"/>
          <w:shd w:val="clear" w:color="auto" w:fill="FFFFFF"/>
        </w:rPr>
        <w:t>En cuanto a las asociaciones y ONG beneficiadas, los tres primeros puestos</w:t>
      </w:r>
      <w:r>
        <w:rPr>
          <w:rFonts w:ascii="Times New Roman" w:hAnsi="Times New Roman" w:cs="Times New Roman"/>
          <w:sz w:val="24"/>
          <w:szCs w:val="24"/>
          <w:shd w:val="clear" w:color="auto" w:fill="FFFFFF"/>
        </w:rPr>
        <w:t>,</w:t>
      </w:r>
      <w:r w:rsidRPr="000B548C">
        <w:rPr>
          <w:rFonts w:ascii="Times New Roman" w:hAnsi="Times New Roman" w:cs="Times New Roman"/>
          <w:sz w:val="24"/>
          <w:szCs w:val="24"/>
          <w:shd w:val="clear" w:color="auto" w:fill="FFFFFF"/>
        </w:rPr>
        <w:t xml:space="preserve"> lo ocupan Unión Profesional -200 millones de euros-, Fundación Cibervoluntarios -76,6 millones- y el Consejo Valenciano de Colegio de Abogados -51,8 millones de euros-. En el caso de las dos primeras asociaciones, la financiación ha venido en su totalidad o </w:t>
      </w:r>
      <w:r>
        <w:rPr>
          <w:rFonts w:ascii="Times New Roman" w:hAnsi="Times New Roman" w:cs="Times New Roman"/>
          <w:sz w:val="24"/>
          <w:szCs w:val="24"/>
          <w:shd w:val="clear" w:color="auto" w:fill="FFFFFF"/>
        </w:rPr>
        <w:t>casi de Bruselas.</w:t>
      </w:r>
    </w:p>
    <w:p w:rsidR="00043F6A" w:rsidRPr="000B548C" w:rsidRDefault="00043F6A" w:rsidP="00043F6A">
      <w:pPr>
        <w:spacing w:line="240" w:lineRule="auto"/>
        <w:jc w:val="both"/>
        <w:rPr>
          <w:rFonts w:ascii="Times New Roman" w:hAnsi="Times New Roman" w:cs="Times New Roman"/>
          <w:sz w:val="24"/>
          <w:szCs w:val="24"/>
          <w:shd w:val="clear" w:color="auto" w:fill="FFFFFF"/>
        </w:rPr>
      </w:pPr>
      <w:r w:rsidRPr="000B548C">
        <w:rPr>
          <w:rFonts w:ascii="Times New Roman" w:hAnsi="Times New Roman" w:cs="Times New Roman"/>
          <w:sz w:val="24"/>
          <w:szCs w:val="24"/>
          <w:shd w:val="clear" w:color="auto" w:fill="FFFFFF"/>
        </w:rPr>
        <w:t>Unión Profesional es una asociación que agrupa a las profesiones colegiadas españolas. Fue creada, según su página web, en 1980 con la vocación de defender los intereses comunes de las profesiones y la consecución coordinada de las funciones del interés social. Unión Profesional abarca los sectores jurídico, económico, sanitario, social, científico, docente, arquitectura e ingeniería. Está integrada actualmente por 36 Consejos Generales y Superiores y Colegios Profesionales de ámbito nacional que abarcan 1,7 millones de profesionales colegiados.</w:t>
      </w:r>
    </w:p>
    <w:p w:rsidR="00043F6A" w:rsidRPr="000B548C" w:rsidRDefault="00043F6A" w:rsidP="00043F6A">
      <w:pPr>
        <w:spacing w:line="240" w:lineRule="auto"/>
        <w:jc w:val="both"/>
        <w:rPr>
          <w:rFonts w:ascii="Times New Roman" w:hAnsi="Times New Roman" w:cs="Times New Roman"/>
          <w:sz w:val="24"/>
          <w:szCs w:val="24"/>
          <w:shd w:val="clear" w:color="auto" w:fill="FFFFFF"/>
        </w:rPr>
      </w:pPr>
      <w:r w:rsidRPr="000B548C">
        <w:rPr>
          <w:rFonts w:ascii="Times New Roman" w:hAnsi="Times New Roman" w:cs="Times New Roman"/>
          <w:sz w:val="24"/>
          <w:szCs w:val="24"/>
          <w:shd w:val="clear" w:color="auto" w:fill="FFFFFF"/>
        </w:rPr>
        <w:t xml:space="preserve">Mientras, Telefónica Móviles, General Motors España y Power Holdco lideraron la concesión de ayudas públicas a empresas en 2024, según el listado actualizado por el Portal de Subvenciones. En 2024, el montante total adjudicado a empresas por todas las </w:t>
      </w:r>
      <w:r w:rsidRPr="000B548C">
        <w:rPr>
          <w:rFonts w:ascii="Times New Roman" w:hAnsi="Times New Roman" w:cs="Times New Roman"/>
          <w:sz w:val="24"/>
          <w:szCs w:val="24"/>
          <w:shd w:val="clear" w:color="auto" w:fill="FFFFFF"/>
        </w:rPr>
        <w:lastRenderedPageBreak/>
        <w:t>administraciones fue de 9.261 millones de euros, un 22% inferior a los 11.806 millones que se registraron el año anterior, con un importante protagonismo de los f</w:t>
      </w:r>
      <w:r>
        <w:rPr>
          <w:rFonts w:ascii="Times New Roman" w:hAnsi="Times New Roman" w:cs="Times New Roman"/>
          <w:sz w:val="24"/>
          <w:szCs w:val="24"/>
          <w:shd w:val="clear" w:color="auto" w:fill="FFFFFF"/>
        </w:rPr>
        <w:t>ondos europeos Next Generation.</w:t>
      </w:r>
    </w:p>
    <w:p w:rsidR="00043F6A" w:rsidRPr="000B548C" w:rsidRDefault="00043F6A" w:rsidP="00043F6A">
      <w:pPr>
        <w:spacing w:line="240" w:lineRule="auto"/>
        <w:jc w:val="both"/>
        <w:rPr>
          <w:rFonts w:ascii="Times New Roman" w:hAnsi="Times New Roman" w:cs="Times New Roman"/>
          <w:sz w:val="24"/>
          <w:szCs w:val="24"/>
          <w:shd w:val="clear" w:color="auto" w:fill="FFFFFF"/>
        </w:rPr>
      </w:pPr>
      <w:r w:rsidRPr="000B548C">
        <w:rPr>
          <w:rFonts w:ascii="Times New Roman" w:hAnsi="Times New Roman" w:cs="Times New Roman"/>
          <w:sz w:val="24"/>
          <w:szCs w:val="24"/>
          <w:shd w:val="clear" w:color="auto" w:fill="FFFFFF"/>
        </w:rPr>
        <w:t>Ayuntamientos y energéticas</w:t>
      </w:r>
    </w:p>
    <w:p w:rsidR="00043F6A" w:rsidRPr="000B548C" w:rsidRDefault="00043F6A" w:rsidP="00043F6A">
      <w:pPr>
        <w:spacing w:line="240" w:lineRule="auto"/>
        <w:jc w:val="both"/>
        <w:rPr>
          <w:rFonts w:ascii="Times New Roman" w:hAnsi="Times New Roman" w:cs="Times New Roman"/>
          <w:sz w:val="24"/>
          <w:szCs w:val="24"/>
          <w:shd w:val="clear" w:color="auto" w:fill="FFFFFF"/>
        </w:rPr>
      </w:pPr>
      <w:r w:rsidRPr="000B548C">
        <w:rPr>
          <w:rFonts w:ascii="Times New Roman" w:hAnsi="Times New Roman" w:cs="Times New Roman"/>
          <w:sz w:val="24"/>
          <w:szCs w:val="24"/>
          <w:shd w:val="clear" w:color="auto" w:fill="FFFFFF"/>
        </w:rPr>
        <w:t>En 2025, las diferentes administraciones también han empezado a desembolsar dinero para subvencionar empresas, asociaciones y organismos públicos. Tres ayuntamientos -valencianos-, cuatro grandes empresas -energéticas- y tres universidades valencianas ocupan el top ten de subvenciones en los que va de año. En total se han repartido más 3.900 millones de euros. La Universidad de Valencia -325,7 millones-, Compañía Española de Petróleos (Moeve) -303,7 millones- y la Politécnica de Valencia -256,8 millones- ocupan los tres primeros puestos.</w:t>
      </w:r>
    </w:p>
    <w:p w:rsidR="00043F6A" w:rsidRPr="000B548C" w:rsidRDefault="00043F6A" w:rsidP="00043F6A">
      <w:pPr>
        <w:spacing w:line="240" w:lineRule="auto"/>
        <w:jc w:val="both"/>
        <w:rPr>
          <w:rFonts w:ascii="Times New Roman" w:hAnsi="Times New Roman" w:cs="Times New Roman"/>
          <w:sz w:val="24"/>
          <w:szCs w:val="24"/>
          <w:shd w:val="clear" w:color="auto" w:fill="FFFFFF"/>
        </w:rPr>
      </w:pPr>
      <w:r w:rsidRPr="000B548C">
        <w:rPr>
          <w:rFonts w:ascii="Times New Roman" w:hAnsi="Times New Roman" w:cs="Times New Roman"/>
          <w:sz w:val="24"/>
          <w:szCs w:val="24"/>
          <w:shd w:val="clear" w:color="auto" w:fill="FFFFFF"/>
        </w:rPr>
        <w:t>El Ministerio de Política Territorial y Memoria Democrática aprobó el pasado febrero la orden ministerial que pone en marcha la concesión directa de 1.745 millones de euros a los ayuntamientos afectados por la dana en la provincia de Valencia, al de Letur (Albacete), al de Mira (Cuenca) y al de</w:t>
      </w:r>
      <w:r>
        <w:rPr>
          <w:rFonts w:ascii="Times New Roman" w:hAnsi="Times New Roman" w:cs="Times New Roman"/>
          <w:sz w:val="24"/>
          <w:szCs w:val="24"/>
          <w:shd w:val="clear" w:color="auto" w:fill="FFFFFF"/>
        </w:rPr>
        <w:t xml:space="preserve"> Alhaurín de la Torre (Málaga).</w:t>
      </w:r>
    </w:p>
    <w:p w:rsidR="00043F6A" w:rsidRPr="000B548C" w:rsidRDefault="00043F6A" w:rsidP="00043F6A">
      <w:pPr>
        <w:spacing w:line="240" w:lineRule="auto"/>
        <w:jc w:val="both"/>
        <w:rPr>
          <w:rFonts w:ascii="Times New Roman" w:hAnsi="Times New Roman" w:cs="Times New Roman"/>
          <w:sz w:val="24"/>
          <w:szCs w:val="24"/>
          <w:shd w:val="clear" w:color="auto" w:fill="FFFFFF"/>
        </w:rPr>
      </w:pPr>
      <w:r w:rsidRPr="000B548C">
        <w:rPr>
          <w:rFonts w:ascii="Times New Roman" w:hAnsi="Times New Roman" w:cs="Times New Roman"/>
          <w:sz w:val="24"/>
          <w:szCs w:val="24"/>
          <w:shd w:val="clear" w:color="auto" w:fill="FFFFFF"/>
        </w:rPr>
        <w:t xml:space="preserve">El objeto de esta importante ayuda es financiar en su totalidad las obras de reparación, restitución o reconstrucción de infraestructuras, equipamientos o instalaciones y servicios municipales. Están previstas más de 370 intervenciones. Los ayuntamientos beneficiados son 78 y ellos residen más de un millón de personas. El Ayuntamiento de Paiporta, el de Valencia y Catarroja. Estos tres consistorios han </w:t>
      </w:r>
      <w:r>
        <w:rPr>
          <w:rFonts w:ascii="Times New Roman" w:hAnsi="Times New Roman" w:cs="Times New Roman"/>
          <w:sz w:val="24"/>
          <w:szCs w:val="24"/>
          <w:shd w:val="clear" w:color="auto" w:fill="FFFFFF"/>
        </w:rPr>
        <w:t>recibido 488 millones de euros.</w:t>
      </w:r>
    </w:p>
    <w:p w:rsidR="00043F6A" w:rsidRPr="000B548C" w:rsidRDefault="00043F6A" w:rsidP="00043F6A">
      <w:pPr>
        <w:spacing w:line="240" w:lineRule="auto"/>
        <w:jc w:val="both"/>
        <w:rPr>
          <w:rFonts w:ascii="Times New Roman" w:hAnsi="Times New Roman" w:cs="Times New Roman"/>
          <w:sz w:val="24"/>
          <w:szCs w:val="24"/>
          <w:shd w:val="clear" w:color="auto" w:fill="FFFFFF"/>
        </w:rPr>
      </w:pPr>
      <w:r w:rsidRPr="000B548C">
        <w:rPr>
          <w:rFonts w:ascii="Times New Roman" w:hAnsi="Times New Roman" w:cs="Times New Roman"/>
          <w:sz w:val="24"/>
          <w:szCs w:val="24"/>
          <w:shd w:val="clear" w:color="auto" w:fill="FFFFFF"/>
        </w:rPr>
        <w:t xml:space="preserve">Renato PTX Hodco, Moeve, Bay of Biscay Hydrogen y Cartagena Hydrogen Network se han repartido más de 865 millones en lo que va de año. La ayuda forma parte de la primera convocatoria del Programa de incentivos para proyectos de producción y consumo de hidrógeno renovable (Clusteres o Valles) en el Marco del Plan de Recuperación, </w:t>
      </w:r>
      <w:r>
        <w:rPr>
          <w:rFonts w:ascii="Times New Roman" w:hAnsi="Times New Roman" w:cs="Times New Roman"/>
          <w:sz w:val="24"/>
          <w:szCs w:val="24"/>
          <w:shd w:val="clear" w:color="auto" w:fill="FFFFFF"/>
        </w:rPr>
        <w:t>Transformación y Resiliencia.</w:t>
      </w:r>
    </w:p>
    <w:p w:rsidR="00043F6A" w:rsidRDefault="00043F6A" w:rsidP="00043F6A">
      <w:pPr>
        <w:spacing w:line="240" w:lineRule="auto"/>
        <w:jc w:val="both"/>
        <w:rPr>
          <w:rFonts w:ascii="Times New Roman" w:hAnsi="Times New Roman" w:cs="Times New Roman"/>
          <w:sz w:val="24"/>
          <w:szCs w:val="24"/>
          <w:shd w:val="clear" w:color="auto" w:fill="FFFFFF"/>
        </w:rPr>
      </w:pPr>
      <w:r w:rsidRPr="000B548C">
        <w:rPr>
          <w:rFonts w:ascii="Times New Roman" w:hAnsi="Times New Roman" w:cs="Times New Roman"/>
          <w:sz w:val="24"/>
          <w:szCs w:val="24"/>
          <w:shd w:val="clear" w:color="auto" w:fill="FFFFFF"/>
        </w:rPr>
        <w:t>Dado que el presupuesto disponible inicialmente, 1.200 millones de fondos incluidos en la Adenda RePowerEU del PRTR, podía ampliarse hasta un 10% adicional para completar la ayuda del último expediente adjudicado, el monto final de las subvenciones ascendería a 1.223 millones.</w:t>
      </w:r>
    </w:p>
    <w:p w:rsidR="00043F6A" w:rsidRPr="003F5BFA" w:rsidRDefault="00043F6A" w:rsidP="00043F6A">
      <w:pPr>
        <w:spacing w:line="240" w:lineRule="auto"/>
        <w:jc w:val="both"/>
        <w:rPr>
          <w:rFonts w:ascii="Times New Roman" w:hAnsi="Times New Roman" w:cs="Times New Roman"/>
          <w:sz w:val="24"/>
          <w:szCs w:val="24"/>
          <w:shd w:val="clear" w:color="auto" w:fill="FFFFFF"/>
        </w:rPr>
      </w:pPr>
      <w:r w:rsidRPr="003F5BFA">
        <w:rPr>
          <w:rFonts w:ascii="Times New Roman" w:hAnsi="Times New Roman" w:cs="Times New Roman"/>
          <w:sz w:val="24"/>
          <w:szCs w:val="24"/>
          <w:shd w:val="clear" w:color="auto" w:fill="FFFFFF"/>
        </w:rPr>
        <w:t xml:space="preserve">- </w:t>
      </w:r>
      <w:r w:rsidRPr="003F5BFA">
        <w:rPr>
          <w:rFonts w:ascii="Times New Roman" w:hAnsi="Times New Roman" w:cs="Times New Roman"/>
          <w:sz w:val="24"/>
          <w:szCs w:val="24"/>
          <w:u w:val="single"/>
          <w:shd w:val="clear" w:color="auto" w:fill="FFFFFF"/>
        </w:rPr>
        <w:t>Las subvenciones a empresas, sindicatos y ONG superaron los 41.500 millones en 2024</w:t>
      </w:r>
      <w:r w:rsidRPr="003F5BFA">
        <w:rPr>
          <w:rFonts w:ascii="Times New Roman" w:hAnsi="Times New Roman" w:cs="Times New Roman"/>
          <w:sz w:val="24"/>
          <w:szCs w:val="24"/>
          <w:shd w:val="clear" w:color="auto" w:fill="FFFFFF"/>
        </w:rPr>
        <w:t xml:space="preserve"> (The Objective - </w:t>
      </w:r>
      <w:r w:rsidRPr="003F5BFA">
        <w:rPr>
          <w:rFonts w:ascii="Times New Roman" w:hAnsi="Times New Roman" w:cs="Times New Roman"/>
          <w:b/>
          <w:sz w:val="24"/>
          <w:szCs w:val="24"/>
          <w:shd w:val="clear" w:color="auto" w:fill="FFFFFF"/>
        </w:rPr>
        <w:t>20/7/25</w:t>
      </w:r>
      <w:r w:rsidRPr="003F5BFA">
        <w:rPr>
          <w:rFonts w:ascii="Times New Roman" w:hAnsi="Times New Roman" w:cs="Times New Roman"/>
          <w:sz w:val="24"/>
          <w:szCs w:val="24"/>
          <w:shd w:val="clear" w:color="auto" w:fill="FFFFFF"/>
        </w:rPr>
        <w:t>)</w:t>
      </w:r>
    </w:p>
    <w:p w:rsidR="00043F6A" w:rsidRPr="003F5BFA" w:rsidRDefault="00043F6A" w:rsidP="00043F6A">
      <w:pPr>
        <w:spacing w:line="240" w:lineRule="auto"/>
        <w:jc w:val="both"/>
        <w:rPr>
          <w:rFonts w:ascii="Times New Roman" w:hAnsi="Times New Roman" w:cs="Times New Roman"/>
          <w:sz w:val="24"/>
          <w:szCs w:val="24"/>
          <w:shd w:val="clear" w:color="auto" w:fill="FFFFFF"/>
        </w:rPr>
      </w:pPr>
      <w:r w:rsidRPr="003F5BFA">
        <w:rPr>
          <w:rFonts w:ascii="Times New Roman" w:hAnsi="Times New Roman" w:cs="Times New Roman"/>
          <w:sz w:val="24"/>
          <w:szCs w:val="24"/>
          <w:shd w:val="clear" w:color="auto" w:fill="FFFFFF"/>
        </w:rPr>
        <w:t>El 47% de las subvenciones de las comunidades proceden de Cataluña, Valenc</w:t>
      </w:r>
      <w:r>
        <w:rPr>
          <w:rFonts w:ascii="Times New Roman" w:hAnsi="Times New Roman" w:cs="Times New Roman"/>
          <w:sz w:val="24"/>
          <w:szCs w:val="24"/>
          <w:shd w:val="clear" w:color="auto" w:fill="FFFFFF"/>
        </w:rPr>
        <w:t xml:space="preserve">ia, Andalucía y Castilla y León. </w:t>
      </w:r>
      <w:r w:rsidRPr="003F5BFA">
        <w:rPr>
          <w:rFonts w:ascii="Times New Roman" w:hAnsi="Times New Roman" w:cs="Times New Roman"/>
          <w:sz w:val="24"/>
          <w:szCs w:val="24"/>
          <w:shd w:val="clear" w:color="auto" w:fill="FFFFFF"/>
        </w:rPr>
        <w:t>Las subvenciones a empresas, sindicatos y ONG superaron los 41.500 millones en 2024</w:t>
      </w:r>
      <w:r>
        <w:rPr>
          <w:rFonts w:ascii="Times New Roman" w:hAnsi="Times New Roman" w:cs="Times New Roman"/>
          <w:sz w:val="24"/>
          <w:szCs w:val="24"/>
          <w:shd w:val="clear" w:color="auto" w:fill="FFFFFF"/>
        </w:rPr>
        <w:t>.</w:t>
      </w:r>
    </w:p>
    <w:p w:rsidR="00043F6A" w:rsidRPr="003F5BFA" w:rsidRDefault="00043F6A" w:rsidP="00043F6A">
      <w:pPr>
        <w:spacing w:line="240" w:lineRule="auto"/>
        <w:jc w:val="both"/>
        <w:rPr>
          <w:rFonts w:ascii="Times New Roman" w:hAnsi="Times New Roman" w:cs="Times New Roman"/>
          <w:sz w:val="24"/>
          <w:szCs w:val="24"/>
          <w:shd w:val="clear" w:color="auto" w:fill="FFFFFF"/>
        </w:rPr>
      </w:pPr>
      <w:r w:rsidRPr="003F5BFA">
        <w:rPr>
          <w:rFonts w:ascii="Times New Roman" w:hAnsi="Times New Roman" w:cs="Times New Roman"/>
          <w:sz w:val="24"/>
          <w:szCs w:val="24"/>
          <w:shd w:val="clear" w:color="auto" w:fill="FFFFFF"/>
        </w:rPr>
        <w:t>(Por Enrique Morales)</w:t>
      </w:r>
    </w:p>
    <w:p w:rsidR="00043F6A" w:rsidRPr="003F5BFA" w:rsidRDefault="00043F6A" w:rsidP="00043F6A">
      <w:pPr>
        <w:spacing w:line="240" w:lineRule="auto"/>
        <w:jc w:val="both"/>
        <w:rPr>
          <w:rFonts w:ascii="Times New Roman" w:hAnsi="Times New Roman" w:cs="Times New Roman"/>
          <w:sz w:val="24"/>
          <w:szCs w:val="24"/>
          <w:shd w:val="clear" w:color="auto" w:fill="FFFFFF"/>
        </w:rPr>
      </w:pPr>
      <w:r w:rsidRPr="003F5BFA">
        <w:rPr>
          <w:rFonts w:ascii="Times New Roman" w:hAnsi="Times New Roman" w:cs="Times New Roman"/>
          <w:sz w:val="24"/>
          <w:szCs w:val="24"/>
          <w:shd w:val="clear" w:color="auto" w:fill="FFFFFF"/>
        </w:rPr>
        <w:t>Las administraciones públicas repartieron en 2024 -último año completo- 41.493 millones de euros en ayudas públicas. Estas ayudas, muchas discrecionales, van dirigidas a empresas, sindicatos y asociaciones, y también a particulares y entidades extranjeras. Los datos extraídos del último informe de subvenciones del Ministerio de Hacienda muestran también que en el primer de semestre las ayudas convocadas y ya concedidas suman casi 10.000 millones.</w:t>
      </w:r>
    </w:p>
    <w:p w:rsidR="00043F6A" w:rsidRPr="003F5BFA" w:rsidRDefault="00043F6A" w:rsidP="00043F6A">
      <w:pPr>
        <w:spacing w:line="240" w:lineRule="auto"/>
        <w:jc w:val="both"/>
        <w:rPr>
          <w:rFonts w:ascii="Times New Roman" w:hAnsi="Times New Roman" w:cs="Times New Roman"/>
          <w:sz w:val="24"/>
          <w:szCs w:val="24"/>
          <w:shd w:val="clear" w:color="auto" w:fill="FFFFFF"/>
        </w:rPr>
      </w:pPr>
      <w:r w:rsidRPr="003F5BFA">
        <w:rPr>
          <w:rFonts w:ascii="Times New Roman" w:hAnsi="Times New Roman" w:cs="Times New Roman"/>
          <w:sz w:val="24"/>
          <w:szCs w:val="24"/>
          <w:shd w:val="clear" w:color="auto" w:fill="FFFFFF"/>
        </w:rPr>
        <w:lastRenderedPageBreak/>
        <w:t>En 2024, el Estado ha otorgado el 48% del importe total de las subvenciones y ayudas publicadas. Por su parte, las comunidades autónomas, junto con las ciudades autónomas de Ceuta y Melilla, han concedido el 42%, y las entidades locales, el 11%. El mayor volumen de concesiones registradas proviene de la Comunidad Autónoma de Valencia, seguida de Cataluña, Andalucía y Castilla y León. Las pequeñas y medianas empresas y las personas físicas que desarrollan actividad económica son los sujetos más beneficiados.</w:t>
      </w:r>
    </w:p>
    <w:p w:rsidR="00043F6A" w:rsidRPr="003F5BFA" w:rsidRDefault="00043F6A" w:rsidP="00043F6A">
      <w:pPr>
        <w:spacing w:line="240" w:lineRule="auto"/>
        <w:jc w:val="both"/>
        <w:rPr>
          <w:rFonts w:ascii="Times New Roman" w:hAnsi="Times New Roman" w:cs="Times New Roman"/>
          <w:sz w:val="24"/>
          <w:szCs w:val="24"/>
          <w:shd w:val="clear" w:color="auto" w:fill="FFFFFF"/>
        </w:rPr>
      </w:pPr>
      <w:r w:rsidRPr="003F5BFA">
        <w:rPr>
          <w:rFonts w:ascii="Times New Roman" w:hAnsi="Times New Roman" w:cs="Times New Roman"/>
          <w:sz w:val="24"/>
          <w:szCs w:val="24"/>
          <w:shd w:val="clear" w:color="auto" w:fill="FFFFFF"/>
        </w:rPr>
        <w:t>Los datos a los que ha accedido T</w:t>
      </w:r>
      <w:r>
        <w:rPr>
          <w:rFonts w:ascii="Times New Roman" w:hAnsi="Times New Roman" w:cs="Times New Roman"/>
          <w:sz w:val="24"/>
          <w:szCs w:val="24"/>
          <w:shd w:val="clear" w:color="auto" w:fill="FFFFFF"/>
        </w:rPr>
        <w:t xml:space="preserve">he Objective </w:t>
      </w:r>
      <w:r w:rsidRPr="003F5BFA">
        <w:rPr>
          <w:rFonts w:ascii="Times New Roman" w:hAnsi="Times New Roman" w:cs="Times New Roman"/>
          <w:sz w:val="24"/>
          <w:szCs w:val="24"/>
          <w:shd w:val="clear" w:color="auto" w:fill="FFFFFF"/>
        </w:rPr>
        <w:t>evidencian que solo durante el primer semestre de 2025 se han publicado 35.033 convocatorias de subvenciones y ayudas públicas. Mientras, el número de convocatorias publicadas en la plataforma a 30 de junio de 2025 asciende a 568.832. El registro incorpora al Estado y sus organismos; las comunidades autónomas y los ayuntamientos. Estos representan el 93% de la población nacional total. Desde junio de 2019 al mismo mes de 2025 se han publicado 30,2 millones de concesiones de ayudas y subvenciones.</w:t>
      </w:r>
    </w:p>
    <w:p w:rsidR="00043F6A" w:rsidRPr="003F5BFA" w:rsidRDefault="00043F6A" w:rsidP="00043F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Ayudas con fondos MRR. </w:t>
      </w:r>
      <w:r w:rsidRPr="003F5BFA">
        <w:rPr>
          <w:rFonts w:ascii="Times New Roman" w:hAnsi="Times New Roman" w:cs="Times New Roman"/>
          <w:sz w:val="24"/>
          <w:szCs w:val="24"/>
          <w:shd w:val="clear" w:color="auto" w:fill="FFFFFF"/>
        </w:rPr>
        <w:t>Desde 2020 hasta junio de 2025, se han publicado 4.787 convocatorias de subvenciones y ayudas públicas financiadas con el Mecanismo de Recuperación y Resiliencia (MRR). El importe de las concesiones vinculadas al MRR que derivan de las convocatorias publicadas en 2024 asciende a 9.251 millones de euros.</w:t>
      </w:r>
    </w:p>
    <w:p w:rsidR="00043F6A" w:rsidRPr="003F5BFA" w:rsidRDefault="00043F6A" w:rsidP="00043F6A">
      <w:pPr>
        <w:spacing w:line="240" w:lineRule="auto"/>
        <w:jc w:val="both"/>
        <w:rPr>
          <w:rFonts w:ascii="Times New Roman" w:hAnsi="Times New Roman" w:cs="Times New Roman"/>
          <w:sz w:val="24"/>
          <w:szCs w:val="24"/>
          <w:shd w:val="clear" w:color="auto" w:fill="FFFFFF"/>
        </w:rPr>
      </w:pPr>
      <w:r w:rsidRPr="003F5BFA">
        <w:rPr>
          <w:rFonts w:ascii="Times New Roman" w:hAnsi="Times New Roman" w:cs="Times New Roman"/>
          <w:sz w:val="24"/>
          <w:szCs w:val="24"/>
          <w:shd w:val="clear" w:color="auto" w:fill="FFFFFF"/>
        </w:rPr>
        <w:t>Mientras, desde el 1 de julio de 2016 aparecen publicadas 7.479 convocatorias de subvenciones y/o ayudas públicas sujetas a un Reglamento (UE) de exención por categoría o a una medida de ayudas objeto de notificación previa a la Comisión Europea. A 30 de junio de 2025, el importe de las ayudas de Estado publicadas en la Plataforma de Subvenciones asciende a 94.091 millones de euros en términos de equivalente bruto de subvención.</w:t>
      </w:r>
    </w:p>
    <w:p w:rsidR="00043F6A" w:rsidRPr="003F5BFA" w:rsidRDefault="00043F6A" w:rsidP="00043F6A">
      <w:pPr>
        <w:spacing w:line="240" w:lineRule="auto"/>
        <w:jc w:val="both"/>
        <w:rPr>
          <w:rFonts w:ascii="Times New Roman" w:hAnsi="Times New Roman" w:cs="Times New Roman"/>
          <w:sz w:val="24"/>
          <w:szCs w:val="24"/>
          <w:shd w:val="clear" w:color="auto" w:fill="FFFFFF"/>
        </w:rPr>
      </w:pPr>
      <w:r w:rsidRPr="003F5BFA">
        <w:rPr>
          <w:rFonts w:ascii="Times New Roman" w:hAnsi="Times New Roman" w:cs="Times New Roman"/>
          <w:sz w:val="24"/>
          <w:szCs w:val="24"/>
          <w:shd w:val="clear" w:color="auto" w:fill="FFFFFF"/>
        </w:rPr>
        <w:t xml:space="preserve">La controversia sobre las ayudas estatales se centra en el equilibrio entre el apoyo gubernamental a empresas y la preservación de la competencia justa en el mercado. Las ayudas estatales, o ayudas públicas a empresas, pueden distorsionar la competencia al otorgar ventajas selectivas a ciertas compañías, lo que puede afectar negativamente a otras y al funcionamiento del mercado interior de la Unión Europea. </w:t>
      </w:r>
    </w:p>
    <w:p w:rsidR="00043F6A" w:rsidRPr="003F5BFA" w:rsidRDefault="00043F6A" w:rsidP="00043F6A">
      <w:pPr>
        <w:spacing w:line="240" w:lineRule="auto"/>
        <w:jc w:val="both"/>
        <w:rPr>
          <w:rFonts w:ascii="Times New Roman" w:hAnsi="Times New Roman" w:cs="Times New Roman"/>
          <w:sz w:val="24"/>
          <w:szCs w:val="24"/>
          <w:shd w:val="clear" w:color="auto" w:fill="FFFFFF"/>
        </w:rPr>
      </w:pPr>
      <w:r w:rsidRPr="003F5BFA">
        <w:rPr>
          <w:rFonts w:ascii="Times New Roman" w:hAnsi="Times New Roman" w:cs="Times New Roman"/>
          <w:sz w:val="24"/>
          <w:szCs w:val="24"/>
          <w:shd w:val="clear" w:color="auto" w:fill="FFFFFF"/>
        </w:rPr>
        <w:t>Las administraciones públicas repartieron durante 2024 un total de 19.325 millones de euros en subvenciones a grandes beneficiarios -los que reciben más de cien mil euros-. En total, 12.867 organismos públicos, ONG, asociaciones y fundaciones tuvieron estas ayudas. Englobados en el epígrafe Grandes beneficiarios están todas estas entidades percibieron ayudas por un importe iguales o superiores a 100.000 euros. Una parte de este dinero procede de fondos europeos. El listado de grandes beneficiarios, al que ha accedido T</w:t>
      </w:r>
      <w:r w:rsidR="000E44B4">
        <w:rPr>
          <w:rFonts w:ascii="Times New Roman" w:hAnsi="Times New Roman" w:cs="Times New Roman"/>
          <w:sz w:val="24"/>
          <w:szCs w:val="24"/>
          <w:shd w:val="clear" w:color="auto" w:fill="FFFFFF"/>
        </w:rPr>
        <w:t>he Objective</w:t>
      </w:r>
      <w:r w:rsidRPr="003F5BFA">
        <w:rPr>
          <w:rFonts w:ascii="Times New Roman" w:hAnsi="Times New Roman" w:cs="Times New Roman"/>
          <w:sz w:val="24"/>
          <w:szCs w:val="24"/>
          <w:shd w:val="clear" w:color="auto" w:fill="FFFFFF"/>
        </w:rPr>
        <w:t>, muestra que universidades, ayuntamientos y entes públicos como el Consejo Superior de Investigaciones Científicas (CSIC) capitalizan las subvenciones a organismos públicos.</w:t>
      </w:r>
    </w:p>
    <w:p w:rsidR="00043F6A" w:rsidRPr="003F5BFA" w:rsidRDefault="00043F6A" w:rsidP="00043F6A">
      <w:pPr>
        <w:spacing w:line="240" w:lineRule="auto"/>
        <w:jc w:val="both"/>
        <w:rPr>
          <w:rFonts w:ascii="Times New Roman" w:hAnsi="Times New Roman" w:cs="Times New Roman"/>
          <w:sz w:val="24"/>
          <w:szCs w:val="24"/>
          <w:shd w:val="clear" w:color="auto" w:fill="FFFFFF"/>
        </w:rPr>
      </w:pPr>
      <w:r w:rsidRPr="003F5BFA">
        <w:rPr>
          <w:rFonts w:ascii="Times New Roman" w:hAnsi="Times New Roman" w:cs="Times New Roman"/>
          <w:sz w:val="24"/>
          <w:szCs w:val="24"/>
          <w:shd w:val="clear" w:color="auto" w:fill="FFFFFF"/>
        </w:rPr>
        <w:t>Subve</w:t>
      </w:r>
      <w:r>
        <w:rPr>
          <w:rFonts w:ascii="Times New Roman" w:hAnsi="Times New Roman" w:cs="Times New Roman"/>
          <w:sz w:val="24"/>
          <w:szCs w:val="24"/>
          <w:shd w:val="clear" w:color="auto" w:fill="FFFFFF"/>
        </w:rPr>
        <w:t xml:space="preserve">nciones a grandes beneficiarios. </w:t>
      </w:r>
      <w:r w:rsidRPr="003F5BFA">
        <w:rPr>
          <w:rFonts w:ascii="Times New Roman" w:hAnsi="Times New Roman" w:cs="Times New Roman"/>
          <w:sz w:val="24"/>
          <w:szCs w:val="24"/>
          <w:shd w:val="clear" w:color="auto" w:fill="FFFFFF"/>
        </w:rPr>
        <w:t xml:space="preserve">Hasta 6.800 de estas entidades percibieron ayudas que sumaban 14.619 millones de euros. Mientras, las asociaciones y las fundaciones consideradas grandes beneficiarios obtuvieron fondos por valor de 4.707 millones. Las asociaciones beneficiadas superaron las 6.000. Desde 2022, en el listado de estas subvenciones se detalla el importe de las mismas que han sido concedidas con cargo al Mecanismo de Recuperación y </w:t>
      </w:r>
      <w:r w:rsidR="000E44B4" w:rsidRPr="003F5BFA">
        <w:rPr>
          <w:rFonts w:ascii="Times New Roman" w:hAnsi="Times New Roman" w:cs="Times New Roman"/>
          <w:sz w:val="24"/>
          <w:szCs w:val="24"/>
          <w:shd w:val="clear" w:color="auto" w:fill="FFFFFF"/>
        </w:rPr>
        <w:t>Resiliencia</w:t>
      </w:r>
      <w:r w:rsidRPr="003F5BFA">
        <w:rPr>
          <w:rFonts w:ascii="Times New Roman" w:hAnsi="Times New Roman" w:cs="Times New Roman"/>
          <w:sz w:val="24"/>
          <w:szCs w:val="24"/>
          <w:shd w:val="clear" w:color="auto" w:fill="FFFFFF"/>
        </w:rPr>
        <w:t xml:space="preserve"> (MRR). Estos fondos sumaron 2.209 millones en el caso de los organismos públicos y 919 millones, en el de las ONG y asociaciones.</w:t>
      </w:r>
    </w:p>
    <w:p w:rsidR="00043F6A" w:rsidRDefault="00043F6A" w:rsidP="00043F6A">
      <w:pPr>
        <w:spacing w:line="240" w:lineRule="auto"/>
        <w:jc w:val="both"/>
        <w:rPr>
          <w:rFonts w:ascii="Times New Roman" w:hAnsi="Times New Roman" w:cs="Times New Roman"/>
          <w:sz w:val="24"/>
          <w:szCs w:val="24"/>
          <w:shd w:val="clear" w:color="auto" w:fill="FFFFFF"/>
        </w:rPr>
      </w:pPr>
      <w:r w:rsidRPr="003F5BFA">
        <w:rPr>
          <w:rFonts w:ascii="Times New Roman" w:hAnsi="Times New Roman" w:cs="Times New Roman"/>
          <w:sz w:val="24"/>
          <w:szCs w:val="24"/>
          <w:shd w:val="clear" w:color="auto" w:fill="FFFFFF"/>
        </w:rPr>
        <w:t xml:space="preserve">La Universidad de Valencia -483,7 millones-, la Agencia Estatal CSIC -383 millones- y la Universidad Politécnica de Valencia -373,6 millones- son los organismos públicos que más dinero recibieron en forma de subvenciones en 2024. Entre estas tres entidades suman más </w:t>
      </w:r>
      <w:r w:rsidRPr="003F5BFA">
        <w:rPr>
          <w:rFonts w:ascii="Times New Roman" w:hAnsi="Times New Roman" w:cs="Times New Roman"/>
          <w:sz w:val="24"/>
          <w:szCs w:val="24"/>
          <w:shd w:val="clear" w:color="auto" w:fill="FFFFFF"/>
        </w:rPr>
        <w:lastRenderedPageBreak/>
        <w:t>1.240 millones. Otras dos universidades, la de Alicante y la de Murcia, completan los cinco primeros puestos. Mientras, la Comunidad de Madrid, en sexta posición, es la primera región en el ranking, un puesto que ocupó Cataluña en 2023 -año electoral-. La autonomía capitaneada por Isabel Díaz Ayuso recibió 188 millones el año pasado y Cataluña, 144 millones.</w:t>
      </w:r>
    </w:p>
    <w:p w:rsidR="00043F6A" w:rsidRPr="00E11085" w:rsidRDefault="00043F6A" w:rsidP="00043F6A">
      <w:pPr>
        <w:spacing w:line="240" w:lineRule="auto"/>
        <w:jc w:val="both"/>
        <w:rPr>
          <w:rFonts w:ascii="Times New Roman" w:hAnsi="Times New Roman" w:cs="Times New Roman"/>
          <w:color w:val="FF0000"/>
          <w:sz w:val="24"/>
          <w:szCs w:val="24"/>
          <w:shd w:val="clear" w:color="auto" w:fill="FFFFFF"/>
        </w:rPr>
      </w:pPr>
      <w:r w:rsidRPr="00E11085">
        <w:rPr>
          <w:rFonts w:ascii="Times New Roman" w:hAnsi="Times New Roman" w:cs="Times New Roman"/>
          <w:b/>
          <w:color w:val="FF0000"/>
          <w:sz w:val="24"/>
          <w:szCs w:val="24"/>
          <w:shd w:val="clear" w:color="auto" w:fill="FFFFFF"/>
        </w:rPr>
        <w:t>Nota</w:t>
      </w:r>
      <w:r w:rsidRPr="00E11085">
        <w:rPr>
          <w:rFonts w:ascii="Times New Roman" w:hAnsi="Times New Roman" w:cs="Times New Roman"/>
          <w:color w:val="FF0000"/>
          <w:sz w:val="24"/>
          <w:szCs w:val="24"/>
          <w:shd w:val="clear" w:color="auto" w:fill="FFFFFF"/>
        </w:rPr>
        <w:t xml:space="preserve">: el desperdicio de recursos públicos, clientelismo, sectarismo, demagogia, corrupción, y </w:t>
      </w:r>
      <w:r>
        <w:rPr>
          <w:rFonts w:ascii="Times New Roman" w:hAnsi="Times New Roman" w:cs="Times New Roman"/>
          <w:color w:val="FF0000"/>
          <w:sz w:val="24"/>
          <w:szCs w:val="24"/>
          <w:shd w:val="clear" w:color="auto" w:fill="FFFFFF"/>
        </w:rPr>
        <w:t>negocio de amiguetes</w:t>
      </w:r>
      <w:r w:rsidRPr="00E11085">
        <w:rPr>
          <w:rFonts w:ascii="Times New Roman" w:hAnsi="Times New Roman" w:cs="Times New Roman"/>
          <w:color w:val="FF0000"/>
          <w:sz w:val="24"/>
          <w:szCs w:val="24"/>
          <w:shd w:val="clear" w:color="auto" w:fill="FFFFFF"/>
        </w:rPr>
        <w:t>, hace aconsejable dejar de subvencionar a todo tipo de ONG. Que las ONG, cualquiera sea su cometido, busquen</w:t>
      </w:r>
      <w:r>
        <w:rPr>
          <w:rFonts w:ascii="Times New Roman" w:hAnsi="Times New Roman" w:cs="Times New Roman"/>
          <w:color w:val="FF0000"/>
          <w:sz w:val="24"/>
          <w:szCs w:val="24"/>
          <w:shd w:val="clear" w:color="auto" w:fill="FFFFFF"/>
        </w:rPr>
        <w:t xml:space="preserve"> sus</w:t>
      </w:r>
      <w:r w:rsidRPr="00E11085">
        <w:rPr>
          <w:rFonts w:ascii="Times New Roman" w:hAnsi="Times New Roman" w:cs="Times New Roman"/>
          <w:color w:val="FF0000"/>
          <w:sz w:val="24"/>
          <w:szCs w:val="24"/>
          <w:shd w:val="clear" w:color="auto" w:fill="FFFFFF"/>
        </w:rPr>
        <w:t xml:space="preserve"> recursos en el sector privado </w:t>
      </w:r>
      <w:r>
        <w:rPr>
          <w:rFonts w:ascii="Times New Roman" w:hAnsi="Times New Roman" w:cs="Times New Roman"/>
          <w:color w:val="FF0000"/>
          <w:sz w:val="24"/>
          <w:szCs w:val="24"/>
          <w:shd w:val="clear" w:color="auto" w:fill="FFFFFF"/>
        </w:rPr>
        <w:t>(donaciones), para su</w:t>
      </w:r>
      <w:r w:rsidRPr="00E11085">
        <w:rPr>
          <w:rFonts w:ascii="Times New Roman" w:hAnsi="Times New Roman" w:cs="Times New Roman"/>
          <w:color w:val="FF0000"/>
          <w:sz w:val="24"/>
          <w:szCs w:val="24"/>
          <w:shd w:val="clear" w:color="auto" w:fill="FFFFFF"/>
        </w:rPr>
        <w:t xml:space="preserve"> funcionamie</w:t>
      </w:r>
      <w:r>
        <w:rPr>
          <w:rFonts w:ascii="Times New Roman" w:hAnsi="Times New Roman" w:cs="Times New Roman"/>
          <w:color w:val="FF0000"/>
          <w:sz w:val="24"/>
          <w:szCs w:val="24"/>
          <w:shd w:val="clear" w:color="auto" w:fill="FFFFFF"/>
        </w:rPr>
        <w:t>nto y cometido. Hay que terminar con las ONG (supuestamente útiles a la sociedad) que viven (maman) de la teta pre</w:t>
      </w:r>
      <w:r w:rsidRPr="00E11085">
        <w:rPr>
          <w:rFonts w:ascii="Times New Roman" w:hAnsi="Times New Roman" w:cs="Times New Roman"/>
          <w:color w:val="FF0000"/>
          <w:sz w:val="24"/>
          <w:szCs w:val="24"/>
          <w:shd w:val="clear" w:color="auto" w:fill="FFFFFF"/>
        </w:rPr>
        <w:t>supuestaria.</w:t>
      </w:r>
    </w:p>
    <w:p w:rsidR="00043F6A" w:rsidRDefault="00043F6A" w:rsidP="00043F6A">
      <w:pPr>
        <w:spacing w:line="240" w:lineRule="auto"/>
        <w:jc w:val="both"/>
        <w:rPr>
          <w:rFonts w:ascii="Times New Roman" w:hAnsi="Times New Roman" w:cs="Times New Roman"/>
          <w:color w:val="FF0000"/>
          <w:sz w:val="24"/>
          <w:szCs w:val="24"/>
          <w:shd w:val="clear" w:color="auto" w:fill="FFFFFF"/>
        </w:rPr>
      </w:pPr>
      <w:r w:rsidRPr="003F5BFA">
        <w:rPr>
          <w:rFonts w:ascii="Times New Roman" w:hAnsi="Times New Roman" w:cs="Times New Roman"/>
          <w:color w:val="FF0000"/>
          <w:sz w:val="24"/>
          <w:szCs w:val="24"/>
          <w:shd w:val="clear" w:color="auto" w:fill="FFFFFF"/>
        </w:rPr>
        <w:t>- Abandonar todo sistema de Ayuda al desarrollo a terceros países (FAD)</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1C1D29">
        <w:rPr>
          <w:rFonts w:ascii="Times New Roman" w:hAnsi="Times New Roman" w:cs="Times New Roman"/>
          <w:sz w:val="24"/>
          <w:szCs w:val="24"/>
          <w:shd w:val="clear" w:color="auto" w:fill="FFFFFF"/>
        </w:rPr>
        <w:t>Los Fondos de Ayuda al Desarrollo tienen una “historia” que viene de lejos. Solo un pequeño apunte, para situar a lector, en los “gozos y las sombras” de la pobre España:</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1C1D29">
        <w:rPr>
          <w:rFonts w:ascii="Times New Roman" w:hAnsi="Times New Roman" w:cs="Times New Roman"/>
          <w:sz w:val="24"/>
          <w:szCs w:val="24"/>
          <w:shd w:val="clear" w:color="auto" w:fill="FFFFFF"/>
        </w:rPr>
        <w:t>Jesús de Polanco - Fundador del Grupo PRISA</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1C1D29">
        <w:rPr>
          <w:rFonts w:ascii="Times New Roman" w:hAnsi="Times New Roman" w:cs="Times New Roman"/>
          <w:sz w:val="24"/>
          <w:szCs w:val="24"/>
          <w:shd w:val="clear" w:color="auto" w:fill="FFFFFF"/>
        </w:rPr>
        <w:t xml:space="preserve">Fue el empresario de comunicación más importante de la Transición, fundador del mayor grupo mediático de España y uno de los principales contactos de Felipe González a nivel político. La cercanía con el líder socialista le resultó fructífera a PRISA, también en la esfera económica. Un caso paradigmático fue el de la empresa pública Focoex, que entre 1983 y 1984, a través de los Fondos de Ayuda al Desarrollo, obtuvo negocios para la adquisición de material educativo y sanitario muy beneficiosos para algunas empresas de Polanco, como Eductrade y Sanitrade. La participación de Focoex para favorecer los intereses del empresario madrileño en América Latina fue muy contestada, pero no se exigieron responsabilidades a ningún dirigente del Gobierno del PSOE. Santillana, perteneciente a PRISA -ahora dirigida por Juan Luis Cebrián (exdirector del diario El País e íntimo del expresidente)- propuso a González un puesto en su dirección, pero éste lo rechazó. (Fuente: lamarea.com - </w:t>
      </w:r>
      <w:r w:rsidRPr="00060EDC">
        <w:rPr>
          <w:rFonts w:ascii="Times New Roman" w:hAnsi="Times New Roman" w:cs="Times New Roman"/>
          <w:b/>
          <w:sz w:val="24"/>
          <w:szCs w:val="24"/>
          <w:shd w:val="clear" w:color="auto" w:fill="FFFFFF"/>
        </w:rPr>
        <w:t>4/1/</w:t>
      </w:r>
      <w:r>
        <w:rPr>
          <w:rFonts w:ascii="Times New Roman" w:hAnsi="Times New Roman" w:cs="Times New Roman"/>
          <w:b/>
          <w:sz w:val="24"/>
          <w:szCs w:val="24"/>
          <w:shd w:val="clear" w:color="auto" w:fill="FFFFFF"/>
        </w:rPr>
        <w:t>20</w:t>
      </w:r>
      <w:r w:rsidRPr="00060EDC">
        <w:rPr>
          <w:rFonts w:ascii="Times New Roman" w:hAnsi="Times New Roman" w:cs="Times New Roman"/>
          <w:b/>
          <w:sz w:val="24"/>
          <w:szCs w:val="24"/>
          <w:shd w:val="clear" w:color="auto" w:fill="FFFFFF"/>
        </w:rPr>
        <w:t>17</w:t>
      </w:r>
      <w:r w:rsidRPr="001C1D29">
        <w:rPr>
          <w:rFonts w:ascii="Times New Roman" w:hAnsi="Times New Roman" w:cs="Times New Roman"/>
          <w:sz w:val="24"/>
          <w:szCs w:val="24"/>
          <w:shd w:val="clear" w:color="auto" w:fill="FFFFFF"/>
        </w:rPr>
        <w:t>)</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5C40BB">
        <w:rPr>
          <w:rFonts w:ascii="Times New Roman" w:hAnsi="Times New Roman" w:cs="Times New Roman"/>
          <w:b/>
          <w:color w:val="FF0000"/>
          <w:sz w:val="24"/>
          <w:szCs w:val="24"/>
          <w:shd w:val="clear" w:color="auto" w:fill="FFFFFF"/>
        </w:rPr>
        <w:t>Nota I</w:t>
      </w:r>
      <w:r w:rsidRPr="005C40BB">
        <w:rPr>
          <w:rFonts w:ascii="Times New Roman" w:hAnsi="Times New Roman" w:cs="Times New Roman"/>
          <w:color w:val="FF0000"/>
          <w:sz w:val="24"/>
          <w:szCs w:val="24"/>
          <w:shd w:val="clear" w:color="auto" w:fill="FFFFFF"/>
        </w:rPr>
        <w:t>: La Fiscalía Anticorrupción investiga a Focoex y a Polanco</w:t>
      </w:r>
      <w:r w:rsidRPr="001C1D29">
        <w:rPr>
          <w:rFonts w:ascii="Times New Roman" w:hAnsi="Times New Roman" w:cs="Times New Roman"/>
          <w:sz w:val="24"/>
          <w:szCs w:val="24"/>
          <w:shd w:val="clear" w:color="auto" w:fill="FFFFFF"/>
        </w:rPr>
        <w:t xml:space="preserve">: La Fiscalía Anticorrupción investiga desde 1996 las operaciones conjuntas realizadas por la empresa pública de comercio exterior, Focoex y distintas sociedades controladas por el editor Jesús Polanco (Fuente: El Mundo - </w:t>
      </w:r>
      <w:r w:rsidRPr="00060EDC">
        <w:rPr>
          <w:rFonts w:ascii="Times New Roman" w:hAnsi="Times New Roman" w:cs="Times New Roman"/>
          <w:b/>
          <w:sz w:val="24"/>
          <w:szCs w:val="24"/>
          <w:shd w:val="clear" w:color="auto" w:fill="FFFFFF"/>
        </w:rPr>
        <w:t>8/12/1998</w:t>
      </w:r>
      <w:r w:rsidRPr="001C1D29">
        <w:rPr>
          <w:rFonts w:ascii="Times New Roman" w:hAnsi="Times New Roman" w:cs="Times New Roman"/>
          <w:sz w:val="24"/>
          <w:szCs w:val="24"/>
          <w:shd w:val="clear" w:color="auto" w:fill="FFFFFF"/>
        </w:rPr>
        <w:t>)</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1C1D29">
        <w:rPr>
          <w:rFonts w:ascii="Times New Roman" w:hAnsi="Times New Roman" w:cs="Times New Roman"/>
          <w:sz w:val="24"/>
          <w:szCs w:val="24"/>
          <w:shd w:val="clear" w:color="auto" w:fill="FFFFFF"/>
        </w:rPr>
        <w:t>Según publica la revista Época esta semana, la investigación judicial sobre las prácticas irregulares cometidas en Focoex durante los últimos años de mandato del PSOE, comenzaron a raíz de una denuncia formulada ante la Fiscalía Anticorrupción a partir de un informe del Tribunal de Cuentas, en el que se vertían sombras sobre la gestión económica de la sociedad.</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1C1D29">
        <w:rPr>
          <w:rFonts w:ascii="Times New Roman" w:hAnsi="Times New Roman" w:cs="Times New Roman"/>
          <w:sz w:val="24"/>
          <w:szCs w:val="24"/>
          <w:shd w:val="clear" w:color="auto" w:fill="FFFFFF"/>
        </w:rPr>
        <w:t>Focoex hoy denominada Expansión Exterior Española hizo negocios con Eductrade y Sanitrade dos empresas pertenecientes al grupo Santillana, valorados en unos 50.000 millones de pesetas, y parte de ese dinero fue pagado en comisiones a través de paraísos fiscales, según puso de manifiesto en su día el Tribunal de Cuentas.</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1C1D29">
        <w:rPr>
          <w:rFonts w:ascii="Times New Roman" w:hAnsi="Times New Roman" w:cs="Times New Roman"/>
          <w:sz w:val="24"/>
          <w:szCs w:val="24"/>
          <w:shd w:val="clear" w:color="auto" w:fill="FFFFFF"/>
        </w:rPr>
        <w:t>Época asegura que la Fiscalía abrió diligencias de investigación con el epígrafe 20/96, siendo el responsable del proceso el fiscal Luis Rodríguez Sol, quien también investiga al alcalde de Marbella, Jesús Gil y Gil.</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1C1D29">
        <w:rPr>
          <w:rFonts w:ascii="Times New Roman" w:hAnsi="Times New Roman" w:cs="Times New Roman"/>
          <w:sz w:val="24"/>
          <w:szCs w:val="24"/>
          <w:shd w:val="clear" w:color="auto" w:fill="FFFFFF"/>
        </w:rPr>
        <w:t>Según Época, las pesquisas han consistido hasta el momento en el análisis y valoración de las conductas irregulares que se denuncian en el mencionado informe del Tribunal de Cuentas, así como diferentes actuaciones complementarias.</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1C1D29">
        <w:rPr>
          <w:rFonts w:ascii="Times New Roman" w:hAnsi="Times New Roman" w:cs="Times New Roman"/>
          <w:sz w:val="24"/>
          <w:szCs w:val="24"/>
          <w:shd w:val="clear" w:color="auto" w:fill="FFFFFF"/>
        </w:rPr>
        <w:lastRenderedPageBreak/>
        <w:t>Entre éstas, se encuentra el registro e incautación de documentación contable de la sede de Focoex. Asimismo, la Fiscalía ha enviado distintas comisiones rogatorias, una de ellas a Uruguay. En este país precisamente se cerraron algunos de los acuerdos más importantes entre Focoex y Eductrade, y el propio Parlamento abrió una comisión de investigación.</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1C1D29">
        <w:rPr>
          <w:rFonts w:ascii="Times New Roman" w:hAnsi="Times New Roman" w:cs="Times New Roman"/>
          <w:sz w:val="24"/>
          <w:szCs w:val="24"/>
          <w:shd w:val="clear" w:color="auto" w:fill="FFFFFF"/>
        </w:rPr>
        <w:t>La revista asegura que tras la incautación de información contable por parte de los funcionarios adscritos a la Fiscalía, la Unidad de Apoyo de la Intervención General del Estado emitió un informe confidencial con fecha de 10 de septiembre de 1997 que se unió al elaborado también por la Fiscalía Judicial, adscrita a la Fiscalía Anticorrupción.</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1C1D29">
        <w:rPr>
          <w:rFonts w:ascii="Times New Roman" w:hAnsi="Times New Roman" w:cs="Times New Roman"/>
          <w:sz w:val="24"/>
          <w:szCs w:val="24"/>
          <w:shd w:val="clear" w:color="auto" w:fill="FFFFFF"/>
        </w:rPr>
        <w:t>La investigación se refiere a las operaciones de Focoex entre 1989 y 1993, incluyendo las transacciones en las que ha participado cada agente comisionista, así como sus honorarios, facturas y justificantes bancarios de pago.</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1C1D29">
        <w:rPr>
          <w:rFonts w:ascii="Times New Roman" w:hAnsi="Times New Roman" w:cs="Times New Roman"/>
          <w:sz w:val="24"/>
          <w:szCs w:val="24"/>
          <w:shd w:val="clear" w:color="auto" w:fill="FFFFFF"/>
        </w:rPr>
        <w:t xml:space="preserve">Según Época, en un informe de la Fiscalía consta que entre 1991 y 1992 se abonaron 1.310 millones de pesetas en comisiones a intermediarios pagados por Focoex. </w:t>
      </w:r>
      <w:r w:rsidR="00513478" w:rsidRPr="001C1D29">
        <w:rPr>
          <w:rFonts w:ascii="Times New Roman" w:hAnsi="Times New Roman" w:cs="Times New Roman"/>
          <w:sz w:val="24"/>
          <w:szCs w:val="24"/>
          <w:shd w:val="clear" w:color="auto" w:fill="FFFFFF"/>
        </w:rPr>
        <w:t>Época</w:t>
      </w:r>
      <w:r w:rsidRPr="001C1D29">
        <w:rPr>
          <w:rFonts w:ascii="Times New Roman" w:hAnsi="Times New Roman" w:cs="Times New Roman"/>
          <w:sz w:val="24"/>
          <w:szCs w:val="24"/>
          <w:shd w:val="clear" w:color="auto" w:fill="FFFFFF"/>
        </w:rPr>
        <w:t xml:space="preserve"> asegura que entre dichos beneficiarios aparecen nombres como Gloria Luz Flechau, Dicesa, Salcida, Latinver o Procomex. Dichos contratos fueron firmados por el entonces presidente de Focoex, Germán Calvillo, que era jefe directo de Gloria Barba, esposa del ex ministro de Economía, Carlos Solchaga.</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5C40BB">
        <w:rPr>
          <w:rFonts w:ascii="Times New Roman" w:hAnsi="Times New Roman" w:cs="Times New Roman"/>
          <w:b/>
          <w:color w:val="FF0000"/>
          <w:sz w:val="24"/>
          <w:szCs w:val="24"/>
          <w:shd w:val="clear" w:color="auto" w:fill="FFFFFF"/>
        </w:rPr>
        <w:t>Nota II</w:t>
      </w:r>
      <w:r w:rsidRPr="005C40BB">
        <w:rPr>
          <w:rFonts w:ascii="Times New Roman" w:hAnsi="Times New Roman" w:cs="Times New Roman"/>
          <w:color w:val="FF0000"/>
          <w:sz w:val="24"/>
          <w:szCs w:val="24"/>
          <w:shd w:val="clear" w:color="auto" w:fill="FFFFFF"/>
        </w:rPr>
        <w:t>: “Polanco” no ha muerto, el que pasó ayer a mejor vida fue Jesús Polanco, todo lo demás permanece intacto.</w:t>
      </w:r>
      <w:r w:rsidRPr="001C1D29">
        <w:rPr>
          <w:rFonts w:ascii="Times New Roman" w:hAnsi="Times New Roman" w:cs="Times New Roman"/>
          <w:sz w:val="24"/>
          <w:szCs w:val="24"/>
          <w:shd w:val="clear" w:color="auto" w:fill="FFFFFF"/>
        </w:rPr>
        <w:t xml:space="preserve"> El diario El País, el AS, el Cinco Días, la cadena SER, Cuatro, CNN+, el Canal Satélite Digital, la revista Cinemanía, las editoriales Santillana, Taurus, Alfaguara y Aguilar, las librerías Crisol, Sogecable, Eductrade, Sanitrade y otras golosinas que tiene repartidas por el mundo funcionan a pleno rendimiento. Su imperio está más boyante que nunca. No hay más que ver quien fue al entierro. Los muros y lápidas del cementerio no recuerdan tantos poderosos juntos en el siglo y medio que lleva enterrándose gente en la Almudena. (Fuente: diazvillanueva.com - </w:t>
      </w:r>
      <w:r w:rsidRPr="00060EDC">
        <w:rPr>
          <w:rFonts w:ascii="Times New Roman" w:hAnsi="Times New Roman" w:cs="Times New Roman"/>
          <w:b/>
          <w:sz w:val="24"/>
          <w:szCs w:val="24"/>
          <w:shd w:val="clear" w:color="auto" w:fill="FFFFFF"/>
        </w:rPr>
        <w:t>22/7/2007</w:t>
      </w:r>
      <w:r w:rsidRPr="001C1D29">
        <w:rPr>
          <w:rFonts w:ascii="Times New Roman" w:hAnsi="Times New Roman" w:cs="Times New Roman"/>
          <w:sz w:val="24"/>
          <w:szCs w:val="24"/>
          <w:shd w:val="clear" w:color="auto" w:fill="FFFFFF"/>
        </w:rPr>
        <w:t>)</w:t>
      </w:r>
    </w:p>
    <w:p w:rsidR="00043F6A" w:rsidRPr="005C40BB" w:rsidRDefault="00043F6A" w:rsidP="00043F6A">
      <w:pPr>
        <w:spacing w:line="240" w:lineRule="auto"/>
        <w:jc w:val="both"/>
        <w:rPr>
          <w:rFonts w:ascii="Times New Roman" w:hAnsi="Times New Roman" w:cs="Times New Roman"/>
          <w:color w:val="FF0000"/>
          <w:sz w:val="24"/>
          <w:szCs w:val="24"/>
          <w:shd w:val="clear" w:color="auto" w:fill="FFFFFF"/>
        </w:rPr>
      </w:pPr>
      <w:r w:rsidRPr="005C40BB">
        <w:rPr>
          <w:rFonts w:ascii="Times New Roman" w:hAnsi="Times New Roman" w:cs="Times New Roman"/>
          <w:b/>
          <w:color w:val="FF0000"/>
          <w:sz w:val="24"/>
          <w:szCs w:val="24"/>
          <w:shd w:val="clear" w:color="auto" w:fill="FFFFFF"/>
        </w:rPr>
        <w:t>Nota III</w:t>
      </w:r>
      <w:r w:rsidRPr="005C40BB">
        <w:rPr>
          <w:rFonts w:ascii="Times New Roman" w:hAnsi="Times New Roman" w:cs="Times New Roman"/>
          <w:color w:val="FF0000"/>
          <w:sz w:val="24"/>
          <w:szCs w:val="24"/>
          <w:shd w:val="clear" w:color="auto" w:fill="FFFFFF"/>
        </w:rPr>
        <w:t>: podría terminar este Apartado diciendo: “sic transit gloria mundi”, qué para el caso español, se podría adaptar sosteniendo: “sic transit gloria mindundi”. O sea.</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1C1D29">
        <w:rPr>
          <w:rFonts w:ascii="Times New Roman" w:hAnsi="Times New Roman" w:cs="Times New Roman"/>
          <w:sz w:val="24"/>
          <w:szCs w:val="24"/>
          <w:shd w:val="clear" w:color="auto" w:fill="FFFFFF"/>
        </w:rPr>
        <w:t>Pero, con el paso del tiempo, el empleo de los FAD, lejos de mejorar, empeoró, porque además de facilitar el “negocio de los amiguetes”, sirvieron para regar con los recursos de los contribuyentes, innumerables sátrapas internacionales, regímenes dictatoriales, políticos menguantes, proyectos de dudosa utilidad, obras de imposible realización, hospitales inexistentes, escuelas si</w:t>
      </w:r>
      <w:r>
        <w:rPr>
          <w:rFonts w:ascii="Times New Roman" w:hAnsi="Times New Roman" w:cs="Times New Roman"/>
          <w:sz w:val="24"/>
          <w:szCs w:val="24"/>
          <w:shd w:val="clear" w:color="auto" w:fill="FFFFFF"/>
        </w:rPr>
        <w:t>n</w:t>
      </w:r>
      <w:r w:rsidRPr="001C1D29">
        <w:rPr>
          <w:rFonts w:ascii="Times New Roman" w:hAnsi="Times New Roman" w:cs="Times New Roman"/>
          <w:sz w:val="24"/>
          <w:szCs w:val="24"/>
          <w:shd w:val="clear" w:color="auto" w:fill="FFFFFF"/>
        </w:rPr>
        <w:t xml:space="preserve"> alumnos, edificios inverosímiles, aeropuertos sin aviones, trenes sin pasajeros, puertos sin navíos, rutas a ninguna parte, casas inhabitables… (y podría seguir).</w:t>
      </w:r>
    </w:p>
    <w:p w:rsidR="00043F6A" w:rsidRPr="001C1D29" w:rsidRDefault="00043F6A" w:rsidP="00043F6A">
      <w:pPr>
        <w:spacing w:line="240" w:lineRule="auto"/>
        <w:jc w:val="both"/>
        <w:rPr>
          <w:rFonts w:ascii="Times New Roman" w:hAnsi="Times New Roman" w:cs="Times New Roman"/>
          <w:sz w:val="24"/>
          <w:szCs w:val="24"/>
          <w:shd w:val="clear" w:color="auto" w:fill="FFFFFF"/>
        </w:rPr>
      </w:pPr>
      <w:r w:rsidRPr="001C1D29">
        <w:rPr>
          <w:rFonts w:ascii="Times New Roman" w:hAnsi="Times New Roman" w:cs="Times New Roman"/>
          <w:sz w:val="24"/>
          <w:szCs w:val="24"/>
          <w:shd w:val="clear" w:color="auto" w:fill="FFFFFF"/>
        </w:rPr>
        <w:t xml:space="preserve">Una breve actualización del “despropósito” de los FAD (¿mejor decir, “latrocinio”?)   </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u w:val="single"/>
          <w:shd w:val="clear" w:color="auto" w:fill="FFFFFF"/>
        </w:rPr>
        <w:t>Sánchez riega con más de 455 millones a organismos extranjeros</w:t>
      </w:r>
      <w:r w:rsidR="000E44B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Libre Mercado - Libertad Digital - </w:t>
      </w:r>
      <w:r w:rsidRPr="003F5BFA">
        <w:rPr>
          <w:rFonts w:ascii="Times New Roman" w:hAnsi="Times New Roman" w:cs="Times New Roman"/>
          <w:b/>
          <w:color w:val="000000"/>
          <w:sz w:val="24"/>
          <w:szCs w:val="24"/>
          <w:shd w:val="clear" w:color="auto" w:fill="FFFFFF"/>
        </w:rPr>
        <w:t>22/6/25</w:t>
      </w:r>
      <w:r>
        <w:rPr>
          <w:rFonts w:ascii="Times New Roman" w:hAnsi="Times New Roman" w:cs="Times New Roman"/>
          <w:color w:val="000000"/>
          <w:sz w:val="24"/>
          <w:szCs w:val="24"/>
          <w:shd w:val="clear" w:color="auto" w:fill="FFFFFF"/>
        </w:rPr>
        <w:t>)</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sidRPr="003F5BFA">
        <w:rPr>
          <w:rFonts w:ascii="Times New Roman" w:hAnsi="Times New Roman" w:cs="Times New Roman"/>
          <w:color w:val="000000"/>
          <w:sz w:val="24"/>
          <w:szCs w:val="24"/>
          <w:shd w:val="clear" w:color="auto" w:fill="FFFFFF"/>
        </w:rPr>
        <w:t>Entre los grandes beneficiarios de estas ayudas nos encontramos con el Ministerio de Finanzas de Palestina o con el Ministerio de Igualdad colombiano.</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(Por </w:t>
      </w:r>
      <w:r w:rsidRPr="003F5BFA">
        <w:rPr>
          <w:rFonts w:ascii="Times New Roman" w:hAnsi="Times New Roman" w:cs="Times New Roman"/>
          <w:color w:val="000000"/>
          <w:sz w:val="24"/>
          <w:szCs w:val="24"/>
          <w:shd w:val="clear" w:color="auto" w:fill="FFFFFF"/>
        </w:rPr>
        <w:t>Miguel Puga</w:t>
      </w:r>
      <w:r>
        <w:rPr>
          <w:rFonts w:ascii="Times New Roman" w:hAnsi="Times New Roman" w:cs="Times New Roman"/>
          <w:color w:val="000000"/>
          <w:sz w:val="24"/>
          <w:szCs w:val="24"/>
          <w:shd w:val="clear" w:color="auto" w:fill="FFFFFF"/>
        </w:rPr>
        <w:t>)</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sidRPr="003F5BFA">
        <w:rPr>
          <w:rFonts w:ascii="Times New Roman" w:hAnsi="Times New Roman" w:cs="Times New Roman"/>
          <w:color w:val="000000"/>
          <w:sz w:val="24"/>
          <w:szCs w:val="24"/>
          <w:shd w:val="clear" w:color="auto" w:fill="FFFFFF"/>
        </w:rPr>
        <w:t xml:space="preserve">El Gobierno de Pedro Sánchez atraviesa uno de los momentos de mayor inestabilidad política desde su llegada al poder en 2018, sacudido por la presunta </w:t>
      </w:r>
      <w:r w:rsidR="000E44B4">
        <w:rPr>
          <w:rFonts w:ascii="Times New Roman" w:hAnsi="Times New Roman" w:cs="Times New Roman"/>
          <w:color w:val="000000"/>
          <w:sz w:val="24"/>
          <w:szCs w:val="24"/>
          <w:shd w:val="clear" w:color="auto" w:fill="FFFFFF"/>
        </w:rPr>
        <w:t>trama de corrupción “Koldo-Ábalos-Cerdán”</w:t>
      </w:r>
      <w:r w:rsidRPr="003F5BFA">
        <w:rPr>
          <w:rFonts w:ascii="Times New Roman" w:hAnsi="Times New Roman" w:cs="Times New Roman"/>
          <w:color w:val="000000"/>
          <w:sz w:val="24"/>
          <w:szCs w:val="24"/>
          <w:shd w:val="clear" w:color="auto" w:fill="FFFFFF"/>
        </w:rPr>
        <w:t xml:space="preserve">. En este caso, se acusa a los implicados de haberse repartido comisiones de </w:t>
      </w:r>
      <w:r w:rsidRPr="003F5BFA">
        <w:rPr>
          <w:rFonts w:ascii="Times New Roman" w:hAnsi="Times New Roman" w:cs="Times New Roman"/>
          <w:color w:val="000000"/>
          <w:sz w:val="24"/>
          <w:szCs w:val="24"/>
          <w:shd w:val="clear" w:color="auto" w:fill="FFFFFF"/>
        </w:rPr>
        <w:lastRenderedPageBreak/>
        <w:t>cientos de miles de euros con empresas a cambio de favores políticos, lo que ha indignado a una población cada vez más escéptica ante el discurso oficial de q</w:t>
      </w:r>
      <w:r w:rsidR="000E44B4">
        <w:rPr>
          <w:rFonts w:ascii="Times New Roman" w:hAnsi="Times New Roman" w:cs="Times New Roman"/>
          <w:color w:val="000000"/>
          <w:sz w:val="24"/>
          <w:szCs w:val="24"/>
          <w:shd w:val="clear" w:color="auto" w:fill="FFFFFF"/>
        </w:rPr>
        <w:t>ue los impuestos se destinan a “</w:t>
      </w:r>
      <w:r w:rsidRPr="003F5BFA">
        <w:rPr>
          <w:rFonts w:ascii="Times New Roman" w:hAnsi="Times New Roman" w:cs="Times New Roman"/>
          <w:color w:val="000000"/>
          <w:sz w:val="24"/>
          <w:szCs w:val="24"/>
          <w:shd w:val="clear" w:color="auto" w:fill="FFFFFF"/>
        </w:rPr>
        <w:t>ed</w:t>
      </w:r>
      <w:r w:rsidR="000E44B4">
        <w:rPr>
          <w:rFonts w:ascii="Times New Roman" w:hAnsi="Times New Roman" w:cs="Times New Roman"/>
          <w:color w:val="000000"/>
          <w:sz w:val="24"/>
          <w:szCs w:val="24"/>
          <w:shd w:val="clear" w:color="auto" w:fill="FFFFFF"/>
        </w:rPr>
        <w:t>ucación, sanidad y carreteras”</w:t>
      </w:r>
      <w:r>
        <w:rPr>
          <w:rFonts w:ascii="Times New Roman" w:hAnsi="Times New Roman" w:cs="Times New Roman"/>
          <w:color w:val="000000"/>
          <w:sz w:val="24"/>
          <w:szCs w:val="24"/>
          <w:shd w:val="clear" w:color="auto" w:fill="FFFFFF"/>
        </w:rPr>
        <w:t>.</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sidRPr="003F5BFA">
        <w:rPr>
          <w:rFonts w:ascii="Times New Roman" w:hAnsi="Times New Roman" w:cs="Times New Roman"/>
          <w:color w:val="000000"/>
          <w:sz w:val="24"/>
          <w:szCs w:val="24"/>
          <w:shd w:val="clear" w:color="auto" w:fill="FFFFFF"/>
        </w:rPr>
        <w:t>En medio de esto, el Ministerio de Hacienda publicó la semana pasada un documento llamado "Listado de Grandes Beneficiarios 2024 (XLS)" donde relata todas las subvenciones y ayudas que el Gobierno de España otorgó en el año 2024, y es aquí donde hemos descubierto un dato de lo más interesante.</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sidRPr="003F5BFA">
        <w:rPr>
          <w:rFonts w:ascii="Times New Roman" w:hAnsi="Times New Roman" w:cs="Times New Roman"/>
          <w:color w:val="000000"/>
          <w:sz w:val="24"/>
          <w:szCs w:val="24"/>
          <w:shd w:val="clear" w:color="auto" w:fill="FFFFFF"/>
        </w:rPr>
        <w:t>En el documento de excel que nos proporciona el Ministerio de Hacien</w:t>
      </w:r>
      <w:r w:rsidR="000E44B4">
        <w:rPr>
          <w:rFonts w:ascii="Times New Roman" w:hAnsi="Times New Roman" w:cs="Times New Roman"/>
          <w:color w:val="000000"/>
          <w:sz w:val="24"/>
          <w:szCs w:val="24"/>
          <w:shd w:val="clear" w:color="auto" w:fill="FFFFFF"/>
        </w:rPr>
        <w:t>da, hay una sección denominada “Extranjeros”</w:t>
      </w:r>
      <w:r w:rsidRPr="003F5BFA">
        <w:rPr>
          <w:rFonts w:ascii="Times New Roman" w:hAnsi="Times New Roman" w:cs="Times New Roman"/>
          <w:color w:val="000000"/>
          <w:sz w:val="24"/>
          <w:szCs w:val="24"/>
          <w:shd w:val="clear" w:color="auto" w:fill="FFFFFF"/>
        </w:rPr>
        <w:t xml:space="preserve"> donde se muestran los grandes beneficiarios en el extranjero de ayudas españolas, es decir, que España ha destinado millones de euros a financiar a organizaciones públicas y privadas en todo el mundo.</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sidRPr="003F5BFA">
        <w:rPr>
          <w:rFonts w:ascii="Times New Roman" w:hAnsi="Times New Roman" w:cs="Times New Roman"/>
          <w:color w:val="000000"/>
          <w:sz w:val="24"/>
          <w:szCs w:val="24"/>
          <w:shd w:val="clear" w:color="auto" w:fill="FFFFFF"/>
        </w:rPr>
        <w:t>Pues bien, si hacemos la suma de cuántos millones de euros dio España el año pasado en ayudas a organismos extranjeros, tenemos que el gasto (únicamente contando a los grandes beneficiarios) fue de 455,7 millones de euros. Es decir, España regaló casi 500 millones de euros a organismos públicos y privados en el extranjero en 2024. Tal y como nos muestra este documento, los fondos procederían casi enteramente del erario español y una pequeña parte de las ayudas a organismos extranjeros procedería del Mecanismo de Recuperación y Resiliencia</w:t>
      </w:r>
      <w:r>
        <w:rPr>
          <w:rFonts w:ascii="Times New Roman" w:hAnsi="Times New Roman" w:cs="Times New Roman"/>
          <w:color w:val="000000"/>
          <w:sz w:val="24"/>
          <w:szCs w:val="24"/>
          <w:shd w:val="clear" w:color="auto" w:fill="FFFFFF"/>
        </w:rPr>
        <w:t>, es decir, de fondos europeos.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sidRPr="003F5BFA">
        <w:rPr>
          <w:rFonts w:ascii="Times New Roman" w:hAnsi="Times New Roman" w:cs="Times New Roman"/>
          <w:color w:val="000000"/>
          <w:sz w:val="24"/>
          <w:szCs w:val="24"/>
          <w:shd w:val="clear" w:color="auto" w:fill="FFFFFF"/>
        </w:rPr>
        <w:t xml:space="preserve">Ahora bien, ¿qué tipo de organismos nos podemos encontrar en esta </w:t>
      </w:r>
      <w:r>
        <w:rPr>
          <w:rFonts w:ascii="Times New Roman" w:hAnsi="Times New Roman" w:cs="Times New Roman"/>
          <w:color w:val="000000"/>
          <w:sz w:val="24"/>
          <w:szCs w:val="24"/>
          <w:shd w:val="clear" w:color="auto" w:fill="FFFFFF"/>
        </w:rPr>
        <w:t>lista de grandes beneficiarios?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sidRPr="003F5BFA">
        <w:rPr>
          <w:rFonts w:ascii="Times New Roman" w:hAnsi="Times New Roman" w:cs="Times New Roman"/>
          <w:color w:val="000000"/>
          <w:sz w:val="24"/>
          <w:szCs w:val="24"/>
          <w:shd w:val="clear" w:color="auto" w:fill="FFFFFF"/>
        </w:rPr>
        <w:t>Ayudas a Palestina o a la Igualdad en otros países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sidRPr="003F5BFA">
        <w:rPr>
          <w:rFonts w:ascii="Times New Roman" w:hAnsi="Times New Roman" w:cs="Times New Roman"/>
          <w:color w:val="000000"/>
          <w:sz w:val="24"/>
          <w:szCs w:val="24"/>
          <w:shd w:val="clear" w:color="auto" w:fill="FFFFFF"/>
        </w:rPr>
        <w:t>La mayor ayuda de todas se la lleva una Organización Europea para la investigación nuclear con 89,8 millones de euros. Esto no deja de ser irónico, pues el Gobierno de España se niega a abrir centrales nucleares o a alargar la vida de estas al mismo tiempo que financia investigaciones sobre la energía nuclear en otros países.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sidRPr="003F5BFA">
        <w:rPr>
          <w:rFonts w:ascii="Times New Roman" w:hAnsi="Times New Roman" w:cs="Times New Roman"/>
          <w:color w:val="000000"/>
          <w:sz w:val="24"/>
          <w:szCs w:val="24"/>
          <w:shd w:val="clear" w:color="auto" w:fill="FFFFFF"/>
        </w:rPr>
        <w:t>A continuación, vamos a exponer una lista de 20 ayudas que nos han llamado la atención:</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Organización Europea para la Investigación Astronómica en el hemisferio sur: 20,7 millones de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Oficina de Coordinación de Asuntos Humanitarios (OCHA): 14,5 millones de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Fondo Conjunto para los Objetivos de Desarrollo Sostenible (ODS): 14 millones de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Ministerio de Igualdad y Equidad de Colombia: 2,33 millones de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Región de Nuakchot (Mauritania): 2,3 millones de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Ministerio de Finanzas de Palestina: 2 millones de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Organización de los Estados Americanos (OEA): 2 millones de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Media Luna Roja Argelina: 1,7 millones de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Unidad para la Atención y Reparación Integral a las Víctimas (UARIV): 1,5 millones de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Departamento de Nariño (Colombia): 1,5 millones de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lang w:val="en-GB"/>
        </w:rPr>
      </w:pPr>
      <w:r w:rsidRPr="003F5BFA">
        <w:rPr>
          <w:rFonts w:ascii="Times New Roman" w:hAnsi="Times New Roman" w:cs="Times New Roman"/>
          <w:color w:val="000000"/>
          <w:sz w:val="24"/>
          <w:szCs w:val="24"/>
          <w:shd w:val="clear" w:color="auto" w:fill="FFFFFF"/>
          <w:lang w:val="en-GB"/>
        </w:rPr>
        <w:lastRenderedPageBreak/>
        <w:t>- International Organization for Migration OIM/IOM: 1,45 millones de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sidRPr="003F5BFA">
        <w:rPr>
          <w:rFonts w:ascii="Times New Roman" w:hAnsi="Times New Roman" w:cs="Times New Roman"/>
          <w:color w:val="000000"/>
          <w:sz w:val="24"/>
          <w:szCs w:val="24"/>
          <w:shd w:val="clear" w:color="auto" w:fill="FFFFFF"/>
        </w:rPr>
        <w:t>- Agencia Presidencial de Cooperación Internacional APC Colombia: 1,335 millones de euros.</w:t>
      </w:r>
    </w:p>
    <w:p w:rsidR="00043F6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Asociación menonita para el desarrollo económico de Canadá (MEDA): 1,3 millones de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Alcaldía de Pikine (Senegal): 900.000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Fundación amigos de la naturaleza (FAN): 900.000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Universidad Técnica-Nacional de Costa Rica: 779.525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Ministerio de la Producción de Perú: 750.000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Ministerio de Agricultura de la República Dominicana: 565.000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Ministerio de Salud de Mozambique: 500.000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3F5BFA">
        <w:rPr>
          <w:rFonts w:ascii="Times New Roman" w:hAnsi="Times New Roman" w:cs="Times New Roman"/>
          <w:color w:val="000000"/>
          <w:sz w:val="24"/>
          <w:szCs w:val="24"/>
          <w:shd w:val="clear" w:color="auto" w:fill="FFFFFF"/>
        </w:rPr>
        <w:t>Instituto Caboverdiano de Igualdad y Eq</w:t>
      </w:r>
      <w:r>
        <w:rPr>
          <w:rFonts w:ascii="Times New Roman" w:hAnsi="Times New Roman" w:cs="Times New Roman"/>
          <w:color w:val="000000"/>
          <w:sz w:val="24"/>
          <w:szCs w:val="24"/>
          <w:shd w:val="clear" w:color="auto" w:fill="FFFFFF"/>
        </w:rPr>
        <w:t>uidad de Género: 450.000 euros.</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sidRPr="003F5BFA">
        <w:rPr>
          <w:rFonts w:ascii="Times New Roman" w:hAnsi="Times New Roman" w:cs="Times New Roman"/>
          <w:color w:val="000000"/>
          <w:sz w:val="24"/>
          <w:szCs w:val="24"/>
          <w:shd w:val="clear" w:color="auto" w:fill="FFFFFF"/>
        </w:rPr>
        <w:t xml:space="preserve">Y así podríamos seguir hasta nombrar a los 317 grandes beneficiarios que contiene esta lista. Es decir, estamos viendo como España dedicó en el año 2024 más de 455 millones de euros a costear todo tipo de actividades en el extranjero, desde la financiación a Palestina hasta el pago de más de 2 millones de euros al Ministerio de </w:t>
      </w:r>
      <w:r>
        <w:rPr>
          <w:rFonts w:ascii="Times New Roman" w:hAnsi="Times New Roman" w:cs="Times New Roman"/>
          <w:color w:val="000000"/>
          <w:sz w:val="24"/>
          <w:szCs w:val="24"/>
          <w:shd w:val="clear" w:color="auto" w:fill="FFFFFF"/>
        </w:rPr>
        <w:t>Igualdad y Equidad de Colombia.</w:t>
      </w:r>
    </w:p>
    <w:p w:rsidR="00043F6A" w:rsidRPr="003F5BFA" w:rsidRDefault="00043F6A" w:rsidP="00043F6A">
      <w:pPr>
        <w:spacing w:line="240" w:lineRule="auto"/>
        <w:jc w:val="both"/>
        <w:rPr>
          <w:rFonts w:ascii="Times New Roman" w:hAnsi="Times New Roman" w:cs="Times New Roman"/>
          <w:color w:val="000000"/>
          <w:sz w:val="24"/>
          <w:szCs w:val="24"/>
          <w:shd w:val="clear" w:color="auto" w:fill="FFFFFF"/>
        </w:rPr>
      </w:pPr>
      <w:r w:rsidRPr="003F5BFA">
        <w:rPr>
          <w:rFonts w:ascii="Times New Roman" w:hAnsi="Times New Roman" w:cs="Times New Roman"/>
          <w:color w:val="000000"/>
          <w:sz w:val="24"/>
          <w:szCs w:val="24"/>
          <w:shd w:val="clear" w:color="auto" w:fill="FFFFFF"/>
        </w:rPr>
        <w:t>Para más inri, este docume</w:t>
      </w:r>
      <w:r w:rsidR="000E44B4">
        <w:rPr>
          <w:rFonts w:ascii="Times New Roman" w:hAnsi="Times New Roman" w:cs="Times New Roman"/>
          <w:color w:val="000000"/>
          <w:sz w:val="24"/>
          <w:szCs w:val="24"/>
          <w:shd w:val="clear" w:color="auto" w:fill="FFFFFF"/>
        </w:rPr>
        <w:t>nto sólo tiene en cuenta a los “grandes beneficiarios”</w:t>
      </w:r>
      <w:r w:rsidRPr="003F5BFA">
        <w:rPr>
          <w:rFonts w:ascii="Times New Roman" w:hAnsi="Times New Roman" w:cs="Times New Roman"/>
          <w:color w:val="000000"/>
          <w:sz w:val="24"/>
          <w:szCs w:val="24"/>
          <w:shd w:val="clear" w:color="auto" w:fill="FFFFFF"/>
        </w:rPr>
        <w:t>, que son aquellos que han recibido una ayuda igual o superior a los 100.000 euros durante el 2024, de manera que no se incluye en esta lista a todos aquellos que hayan recibido una ayuda inferior, con lo que realmente el Gobierno de España gastó más de 455 millones de euros en estas ayudas. Y est</w:t>
      </w:r>
      <w:r>
        <w:rPr>
          <w:rFonts w:ascii="Times New Roman" w:hAnsi="Times New Roman" w:cs="Times New Roman"/>
          <w:color w:val="000000"/>
          <w:sz w:val="24"/>
          <w:szCs w:val="24"/>
          <w:shd w:val="clear" w:color="auto" w:fill="FFFFFF"/>
        </w:rPr>
        <w:t>o es sólo la punta del iceberg.</w:t>
      </w:r>
    </w:p>
    <w:p w:rsidR="00043F6A" w:rsidRDefault="00043F6A" w:rsidP="00043F6A">
      <w:pPr>
        <w:spacing w:line="240" w:lineRule="auto"/>
        <w:jc w:val="both"/>
        <w:rPr>
          <w:rFonts w:ascii="Times New Roman" w:hAnsi="Times New Roman" w:cs="Times New Roman"/>
          <w:color w:val="000000"/>
          <w:sz w:val="24"/>
          <w:szCs w:val="24"/>
          <w:shd w:val="clear" w:color="auto" w:fill="FFFFFF"/>
        </w:rPr>
      </w:pPr>
      <w:r w:rsidRPr="003F5BFA">
        <w:rPr>
          <w:rFonts w:ascii="Times New Roman" w:hAnsi="Times New Roman" w:cs="Times New Roman"/>
          <w:color w:val="000000"/>
          <w:sz w:val="24"/>
          <w:szCs w:val="24"/>
          <w:shd w:val="clear" w:color="auto" w:fill="FFFFFF"/>
        </w:rPr>
        <w:t>Así pues, tenemos que España dedica cientos de millones de euros a regar con subvenciones a organismos extranjeros (tanto públicos como privados) mientras a los ciudadanos se les bombarde</w:t>
      </w:r>
      <w:r w:rsidR="000E44B4">
        <w:rPr>
          <w:rFonts w:ascii="Times New Roman" w:hAnsi="Times New Roman" w:cs="Times New Roman"/>
          <w:color w:val="000000"/>
          <w:sz w:val="24"/>
          <w:szCs w:val="24"/>
          <w:shd w:val="clear" w:color="auto" w:fill="FFFFFF"/>
        </w:rPr>
        <w:t>a con la machacona idea de que “</w:t>
      </w:r>
      <w:r w:rsidRPr="003F5BFA">
        <w:rPr>
          <w:rFonts w:ascii="Times New Roman" w:hAnsi="Times New Roman" w:cs="Times New Roman"/>
          <w:color w:val="000000"/>
          <w:sz w:val="24"/>
          <w:szCs w:val="24"/>
          <w:shd w:val="clear" w:color="auto" w:fill="FFFFFF"/>
        </w:rPr>
        <w:t>hay que pagar imp</w:t>
      </w:r>
      <w:r w:rsidR="000E44B4">
        <w:rPr>
          <w:rFonts w:ascii="Times New Roman" w:hAnsi="Times New Roman" w:cs="Times New Roman"/>
          <w:color w:val="000000"/>
          <w:sz w:val="24"/>
          <w:szCs w:val="24"/>
          <w:shd w:val="clear" w:color="auto" w:fill="FFFFFF"/>
        </w:rPr>
        <w:t>uestos para sanidad y educación”</w:t>
      </w:r>
      <w:r w:rsidRPr="003F5BFA">
        <w:rPr>
          <w:rFonts w:ascii="Times New Roman" w:hAnsi="Times New Roman" w:cs="Times New Roman"/>
          <w:color w:val="000000"/>
          <w:sz w:val="24"/>
          <w:szCs w:val="24"/>
          <w:shd w:val="clear" w:color="auto" w:fill="FFFFFF"/>
        </w:rPr>
        <w:t>. La realidad es que, como acabamos de ver, hay mucho dinero que se les extrae a los españoles a través de los impuestos que no va para mejorar la vida de estos.</w:t>
      </w:r>
    </w:p>
    <w:p w:rsidR="00043F6A" w:rsidRDefault="00043F6A" w:rsidP="00043F6A">
      <w:pPr>
        <w:spacing w:line="240" w:lineRule="auto"/>
        <w:jc w:val="both"/>
        <w:rPr>
          <w:rFonts w:ascii="Times New Roman" w:hAnsi="Times New Roman" w:cs="Times New Roman"/>
          <w:color w:val="000000"/>
          <w:sz w:val="24"/>
          <w:szCs w:val="24"/>
          <w:shd w:val="clear" w:color="auto" w:fill="FFFFFF"/>
        </w:rPr>
      </w:pPr>
      <w:r w:rsidRPr="001C1D29">
        <w:rPr>
          <w:rFonts w:ascii="Times New Roman" w:hAnsi="Times New Roman" w:cs="Times New Roman"/>
          <w:color w:val="000000"/>
          <w:sz w:val="24"/>
          <w:szCs w:val="24"/>
          <w:u w:val="single"/>
          <w:shd w:val="clear" w:color="auto" w:fill="FFFFFF"/>
        </w:rPr>
        <w:t>Cooperación española</w:t>
      </w:r>
      <w:r>
        <w:rPr>
          <w:rFonts w:ascii="Times New Roman" w:hAnsi="Times New Roman" w:cs="Times New Roman"/>
          <w:color w:val="000000"/>
          <w:sz w:val="24"/>
          <w:szCs w:val="24"/>
          <w:shd w:val="clear" w:color="auto" w:fill="FFFFFF"/>
        </w:rPr>
        <w:t xml:space="preserve"> (Fuente - cooperacionespanola.es)</w:t>
      </w:r>
    </w:p>
    <w:p w:rsidR="00043F6A" w:rsidRPr="00DA3B93" w:rsidRDefault="00043F6A" w:rsidP="00043F6A">
      <w:pPr>
        <w:spacing w:line="240" w:lineRule="auto"/>
        <w:jc w:val="both"/>
        <w:rPr>
          <w:rFonts w:ascii="Times New Roman" w:hAnsi="Times New Roman" w:cs="Times New Roman"/>
          <w:color w:val="000000"/>
          <w:sz w:val="24"/>
          <w:szCs w:val="24"/>
          <w:shd w:val="clear" w:color="auto" w:fill="FFFFFF"/>
        </w:rPr>
      </w:pPr>
      <w:r w:rsidRPr="00DA3B93">
        <w:rPr>
          <w:rFonts w:ascii="Times New Roman" w:hAnsi="Times New Roman" w:cs="Times New Roman"/>
          <w:color w:val="000000"/>
          <w:sz w:val="24"/>
          <w:szCs w:val="24"/>
          <w:shd w:val="clear" w:color="auto" w:fill="FFFFFF"/>
        </w:rPr>
        <w:t>En el período 2024-2027, de acuerdo con lo establecido en el Plan Director de la Cooperación Española, España concentrará su acción de cooperación en 35 países socios prioritarios ubicados en América Latina y el Caribe, Norte de África y Oriente Próximo, y África Subsahariana, con especial énfasis e</w:t>
      </w:r>
      <w:r>
        <w:rPr>
          <w:rFonts w:ascii="Times New Roman" w:hAnsi="Times New Roman" w:cs="Times New Roman"/>
          <w:color w:val="000000"/>
          <w:sz w:val="24"/>
          <w:szCs w:val="24"/>
          <w:shd w:val="clear" w:color="auto" w:fill="FFFFFF"/>
        </w:rPr>
        <w:t>n África Occidental y el Sahel.</w:t>
      </w:r>
    </w:p>
    <w:p w:rsidR="00043F6A" w:rsidRPr="00DA3B93" w:rsidRDefault="00043F6A" w:rsidP="00043F6A">
      <w:pPr>
        <w:spacing w:line="240" w:lineRule="auto"/>
        <w:jc w:val="both"/>
        <w:rPr>
          <w:rFonts w:ascii="Times New Roman" w:hAnsi="Times New Roman" w:cs="Times New Roman"/>
          <w:color w:val="000000"/>
          <w:sz w:val="24"/>
          <w:szCs w:val="24"/>
          <w:shd w:val="clear" w:color="auto" w:fill="FFFFFF"/>
        </w:rPr>
      </w:pPr>
      <w:r w:rsidRPr="00DA3B93">
        <w:rPr>
          <w:rFonts w:ascii="Times New Roman" w:hAnsi="Times New Roman" w:cs="Times New Roman"/>
          <w:color w:val="000000"/>
          <w:sz w:val="24"/>
          <w:szCs w:val="24"/>
          <w:shd w:val="clear" w:color="auto" w:fill="FFFFFF"/>
        </w:rPr>
        <w:t>América Latina y el Caribe: Argentina, Bolivia, Brasil, Chile, Colombia, Costa Rica, Cuba, Ecuador, El Salvador, Guatemala, Haití, Honduras, México, Nicaragua, República Dominicana, Panamá, Paraguay, P</w:t>
      </w:r>
      <w:r>
        <w:rPr>
          <w:rFonts w:ascii="Times New Roman" w:hAnsi="Times New Roman" w:cs="Times New Roman"/>
          <w:color w:val="000000"/>
          <w:sz w:val="24"/>
          <w:szCs w:val="24"/>
          <w:shd w:val="clear" w:color="auto" w:fill="FFFFFF"/>
        </w:rPr>
        <w:t>erú, Uruguay y Venezuela.</w:t>
      </w:r>
    </w:p>
    <w:p w:rsidR="00043F6A" w:rsidRPr="00DA3B93" w:rsidRDefault="00043F6A" w:rsidP="00043F6A">
      <w:pPr>
        <w:spacing w:line="240" w:lineRule="auto"/>
        <w:jc w:val="both"/>
        <w:rPr>
          <w:rFonts w:ascii="Times New Roman" w:hAnsi="Times New Roman" w:cs="Times New Roman"/>
          <w:color w:val="000000"/>
          <w:sz w:val="24"/>
          <w:szCs w:val="24"/>
          <w:shd w:val="clear" w:color="auto" w:fill="FFFFFF"/>
        </w:rPr>
      </w:pPr>
      <w:r w:rsidRPr="00DA3B93">
        <w:rPr>
          <w:rFonts w:ascii="Times New Roman" w:hAnsi="Times New Roman" w:cs="Times New Roman"/>
          <w:color w:val="000000"/>
          <w:sz w:val="24"/>
          <w:szCs w:val="24"/>
          <w:shd w:val="clear" w:color="auto" w:fill="FFFFFF"/>
        </w:rPr>
        <w:t xml:space="preserve">África Subsahariana: Cabo Verde, Senegal, Níger, Mali, Etiopía, </w:t>
      </w:r>
      <w:r>
        <w:rPr>
          <w:rFonts w:ascii="Times New Roman" w:hAnsi="Times New Roman" w:cs="Times New Roman"/>
          <w:color w:val="000000"/>
          <w:sz w:val="24"/>
          <w:szCs w:val="24"/>
          <w:shd w:val="clear" w:color="auto" w:fill="FFFFFF"/>
        </w:rPr>
        <w:t>Guinea Ecuatorial y Mozambique.</w:t>
      </w:r>
    </w:p>
    <w:p w:rsidR="00043F6A" w:rsidRPr="00DA3B93" w:rsidRDefault="00043F6A" w:rsidP="00043F6A">
      <w:pPr>
        <w:spacing w:line="240" w:lineRule="auto"/>
        <w:jc w:val="both"/>
        <w:rPr>
          <w:rFonts w:ascii="Times New Roman" w:hAnsi="Times New Roman" w:cs="Times New Roman"/>
          <w:color w:val="000000"/>
          <w:sz w:val="24"/>
          <w:szCs w:val="24"/>
          <w:shd w:val="clear" w:color="auto" w:fill="FFFFFF"/>
        </w:rPr>
      </w:pPr>
      <w:r w:rsidRPr="00DA3B93">
        <w:rPr>
          <w:rFonts w:ascii="Times New Roman" w:hAnsi="Times New Roman" w:cs="Times New Roman"/>
          <w:color w:val="000000"/>
          <w:sz w:val="24"/>
          <w:szCs w:val="24"/>
          <w:shd w:val="clear" w:color="auto" w:fill="FFFFFF"/>
        </w:rPr>
        <w:t>Norte de África y Oriente Próximo: Marruecos, Mauritania, población saharaui refugiada, Túnez, Egipto, Jordania, Palestina y Líbano.</w:t>
      </w:r>
      <w:r>
        <w:rPr>
          <w:rFonts w:ascii="Times New Roman" w:hAnsi="Times New Roman" w:cs="Times New Roman"/>
          <w:color w:val="000000"/>
          <w:sz w:val="24"/>
          <w:szCs w:val="24"/>
          <w:shd w:val="clear" w:color="auto" w:fill="FFFFFF"/>
        </w:rPr>
        <w:t xml:space="preserve"> Asia: Filipinas.</w:t>
      </w:r>
    </w:p>
    <w:p w:rsidR="00043F6A" w:rsidRPr="001C1D29" w:rsidRDefault="00043F6A" w:rsidP="00043F6A">
      <w:pPr>
        <w:spacing w:line="240" w:lineRule="auto"/>
        <w:jc w:val="both"/>
        <w:rPr>
          <w:rFonts w:ascii="Times New Roman" w:hAnsi="Times New Roman" w:cs="Times New Roman"/>
          <w:color w:val="000000"/>
          <w:sz w:val="24"/>
          <w:szCs w:val="24"/>
          <w:shd w:val="clear" w:color="auto" w:fill="FFFFFF"/>
        </w:rPr>
      </w:pPr>
      <w:r w:rsidRPr="00DA3B93">
        <w:rPr>
          <w:rFonts w:ascii="Times New Roman" w:hAnsi="Times New Roman" w:cs="Times New Roman"/>
          <w:color w:val="000000"/>
          <w:sz w:val="24"/>
          <w:szCs w:val="24"/>
          <w:shd w:val="clear" w:color="auto" w:fill="FFFFFF"/>
        </w:rPr>
        <w:lastRenderedPageBreak/>
        <w:t>Asia: Filipinas.</w:t>
      </w:r>
      <w:r w:rsidR="000E44B4">
        <w:rPr>
          <w:rFonts w:ascii="Times New Roman" w:hAnsi="Times New Roman" w:cs="Times New Roman"/>
          <w:color w:val="000000"/>
          <w:sz w:val="24"/>
          <w:szCs w:val="24"/>
          <w:shd w:val="clear" w:color="auto" w:fill="FFFFFF"/>
        </w:rPr>
        <w:t xml:space="preserve"> </w:t>
      </w:r>
    </w:p>
    <w:p w:rsidR="00043F6A" w:rsidRDefault="00043F6A" w:rsidP="00043F6A">
      <w:pPr>
        <w:spacing w:line="240" w:lineRule="auto"/>
        <w:jc w:val="both"/>
        <w:rPr>
          <w:rFonts w:ascii="Times New Roman" w:hAnsi="Times New Roman" w:cs="Times New Roman"/>
          <w:color w:val="000000"/>
          <w:sz w:val="24"/>
          <w:szCs w:val="24"/>
          <w:shd w:val="clear" w:color="auto" w:fill="FFFFFF"/>
        </w:rPr>
      </w:pPr>
      <w:r w:rsidRPr="001C1D29">
        <w:rPr>
          <w:rFonts w:ascii="Times New Roman" w:hAnsi="Times New Roman" w:cs="Times New Roman"/>
          <w:noProof/>
          <w:color w:val="000000"/>
          <w:sz w:val="24"/>
          <w:szCs w:val="24"/>
          <w:shd w:val="clear" w:color="auto" w:fill="FFFFFF"/>
          <w:lang w:eastAsia="es-ES"/>
        </w:rPr>
        <w:drawing>
          <wp:inline distT="0" distB="0" distL="0" distR="0" wp14:anchorId="22B0C23D" wp14:editId="72186F9B">
            <wp:extent cx="5731510" cy="2838200"/>
            <wp:effectExtent l="0" t="0" r="2540" b="635"/>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5731510" cy="2838200"/>
                    </a:xfrm>
                    <a:prstGeom prst="rect">
                      <a:avLst/>
                    </a:prstGeom>
                  </pic:spPr>
                </pic:pic>
              </a:graphicData>
            </a:graphic>
          </wp:inline>
        </w:drawing>
      </w:r>
    </w:p>
    <w:p w:rsidR="00043F6A" w:rsidRPr="00DA3B93" w:rsidRDefault="00043F6A" w:rsidP="00043F6A">
      <w:pPr>
        <w:spacing w:line="240" w:lineRule="auto"/>
        <w:jc w:val="both"/>
        <w:rPr>
          <w:rFonts w:ascii="Times New Roman" w:hAnsi="Times New Roman" w:cs="Times New Roman"/>
          <w:color w:val="000000"/>
          <w:sz w:val="24"/>
          <w:szCs w:val="24"/>
          <w:shd w:val="clear" w:color="auto" w:fill="FFFFFF"/>
        </w:rPr>
      </w:pPr>
      <w:r w:rsidRPr="00DA3B93">
        <w:rPr>
          <w:rFonts w:ascii="Times New Roman" w:hAnsi="Times New Roman" w:cs="Times New Roman"/>
          <w:color w:val="000000"/>
          <w:sz w:val="24"/>
          <w:szCs w:val="24"/>
          <w:shd w:val="clear" w:color="auto" w:fill="FFFFFF"/>
        </w:rPr>
        <w:t>Prioridades estratégicas</w:t>
      </w:r>
    </w:p>
    <w:p w:rsidR="00043F6A" w:rsidRDefault="00043F6A" w:rsidP="00043F6A">
      <w:pPr>
        <w:spacing w:line="240" w:lineRule="auto"/>
        <w:jc w:val="both"/>
        <w:rPr>
          <w:rFonts w:ascii="Times New Roman" w:hAnsi="Times New Roman" w:cs="Times New Roman"/>
          <w:color w:val="000000"/>
          <w:sz w:val="24"/>
          <w:szCs w:val="24"/>
          <w:shd w:val="clear" w:color="auto" w:fill="FFFFFF"/>
        </w:rPr>
      </w:pPr>
      <w:r w:rsidRPr="00DA3B93">
        <w:rPr>
          <w:rFonts w:ascii="Times New Roman" w:hAnsi="Times New Roman" w:cs="Times New Roman"/>
          <w:color w:val="000000"/>
          <w:sz w:val="24"/>
          <w:szCs w:val="24"/>
          <w:shd w:val="clear" w:color="auto" w:fill="FFFFFF"/>
        </w:rPr>
        <w:t>Objetivos</w:t>
      </w:r>
      <w:r>
        <w:rPr>
          <w:rFonts w:ascii="Times New Roman" w:hAnsi="Times New Roman" w:cs="Times New Roman"/>
          <w:color w:val="000000"/>
          <w:sz w:val="24"/>
          <w:szCs w:val="24"/>
          <w:shd w:val="clear" w:color="auto" w:fill="FFFFFF"/>
        </w:rPr>
        <w:t xml:space="preserve">: </w:t>
      </w:r>
      <w:r w:rsidRPr="00DA3B93">
        <w:rPr>
          <w:rFonts w:ascii="Times New Roman" w:hAnsi="Times New Roman" w:cs="Times New Roman"/>
          <w:color w:val="000000"/>
          <w:sz w:val="24"/>
          <w:szCs w:val="24"/>
          <w:shd w:val="clear" w:color="auto" w:fill="FFFFFF"/>
        </w:rPr>
        <w:t>El Plan Director establece las prioridades de la Cooperación Española para contribuir al desarrollo sostenible global. Alineado con la Agenda 2030, se centra en promover la igualdad, la justicia climática, la paz y el empoderamiento de las mujeres, reafirmando el compromiso de España con un mundo más inclusivo y sostenible.</w:t>
      </w:r>
    </w:p>
    <w:p w:rsidR="00043F6A" w:rsidRDefault="00043F6A" w:rsidP="00043F6A">
      <w:pPr>
        <w:spacing w:line="240" w:lineRule="auto"/>
        <w:jc w:val="both"/>
        <w:rPr>
          <w:rFonts w:ascii="Times New Roman" w:hAnsi="Times New Roman" w:cs="Times New Roman"/>
          <w:color w:val="000000"/>
          <w:sz w:val="24"/>
          <w:szCs w:val="24"/>
          <w:shd w:val="clear" w:color="auto" w:fill="FFFFFF"/>
        </w:rPr>
      </w:pPr>
    </w:p>
    <w:p w:rsidR="00043F6A" w:rsidRDefault="00043F6A" w:rsidP="00043F6A">
      <w:pPr>
        <w:spacing w:line="240" w:lineRule="auto"/>
        <w:jc w:val="both"/>
        <w:rPr>
          <w:rFonts w:ascii="Times New Roman" w:hAnsi="Times New Roman" w:cs="Times New Roman"/>
          <w:color w:val="000000"/>
          <w:sz w:val="24"/>
          <w:szCs w:val="24"/>
          <w:shd w:val="clear" w:color="auto" w:fill="FFFFFF"/>
        </w:rPr>
      </w:pPr>
      <w:r w:rsidRPr="00DA3B93">
        <w:rPr>
          <w:rFonts w:ascii="Times New Roman" w:hAnsi="Times New Roman" w:cs="Times New Roman"/>
          <w:noProof/>
          <w:color w:val="000000"/>
          <w:sz w:val="24"/>
          <w:szCs w:val="24"/>
          <w:shd w:val="clear" w:color="auto" w:fill="FFFFFF"/>
          <w:lang w:eastAsia="es-ES"/>
        </w:rPr>
        <w:drawing>
          <wp:inline distT="0" distB="0" distL="0" distR="0" wp14:anchorId="5FFE67E3" wp14:editId="3DE45DAF">
            <wp:extent cx="5731510" cy="2742062"/>
            <wp:effectExtent l="0" t="0" r="2540" b="1270"/>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5731510" cy="2742062"/>
                    </a:xfrm>
                    <a:prstGeom prst="rect">
                      <a:avLst/>
                    </a:prstGeom>
                  </pic:spPr>
                </pic:pic>
              </a:graphicData>
            </a:graphic>
          </wp:inline>
        </w:drawing>
      </w:r>
    </w:p>
    <w:p w:rsidR="00043F6A" w:rsidRPr="00041913" w:rsidRDefault="00043F6A" w:rsidP="00043F6A">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sz w:val="24"/>
          <w:szCs w:val="24"/>
        </w:rPr>
        <w:t>Escenario presupuestario para el 2025</w:t>
      </w:r>
    </w:p>
    <w:p w:rsidR="00043F6A" w:rsidRPr="00754FB7" w:rsidRDefault="00043F6A" w:rsidP="00043F6A">
      <w:pPr>
        <w:spacing w:line="240" w:lineRule="auto"/>
        <w:jc w:val="both"/>
        <w:rPr>
          <w:rFonts w:ascii="Times New Roman" w:hAnsi="Times New Roman" w:cs="Times New Roman"/>
          <w:sz w:val="24"/>
          <w:szCs w:val="24"/>
        </w:rPr>
      </w:pPr>
      <w:r w:rsidRPr="00754FB7">
        <w:rPr>
          <w:rFonts w:ascii="Times New Roman" w:hAnsi="Times New Roman" w:cs="Times New Roman"/>
          <w:sz w:val="24"/>
          <w:szCs w:val="24"/>
        </w:rPr>
        <w:t xml:space="preserve">En 2025, el escenario a principios de año de presupuestos prorrogados condiciona significativamente la capacidad para seguir avanzando en la senda de los últimos años de incremento sostenido de los recursos financieros del Ministerio de Asuntos Exteriores, Unión Europea y Cooperación, y en particular los gestionados desde la Secretaría de Estado de Cooperación Internacional. Se trabajará necesariamente, y hasta que pueda confirmarse la </w:t>
      </w:r>
      <w:r w:rsidRPr="00754FB7">
        <w:rPr>
          <w:rFonts w:ascii="Times New Roman" w:hAnsi="Times New Roman" w:cs="Times New Roman"/>
          <w:sz w:val="24"/>
          <w:szCs w:val="24"/>
        </w:rPr>
        <w:lastRenderedPageBreak/>
        <w:t xml:space="preserve">aprobación de nuevos presupuestos, con el mismo presupuesto que en el año 2024, reflejado en la tabla siguiente. </w:t>
      </w:r>
    </w:p>
    <w:p w:rsidR="00043F6A" w:rsidRPr="00754FB7" w:rsidRDefault="00043F6A" w:rsidP="00043F6A">
      <w:pPr>
        <w:spacing w:line="240" w:lineRule="auto"/>
        <w:jc w:val="both"/>
        <w:rPr>
          <w:rFonts w:ascii="Times New Roman" w:hAnsi="Times New Roman" w:cs="Times New Roman"/>
          <w:sz w:val="24"/>
          <w:szCs w:val="24"/>
        </w:rPr>
      </w:pPr>
      <w:r w:rsidRPr="00754FB7">
        <w:rPr>
          <w:rFonts w:ascii="Times New Roman" w:hAnsi="Times New Roman" w:cs="Times New Roman"/>
          <w:noProof/>
          <w:sz w:val="24"/>
          <w:szCs w:val="24"/>
          <w:lang w:eastAsia="es-ES"/>
        </w:rPr>
        <w:drawing>
          <wp:inline distT="0" distB="0" distL="0" distR="0" wp14:anchorId="2CDA3D9E" wp14:editId="4B7A9AA8">
            <wp:extent cx="5731510" cy="777060"/>
            <wp:effectExtent l="0" t="0" r="2540" b="4445"/>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5731510" cy="777060"/>
                    </a:xfrm>
                    <a:prstGeom prst="rect">
                      <a:avLst/>
                    </a:prstGeom>
                  </pic:spPr>
                </pic:pic>
              </a:graphicData>
            </a:graphic>
          </wp:inline>
        </w:drawing>
      </w:r>
    </w:p>
    <w:p w:rsidR="00043F6A" w:rsidRPr="00754FB7" w:rsidRDefault="00043F6A" w:rsidP="00043F6A">
      <w:pPr>
        <w:spacing w:line="240" w:lineRule="auto"/>
        <w:jc w:val="both"/>
        <w:rPr>
          <w:rFonts w:ascii="Times New Roman" w:hAnsi="Times New Roman" w:cs="Times New Roman"/>
          <w:sz w:val="24"/>
          <w:szCs w:val="24"/>
        </w:rPr>
      </w:pPr>
      <w:r w:rsidRPr="00754FB7">
        <w:rPr>
          <w:rFonts w:ascii="Times New Roman" w:hAnsi="Times New Roman" w:cs="Times New Roman"/>
          <w:sz w:val="24"/>
          <w:szCs w:val="24"/>
        </w:rPr>
        <w:t xml:space="preserve">Dentro de las posibilidades del actual escenario de prórroga presupuestaria, la DGPOLDES dispone aproximadamente de 43 millones de euros para contribuciones a organismos internacionales. Seguiremos avanzando, como prioridad, y en el marco de los compromisos asumidos por el presidente del Gobierno, en el incremento de nuestras contribuciones al presupuesto ordinario (core) de determinadas agencias estratégicas del sistema de desarrollo sostenible de las Naciones Unidas (FNUAP, PNUD, ONU Mujeres y UNICEF). </w:t>
      </w:r>
    </w:p>
    <w:p w:rsidR="00043F6A" w:rsidRPr="00754FB7" w:rsidRDefault="00043F6A" w:rsidP="00043F6A">
      <w:pPr>
        <w:spacing w:line="240" w:lineRule="auto"/>
        <w:jc w:val="both"/>
        <w:rPr>
          <w:rFonts w:ascii="Times New Roman" w:hAnsi="Times New Roman" w:cs="Times New Roman"/>
          <w:sz w:val="24"/>
          <w:szCs w:val="24"/>
        </w:rPr>
      </w:pPr>
      <w:r w:rsidRPr="00754FB7">
        <w:rPr>
          <w:rFonts w:ascii="Times New Roman" w:hAnsi="Times New Roman" w:cs="Times New Roman"/>
          <w:sz w:val="24"/>
          <w:szCs w:val="24"/>
        </w:rPr>
        <w:t xml:space="preserve">Además, con el objetivo de mejorar nuestra previsibilidad como donante, haremos plurianuales nuestras contribuciones al Fondo Conjunto de Naciones Unidas para los ODS, hasta alcanzar el compromiso asumido de desembolsar al menos 120 millones de euros para el 2027, y al SPTF, donde vamos a mantener una senda de incremento gradual de la contribución voluntaria, para materializar el compromiso asumido de estar entre los diez primeros contribuyentes a este fondo en apoyo al sistema de Coordinadores Residentes de Naciones Unidas. Asimismo, como parte del compromiso alcanzado por los distintos actores españoles que apoyan financieramente la Coalición Local2030, está programado un desembolso de 3,5 millones de euros para apoyo a las labores del Secretariado, con sede en Bilbao. </w:t>
      </w:r>
    </w:p>
    <w:p w:rsidR="00043F6A" w:rsidRPr="00754FB7" w:rsidRDefault="00043F6A" w:rsidP="00043F6A">
      <w:pPr>
        <w:spacing w:line="240" w:lineRule="auto"/>
        <w:jc w:val="both"/>
        <w:rPr>
          <w:rFonts w:ascii="Times New Roman" w:hAnsi="Times New Roman" w:cs="Times New Roman"/>
          <w:sz w:val="24"/>
          <w:szCs w:val="24"/>
        </w:rPr>
      </w:pPr>
      <w:r w:rsidRPr="00754FB7">
        <w:rPr>
          <w:rFonts w:ascii="Times New Roman" w:hAnsi="Times New Roman" w:cs="Times New Roman"/>
          <w:sz w:val="24"/>
          <w:szCs w:val="24"/>
        </w:rPr>
        <w:t xml:space="preserve">Asimismo, contribuiremos a apoyar la realización exitosa e inclusiva de la IV Conferencia Internacional de Financiación del Desarrollo de Sevilla apoyando la presencia de representantes gubernamentales y de la sociedad civil de países en desarrollo de todas las regiones. </w:t>
      </w:r>
    </w:p>
    <w:p w:rsidR="00043F6A" w:rsidRDefault="00043F6A" w:rsidP="00043F6A">
      <w:pPr>
        <w:spacing w:line="240" w:lineRule="auto"/>
        <w:jc w:val="both"/>
        <w:rPr>
          <w:rFonts w:ascii="Times New Roman" w:hAnsi="Times New Roman" w:cs="Times New Roman"/>
          <w:sz w:val="24"/>
          <w:szCs w:val="24"/>
        </w:rPr>
      </w:pPr>
      <w:r w:rsidRPr="00754FB7">
        <w:rPr>
          <w:rFonts w:ascii="Times New Roman" w:hAnsi="Times New Roman" w:cs="Times New Roman"/>
          <w:sz w:val="24"/>
          <w:szCs w:val="24"/>
        </w:rPr>
        <w:t>En cuanto a la OCDE, consolidaremos nuestras líneas de trabajo y nuestros niveles de financiación. En 2025, y dentro de las disponibilidades presupuestarias, desde DGPOLDES se tratará de incrementar las aportaciones al presupuesto ordinario del CAD y del Centro de Desarrollo de la OCDE. Seguiremos apoyando financiera y técnicamente y participando activamente en la Comunidad de Prácticas sobre Pobreza y Desigualdad, el Grupo de Trabajo de Estados Frágiles (INCAF), el grupo de trabajo de Cooperación Triangular, y EVALNET, la red de evaluación del CAD, así como los trabajos de la organización en materia de justicia fiscal y desarrollo sostenible.</w:t>
      </w:r>
    </w:p>
    <w:p w:rsidR="00043F6A" w:rsidRDefault="00043F6A" w:rsidP="00043F6A">
      <w:pPr>
        <w:shd w:val="clear" w:color="auto" w:fill="FFFFFF"/>
        <w:spacing w:before="100" w:beforeAutospacing="1" w:after="100" w:afterAutospacing="1" w:line="240" w:lineRule="auto"/>
        <w:jc w:val="both"/>
        <w:rPr>
          <w:rFonts w:ascii="Times New Roman" w:hAnsi="Times New Roman" w:cs="Times New Roman"/>
          <w:color w:val="FF0000"/>
          <w:sz w:val="24"/>
          <w:szCs w:val="24"/>
          <w:shd w:val="clear" w:color="auto" w:fill="FFFFFF"/>
        </w:rPr>
      </w:pPr>
      <w:r w:rsidRPr="00754FB7">
        <w:rPr>
          <w:rFonts w:ascii="Times New Roman" w:eastAsia="Times New Roman" w:hAnsi="Times New Roman" w:cs="Times New Roman"/>
          <w:b/>
          <w:color w:val="FF0000"/>
          <w:sz w:val="24"/>
          <w:szCs w:val="24"/>
          <w:lang w:eastAsia="es-ES"/>
        </w:rPr>
        <w:t>Nota IV</w:t>
      </w:r>
      <w:r w:rsidRPr="00754FB7">
        <w:rPr>
          <w:rFonts w:ascii="Times New Roman" w:eastAsia="Times New Roman" w:hAnsi="Times New Roman" w:cs="Times New Roman"/>
          <w:color w:val="FF0000"/>
          <w:sz w:val="24"/>
          <w:szCs w:val="24"/>
          <w:lang w:eastAsia="es-ES"/>
        </w:rPr>
        <w:t xml:space="preserve">: </w:t>
      </w:r>
      <w:r>
        <w:rPr>
          <w:rFonts w:ascii="Times New Roman" w:eastAsia="Times New Roman" w:hAnsi="Times New Roman" w:cs="Times New Roman"/>
          <w:color w:val="FF0000"/>
          <w:sz w:val="24"/>
          <w:szCs w:val="24"/>
          <w:lang w:eastAsia="es-ES"/>
        </w:rPr>
        <w:t>Por el dudoso (discutible, incierto) cumplimiento de l</w:t>
      </w:r>
      <w:r w:rsidRPr="00754FB7">
        <w:rPr>
          <w:rFonts w:ascii="Times New Roman" w:eastAsia="Times New Roman" w:hAnsi="Times New Roman" w:cs="Times New Roman"/>
          <w:color w:val="FF0000"/>
          <w:sz w:val="24"/>
          <w:szCs w:val="24"/>
          <w:lang w:eastAsia="es-ES"/>
        </w:rPr>
        <w:t>os objetivos de los créd</w:t>
      </w:r>
      <w:r>
        <w:rPr>
          <w:rFonts w:ascii="Times New Roman" w:eastAsia="Times New Roman" w:hAnsi="Times New Roman" w:cs="Times New Roman"/>
          <w:color w:val="FF0000"/>
          <w:sz w:val="24"/>
          <w:szCs w:val="24"/>
          <w:lang w:eastAsia="es-ES"/>
        </w:rPr>
        <w:t xml:space="preserve">itos FAD: 1 - </w:t>
      </w:r>
      <w:r w:rsidRPr="00754FB7">
        <w:rPr>
          <w:rFonts w:ascii="Times New Roman" w:eastAsia="Times New Roman" w:hAnsi="Times New Roman" w:cs="Times New Roman"/>
          <w:color w:val="FF0000"/>
          <w:sz w:val="24"/>
          <w:szCs w:val="24"/>
          <w:lang w:eastAsia="es-ES"/>
        </w:rPr>
        <w:t>Ayuda al desarrollo, ya que permite a países en vías de desarrollo el acceso a una financiación más barata que la que ofrece el mercado.</w:t>
      </w:r>
      <w:r>
        <w:rPr>
          <w:rFonts w:ascii="Times New Roman" w:eastAsia="Times New Roman" w:hAnsi="Times New Roman" w:cs="Times New Roman"/>
          <w:color w:val="FF0000"/>
          <w:sz w:val="24"/>
          <w:szCs w:val="24"/>
          <w:lang w:eastAsia="es-ES"/>
        </w:rPr>
        <w:t xml:space="preserve"> 2 - </w:t>
      </w:r>
      <w:r w:rsidRPr="00754FB7">
        <w:rPr>
          <w:rFonts w:ascii="Times New Roman" w:eastAsia="Times New Roman" w:hAnsi="Times New Roman" w:cs="Times New Roman"/>
          <w:color w:val="FF0000"/>
          <w:sz w:val="24"/>
          <w:szCs w:val="24"/>
          <w:lang w:eastAsia="es-ES"/>
        </w:rPr>
        <w:t>Instrumento de política exterior, en la medida en que se prioriza los países beneficiarios de la financiación que concede el fondo y que es un mecanismo de internacionalización de la empresa española.</w:t>
      </w:r>
      <w:r>
        <w:rPr>
          <w:rFonts w:ascii="Times New Roman" w:eastAsia="Times New Roman" w:hAnsi="Times New Roman" w:cs="Times New Roman"/>
          <w:color w:val="FF0000"/>
          <w:sz w:val="24"/>
          <w:szCs w:val="24"/>
          <w:lang w:eastAsia="es-ES"/>
        </w:rPr>
        <w:t xml:space="preserve"> 3 - </w:t>
      </w:r>
      <w:r w:rsidRPr="00754FB7">
        <w:rPr>
          <w:rFonts w:ascii="Times New Roman" w:eastAsia="Times New Roman" w:hAnsi="Times New Roman" w:cs="Times New Roman"/>
          <w:color w:val="FF0000"/>
          <w:sz w:val="24"/>
          <w:szCs w:val="24"/>
          <w:lang w:eastAsia="es-ES"/>
        </w:rPr>
        <w:t>Instrumento de política industrial, en la medida en que se tienen que fijar los criterios selectivos par</w:t>
      </w:r>
      <w:r>
        <w:rPr>
          <w:rFonts w:ascii="Times New Roman" w:eastAsia="Times New Roman" w:hAnsi="Times New Roman" w:cs="Times New Roman"/>
          <w:color w:val="FF0000"/>
          <w:sz w:val="24"/>
          <w:szCs w:val="24"/>
          <w:lang w:eastAsia="es-ES"/>
        </w:rPr>
        <w:t>a</w:t>
      </w:r>
      <w:r w:rsidRPr="00754FB7">
        <w:rPr>
          <w:rFonts w:ascii="Times New Roman" w:eastAsia="Times New Roman" w:hAnsi="Times New Roman" w:cs="Times New Roman"/>
          <w:color w:val="FF0000"/>
          <w:sz w:val="24"/>
          <w:szCs w:val="24"/>
          <w:lang w:eastAsia="es-ES"/>
        </w:rPr>
        <w:t xml:space="preserve"> la elección de proyectos objeto de financiación.</w:t>
      </w:r>
      <w:r>
        <w:rPr>
          <w:rFonts w:ascii="Times New Roman" w:eastAsia="Times New Roman" w:hAnsi="Times New Roman" w:cs="Times New Roman"/>
          <w:color w:val="FF0000"/>
          <w:sz w:val="24"/>
          <w:szCs w:val="24"/>
          <w:lang w:eastAsia="es-ES"/>
        </w:rPr>
        <w:t xml:space="preserve"> 4 - </w:t>
      </w:r>
      <w:r w:rsidRPr="00754FB7">
        <w:rPr>
          <w:rFonts w:ascii="Times New Roman" w:eastAsia="Times New Roman" w:hAnsi="Times New Roman" w:cs="Times New Roman"/>
          <w:color w:val="FF0000"/>
          <w:sz w:val="24"/>
          <w:szCs w:val="24"/>
          <w:lang w:eastAsia="es-ES"/>
        </w:rPr>
        <w:t>Fomento de la</w:t>
      </w:r>
      <w:r>
        <w:rPr>
          <w:rFonts w:ascii="Times New Roman" w:eastAsia="Times New Roman" w:hAnsi="Times New Roman" w:cs="Times New Roman"/>
          <w:color w:val="FF0000"/>
          <w:sz w:val="24"/>
          <w:szCs w:val="24"/>
          <w:lang w:eastAsia="es-ES"/>
        </w:rPr>
        <w:t>s</w:t>
      </w:r>
      <w:r w:rsidRPr="00754FB7">
        <w:rPr>
          <w:rFonts w:ascii="Times New Roman" w:eastAsia="Times New Roman" w:hAnsi="Times New Roman" w:cs="Times New Roman"/>
          <w:color w:val="FF0000"/>
          <w:sz w:val="24"/>
          <w:szCs w:val="24"/>
          <w:lang w:eastAsia="es-ES"/>
        </w:rPr>
        <w:t xml:space="preserve"> exportaciones ya que los créditos que se conceden permiten a las empresas españolas man</w:t>
      </w:r>
      <w:r>
        <w:rPr>
          <w:rFonts w:ascii="Times New Roman" w:eastAsia="Times New Roman" w:hAnsi="Times New Roman" w:cs="Times New Roman"/>
          <w:color w:val="FF0000"/>
          <w:sz w:val="24"/>
          <w:szCs w:val="24"/>
          <w:lang w:eastAsia="es-ES"/>
        </w:rPr>
        <w:t xml:space="preserve">tener sus cuotas de exportación… se propone </w:t>
      </w:r>
      <w:r>
        <w:rPr>
          <w:rFonts w:ascii="Times New Roman" w:hAnsi="Times New Roman" w:cs="Times New Roman"/>
          <w:color w:val="FF0000"/>
          <w:sz w:val="24"/>
          <w:szCs w:val="24"/>
          <w:shd w:val="clear" w:color="auto" w:fill="FFFFFF"/>
        </w:rPr>
        <w:t>a</w:t>
      </w:r>
      <w:r w:rsidRPr="003F5BFA">
        <w:rPr>
          <w:rFonts w:ascii="Times New Roman" w:hAnsi="Times New Roman" w:cs="Times New Roman"/>
          <w:color w:val="FF0000"/>
          <w:sz w:val="24"/>
          <w:szCs w:val="24"/>
          <w:shd w:val="clear" w:color="auto" w:fill="FFFFFF"/>
        </w:rPr>
        <w:t>ban</w:t>
      </w:r>
      <w:r>
        <w:rPr>
          <w:rFonts w:ascii="Times New Roman" w:hAnsi="Times New Roman" w:cs="Times New Roman"/>
          <w:color w:val="FF0000"/>
          <w:sz w:val="24"/>
          <w:szCs w:val="24"/>
          <w:shd w:val="clear" w:color="auto" w:fill="FFFFFF"/>
        </w:rPr>
        <w:t>donar todo sistema de Ayuda al D</w:t>
      </w:r>
      <w:r w:rsidRPr="003F5BFA">
        <w:rPr>
          <w:rFonts w:ascii="Times New Roman" w:hAnsi="Times New Roman" w:cs="Times New Roman"/>
          <w:color w:val="FF0000"/>
          <w:sz w:val="24"/>
          <w:szCs w:val="24"/>
          <w:shd w:val="clear" w:color="auto" w:fill="FFFFFF"/>
        </w:rPr>
        <w:t>esarrollo a terceros países</w:t>
      </w:r>
      <w:r>
        <w:rPr>
          <w:rFonts w:ascii="Times New Roman" w:hAnsi="Times New Roman" w:cs="Times New Roman"/>
          <w:color w:val="FF0000"/>
          <w:sz w:val="24"/>
          <w:szCs w:val="24"/>
          <w:shd w:val="clear" w:color="auto" w:fill="FFFFFF"/>
        </w:rPr>
        <w:t xml:space="preserve">. </w:t>
      </w:r>
    </w:p>
    <w:p w:rsidR="006A1F56" w:rsidRDefault="006A1F56" w:rsidP="00043F6A">
      <w:pPr>
        <w:shd w:val="clear" w:color="auto" w:fill="FFFFFF"/>
        <w:spacing w:before="100" w:beforeAutospacing="1" w:after="100" w:afterAutospacing="1" w:line="240" w:lineRule="auto"/>
        <w:jc w:val="both"/>
        <w:rPr>
          <w:rFonts w:ascii="Times New Roman" w:hAnsi="Times New Roman" w:cs="Times New Roman"/>
          <w:color w:val="FF0000"/>
          <w:sz w:val="24"/>
          <w:szCs w:val="24"/>
          <w:shd w:val="clear" w:color="auto" w:fill="FFFFFF"/>
        </w:rPr>
      </w:pPr>
    </w:p>
    <w:p w:rsidR="006A1F56" w:rsidRDefault="006A1F56" w:rsidP="006A1F56">
      <w:pPr>
        <w:spacing w:line="240" w:lineRule="auto"/>
        <w:jc w:val="both"/>
        <w:rPr>
          <w:rFonts w:ascii="Times New Roman" w:hAnsi="Times New Roman" w:cs="Times New Roman"/>
          <w:color w:val="FF0000"/>
          <w:sz w:val="24"/>
          <w:szCs w:val="24"/>
          <w:shd w:val="clear" w:color="auto" w:fill="FFFFFF"/>
        </w:rPr>
      </w:pPr>
      <w:r w:rsidRPr="0012574A">
        <w:rPr>
          <w:rFonts w:ascii="Times New Roman" w:hAnsi="Times New Roman" w:cs="Times New Roman"/>
          <w:color w:val="FF0000"/>
          <w:sz w:val="24"/>
          <w:szCs w:val="24"/>
          <w:shd w:val="clear" w:color="auto" w:fill="FFFFFF"/>
        </w:rPr>
        <w:lastRenderedPageBreak/>
        <w:t>- Estricto control de la inmigración ilegal (devolución en caliente, al lugar de salida)</w:t>
      </w:r>
    </w:p>
    <w:p w:rsidR="006A1F56" w:rsidRPr="00CA1D78" w:rsidRDefault="006A1F56" w:rsidP="006A1F56">
      <w:pPr>
        <w:spacing w:line="240" w:lineRule="auto"/>
        <w:jc w:val="both"/>
        <w:rPr>
          <w:rFonts w:ascii="Times New Roman" w:hAnsi="Times New Roman" w:cs="Times New Roman"/>
          <w:sz w:val="24"/>
          <w:szCs w:val="24"/>
          <w:shd w:val="clear" w:color="auto" w:fill="FFFFFF"/>
        </w:rPr>
      </w:pPr>
      <w:r w:rsidRPr="002841C5">
        <w:rPr>
          <w:rFonts w:ascii="Times New Roman" w:hAnsi="Times New Roman" w:cs="Times New Roman"/>
          <w:b/>
          <w:sz w:val="24"/>
          <w:szCs w:val="24"/>
          <w:shd w:val="clear" w:color="auto" w:fill="FFFFFF"/>
        </w:rPr>
        <w:t>Antecedentes</w:t>
      </w:r>
      <w:r w:rsidRPr="00CA1D78">
        <w:rPr>
          <w:rFonts w:ascii="Times New Roman" w:hAnsi="Times New Roman" w:cs="Times New Roman"/>
          <w:sz w:val="24"/>
          <w:szCs w:val="24"/>
          <w:shd w:val="clear" w:color="auto" w:fill="FFFFFF"/>
        </w:rPr>
        <w:t>: no me considero un experto en asuntos de inmigración, pero el tema me interesa, ocupa, e inquieta, desde hace muchos años. Prueba de ello, son los diversos Papers y Ensayos publicados con anterioridad</w:t>
      </w:r>
      <w:r>
        <w:rPr>
          <w:rFonts w:ascii="Times New Roman" w:hAnsi="Times New Roman" w:cs="Times New Roman"/>
          <w:sz w:val="24"/>
          <w:szCs w:val="24"/>
          <w:shd w:val="clear" w:color="auto" w:fill="FFFFFF"/>
        </w:rPr>
        <w:t>,</w:t>
      </w:r>
      <w:r w:rsidRPr="00CA1D78">
        <w:rPr>
          <w:rFonts w:ascii="Times New Roman" w:hAnsi="Times New Roman" w:cs="Times New Roman"/>
          <w:sz w:val="24"/>
          <w:szCs w:val="24"/>
          <w:shd w:val="clear" w:color="auto" w:fill="FFFFFF"/>
        </w:rPr>
        <w:t xml:space="preserve"> sobre el problema migratorio, el fracaso de la integración</w:t>
      </w:r>
      <w:r>
        <w:rPr>
          <w:rFonts w:ascii="Times New Roman" w:hAnsi="Times New Roman" w:cs="Times New Roman"/>
          <w:sz w:val="24"/>
          <w:szCs w:val="24"/>
          <w:shd w:val="clear" w:color="auto" w:fill="FFFFFF"/>
        </w:rPr>
        <w:t>,</w:t>
      </w:r>
      <w:r w:rsidRPr="00CA1D78">
        <w:rPr>
          <w:rFonts w:ascii="Times New Roman" w:hAnsi="Times New Roman" w:cs="Times New Roman"/>
          <w:sz w:val="24"/>
          <w:szCs w:val="24"/>
          <w:shd w:val="clear" w:color="auto" w:fill="FFFFFF"/>
        </w:rPr>
        <w:t xml:space="preserve"> y el multiculturalismo, en Europa en general, y</w:t>
      </w:r>
      <w:r w:rsidR="005C40BB">
        <w:rPr>
          <w:rFonts w:ascii="Times New Roman" w:hAnsi="Times New Roman" w:cs="Times New Roman"/>
          <w:sz w:val="24"/>
          <w:szCs w:val="24"/>
          <w:shd w:val="clear" w:color="auto" w:fill="FFFFFF"/>
        </w:rPr>
        <w:t xml:space="preserve"> en</w:t>
      </w:r>
      <w:r w:rsidRPr="00CA1D78">
        <w:rPr>
          <w:rFonts w:ascii="Times New Roman" w:hAnsi="Times New Roman" w:cs="Times New Roman"/>
          <w:sz w:val="24"/>
          <w:szCs w:val="24"/>
          <w:shd w:val="clear" w:color="auto" w:fill="FFFFFF"/>
        </w:rPr>
        <w:t xml:space="preserve"> España en particular. Cómo “exiliado voluntario” (argentino, residente en España -Gran Canaria- desde el año 1989), y como “testigo involuntario” del drama migratorio en el Archipiélago Canario, tengo mucho para contar. Para los interesados en mayor información, agrego el listado de publicaciones.</w:t>
      </w:r>
    </w:p>
    <w:p w:rsidR="006A1F56" w:rsidRPr="00CA1D78" w:rsidRDefault="006A1F56" w:rsidP="006A1F56">
      <w:pPr>
        <w:spacing w:line="240" w:lineRule="auto"/>
        <w:jc w:val="both"/>
        <w:rPr>
          <w:rFonts w:ascii="Times New Roman" w:hAnsi="Times New Roman" w:cs="Times New Roman"/>
          <w:b/>
          <w:sz w:val="24"/>
          <w:szCs w:val="24"/>
          <w:shd w:val="clear" w:color="auto" w:fill="FFFFFF"/>
        </w:rPr>
      </w:pPr>
      <w:r w:rsidRPr="00CA1D78">
        <w:rPr>
          <w:rFonts w:ascii="Times New Roman" w:hAnsi="Times New Roman" w:cs="Times New Roman"/>
          <w:b/>
          <w:sz w:val="24"/>
          <w:szCs w:val="24"/>
          <w:shd w:val="clear" w:color="auto" w:fill="FFFFFF"/>
        </w:rPr>
        <w:t xml:space="preserve">Papers publicados </w:t>
      </w:r>
    </w:p>
    <w:p w:rsidR="006A1F56" w:rsidRPr="00041913" w:rsidRDefault="006A1F56" w:rsidP="006A1F5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11-6-2004 - </w:t>
      </w:r>
      <w:r w:rsidRPr="00041913">
        <w:rPr>
          <w:rFonts w:ascii="Times New Roman" w:hAnsi="Times New Roman" w:cs="Times New Roman"/>
          <w:b/>
          <w:sz w:val="24"/>
          <w:szCs w:val="24"/>
          <w:shd w:val="clear" w:color="auto" w:fill="FFFFFF"/>
        </w:rPr>
        <w:t>Inmigración: la guerra de los pobres (El hambre no cotiza en Wall Street, pero "vota" con los pies)</w:t>
      </w:r>
    </w:p>
    <w:p w:rsidR="006A1F56" w:rsidRPr="00041913" w:rsidRDefault="006A1F56" w:rsidP="006A1F5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15-12-2017 - </w:t>
      </w:r>
      <w:r w:rsidRPr="00041913">
        <w:rPr>
          <w:rFonts w:ascii="Times New Roman" w:hAnsi="Times New Roman" w:cs="Times New Roman"/>
          <w:b/>
          <w:sz w:val="24"/>
          <w:szCs w:val="24"/>
          <w:shd w:val="clear" w:color="auto" w:fill="FFFFFF"/>
        </w:rPr>
        <w:t>La crisis migratoria en Europa: tras casi tres años de "banal" humanismo</w:t>
      </w:r>
    </w:p>
    <w:p w:rsidR="006A1F56" w:rsidRPr="00041913" w:rsidRDefault="006A1F56" w:rsidP="006A1F5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15-2-2020 - </w:t>
      </w:r>
      <w:r w:rsidRPr="00041913">
        <w:rPr>
          <w:rFonts w:ascii="Times New Roman" w:hAnsi="Times New Roman" w:cs="Times New Roman"/>
          <w:b/>
          <w:sz w:val="24"/>
          <w:szCs w:val="24"/>
          <w:shd w:val="clear" w:color="auto" w:fill="FFFFFF"/>
        </w:rPr>
        <w:t>MENAS (Menores Extranjeros No Acompañados): un "forensic" al problema (con la "secreta esperanza" que las "nuevas" autoridades europeas afronten el conflicto migratorio, con realismo y sin complejos</w:t>
      </w:r>
    </w:p>
    <w:p w:rsidR="006A1F56" w:rsidRPr="00041913" w:rsidRDefault="006A1F56" w:rsidP="006A1F5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15-7-2021 - </w:t>
      </w:r>
      <w:r w:rsidRPr="00041913">
        <w:rPr>
          <w:rFonts w:ascii="Times New Roman" w:hAnsi="Times New Roman" w:cs="Times New Roman"/>
          <w:b/>
          <w:sz w:val="24"/>
          <w:szCs w:val="24"/>
          <w:shd w:val="clear" w:color="auto" w:fill="FFFFFF"/>
        </w:rPr>
        <w:t>Canarias (España), entre Lesbos (Grecia) y Lampedusa (Italia)</w:t>
      </w:r>
    </w:p>
    <w:p w:rsidR="006A1F56" w:rsidRPr="00041913" w:rsidRDefault="006A1F56" w:rsidP="006A1F5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15-7-2023 - </w:t>
      </w:r>
      <w:r w:rsidRPr="00041913">
        <w:rPr>
          <w:rFonts w:ascii="Times New Roman" w:hAnsi="Times New Roman" w:cs="Times New Roman"/>
          <w:b/>
          <w:sz w:val="24"/>
          <w:szCs w:val="24"/>
          <w:shd w:val="clear" w:color="auto" w:fill="FFFFFF"/>
        </w:rPr>
        <w:t>La "integración" no funciona (y el "multiculturalismo" tampoco) - ¿Cuáles son las torvas razones por las que la Unión Europea es un coladero de inmigración ilegal?</w:t>
      </w:r>
    </w:p>
    <w:p w:rsidR="006A1F56" w:rsidRPr="00041913" w:rsidRDefault="006A1F56" w:rsidP="006A1F5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15-2-2024 - </w:t>
      </w:r>
      <w:r w:rsidRPr="00041913">
        <w:rPr>
          <w:rFonts w:ascii="Times New Roman" w:hAnsi="Times New Roman" w:cs="Times New Roman"/>
          <w:b/>
          <w:sz w:val="24"/>
          <w:szCs w:val="24"/>
          <w:shd w:val="clear" w:color="auto" w:fill="FFFFFF"/>
        </w:rPr>
        <w:t>¿Cuándo Europa se tomará en serio los problemas de la inmigración ilegal, los falsos refugiados, y el fundamentalismo islámico?</w:t>
      </w:r>
    </w:p>
    <w:p w:rsidR="006A1F56" w:rsidRPr="00CA1D78" w:rsidRDefault="006A1F56" w:rsidP="006A1F56">
      <w:pPr>
        <w:spacing w:line="240" w:lineRule="auto"/>
        <w:jc w:val="both"/>
        <w:rPr>
          <w:rFonts w:ascii="Times New Roman" w:hAnsi="Times New Roman" w:cs="Times New Roman"/>
          <w:b/>
          <w:sz w:val="24"/>
          <w:szCs w:val="24"/>
          <w:shd w:val="clear" w:color="auto" w:fill="FFFFFF"/>
        </w:rPr>
      </w:pPr>
      <w:r w:rsidRPr="00CA1D78">
        <w:rPr>
          <w:rFonts w:ascii="Times New Roman" w:hAnsi="Times New Roman" w:cs="Times New Roman"/>
          <w:b/>
          <w:sz w:val="24"/>
          <w:szCs w:val="24"/>
          <w:shd w:val="clear" w:color="auto" w:fill="FFFFFF"/>
        </w:rPr>
        <w:t>Ensayos publicados</w:t>
      </w:r>
    </w:p>
    <w:p w:rsidR="006A1F56" w:rsidRPr="00CA1D78" w:rsidRDefault="006A1F56" w:rsidP="006A1F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Enero, 2006 - </w:t>
      </w:r>
      <w:r w:rsidRPr="00041913">
        <w:rPr>
          <w:rFonts w:ascii="Times New Roman" w:hAnsi="Times New Roman" w:cs="Times New Roman"/>
          <w:b/>
          <w:sz w:val="24"/>
          <w:szCs w:val="24"/>
          <w:shd w:val="clear" w:color="auto" w:fill="FFFFFF"/>
        </w:rPr>
        <w:t>Sans Papiers - La esquizofrenia migratoria (Algunas historias nómadas de la economía subterránea)</w:t>
      </w:r>
      <w:r w:rsidRPr="00CA1D78">
        <w:rPr>
          <w:rFonts w:ascii="Times New Roman" w:hAnsi="Times New Roman" w:cs="Times New Roman"/>
          <w:sz w:val="24"/>
          <w:szCs w:val="24"/>
          <w:shd w:val="clear" w:color="auto" w:fill="FFFFFF"/>
        </w:rPr>
        <w:t xml:space="preserve"> </w:t>
      </w:r>
    </w:p>
    <w:p w:rsidR="006A1F56" w:rsidRPr="00041913" w:rsidRDefault="006A1F56" w:rsidP="006A1F56">
      <w:pPr>
        <w:spacing w:line="240" w:lineRule="auto"/>
        <w:jc w:val="both"/>
        <w:rPr>
          <w:rFonts w:ascii="Times New Roman" w:hAnsi="Times New Roman" w:cs="Times New Roman"/>
          <w:b/>
          <w:sz w:val="24"/>
          <w:szCs w:val="24"/>
          <w:shd w:val="clear" w:color="auto" w:fill="FFFFFF"/>
        </w:rPr>
      </w:pPr>
      <w:r w:rsidRPr="00CA1D78">
        <w:rPr>
          <w:rFonts w:ascii="Times New Roman" w:hAnsi="Times New Roman" w:cs="Times New Roman"/>
          <w:sz w:val="24"/>
          <w:szCs w:val="24"/>
          <w:shd w:val="clear" w:color="auto" w:fill="FFFFFF"/>
        </w:rPr>
        <w:t>Octubre, 2015</w:t>
      </w:r>
      <w:r w:rsidRPr="00CA1D78">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 xml:space="preserve">- </w:t>
      </w:r>
      <w:r w:rsidRPr="00041913">
        <w:rPr>
          <w:rFonts w:ascii="Times New Roman" w:hAnsi="Times New Roman" w:cs="Times New Roman"/>
          <w:b/>
          <w:sz w:val="24"/>
          <w:szCs w:val="24"/>
          <w:shd w:val="clear" w:color="auto" w:fill="FFFFFF"/>
        </w:rPr>
        <w:t>Entre la hipocresía y el complejo de culpa, la Unión Europea hace frente (tarde, mal o nunca) al drama de la inmigración (R.I.P. in Mare Nostrum)</w:t>
      </w:r>
    </w:p>
    <w:p w:rsidR="006A1F56" w:rsidRPr="00041913" w:rsidRDefault="006A1F56" w:rsidP="006A1F5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Noviembre, 2018 - </w:t>
      </w:r>
      <w:r w:rsidRPr="00041913">
        <w:rPr>
          <w:rFonts w:ascii="Times New Roman" w:hAnsi="Times New Roman" w:cs="Times New Roman"/>
          <w:b/>
          <w:sz w:val="24"/>
          <w:szCs w:val="24"/>
          <w:shd w:val="clear" w:color="auto" w:fill="FFFFFF"/>
        </w:rPr>
        <w:t>Un análisis costo/beneficio (y ciertos daños colaterales) de la inmigración en los principales países miembro de la Unión Europea (durante el período 2012-2017), con estimación para el conjunto de la Unión (28-EU)</w:t>
      </w:r>
    </w:p>
    <w:p w:rsidR="006A1F56" w:rsidRPr="0061182F" w:rsidRDefault="006A1F56" w:rsidP="006A1F56">
      <w:pPr>
        <w:spacing w:line="240" w:lineRule="auto"/>
        <w:jc w:val="both"/>
        <w:rPr>
          <w:rFonts w:ascii="Times New Roman" w:hAnsi="Times New Roman" w:cs="Times New Roman"/>
          <w:b/>
          <w:sz w:val="24"/>
          <w:szCs w:val="24"/>
          <w:shd w:val="clear" w:color="auto" w:fill="FFFFFF"/>
        </w:rPr>
      </w:pPr>
      <w:r w:rsidRPr="0061182F">
        <w:rPr>
          <w:rFonts w:ascii="Times New Roman" w:hAnsi="Times New Roman" w:cs="Times New Roman"/>
          <w:b/>
          <w:sz w:val="24"/>
          <w:szCs w:val="24"/>
          <w:shd w:val="clear" w:color="auto" w:fill="FFFFFF"/>
        </w:rPr>
        <w:t>“Maldita hemeroteca” (un recorrido de cabotaje</w:t>
      </w:r>
      <w:r>
        <w:rPr>
          <w:rFonts w:ascii="Times New Roman" w:hAnsi="Times New Roman" w:cs="Times New Roman"/>
          <w:b/>
          <w:sz w:val="24"/>
          <w:szCs w:val="24"/>
          <w:shd w:val="clear" w:color="auto" w:fill="FFFFFF"/>
        </w:rPr>
        <w:t>,</w:t>
      </w:r>
      <w:r w:rsidRPr="0061182F">
        <w:rPr>
          <w:rFonts w:ascii="Times New Roman" w:hAnsi="Times New Roman" w:cs="Times New Roman"/>
          <w:b/>
          <w:sz w:val="24"/>
          <w:szCs w:val="24"/>
          <w:shd w:val="clear" w:color="auto" w:fill="FFFFFF"/>
        </w:rPr>
        <w:t xml:space="preserve"> por la hemeroteca reciente)</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 xml:space="preserve">- </w:t>
      </w:r>
      <w:r w:rsidRPr="0061182F">
        <w:rPr>
          <w:rFonts w:ascii="Times New Roman" w:hAnsi="Times New Roman" w:cs="Times New Roman"/>
          <w:spacing w:val="-1"/>
          <w:sz w:val="24"/>
          <w:szCs w:val="24"/>
          <w:u w:val="single"/>
          <w:shd w:val="clear" w:color="auto" w:fill="FFFFFF"/>
        </w:rPr>
        <w:t>Las subvenciones a ONG que acogen a inmigrantes sin papeles suman 1.458 millones</w:t>
      </w:r>
      <w:r w:rsidRPr="0061182F">
        <w:rPr>
          <w:rFonts w:ascii="Times New Roman" w:hAnsi="Times New Roman" w:cs="Times New Roman"/>
          <w:spacing w:val="-1"/>
          <w:sz w:val="24"/>
          <w:szCs w:val="24"/>
          <w:shd w:val="clear" w:color="auto" w:fill="FFFFFF"/>
        </w:rPr>
        <w:t xml:space="preserve"> (Libertad Digital - </w:t>
      </w:r>
      <w:r w:rsidRPr="0061182F">
        <w:rPr>
          <w:rFonts w:ascii="Times New Roman" w:hAnsi="Times New Roman" w:cs="Times New Roman"/>
          <w:b/>
          <w:spacing w:val="-1"/>
          <w:sz w:val="24"/>
          <w:szCs w:val="24"/>
          <w:shd w:val="clear" w:color="auto" w:fill="FFFFFF"/>
        </w:rPr>
        <w:t>4/7/25</w:t>
      </w:r>
      <w:r w:rsidRPr="0061182F">
        <w:rPr>
          <w:rFonts w:ascii="Times New Roman" w:hAnsi="Times New Roman" w:cs="Times New Roman"/>
          <w:spacing w:val="-1"/>
          <w:sz w:val="24"/>
          <w:szCs w:val="24"/>
          <w:shd w:val="clear" w:color="auto" w:fill="FFFFFF"/>
        </w:rPr>
        <w:t>)</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La mayoría se adjudican sin licitación. No hay transparencia sobre el grado de integración conseguida con estos fondos.</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(Por Diego Sánchez de la Cruz)</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 xml:space="preserve">La mayoría se adjudican sin licitación. No hay transparencia sobre el grado de integración conseguida con estos fondos. Varios servicios de emergencia atienden a migrantes recién </w:t>
      </w:r>
      <w:r w:rsidRPr="0061182F">
        <w:rPr>
          <w:rFonts w:ascii="Times New Roman" w:hAnsi="Times New Roman" w:cs="Times New Roman"/>
          <w:spacing w:val="-1"/>
          <w:sz w:val="24"/>
          <w:szCs w:val="24"/>
          <w:shd w:val="clear" w:color="auto" w:fill="FFFFFF"/>
        </w:rPr>
        <w:lastRenderedPageBreak/>
        <w:t>rescatados de un cayuco, en Puerto Naos, a 4 de enero de 2025, en Arrecife, Lanzarote, Canarias (España). | Europa Press</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Las llegadas de inmigrantes sin papeles se han disparado en los últimos años. Según datos oficiales del Ministerio del Interior, en 2024 se registraron un total de 63.970 llegadas irregulares, lo que supone un incremento del 12,5% respecto a las cifras de 2023 (56.852). De hecho, el pasado ejercicio estuvo cerca de rozar el récord de 64 .298 alcanzado en 2018.</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Los desembarcos irregulares alcanzaron un total de 32.449 en 2019, 41.861 en 2020, 41.945 en 2021 y 31.219 en 2022, de modo que el total acumulado desde que Pedro Sánchez llegó al gobierno en 2018 asciende a 275.742, siempre de acuerdo con las publicaciones oficiales que edita el Ministerio del Interior, cuya estadística ofrece datos quincenales, amén de un resumen anual.</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Estos mismos datos del departamento de gobierno que dirige Fernando Grande-Marlaska acreditan que la ruta de entrada más popular son las Islas Canarias, puesto que el archipiélago recibió en 2024 un total de 46.843 entradas de inmigrantes sin papeles, lo que supone tres cuartas partes del total. Las ciudades autónomas de Ceuta y Melilla figuran en segunda posición y se eri</w:t>
      </w:r>
      <w:r>
        <w:rPr>
          <w:rFonts w:ascii="Times New Roman" w:hAnsi="Times New Roman" w:cs="Times New Roman"/>
          <w:spacing w:val="-1"/>
          <w:sz w:val="24"/>
          <w:szCs w:val="24"/>
          <w:shd w:val="clear" w:color="auto" w:fill="FFFFFF"/>
        </w:rPr>
        <w:t>gen como el otro “punto caliente”</w:t>
      </w:r>
      <w:r w:rsidRPr="0061182F">
        <w:rPr>
          <w:rFonts w:ascii="Times New Roman" w:hAnsi="Times New Roman" w:cs="Times New Roman"/>
          <w:spacing w:val="-1"/>
          <w:sz w:val="24"/>
          <w:szCs w:val="24"/>
          <w:shd w:val="clear" w:color="auto" w:fill="FFFFFF"/>
        </w:rPr>
        <w:t xml:space="preserve"> de las entradas irregulares.</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El sistema de acogida que da cobertura a las personas que llegan a nuestro país en estas circunstancias ha sido generosamente financiado por el Ministerio de Inclusión, Seguridad Social y Migraciones. En 2022, el Ejecutiv</w:t>
      </w:r>
      <w:r>
        <w:rPr>
          <w:rFonts w:ascii="Times New Roman" w:hAnsi="Times New Roman" w:cs="Times New Roman"/>
          <w:spacing w:val="-1"/>
          <w:sz w:val="24"/>
          <w:szCs w:val="24"/>
          <w:shd w:val="clear" w:color="auto" w:fill="FFFFFF"/>
        </w:rPr>
        <w:t>o puso en marcha un sistema de “acción concertada”</w:t>
      </w:r>
      <w:r w:rsidRPr="0061182F">
        <w:rPr>
          <w:rFonts w:ascii="Times New Roman" w:hAnsi="Times New Roman" w:cs="Times New Roman"/>
          <w:spacing w:val="-1"/>
          <w:sz w:val="24"/>
          <w:szCs w:val="24"/>
          <w:shd w:val="clear" w:color="auto" w:fill="FFFFFF"/>
        </w:rPr>
        <w:t xml:space="preserve"> que le permite canalizar cientos de millones de euros a ONGs dedicadas a esta cuestión. Dicho paradigma, que toma su base legal en la Ley 9/2017, se desarrolló a través del Real Decreto 220/2022 y la Orden ISM/680/2022 y ha servido para celebrar adjudicaciones indirectas, sin contratos públicos, a aquellas entidades previamente acreditadas por el Ejecutivo.</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El gasto pre</w:t>
      </w:r>
      <w:r>
        <w:rPr>
          <w:rFonts w:ascii="Times New Roman" w:hAnsi="Times New Roman" w:cs="Times New Roman"/>
          <w:spacing w:val="-1"/>
          <w:sz w:val="24"/>
          <w:szCs w:val="24"/>
          <w:shd w:val="clear" w:color="auto" w:fill="FFFFFF"/>
        </w:rPr>
        <w:t>supuestado para el programa de “acción concertada”</w:t>
      </w:r>
      <w:r w:rsidRPr="0061182F">
        <w:rPr>
          <w:rFonts w:ascii="Times New Roman" w:hAnsi="Times New Roman" w:cs="Times New Roman"/>
          <w:spacing w:val="-1"/>
          <w:sz w:val="24"/>
          <w:szCs w:val="24"/>
          <w:shd w:val="clear" w:color="auto" w:fill="FFFFFF"/>
        </w:rPr>
        <w:t xml:space="preserve"> alcanzó 173 millones de euros en 2022, cifra que se elevó a 633 millones en el año 2023 y que creció a 652 millones en el ejercicio 2024. En total, el último trienio habría sumado 1.458 millones desembolsados en esta cuestión. Esta cifra asciende a casi 10.000 euros por cada inmigrante sin papeles registrado en las estadísticas del Ministerio del Interior para 2022, 2023 2024.</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Sin embargo, el desglose de los gastos realmente ejecutados arroja cifras aún más abultadas. Así, el gasto entre enero y septiembre de 2022 fue estimado en el entorno de los 490 millones, frente a un presupuesto para todo el año de 173 millones. No se han publicado evaluaciones integrales que amplíen este cálculo al conjunto de 2022, así como a los años 2023 y 2024, pero todo apunta a que los desembolsos acumulados son, de hecho, aún mayores de lo previsto por en las cuentas del Ministerio de Inclusión, Seguridad Social y Migraciones.</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De estas ayudas, los datos de enero a septiembre de 2022 sugieren que en torno a un 50% fue a parar a Cruz Roja, mientras que otras ONGs como CEAR o ACCEM se hicieron con un volumen de ayudas superior al 15%, en cada caso. Así pues, estas tres entidades sumaron alrededor del 85% del total de fondos desembolsados a través de estos programas.</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Las ONG del ramo</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 xml:space="preserve">Por encima de los 5 millones de euros, los datos de los tres primeros trimestres de 2022 reflejan el peso de otras entidades como CEAR, ACCEM, CEPAIM, Movimiento por la Paz, Red Acoge, Asociación Provivienda, Diaconía España, APIP-ACAM o Asociación </w:t>
      </w:r>
      <w:r w:rsidRPr="0061182F">
        <w:rPr>
          <w:rFonts w:ascii="Times New Roman" w:hAnsi="Times New Roman" w:cs="Times New Roman"/>
          <w:spacing w:val="-1"/>
          <w:sz w:val="24"/>
          <w:szCs w:val="24"/>
          <w:shd w:val="clear" w:color="auto" w:fill="FFFFFF"/>
        </w:rPr>
        <w:lastRenderedPageBreak/>
        <w:t>Progestión. Hablamos de ONGs que suman adjudicaciones por un monto cercano al 15% del total.</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 xml:space="preserve">Si buceamos en las cuentas de algunas de estas organizaciones, podemos ver que sus cuentas reciben importantes cuantías de dinero público que van más allá de los programas ministeriales. Es el caso de CEPAIM, que se embolsó más de 50 millones de euros en 2022, cifra </w:t>
      </w:r>
      <w:r>
        <w:rPr>
          <w:rFonts w:ascii="Times New Roman" w:hAnsi="Times New Roman" w:cs="Times New Roman"/>
          <w:spacing w:val="-1"/>
          <w:sz w:val="24"/>
          <w:szCs w:val="24"/>
          <w:shd w:val="clear" w:color="auto" w:fill="FFFFFF"/>
        </w:rPr>
        <w:t>que incluyó 23,4 millones para “</w:t>
      </w:r>
      <w:r w:rsidRPr="0061182F">
        <w:rPr>
          <w:rFonts w:ascii="Times New Roman" w:hAnsi="Times New Roman" w:cs="Times New Roman"/>
          <w:spacing w:val="-1"/>
          <w:sz w:val="24"/>
          <w:szCs w:val="24"/>
          <w:shd w:val="clear" w:color="auto" w:fill="FFFFFF"/>
        </w:rPr>
        <w:t>atención y aco</w:t>
      </w:r>
      <w:r>
        <w:rPr>
          <w:rFonts w:ascii="Times New Roman" w:hAnsi="Times New Roman" w:cs="Times New Roman"/>
          <w:spacing w:val="-1"/>
          <w:sz w:val="24"/>
          <w:szCs w:val="24"/>
          <w:shd w:val="clear" w:color="auto" w:fill="FFFFFF"/>
        </w:rPr>
        <w:t>gida de inmigrantes vulnerables”, 24,6 millones para “</w:t>
      </w:r>
      <w:r w:rsidRPr="0061182F">
        <w:rPr>
          <w:rFonts w:ascii="Times New Roman" w:hAnsi="Times New Roman" w:cs="Times New Roman"/>
          <w:spacing w:val="-1"/>
          <w:sz w:val="24"/>
          <w:szCs w:val="24"/>
          <w:shd w:val="clear" w:color="auto" w:fill="FFFFFF"/>
        </w:rPr>
        <w:t>desarroll</w:t>
      </w:r>
      <w:r>
        <w:rPr>
          <w:rFonts w:ascii="Times New Roman" w:hAnsi="Times New Roman" w:cs="Times New Roman"/>
          <w:spacing w:val="-1"/>
          <w:sz w:val="24"/>
          <w:szCs w:val="24"/>
          <w:shd w:val="clear" w:color="auto" w:fill="FFFFFF"/>
        </w:rPr>
        <w:t>o de itinerarios de integración” y 1 millón para “</w:t>
      </w:r>
      <w:r w:rsidRPr="0061182F">
        <w:rPr>
          <w:rFonts w:ascii="Times New Roman" w:hAnsi="Times New Roman" w:cs="Times New Roman"/>
          <w:spacing w:val="-1"/>
          <w:sz w:val="24"/>
          <w:szCs w:val="24"/>
          <w:shd w:val="clear" w:color="auto" w:fill="FFFFFF"/>
        </w:rPr>
        <w:t>inserción laboral de persona</w:t>
      </w:r>
      <w:r>
        <w:rPr>
          <w:rFonts w:ascii="Times New Roman" w:hAnsi="Times New Roman" w:cs="Times New Roman"/>
          <w:spacing w:val="-1"/>
          <w:sz w:val="24"/>
          <w:szCs w:val="24"/>
          <w:shd w:val="clear" w:color="auto" w:fill="FFFFFF"/>
        </w:rPr>
        <w:t>s bajo protección internacional”</w:t>
      </w:r>
      <w:r w:rsidRPr="0061182F">
        <w:rPr>
          <w:rFonts w:ascii="Times New Roman" w:hAnsi="Times New Roman" w:cs="Times New Roman"/>
          <w:spacing w:val="-1"/>
          <w:sz w:val="24"/>
          <w:szCs w:val="24"/>
          <w:shd w:val="clear" w:color="auto" w:fill="FFFFFF"/>
        </w:rPr>
        <w:t>.</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Esta ONG está presidida por Juan Antonio Miralles Ortega, un antiguo candidato de Izquierda Unida. Paula Moreno, que ha ejercido distintos cargos en Sumar, ha trabajado también en esta entidad. CEPAIM ocupó titulares de prensa tras la crisis de seguridad que sufrió el municipio de Guardamar del Segura, en la provincia de Alicante. En julio de 2024, los vecinos denunciaron que algunos de los inmigrantes acogidos por la ONG habrían incurrido en delitos tales como agresiones sexuales, robos o altercados nocturnos, motivando incluso la adopción de un "toque de queda" a partir de las 23 horas de la noche.</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Otra de las ONG con mayor presencia en este tipo de programas es APIP-ACAM, que recibió 174 subvenciones entre los años 2020 y 2024, generando ingresos por valor de 42,9 millones de euros, de acuerdo con un análisis de Israel Cabrera realizado con datos del BOE. En su caso, la gestión de un grupo de inmigrantes sin papeles a Tossa de Mar, en la provincia de Gerona, fue motivo de queja entre los vecinos de la localidad.</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Opacidad y dudas</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El sistema de acogida carece de transparencia en cuanto a los resultados de integración que consigue. No existen evaluaciones públicas realizadas por organismos o expertos independientes que midan si los inmigrantes atendidos logran integrarse efectivamente, pese a que sería fácil determinar cuántos aprenden el idioma, acceden a un empleo o alcanzan autonomía.</w:t>
      </w:r>
    </w:p>
    <w:p w:rsidR="006A1F56" w:rsidRPr="0061182F" w:rsidRDefault="006A1F56" w:rsidP="006A1F56">
      <w:pPr>
        <w:spacing w:line="240" w:lineRule="auto"/>
        <w:jc w:val="both"/>
        <w:rPr>
          <w:rFonts w:ascii="Times New Roman" w:hAnsi="Times New Roman" w:cs="Times New Roman"/>
          <w:spacing w:val="-1"/>
          <w:sz w:val="24"/>
          <w:szCs w:val="24"/>
          <w:shd w:val="clear" w:color="auto" w:fill="FFFFFF"/>
        </w:rPr>
      </w:pPr>
      <w:r w:rsidRPr="0061182F">
        <w:rPr>
          <w:rFonts w:ascii="Times New Roman" w:hAnsi="Times New Roman" w:cs="Times New Roman"/>
          <w:spacing w:val="-1"/>
          <w:sz w:val="24"/>
          <w:szCs w:val="24"/>
          <w:shd w:val="clear" w:color="auto" w:fill="FFFFFF"/>
        </w:rPr>
        <w:t>Las memorias de actividad disponibles aportan cifras de gasto y números referidos a las atenciones prestadas, pero omiten indicadores verificables de eficacia. Además, algunas organizaciones del ramo ni siquiera publican sus cuentas desde hace años, a pesar de que reciben más del 90% de sus ingresos de fondos públicos, lo que dificulta la tarea de fiscalizar sus ingresos y medir sus resultados. Esta opacidad es especialmente preocupante dado que el modelo se basa en adjudicaciones directas, sin licitación pública ni control competitivo, lo que reduce los incentivos a rendir cuentas.</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t xml:space="preserve">- </w:t>
      </w:r>
      <w:r w:rsidRPr="0061182F">
        <w:rPr>
          <w:rFonts w:ascii="Times New Roman" w:hAnsi="Times New Roman" w:cs="Times New Roman"/>
          <w:sz w:val="24"/>
          <w:szCs w:val="24"/>
          <w:u w:val="single"/>
          <w:shd w:val="clear" w:color="auto" w:fill="FFFFFF"/>
        </w:rPr>
        <w:t>Sánchez pasa de destinar 145 euros al día por mena a 67 en menos de un año</w:t>
      </w:r>
      <w:r w:rsidRPr="0061182F">
        <w:rPr>
          <w:rFonts w:ascii="Times New Roman" w:hAnsi="Times New Roman" w:cs="Times New Roman"/>
          <w:sz w:val="24"/>
          <w:szCs w:val="24"/>
          <w:shd w:val="clear" w:color="auto" w:fill="FFFFFF"/>
        </w:rPr>
        <w:t xml:space="preserve"> (Vozpópuli - </w:t>
      </w:r>
      <w:r w:rsidRPr="0061182F">
        <w:rPr>
          <w:rFonts w:ascii="Times New Roman" w:hAnsi="Times New Roman" w:cs="Times New Roman"/>
          <w:b/>
          <w:sz w:val="24"/>
          <w:szCs w:val="24"/>
          <w:shd w:val="clear" w:color="auto" w:fill="FFFFFF"/>
        </w:rPr>
        <w:t>18/7/25</w:t>
      </w:r>
      <w:r w:rsidRPr="0061182F">
        <w:rPr>
          <w:rFonts w:ascii="Times New Roman" w:hAnsi="Times New Roman" w:cs="Times New Roman"/>
          <w:sz w:val="24"/>
          <w:szCs w:val="24"/>
          <w:shd w:val="clear" w:color="auto" w:fill="FFFFFF"/>
        </w:rPr>
        <w:t>)</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t>Las autonomías denuncian que antes recibían esa cantidad para todo el año. Ahora, al ser solo para tres meses, la cantidad prorrateada oscila entre 31 y 67</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Iván Libreros y</w:t>
      </w:r>
      <w:r w:rsidRPr="0061182F">
        <w:rPr>
          <w:rFonts w:ascii="Times New Roman" w:hAnsi="Times New Roman" w:cs="Times New Roman"/>
          <w:sz w:val="24"/>
          <w:szCs w:val="24"/>
          <w:shd w:val="clear" w:color="auto" w:fill="FFFFFF"/>
        </w:rPr>
        <w:t xml:space="preserve"> Joan Guirado)</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t xml:space="preserve">El plantón de las autonomías gobernadas por el Partido Popular a la ministra Sira Rego en la sectorial de Infancia sigue dejando nuevas informaciones por el camino. En dicha reunión estaba previsto que se ratificara el pago de 100 millones de un fondo extraordinario a las regiones para sufragar parte de la manutención de los menores no acompañados que enviarán el próximo 28 de agosto. </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lastRenderedPageBreak/>
        <w:t>Fruto de la situación, Moncloa ha paralizado el pago de los otros 22 millones extras destinados a Canarias, Ceuta, Melilla e Islas Baleares, cuatro de las regiones más castigadas por la inmigración masiva.</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t xml:space="preserve">Aunque hay varias Comunidades Autónomas que han renunciado a su parte del dinero y tienen el acuerdo migratorio recurrido en el Tribunal Constitucional, como es el caso de la Comunidad de Madrid, la situación ha dado un nuevo giro. Un acuerdo que tiene trampa, y que esconde una rebaja considerable en las pretensiones del Gobierno para la atención de estos centenares de menores. </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t>Según ha podido saber Vozpópuli, en el último acuerdo, sellado el año pasado, las autonomías recibían 145 euros por mena al día, cantidad que se extendía durante los doce meses. El nuevo pago acordado, de 100 millones, solo cubre tres meses, en lugar de todo el curso completo.</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t>Con las cifras en la mano, y prorrateando estas cantidades a un año vista, puesto que los gobiernos regionales deben planificar todo, y no estar pendiente de los planes de Moncloa, que cambian con cada puesta de sol, las autonomías dispondrán de entre 31 y 67 euros máximo, dependiendo de la situación que tenga cada uno en términos migratorios.</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t>En el mejor de los casos, en las zonas con más ocupación en sus centros, la caída es del 50% respecto al año pasado. En aquellas que se hagan cargo de una cantidad menor, la bajada en las subvenciones estatales es mucho mayor.</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t>Una política migratoria que choca, y mucho con el discurso oficial del Gobierno, en especial del presidente Sánchez, quien ensalza en positivo la llegada de personas a España, pero infradota de recursos a las Comunidades Autónomas a las que obliga, por la fuerza, a hacerse cargo de ellos.</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t>Conflicto con el Tribunal Supremo y la Policía</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t xml:space="preserve">Este periódico avanzó la noche del miércoles que las comunidades del PP no asistirían a la reunión de la Conferencia Sectorial de Infancia y Adolescencia, convocada para ayer, de modo que la falta de quórum para celebrarla impidió su celebración. </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t xml:space="preserve">El motivo es la airada protesta de las autonomías gobernadas por el PP, por el agravio que supone aceptar como un trágala la decisión y las cifras de reparto acordadas por la Moncloa mientras autonomías como Cataluña o el País Vasco quedan exentas por exigencia de los socios de legislatura de Pedro Sánchez. </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t>Así las cosas, la resolución de este conflicto quedará previsiblemente abocada a una pugna en el Tribunal Supremo, porque el Gobierno quiere forzar a que una resolución judicial obligue a esas comunidades autónomas a aceptar el reparto. De no hacerlo, además, ya que por ello les facultó en el real decreto-ley, mandará a la Policía para que se encargue de garantizar esos traslados.</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t>Las autonomías del PP se quejan de que el Gobierno vulnera el princip</w:t>
      </w:r>
      <w:r>
        <w:rPr>
          <w:rFonts w:ascii="Times New Roman" w:hAnsi="Times New Roman" w:cs="Times New Roman"/>
          <w:sz w:val="24"/>
          <w:szCs w:val="24"/>
          <w:shd w:val="clear" w:color="auto" w:fill="FFFFFF"/>
        </w:rPr>
        <w:t>io de igualdad territorial por “imponerles”</w:t>
      </w:r>
      <w:r w:rsidRPr="0061182F">
        <w:rPr>
          <w:rFonts w:ascii="Times New Roman" w:hAnsi="Times New Roman" w:cs="Times New Roman"/>
          <w:sz w:val="24"/>
          <w:szCs w:val="24"/>
          <w:shd w:val="clear" w:color="auto" w:fill="FFFFFF"/>
        </w:rPr>
        <w:t xml:space="preserve"> repartos forzosos, no consensuados, generadores de desequilibrios económicos y de focos de conflicto. De este modo, los tribunales, más en concreto el Tribunal Supremo, tendrán la última palabra sobre el reparto de 4.400 menas y el asilo de 1.000 niños y niñas.</w:t>
      </w:r>
    </w:p>
    <w:p w:rsidR="006A1F56" w:rsidRPr="0061182F" w:rsidRDefault="006A1F56" w:rsidP="006A1F56">
      <w:pPr>
        <w:spacing w:line="240" w:lineRule="auto"/>
        <w:jc w:val="both"/>
        <w:rPr>
          <w:rFonts w:ascii="Times New Roman" w:hAnsi="Times New Roman" w:cs="Times New Roman"/>
          <w:sz w:val="24"/>
          <w:szCs w:val="24"/>
          <w:shd w:val="clear" w:color="auto" w:fill="FFFFFF"/>
        </w:rPr>
      </w:pPr>
      <w:r w:rsidRPr="0061182F">
        <w:rPr>
          <w:rFonts w:ascii="Times New Roman" w:hAnsi="Times New Roman" w:cs="Times New Roman"/>
          <w:sz w:val="24"/>
          <w:szCs w:val="24"/>
          <w:shd w:val="clear" w:color="auto" w:fill="FFFFFF"/>
        </w:rPr>
        <w:lastRenderedPageBreak/>
        <w:t>El Gobierno y las comunidades autónomas se han enfrascado en una pugna judicial, que tendrá que dirimir una tensionada sala tercera del alto tribunal, ante la imposibilidad de alcanzar un acuerdo que lleva meses, enquistado.</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b/>
          <w:sz w:val="24"/>
          <w:szCs w:val="24"/>
        </w:rPr>
        <w:t xml:space="preserve">Inmigración e inseguridad ciudadana </w:t>
      </w:r>
      <w:r>
        <w:rPr>
          <w:rFonts w:ascii="Times New Roman" w:hAnsi="Times New Roman" w:cs="Times New Roman"/>
          <w:sz w:val="24"/>
          <w:szCs w:val="24"/>
        </w:rPr>
        <w:t xml:space="preserve">(Fuente: </w:t>
      </w:r>
      <w:r w:rsidRPr="0061182F">
        <w:rPr>
          <w:rFonts w:ascii="Times New Roman" w:hAnsi="Times New Roman" w:cs="Times New Roman"/>
          <w:sz w:val="24"/>
          <w:szCs w:val="24"/>
        </w:rPr>
        <w:t xml:space="preserve">El Confidencial - </w:t>
      </w:r>
      <w:r w:rsidRPr="0061182F">
        <w:rPr>
          <w:rFonts w:ascii="Times New Roman" w:hAnsi="Times New Roman" w:cs="Times New Roman"/>
          <w:b/>
          <w:sz w:val="24"/>
          <w:szCs w:val="24"/>
        </w:rPr>
        <w:t>25/7/25</w:t>
      </w:r>
      <w:r w:rsidRPr="0061182F">
        <w:rPr>
          <w:rFonts w:ascii="Times New Roman" w:hAnsi="Times New Roman" w:cs="Times New Roman"/>
          <w:sz w:val="24"/>
          <w:szCs w:val="24"/>
        </w:rPr>
        <w:t>)</w:t>
      </w:r>
    </w:p>
    <w:p w:rsidR="006A1F56" w:rsidRDefault="006A1F56" w:rsidP="006A1F56">
      <w:pPr>
        <w:spacing w:line="240" w:lineRule="auto"/>
        <w:jc w:val="both"/>
        <w:rPr>
          <w:rFonts w:ascii="Times New Roman" w:hAnsi="Times New Roman" w:cs="Times New Roman"/>
          <w:color w:val="FF0000"/>
          <w:sz w:val="24"/>
          <w:szCs w:val="24"/>
        </w:rPr>
      </w:pPr>
      <w:r w:rsidRPr="00842C11">
        <w:rPr>
          <w:rFonts w:ascii="Times New Roman" w:hAnsi="Times New Roman" w:cs="Times New Roman"/>
          <w:noProof/>
          <w:color w:val="FF0000"/>
          <w:sz w:val="24"/>
          <w:szCs w:val="24"/>
          <w:lang w:eastAsia="es-ES"/>
        </w:rPr>
        <w:drawing>
          <wp:inline distT="0" distB="0" distL="0" distR="0" wp14:anchorId="60E2E5C1" wp14:editId="7B94F527">
            <wp:extent cx="5733518" cy="3371850"/>
            <wp:effectExtent l="0" t="0" r="635" b="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5731510" cy="3370669"/>
                    </a:xfrm>
                    <a:prstGeom prst="rect">
                      <a:avLst/>
                    </a:prstGeom>
                  </pic:spPr>
                </pic:pic>
              </a:graphicData>
            </a:graphic>
          </wp:inline>
        </w:drawing>
      </w:r>
    </w:p>
    <w:p w:rsidR="006A1F56" w:rsidRDefault="006A1F56" w:rsidP="006A1F56">
      <w:pPr>
        <w:spacing w:line="240" w:lineRule="auto"/>
        <w:jc w:val="both"/>
        <w:rPr>
          <w:rFonts w:ascii="Times New Roman" w:hAnsi="Times New Roman" w:cs="Times New Roman"/>
          <w:color w:val="FF0000"/>
          <w:sz w:val="24"/>
          <w:szCs w:val="24"/>
        </w:rPr>
      </w:pPr>
      <w:r w:rsidRPr="00842C11">
        <w:rPr>
          <w:rFonts w:ascii="Times New Roman" w:hAnsi="Times New Roman" w:cs="Times New Roman"/>
          <w:noProof/>
          <w:color w:val="FF0000"/>
          <w:sz w:val="24"/>
          <w:szCs w:val="24"/>
          <w:lang w:eastAsia="es-ES"/>
        </w:rPr>
        <w:drawing>
          <wp:inline distT="0" distB="0" distL="0" distR="0" wp14:anchorId="058EA93B" wp14:editId="4CFEE93E">
            <wp:extent cx="5731510" cy="3301129"/>
            <wp:effectExtent l="0" t="0" r="2540"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5731510" cy="3301129"/>
                    </a:xfrm>
                    <a:prstGeom prst="rect">
                      <a:avLst/>
                    </a:prstGeom>
                  </pic:spPr>
                </pic:pic>
              </a:graphicData>
            </a:graphic>
          </wp:inline>
        </w:drawing>
      </w:r>
    </w:p>
    <w:p w:rsidR="006A1F56" w:rsidRDefault="006A1F56" w:rsidP="006A1F56">
      <w:pPr>
        <w:spacing w:line="240" w:lineRule="auto"/>
        <w:jc w:val="both"/>
        <w:rPr>
          <w:rFonts w:ascii="Times New Roman" w:hAnsi="Times New Roman" w:cs="Times New Roman"/>
          <w:color w:val="FF0000"/>
          <w:sz w:val="24"/>
          <w:szCs w:val="24"/>
        </w:rPr>
      </w:pPr>
      <w:r w:rsidRPr="00842C11">
        <w:rPr>
          <w:rFonts w:ascii="Times New Roman" w:hAnsi="Times New Roman" w:cs="Times New Roman"/>
          <w:noProof/>
          <w:color w:val="FF0000"/>
          <w:sz w:val="24"/>
          <w:szCs w:val="24"/>
          <w:lang w:eastAsia="es-ES"/>
        </w:rPr>
        <w:lastRenderedPageBreak/>
        <w:drawing>
          <wp:inline distT="0" distB="0" distL="0" distR="0" wp14:anchorId="367A1F8C" wp14:editId="0619111C">
            <wp:extent cx="5731510" cy="3535044"/>
            <wp:effectExtent l="0" t="0" r="2540" b="889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stretch>
                      <a:fillRect/>
                    </a:stretch>
                  </pic:blipFill>
                  <pic:spPr>
                    <a:xfrm>
                      <a:off x="0" y="0"/>
                      <a:ext cx="5731510" cy="3535044"/>
                    </a:xfrm>
                    <a:prstGeom prst="rect">
                      <a:avLst/>
                    </a:prstGeom>
                  </pic:spPr>
                </pic:pic>
              </a:graphicData>
            </a:graphic>
          </wp:inline>
        </w:drawing>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 xml:space="preserve">- </w:t>
      </w:r>
      <w:r w:rsidRPr="0061182F">
        <w:rPr>
          <w:rFonts w:ascii="Times New Roman" w:hAnsi="Times New Roman" w:cs="Times New Roman"/>
          <w:sz w:val="24"/>
          <w:szCs w:val="24"/>
          <w:u w:val="single"/>
        </w:rPr>
        <w:t xml:space="preserve">Un 73%, cinco puntos más que en enero, cree que la cantidad de inmigrantes es </w:t>
      </w:r>
      <w:r>
        <w:rPr>
          <w:rFonts w:ascii="Times New Roman" w:hAnsi="Times New Roman" w:cs="Times New Roman"/>
          <w:sz w:val="24"/>
          <w:szCs w:val="24"/>
          <w:u w:val="single"/>
        </w:rPr>
        <w:t>“excesiva”: sólo un 3,5% la ve “</w:t>
      </w:r>
      <w:r w:rsidRPr="0061182F">
        <w:rPr>
          <w:rFonts w:ascii="Times New Roman" w:hAnsi="Times New Roman" w:cs="Times New Roman"/>
          <w:sz w:val="24"/>
          <w:szCs w:val="24"/>
          <w:u w:val="single"/>
        </w:rPr>
        <w:t>insuficiente</w:t>
      </w:r>
      <w:r>
        <w:rPr>
          <w:rFonts w:ascii="Times New Roman" w:hAnsi="Times New Roman" w:cs="Times New Roman"/>
          <w:sz w:val="24"/>
          <w:szCs w:val="24"/>
        </w:rPr>
        <w:t>”</w:t>
      </w:r>
      <w:r w:rsidRPr="0061182F">
        <w:rPr>
          <w:rFonts w:ascii="Times New Roman" w:hAnsi="Times New Roman" w:cs="Times New Roman"/>
          <w:sz w:val="24"/>
          <w:szCs w:val="24"/>
        </w:rPr>
        <w:t xml:space="preserve"> (El Español - </w:t>
      </w:r>
      <w:r w:rsidRPr="0061182F">
        <w:rPr>
          <w:rFonts w:ascii="Times New Roman" w:hAnsi="Times New Roman" w:cs="Times New Roman"/>
          <w:b/>
          <w:sz w:val="24"/>
          <w:szCs w:val="24"/>
        </w:rPr>
        <w:t>25/7/25</w:t>
      </w:r>
      <w:r w:rsidRPr="0061182F">
        <w:rPr>
          <w:rFonts w:ascii="Times New Roman" w:hAnsi="Times New Roman" w:cs="Times New Roman"/>
          <w:sz w:val="24"/>
          <w:szCs w:val="24"/>
        </w:rPr>
        <w:t>)</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Entre los votantes del PSOE, casi el 60% dice que hay que endurecer la política contra la inmigración ilegal y el 85,6% apoya expulsar a los extranjeros que cometan delitos.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Más información: España ha expulsado a 12.200 migrantes en 5 años…</w:t>
      </w:r>
    </w:p>
    <w:p w:rsidR="006A1F56" w:rsidRDefault="006A1F56" w:rsidP="006A1F56">
      <w:pPr>
        <w:spacing w:line="240" w:lineRule="auto"/>
        <w:jc w:val="both"/>
        <w:rPr>
          <w:rFonts w:ascii="Times New Roman" w:hAnsi="Times New Roman" w:cs="Times New Roman"/>
          <w:color w:val="FF0000"/>
          <w:sz w:val="24"/>
          <w:szCs w:val="24"/>
        </w:rPr>
      </w:pPr>
      <w:r>
        <w:rPr>
          <w:noProof/>
          <w:lang w:eastAsia="es-ES"/>
        </w:rPr>
        <w:drawing>
          <wp:inline distT="0" distB="0" distL="0" distR="0" wp14:anchorId="1B8159F5" wp14:editId="4C64BB22">
            <wp:extent cx="5731510" cy="3223974"/>
            <wp:effectExtent l="0" t="0" r="2540" b="0"/>
            <wp:docPr id="235" name="Imagen 235" descr="https://s1.elespanol.com/2025/07/24/actualidad/1003743862098_257544499_1024x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1.elespanol.com/2025/07/24/actualidad/1003743862098_257544499_1024x576.jpg"/>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6A1F56" w:rsidRDefault="006A1F56" w:rsidP="006A1F56">
      <w:pPr>
        <w:spacing w:line="240" w:lineRule="auto"/>
        <w:jc w:val="both"/>
        <w:rPr>
          <w:rFonts w:ascii="Times New Roman" w:hAnsi="Times New Roman" w:cs="Times New Roman"/>
          <w:color w:val="FF0000"/>
          <w:sz w:val="24"/>
          <w:szCs w:val="24"/>
        </w:rPr>
      </w:pPr>
    </w:p>
    <w:p w:rsidR="006A1F56" w:rsidRDefault="006A1F56" w:rsidP="006A1F56">
      <w:pPr>
        <w:spacing w:line="240" w:lineRule="auto"/>
        <w:jc w:val="both"/>
        <w:rPr>
          <w:rFonts w:ascii="Times New Roman" w:hAnsi="Times New Roman" w:cs="Times New Roman"/>
          <w:color w:val="FF0000"/>
          <w:sz w:val="24"/>
          <w:szCs w:val="24"/>
        </w:rPr>
      </w:pP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lastRenderedPageBreak/>
        <w:t xml:space="preserve">- </w:t>
      </w:r>
      <w:r w:rsidRPr="0061182F">
        <w:rPr>
          <w:rFonts w:ascii="Times New Roman" w:hAnsi="Times New Roman" w:cs="Times New Roman"/>
          <w:sz w:val="24"/>
          <w:szCs w:val="24"/>
          <w:u w:val="single"/>
        </w:rPr>
        <w:t>Canarias acoge más menas que Grecia y Reino Unido juntos</w:t>
      </w:r>
      <w:r w:rsidRPr="0061182F">
        <w:rPr>
          <w:rFonts w:ascii="Times New Roman" w:hAnsi="Times New Roman" w:cs="Times New Roman"/>
          <w:sz w:val="24"/>
          <w:szCs w:val="24"/>
        </w:rPr>
        <w:t xml:space="preserve"> (Vozpópuli - </w:t>
      </w:r>
      <w:r w:rsidRPr="0061182F">
        <w:rPr>
          <w:rFonts w:ascii="Times New Roman" w:hAnsi="Times New Roman" w:cs="Times New Roman"/>
          <w:b/>
          <w:sz w:val="24"/>
          <w:szCs w:val="24"/>
        </w:rPr>
        <w:t>11/8/25</w:t>
      </w:r>
      <w:r w:rsidRPr="0061182F">
        <w:rPr>
          <w:rFonts w:ascii="Times New Roman" w:hAnsi="Times New Roman" w:cs="Times New Roman"/>
          <w:sz w:val="24"/>
          <w:szCs w:val="24"/>
        </w:rPr>
        <w:t>)</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Con 8.500 menores bajo su tutela, las islas asumen la carga migratoria europea sin recibir financiación proporcional</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(Por José Luis Jiménez)</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Llegaron, sin aviso, sin campana ni anuncio de iglesia, los muchachos a quienes el mundo decidió llamar con siglas frías, MENA, Menores Extranjeros No Acompañados. Traían consigo todo el peso de las madres que los despidieron en la noche como se despide el que entrega su esperanza al mar</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A agosto de 2025, con 8.500 menores inmigrantes bajo su tutela, Canarias acoge a más menas que Grecia, Marruecos o todos los ayuntamientos del Reino Unido juntos. El número total de menas que viven en algún tipo de estructura estatal griega, según el gobierno de ese país, es de 2.641, de los cuales 585 son egipcios. En el Reino Unido los ayuntamientos británicos dan cobertura.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Y así, mientras las olas siguen rompiendo contra las piedras negras de una orilla que nadi</w:t>
      </w:r>
      <w:r>
        <w:rPr>
          <w:rFonts w:ascii="Times New Roman" w:hAnsi="Times New Roman" w:cs="Times New Roman"/>
          <w:sz w:val="24"/>
          <w:szCs w:val="24"/>
        </w:rPr>
        <w:t>e mira desde Madrid, las islas -</w:t>
      </w:r>
      <w:r w:rsidRPr="0061182F">
        <w:rPr>
          <w:rFonts w:ascii="Times New Roman" w:hAnsi="Times New Roman" w:cs="Times New Roman"/>
          <w:sz w:val="24"/>
          <w:szCs w:val="24"/>
        </w:rPr>
        <w:t>esas 13 manchas de tierra, ocho habitadas, que el continente europeo prefiere olvidar como si fueran pecas de un pasado incómodo en la</w:t>
      </w:r>
      <w:r>
        <w:rPr>
          <w:rFonts w:ascii="Times New Roman" w:hAnsi="Times New Roman" w:cs="Times New Roman"/>
          <w:sz w:val="24"/>
          <w:szCs w:val="24"/>
        </w:rPr>
        <w:t xml:space="preserve"> piel-</w:t>
      </w:r>
      <w:r w:rsidRPr="0061182F">
        <w:rPr>
          <w:rFonts w:ascii="Times New Roman" w:hAnsi="Times New Roman" w:cs="Times New Roman"/>
          <w:sz w:val="24"/>
          <w:szCs w:val="24"/>
        </w:rPr>
        <w:t xml:space="preserve"> siguen acogiendo lo que otros rechazan: 8.500 menas que se han consolidado teniendo en cuenta la Directiva 2013/33 de la UE, que regula la acogida de menores no acompañados.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El perfil de estos menores en las islas es inequívoco: el 97 % son varones, principalmente entre 15 y 17 años. Las principales nacionalidades de origen son Senegal (2.027), Mali (1.434), Marruecos (823) y Gambia (543). Apenas el 6 % son niñas, muchas de ellas en situación de vulnerabilidad extrema por el riesgo de trata y violencia sexual.</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La red de acogida canaria, al límite</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La infancia sin padres, el aliento último de los que cruzan el mar, la esperanza descalza que llega en patera. No es que Canarias esté lejos, es que Coalición Canaria denuncia que hace muchos meses que la distancia no se mide en kilómetros sino en desdén que tiene su refugio administrativo en 86 espacios distribuidos en casi todas las islas, con una ocupación que oscila entre el 123 % y máximos del 160 %.</w:t>
      </w:r>
    </w:p>
    <w:p w:rsidR="006A1F56" w:rsidRPr="0061182F" w:rsidRDefault="005C40BB"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El “reparto”</w:t>
      </w:r>
      <w:r w:rsidR="006A1F56" w:rsidRPr="0061182F">
        <w:rPr>
          <w:rFonts w:ascii="Times New Roman" w:hAnsi="Times New Roman" w:cs="Times New Roman"/>
          <w:sz w:val="24"/>
          <w:szCs w:val="24"/>
        </w:rPr>
        <w:t xml:space="preserve"> por islas es la siguiente: Gran Canaria (2.705 menores), Tenerife (2.281), El Hierro (290 plazas), Lanzarote (159), Fuerteventura (215), La Palma (50) y La Gomera (20).</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El personal por cada centro varía entre 5 y 30 profesionales. Las ratios, con un educador por cada 25 menores en muchas ocasiones, superan con creces lo recomendable por ACNUR y UNICEF (1 por cada 10). Las organizaciones no gubernamentales (ONG) complementan esta labor, aunque el sistema se encuentra saturado. La supervisión judicial también es limitada, con solo 27 inspecciones a centros entre 2020 y 2024.</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El coste del desafío y la carga europea desigual</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Si algún día La Moncloa despertase de su letargo, entendería que estas islas no son la puerta del sur, sino el corazón del oeste, donde aún hay tiempo para mirar al otro y no apartar la mirada dado que el coste de tutelar a un menor en Canarias asciende a unos 145 euros diarios por plaza, lo que representa 4.350 euros mensuales, algo más de 1.087 euros a la semana/mena.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lastRenderedPageBreak/>
        <w:t>Este gasto se desglosa en un 10 % para educación, un 8 % para atención sanitaria, un 7 % para logística administrativa y un 5 % para materiales y transporte. Como el Gobierno de Canarias ha aprendido a sobrevivir del silencio, del mar y de sí mismos ha ofrecido al Gobierno central 200 millones de euros de sus propios remanentes para que el sistema de protección social de los menas no quiebre en el mayor destino turístico de la UE.</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Esta carga contrasta con la de otras regiones españolas y europeas, que manejan la situación con costes y modelos variados. Dentro de España, el gasto medio en Cataluña es de 135 euros diarios, mientras que la Comunidad Valenciana estima un coste de 200 euros diarios para los 481 menores que atiende, lo que suma 35 millones de euros anuales.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En Melilla, el coste se calcula entre 142 y 162 euros diarios por menor. A nivel europeo, el Reino Unido atiende a 7.500 menores con costes de entre 135 y 170 euros diarios y una sólida financiación a través de su National Transfer Scheme.</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Por su parte, Francia opera con un sistema que tiene un coste aproximado de 120 a 140 euros diarios y, a diferencia de Canarias, se beneficia que los menores de África occidental son francófonos. Finalmente, Italia, con un modelo descentralizado, tiene costes que oscilan entre 100 y 130 euros diarios.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En todos estos países, los sistemas cuentan con fondos europeos y nacionales bien establecidos (como AMIF/FAMI), a diferencia de Canarias, donde el peso de la financiación recae desproporcionadamente en un territorio insular.</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Grecia: una emergencia infantil bajo la lupa del Tribunal Europeo de Derechos Humanos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El caso de Grecia es un reflejo del fracaso continental. Con 2.641 menores no acompañados bajo tutela, el país sufre una saturación crítica en sus islas con costes de entre 90 y 110 euros diarios. Desde diciembre de 2024, ONG de la Child Rights Advocacy Network (CRAN) han alertado sobre el hacinamiento y el acceso inadecuado a servicios esenciales.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Esta situa</w:t>
      </w:r>
      <w:r>
        <w:rPr>
          <w:rFonts w:ascii="Times New Roman" w:hAnsi="Times New Roman" w:cs="Times New Roman"/>
          <w:sz w:val="24"/>
          <w:szCs w:val="24"/>
        </w:rPr>
        <w:t>ción ha sido descrita como una “emergencia infantil”</w:t>
      </w:r>
      <w:r w:rsidRPr="0061182F">
        <w:rPr>
          <w:rFonts w:ascii="Times New Roman" w:hAnsi="Times New Roman" w:cs="Times New Roman"/>
          <w:sz w:val="24"/>
          <w:szCs w:val="24"/>
        </w:rPr>
        <w:t>, lo que motivó que 42 organizaciones enviaran una carta privada al Comisario Brunner pidiendo una intervención urgente.</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El 5 de febrero de 2025, el Tribunal Europeo de Derechos Humanos (TEDH) reconoció los graves riesgos y concedió medidas provisionales para cuatro menores en Samos, solicitando a las autoridades griegas que garantizaran su protección contra malos tratos, ya que los niños habían denunciado violencia policial.</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El Tribunal confirmó que la vida diaria de estos menores está marcada por la tensión, la inseguridad y el miedo. Un total de 308 menas residen en Malakasa, de los cuales 266 tienen ciudadanía egipcia.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Según los datos más recientes de los centros de recepción en las islas, hay 244 menas en Samos, de los cuales 204 son egipcios, 170 en Kos, de los cuales 156 son egipcios, y 169 en Leros, de los cuales 157 son egipcios. 707 egipcios también están acogidos en centros de acogida para menores no acompañados.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El origen del viaje: la primera capa del embudo humano</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 xml:space="preserve">La magnitud del drama se percibe en los países de origen y tránsito. Pierre Cazenave, en un estudio sobre los menas para la fundación europea Centro Internacional para el Desarrollo de </w:t>
      </w:r>
      <w:r w:rsidRPr="0061182F">
        <w:rPr>
          <w:rFonts w:ascii="Times New Roman" w:hAnsi="Times New Roman" w:cs="Times New Roman"/>
          <w:sz w:val="24"/>
          <w:szCs w:val="24"/>
        </w:rPr>
        <w:lastRenderedPageBreak/>
        <w:t>Políticas Migratorias (ICMPD), señala que los datos recopilados de UNICEF y Cáritas, señalan que en 2023 más de 9.000 niños llegaron a Mauritania, y 1.800 de ellos viajaban solos.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Esos son los menores que quedan a la espera, la primera capa de un embudo humano que, a través de la ruta atlántica, termina en las Canarias. La falta de datos oficiales en países como Marruecos es un reflejo de la falta de una recolección de datos sistemática.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Por ejemplo, según el ACNUR en Rabat, recopilados por ICMPD, a junio de 2023 se registraron 873 solicitudes de asilo de menores en Marruecos, de los cuales 125 eran no acompañados.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 xml:space="preserve">- </w:t>
      </w:r>
      <w:r w:rsidRPr="0061182F">
        <w:rPr>
          <w:rFonts w:ascii="Times New Roman" w:hAnsi="Times New Roman" w:cs="Times New Roman"/>
          <w:sz w:val="24"/>
          <w:szCs w:val="24"/>
          <w:u w:val="single"/>
        </w:rPr>
        <w:t>La inmigración hispanoamericana es la más rentable para España</w:t>
      </w:r>
      <w:r w:rsidRPr="0061182F">
        <w:rPr>
          <w:rFonts w:ascii="Times New Roman" w:hAnsi="Times New Roman" w:cs="Times New Roman"/>
          <w:sz w:val="24"/>
          <w:szCs w:val="24"/>
        </w:rPr>
        <w:t xml:space="preserve"> (The Objective - </w:t>
      </w:r>
      <w:r w:rsidRPr="0061182F">
        <w:rPr>
          <w:rFonts w:ascii="Times New Roman" w:hAnsi="Times New Roman" w:cs="Times New Roman"/>
          <w:b/>
          <w:sz w:val="24"/>
          <w:szCs w:val="24"/>
        </w:rPr>
        <w:t>11/8/25</w:t>
      </w:r>
      <w:r w:rsidRPr="0061182F">
        <w:rPr>
          <w:rFonts w:ascii="Times New Roman" w:hAnsi="Times New Roman" w:cs="Times New Roman"/>
          <w:sz w:val="24"/>
          <w:szCs w:val="24"/>
        </w:rPr>
        <w:t>)</w:t>
      </w:r>
    </w:p>
    <w:p w:rsidR="006A1F56" w:rsidRPr="0061182F"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182F">
        <w:rPr>
          <w:rFonts w:ascii="Times New Roman" w:hAnsi="Times New Roman" w:cs="Times New Roman"/>
          <w:sz w:val="24"/>
          <w:szCs w:val="24"/>
        </w:rPr>
        <w:t>Mientras España invierte 500 millones al año en integrar a no hispanohablantes, los hispanoamericanos llegan con</w:t>
      </w:r>
      <w:r>
        <w:rPr>
          <w:rFonts w:ascii="Times New Roman" w:hAnsi="Times New Roman" w:cs="Times New Roman"/>
          <w:sz w:val="24"/>
          <w:szCs w:val="24"/>
        </w:rPr>
        <w:t xml:space="preserve"> las herramientas ya en la mano”</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(Por Martín Varsavsky)</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Martín Varsavsky (Buenos Aires, 1960) es emprendedor e inversor tecnológico. Ha fundado compañías como Viatel, Jazztel y Fon, destacando en telecomunicaciones e Internet. También ha impulsado proyectos en biotecnología y movilidad, y ha invertido en decenas de startups tecnológicas.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España se encuentra en una encrucijada histórica. Mientras las pirámides demográficas se invierten y el sistema de pensiones cruje bajo el peso de una sociedad envejecida, la necesidad de inmigración no es ya una opción política, sino una realidad matemática ineludible. Pero no toda inmigración es igual. Los números más recientes revelan una verdad incómoda: la procedencia importa, y mucho.</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El Idioma como llave maestra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Hay algo casi mágico en la facilidad con que un venezolano entiende las instrucciones de un médico madrileño, o como una colombiana navega sin problemas los laberintos burocráticos de la Seguridad Social. No es casualidad: es el poder transformador de compartir una lengua y un código cultural.</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Mientras España invierte 500 millones de euros anuales en programas de integración para grupos no hispanohablantes, los hispanoamericanos llegan con las herramientas ya en la mano. No necesitan años de cursos de español, ni mediadores culturales que traduzcan no solo palabras, sino formas de entender el mundo.</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Los datos de la Fundación BBVA son elocuentes: el 85% de los hispanoamericanos se sienten plenamente integrados en cinco años frente a un 60% de los africanos. No es superioridad ni inferioridad: es compatibilidad.</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La Revolución Silenciosa del Empleo</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En las oficinas de la Seguridad Social, una revolución silenciosa está teniendo lugar. Los números de mayo de 2025 cuentan una historia fascinante: los venezolanos cotizan al 74% de su población activa. Imagínenselo: de cada 100 venezolanos en edad de trabajar, 74 están contribuyendo formalmente al sistema que pagará las pensiones del futuro. Los colombianos alcanzan el 65%, los peruanos el 66%.</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lastRenderedPageBreak/>
        <w:t>Contrasten esto con las cifras africanas: marroquíes al 38%, senegaleses al 35%, nigerianos al 35%. Los hispanoamericanos se insertan más rápidamente en la economía formal, esa que cotiza, esa que sostiene el Estado de bienestar.</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La diferencia son 3.500 millones de euros que los hispanoamericanos aportan anualmente a las arcas públicas, frente a los 1.800 millones de los africanos no comunitarios, con una población similar.</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El peso de los números ocultos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Detrás de cada estadística hay una historia humana y también una realidad fiscal. El 12% de los hogares hispanoamericanos depende del Ingreso Mínimo Vital, frente al 25% de los afri</w:t>
      </w:r>
      <w:r>
        <w:rPr>
          <w:rFonts w:ascii="Times New Roman" w:hAnsi="Times New Roman" w:cs="Times New Roman"/>
          <w:sz w:val="24"/>
          <w:szCs w:val="24"/>
        </w:rPr>
        <w:t>canos. No es una cuestión moral-</w:t>
      </w:r>
      <w:r w:rsidRPr="0061182F">
        <w:rPr>
          <w:rFonts w:ascii="Times New Roman" w:hAnsi="Times New Roman" w:cs="Times New Roman"/>
          <w:sz w:val="24"/>
          <w:szCs w:val="24"/>
        </w:rPr>
        <w:t>ambos grupos tienen</w:t>
      </w:r>
      <w:r>
        <w:rPr>
          <w:rFonts w:ascii="Times New Roman" w:hAnsi="Times New Roman" w:cs="Times New Roman"/>
          <w:sz w:val="24"/>
          <w:szCs w:val="24"/>
        </w:rPr>
        <w:t xml:space="preserve"> derecho a la protección social-</w:t>
      </w:r>
      <w:r w:rsidRPr="0061182F">
        <w:rPr>
          <w:rFonts w:ascii="Times New Roman" w:hAnsi="Times New Roman" w:cs="Times New Roman"/>
          <w:sz w:val="24"/>
          <w:szCs w:val="24"/>
        </w:rPr>
        <w:t>sino de sostenibilidad del sistema. Con una inmigración masiva africana el sistema se va a la ruina.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Cuando un Estado invierte en integración, espera un retorno. Los hispanoamericanos lo ofrecen más rápido: empleos formales en seis meses, vs. períodos de 6-12 meses de regularización para muchos africanos, durante los cuales el gasto público es inevitable, pero la contribución aún no llega.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La generación que viene</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Quizá el dato más revelador sea el que mira al futuro: el 17% de hijos de hispanoamericanos abandona la educación tempranamente, frente al 32% de hijos de africanos. Esta no es solo una cifra educativa; es el pronóstico de la España de 2040.</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Un joven colombiano de segunda generación que termina la universidad se convertirá en el médico, ingeniero o empresario que sostendrá el sistema cuando los baby boomers nativos se jubilen. Un joven que abandona los estudios, independientemente de su origen, se convierte en una oportunidad perdida para todos.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Criminalidad</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Los datos del Ministerio del Interior añaden una dimensión compleja: la tasa de imputación por cada 1.000 residentes es un 30% menor entre hispanoamericanos que entre africanos.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No se trata de estigmatizar, sino de reconocer la realidad que un cristiano que habla español es simplemente más productivo en su conjunto que otras alternativas.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Una estrategia, no un prejuicio</w:t>
      </w:r>
    </w:p>
    <w:p w:rsidR="006A1F56"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España no puede elegir quién llama a sus puertas, pero sí puede diseñar políticas que maximicen el beneficio mutuo.</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 xml:space="preserve">- </w:t>
      </w:r>
      <w:r w:rsidRPr="0061182F">
        <w:rPr>
          <w:rFonts w:ascii="Times New Roman" w:hAnsi="Times New Roman" w:cs="Times New Roman"/>
          <w:sz w:val="24"/>
          <w:szCs w:val="24"/>
          <w:u w:val="single"/>
        </w:rPr>
        <w:t>Radiografía de los menas en España: el 94% son varones y el 60% provienen de Marruecos</w:t>
      </w:r>
      <w:r w:rsidRPr="0061182F">
        <w:rPr>
          <w:rFonts w:ascii="Times New Roman" w:hAnsi="Times New Roman" w:cs="Times New Roman"/>
          <w:sz w:val="24"/>
          <w:szCs w:val="24"/>
        </w:rPr>
        <w:t xml:space="preserve"> (The Objective - </w:t>
      </w:r>
      <w:r w:rsidRPr="0061182F">
        <w:rPr>
          <w:rFonts w:ascii="Times New Roman" w:hAnsi="Times New Roman" w:cs="Times New Roman"/>
          <w:b/>
          <w:sz w:val="24"/>
          <w:szCs w:val="24"/>
        </w:rPr>
        <w:t>13/8/25</w:t>
      </w:r>
      <w:r w:rsidRPr="0061182F">
        <w:rPr>
          <w:rFonts w:ascii="Times New Roman" w:hAnsi="Times New Roman" w:cs="Times New Roman"/>
          <w:sz w:val="24"/>
          <w:szCs w:val="24"/>
        </w:rPr>
        <w:t>)</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Los menores y extutelados extranjeros se han disparado un 140% en cuatro años: de 7.878 en 2021 a 18.967 en 2025</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(Por Marcos Ondarra)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lastRenderedPageBreak/>
        <w:t>Los menas, acrónimo de menores extranjeros no acompañados, marcan el debate político en España de un tiempo a esta parte. El Gobierno de Pedro Sánchez, que ha decidido repartirlos por las Comunidades Autónomas con criterios dispares que perjudican al Partido Popular y benefician a sus socios separat</w:t>
      </w:r>
      <w:r>
        <w:rPr>
          <w:rFonts w:ascii="Times New Roman" w:hAnsi="Times New Roman" w:cs="Times New Roman"/>
          <w:sz w:val="24"/>
          <w:szCs w:val="24"/>
        </w:rPr>
        <w:t>istas, se refiere a ellos como “niños y niñas” que “huyen de la guerra”</w:t>
      </w:r>
      <w:r w:rsidRPr="0061182F">
        <w:rPr>
          <w:rFonts w:ascii="Times New Roman" w:hAnsi="Times New Roman" w:cs="Times New Roman"/>
          <w:sz w:val="24"/>
          <w:szCs w:val="24"/>
        </w:rPr>
        <w:t>. Sin embargo, los datos del Observatorio Permanente de la Inmigración (OPI), dependiente del Ministerio de Inclusión, Seguridad Social y Migraciones, muestran otra realidad.</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Estos evidencian que la mayor parte de los menas que acoge nuestro país provienen de Marruecos, en donde no existe ningún conflicto bélico ni hay persecuciones que justifiquen un éxodo. Les siguen los provenientes de Gambia (12%), Argelia (9%) y Senegal (6%), señal de una falta de control efectivo en la presión migratoria proveniente del norte de África. Además, casi todos ellos son varones. Entre los inmigrantes de Iberoamérica, sin embargo, abundan las mujeres. Ellas son el 62% de las personas que proceden de Honduras, el 67% de Brasil o el 61% de Colombia.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En concreto, el número de menas y jóvenes extutelados se ha disparado recientemente, pasando de 7.878 en junio de 2021 a 18.967 en marzo de 2025, un aumento del 140,7% en tan solo cuatro años. De estos, 11.225 son marroquíes (el 59%). Por sexos, solo el 6% son mujeres. Y en cuanto a la edad media, esta oscila los 19 años, siendo los más mayores los que proceden de Ghana (21), Marruecos (20) y Nigeria (20).</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La penúltima reforma de la ley de extranjería, que se acometió en octubre de 2021, tenía como objetivo que el permiso de residencia de los menas no expirara a los 18 años. El Gobierno defendió entonces su pertinencia, y aseveró que no produciría un «efecto llamada». Sin embargo, el número de adscritos al Registro Central de Extranjeros (RCE) ha aumentado de una forma brutal desde entonces. El 31 de diciembre de 2021, había 5.718 de entre 18 y 23 años con autorización de residencia como menores no acompañados o jóvenes extutelados. A 31 de diciembre de 2023, este número ha ascendido a 15.971 personas; un crecimiento del 179,3% en cuatro años.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Baja inserción laboral</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En cuanto a la última reforma de esta norma, que entró en vigor en mayo de este año, esta contempla que los jóvenes extutelados que cumplan 18 años pueden solicitar autorizaciones de trabajo con menos trabas burocráticas, con el objetivo de mejorar su inserción laboral. Sin embargo, en la actualidad, el 43% de los menas y extutelados con permiso de trabajo (8.204) no están empleados ni cotizan a la Seguridad Social. Las cifras son aún peores entre los menas de 16 a 17 años: de los 2.996 con autorización para trabajar, sólo 299 (un 10%) están afiliados a la Seguridad Social.</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En cuanto a las principales actividades de este colectivo, destacan la hostelería (27%), las actividades administrativas y servicios auxiliares (15%) y la construcción (12%).</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Crisis política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El reparto de menas desde las Islas Canarias a toda la península, que ha comenzado esta semana, está siendo objeto de polémica, por cuanto el Gobierno de Pedro Sánchez ha decidido qué País Vasco y Cataluña, en donde se ubican sus socios parlamentarios, se vean exentos del deber de acogerlos. También por la opacidad con la que el Ejecutivo está gestionando esta situación, sin informar con anterioridad de a dó</w:t>
      </w:r>
      <w:r>
        <w:rPr>
          <w:rFonts w:ascii="Times New Roman" w:hAnsi="Times New Roman" w:cs="Times New Roman"/>
          <w:sz w:val="24"/>
          <w:szCs w:val="24"/>
        </w:rPr>
        <w:t>nde se destinarán alegando que -</w:t>
      </w:r>
      <w:r w:rsidRPr="0061182F">
        <w:rPr>
          <w:rFonts w:ascii="Times New Roman" w:hAnsi="Times New Roman" w:cs="Times New Roman"/>
          <w:sz w:val="24"/>
          <w:szCs w:val="24"/>
        </w:rPr>
        <w:t>en palabras de Elma Saiz, la ministra de Inclusión,</w:t>
      </w:r>
      <w:r>
        <w:rPr>
          <w:rFonts w:ascii="Times New Roman" w:hAnsi="Times New Roman" w:cs="Times New Roman"/>
          <w:sz w:val="24"/>
          <w:szCs w:val="24"/>
        </w:rPr>
        <w:t xml:space="preserve"> Seguridad Social y Migraciones-</w:t>
      </w:r>
      <w:r w:rsidRPr="0061182F">
        <w:rPr>
          <w:rFonts w:ascii="Times New Roman" w:hAnsi="Times New Roman" w:cs="Times New Roman"/>
          <w:sz w:val="24"/>
          <w:szCs w:val="24"/>
        </w:rPr>
        <w:t xml:space="preserve"> han </w:t>
      </w:r>
      <w:r w:rsidRPr="0061182F">
        <w:rPr>
          <w:rFonts w:ascii="Times New Roman" w:hAnsi="Times New Roman" w:cs="Times New Roman"/>
          <w:sz w:val="24"/>
          <w:szCs w:val="24"/>
        </w:rPr>
        <w:lastRenderedPageBreak/>
        <w:t>tenido que retirar «una pancarta nazi que pedía su expulsión». Sin embargo, los socialistas no han especificado dónde la han hallado.</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Sea como fuere, la situación en Canarias es insostenible. Con 8.500 menas bajo su tutela, las islas acogen a más menores extranjeros que Grecia, Marruecos o que todos los ayuntamientos del Reino Unido juntos. Por poner un ejemplo clarificador, el número total de menas que viven en algún tipo de estructura estatal griega, según el gobierno de ese país, es de 2.641, de los que 58</w:t>
      </w:r>
      <w:r>
        <w:rPr>
          <w:rFonts w:ascii="Times New Roman" w:hAnsi="Times New Roman" w:cs="Times New Roman"/>
          <w:sz w:val="24"/>
          <w:szCs w:val="24"/>
        </w:rPr>
        <w:t>5 son egipcios. PP denuncia la “imposición”</w:t>
      </w:r>
      <w:r w:rsidRPr="0061182F">
        <w:rPr>
          <w:rFonts w:ascii="Times New Roman" w:hAnsi="Times New Roman" w:cs="Times New Roman"/>
          <w:sz w:val="24"/>
          <w:szCs w:val="24"/>
        </w:rPr>
        <w:t xml:space="preserve"> del PSOE y sus socios en el reparto y Vox, pide que el problema se ataje de origen.</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 xml:space="preserve">- </w:t>
      </w:r>
      <w:r w:rsidRPr="0061182F">
        <w:rPr>
          <w:rFonts w:ascii="Times New Roman" w:hAnsi="Times New Roman" w:cs="Times New Roman"/>
          <w:sz w:val="24"/>
          <w:szCs w:val="24"/>
          <w:u w:val="single"/>
        </w:rPr>
        <w:t>Los extranjeros suman el 40% del empleo desde la reforma laboral: la mitad son camareros, comerciales o barrenderos</w:t>
      </w:r>
      <w:r w:rsidRPr="0061182F">
        <w:rPr>
          <w:rFonts w:ascii="Times New Roman" w:hAnsi="Times New Roman" w:cs="Times New Roman"/>
          <w:sz w:val="24"/>
          <w:szCs w:val="24"/>
        </w:rPr>
        <w:t xml:space="preserve"> (El Economista - </w:t>
      </w:r>
      <w:r w:rsidRPr="0061182F">
        <w:rPr>
          <w:rFonts w:ascii="Times New Roman" w:hAnsi="Times New Roman" w:cs="Times New Roman"/>
          <w:b/>
          <w:sz w:val="24"/>
          <w:szCs w:val="24"/>
        </w:rPr>
        <w:t>14/8/25</w:t>
      </w:r>
      <w:r w:rsidRPr="0061182F">
        <w:rPr>
          <w:rFonts w:ascii="Times New Roman" w:hAnsi="Times New Roman" w:cs="Times New Roman"/>
          <w:sz w:val="24"/>
          <w:szCs w:val="24"/>
        </w:rPr>
        <w:t>)</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Se mantienen por encima de los 3 millones tras crecer un 7% en un año</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Ganan peso en los sectores de alto va</w:t>
      </w:r>
      <w:r>
        <w:rPr>
          <w:rFonts w:ascii="Times New Roman" w:hAnsi="Times New Roman" w:cs="Times New Roman"/>
          <w:sz w:val="24"/>
          <w:szCs w:val="24"/>
        </w:rPr>
        <w:t>lor añadido pero el grueso son “precarios”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(Por Javier Esteban)</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 xml:space="preserve">La Seguridad Social registró en julio un total de 3.096.015 afiliados extranjeros, tras sumar 198.585 ocupados en los últimos doce meses, un 6,86%, según ha informado el Ministerio de Inclusión y Seguridad Social </w:t>
      </w:r>
      <w:r>
        <w:rPr>
          <w:rFonts w:ascii="Times New Roman" w:hAnsi="Times New Roman" w:cs="Times New Roman"/>
          <w:sz w:val="24"/>
          <w:szCs w:val="24"/>
        </w:rPr>
        <w:t>y Migraciones, que destaca que “</w:t>
      </w:r>
      <w:r w:rsidRPr="0061182F">
        <w:rPr>
          <w:rFonts w:ascii="Times New Roman" w:hAnsi="Times New Roman" w:cs="Times New Roman"/>
          <w:sz w:val="24"/>
          <w:szCs w:val="24"/>
        </w:rPr>
        <w:t>más del 40% del empleo desde la reforma laboral creado corresponde a estos trabajadores</w:t>
      </w:r>
      <w:r>
        <w:rPr>
          <w:rFonts w:ascii="Times New Roman" w:hAnsi="Times New Roman" w:cs="Times New Roman"/>
          <w:sz w:val="24"/>
          <w:szCs w:val="24"/>
        </w:rPr>
        <w:t>”</w:t>
      </w:r>
      <w:r w:rsidRPr="0061182F">
        <w:rPr>
          <w:rFonts w:ascii="Times New Roman" w:hAnsi="Times New Roman" w:cs="Times New Roman"/>
          <w:sz w:val="24"/>
          <w:szCs w:val="24"/>
        </w:rPr>
        <w:t>. Sin embargo, se siguen concentrando en las actividades que exigen menos cualificación y conllevan sueldos más bajos. El 21% está en hostelería, el 16% en actividades comerciales y el 11% en servicios auxiliares, una categoría que incluye trabajos como los de barrederos porteros de fincas o limpiadores. Otro 11% trabaja en la construcción.</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El departamento qu</w:t>
      </w:r>
      <w:r>
        <w:rPr>
          <w:rFonts w:ascii="Times New Roman" w:hAnsi="Times New Roman" w:cs="Times New Roman"/>
          <w:sz w:val="24"/>
          <w:szCs w:val="24"/>
        </w:rPr>
        <w:t>e dirige Elma Saiz destaca que “</w:t>
      </w:r>
      <w:r w:rsidRPr="0061182F">
        <w:rPr>
          <w:rFonts w:ascii="Times New Roman" w:hAnsi="Times New Roman" w:cs="Times New Roman"/>
          <w:sz w:val="24"/>
          <w:szCs w:val="24"/>
        </w:rPr>
        <w:t>son 1.069.456 cotizantes fo</w:t>
      </w:r>
      <w:r>
        <w:rPr>
          <w:rFonts w:ascii="Times New Roman" w:hAnsi="Times New Roman" w:cs="Times New Roman"/>
          <w:sz w:val="24"/>
          <w:szCs w:val="24"/>
        </w:rPr>
        <w:t>ráneos más que en junio de 2018”</w:t>
      </w:r>
      <w:r w:rsidRPr="0061182F">
        <w:rPr>
          <w:rFonts w:ascii="Times New Roman" w:hAnsi="Times New Roman" w:cs="Times New Roman"/>
          <w:sz w:val="24"/>
          <w:szCs w:val="24"/>
        </w:rPr>
        <w:t xml:space="preserve"> (fecha en la que Pedro Sánchez llegó a La Moncloa) y representan ya el 14,2% de afiliados del sistema. Asimismo, destaca que cada vez más tiene presencia en sectores de alto valor añadido. Aunque esto depende de cómo se estime.</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En consonancia con lo que ocurre con los trabajadores nativos, un 84% de los afiliados extranjeros se encuadraron en el Régimen General de la Seguridad Social, alcanzando los 2.597.825 trabajadores. Los sectores que registran mayor presencia de trabajadores procedentes de otros países son: Hostelería (29,9%), Actividades de Organizaciones y Organismos Extraterritoriales (28,3%), Agricultura (25,2%), Construcción (22,3%), Actividades Administrativas (17,6%), Transporte y Almacenamiento (17,4%) y Actividades Inmobiliarias (147%), pero</w:t>
      </w:r>
      <w:r>
        <w:rPr>
          <w:rFonts w:ascii="Times New Roman" w:hAnsi="Times New Roman" w:cs="Times New Roman"/>
          <w:sz w:val="24"/>
          <w:szCs w:val="24"/>
        </w:rPr>
        <w:t xml:space="preserve"> también entre los denominados “</w:t>
      </w:r>
      <w:r w:rsidRPr="0061182F">
        <w:rPr>
          <w:rFonts w:ascii="Times New Roman" w:hAnsi="Times New Roman" w:cs="Times New Roman"/>
          <w:sz w:val="24"/>
          <w:szCs w:val="24"/>
        </w:rPr>
        <w:t>sectores de alto valor aña</w:t>
      </w:r>
      <w:r>
        <w:rPr>
          <w:rFonts w:ascii="Times New Roman" w:hAnsi="Times New Roman" w:cs="Times New Roman"/>
          <w:sz w:val="24"/>
          <w:szCs w:val="24"/>
        </w:rPr>
        <w:t>dido”</w:t>
      </w:r>
      <w:r w:rsidRPr="0061182F">
        <w:rPr>
          <w:rFonts w:ascii="Times New Roman" w:hAnsi="Times New Roman" w:cs="Times New Roman"/>
          <w:sz w:val="24"/>
          <w:szCs w:val="24"/>
        </w:rPr>
        <w:t xml:space="preserve"> como Información y Comunicaciones (12,2%), Actividades Artísticas (11,2%) y Científicas y Técnicas (10%).</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Sin embargo, si cotejamos cómo se reparten los extranjeros en estos sectores, la cosa cambia: los trabajadores en el sector TIC apenas son el 3,8% del total de foráneos, y los de las actividades de ocio y cultura se quedan en el 0,8%. Eso sí, los profesiones de Actividades científicas y Técnicas son el 4,86%. El grueso, como decíamos, se sigue concentrando en Hostelería, Comercio, Servicios auxiliares y Construcción., seguidos de la industria manufacturera (un 8% del total de foráneos) actividades sanitarias y de cuidados y educación. Por su parte, la agricultura apenas aporta el 1,7% de sus empleos, según los datos de la Tesorería de Seguridad Social.</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lastRenderedPageBreak/>
        <w:t>El aumento de asalariados extranjeros, en los últimos 12 meses se sitúa en el 6,94%. Diez sectores se sitúan por encima de la media, los que más crecen son Transporte y Almacenamiento (30,2%), Suministro de Agua (12,6%), Construcción (10,8%), Industria Manufacturera (9,3%) e Industrias Extractivas (9,2%).</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Inclusión destaca también el crecimiento en actividades de alto valor añadido: Actividades Financieras (8,1%), Actividades Profesionales, Científicas y Técnicas (6,3%) e Información y Comunicaciones (5,7%, si bien en estos dos últimos casos se sitúan por debajo del crecimiento medio del Régimen General. Eso sí, la evolución del empleo extranjero en estos sectores sigue una dinámica similar al general, si bien no es suficiente para cerrarla brecha en la calidad de los empleos. No olvidemos que la tasa de sobrecualificación de los trabajadores extranjeros supera en veinte puntos la de los nacionales.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Del conjunto, el 31% son trabajadores de países de la Unión Europea. Por países, el mayor número de cotizantes proviene de Marruecos, seguido por Rumanía, Colombia, Italia, Venezuela y China.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Récord de autónomos extranjeros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Pero no solo los asalariados crecen. La afiliación de trabajadores por cuenta propia de otros países ha alcanzado en junio un nuevo máximo histórico: 486.905 personas, un 6,4% más que hace un año.</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Este crecimiento se dispara en sectores altamente cualificados: en el último año, el número de trabajadores extranjeros por cuenta propia ha aumentado un 29,7% en Información y Comunicaciones y un 17,7% en Actividades Profesionales, Científicas y Técnicas. Esto lleva a que el récord de trabajadores se reparta en los principales regímenes por cuenta ajena y propia, si bien fuera de estos dos su presencia es residual.</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noProof/>
          <w:sz w:val="24"/>
          <w:szCs w:val="24"/>
          <w:lang w:eastAsia="es-ES"/>
        </w:rPr>
        <w:drawing>
          <wp:inline distT="0" distB="0" distL="0" distR="0" wp14:anchorId="00872A84" wp14:editId="5C76C00D">
            <wp:extent cx="5289550" cy="3530600"/>
            <wp:effectExtent l="0" t="0" r="6350" b="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5287113" cy="3528973"/>
                    </a:xfrm>
                    <a:prstGeom prst="rect">
                      <a:avLst/>
                    </a:prstGeom>
                  </pic:spPr>
                </pic:pic>
              </a:graphicData>
            </a:graphic>
          </wp:inline>
        </w:drawing>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 xml:space="preserve">Estos datos se publican en un momento de confrontación política en materia de inmigración, tras los disturbios en Torre Pacheco y unos días después de PP y Vox pactaran una polémica </w:t>
      </w:r>
      <w:r w:rsidRPr="0061182F">
        <w:rPr>
          <w:rFonts w:ascii="Times New Roman" w:hAnsi="Times New Roman" w:cs="Times New Roman"/>
          <w:sz w:val="24"/>
          <w:szCs w:val="24"/>
        </w:rPr>
        <w:lastRenderedPageBreak/>
        <w:t>moción en Jumilla para impedir la celebración de festividades musulmanas en la localidad, algo que Elma Saiz, la responsable también en este apartado, no ha dejado de analizar en su valoración de los datos.</w:t>
      </w:r>
    </w:p>
    <w:p w:rsidR="006A1F56" w:rsidRPr="0061182F"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182F">
        <w:rPr>
          <w:rFonts w:ascii="Times New Roman" w:hAnsi="Times New Roman" w:cs="Times New Roman"/>
          <w:sz w:val="24"/>
          <w:szCs w:val="24"/>
        </w:rPr>
        <w:t>España es un país que acoge e integra, y la cifra de más de tres millones de trabajadores extranjeros demuestra que han elegido nuestro país para desarrollar su vida y su talento, contribuyendo a que la economía crezc</w:t>
      </w:r>
      <w:r>
        <w:rPr>
          <w:rFonts w:ascii="Times New Roman" w:hAnsi="Times New Roman" w:cs="Times New Roman"/>
          <w:sz w:val="24"/>
          <w:szCs w:val="24"/>
        </w:rPr>
        <w:t>a y a garantizar nuestro futuro”</w:t>
      </w:r>
      <w:r w:rsidRPr="0061182F">
        <w:rPr>
          <w:rFonts w:ascii="Times New Roman" w:hAnsi="Times New Roman" w:cs="Times New Roman"/>
          <w:sz w:val="24"/>
          <w:szCs w:val="24"/>
        </w:rPr>
        <w:t xml:space="preserve"> ha remarcado la mini</w:t>
      </w:r>
      <w:r>
        <w:rPr>
          <w:rFonts w:ascii="Times New Roman" w:hAnsi="Times New Roman" w:cs="Times New Roman"/>
          <w:sz w:val="24"/>
          <w:szCs w:val="24"/>
        </w:rPr>
        <w:t>stra, quien ha incidido en que “</w:t>
      </w:r>
      <w:r w:rsidRPr="0061182F">
        <w:rPr>
          <w:rFonts w:ascii="Times New Roman" w:hAnsi="Times New Roman" w:cs="Times New Roman"/>
          <w:sz w:val="24"/>
          <w:szCs w:val="24"/>
        </w:rPr>
        <w:t>cada vez más personas de otros países trabajan en sectores de alto valor añadido, donde su experiencia y capacidades s</w:t>
      </w:r>
      <w:r>
        <w:rPr>
          <w:rFonts w:ascii="Times New Roman" w:hAnsi="Times New Roman" w:cs="Times New Roman"/>
          <w:sz w:val="24"/>
          <w:szCs w:val="24"/>
        </w:rPr>
        <w:t>on imprescindibles para avanzar”</w:t>
      </w:r>
      <w:r w:rsidRPr="0061182F">
        <w:rPr>
          <w:rFonts w:ascii="Times New Roman" w:hAnsi="Times New Roman" w:cs="Times New Roman"/>
          <w:sz w:val="24"/>
          <w:szCs w:val="24"/>
        </w:rPr>
        <w:t>.</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Eso sí, los daros de su departamento confirman que aún queda mucho por hacer para que las oportunidades laborales de los extranjeros se repartan de manera similar a la del resto de trabajadores.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 xml:space="preserve">- </w:t>
      </w:r>
      <w:r w:rsidRPr="0061182F">
        <w:rPr>
          <w:rFonts w:ascii="Times New Roman" w:hAnsi="Times New Roman" w:cs="Times New Roman"/>
          <w:sz w:val="24"/>
          <w:szCs w:val="24"/>
          <w:u w:val="single"/>
        </w:rPr>
        <w:t>Los presos extranjeros superan a los españoles entre los menores de 22 años</w:t>
      </w:r>
      <w:r w:rsidRPr="0061182F">
        <w:rPr>
          <w:rFonts w:ascii="Times New Roman" w:hAnsi="Times New Roman" w:cs="Times New Roman"/>
          <w:sz w:val="24"/>
          <w:szCs w:val="24"/>
        </w:rPr>
        <w:t xml:space="preserve"> (The Objective - </w:t>
      </w:r>
      <w:r w:rsidRPr="0061182F">
        <w:rPr>
          <w:rFonts w:ascii="Times New Roman" w:hAnsi="Times New Roman" w:cs="Times New Roman"/>
          <w:b/>
          <w:sz w:val="24"/>
          <w:szCs w:val="24"/>
        </w:rPr>
        <w:t>17/8/25</w:t>
      </w:r>
      <w:r w:rsidRPr="0061182F">
        <w:rPr>
          <w:rFonts w:ascii="Times New Roman" w:hAnsi="Times New Roman" w:cs="Times New Roman"/>
          <w:sz w:val="24"/>
          <w:szCs w:val="24"/>
        </w:rPr>
        <w:t>)</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672 de los 1.207 delincuentes jóvenes encarcelados en España, sin contar País Vasco y Cataluña, han nacido en otro país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(Por Marcos Ondarra)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En España ya hay más presos extranjeros que nacionales entre los menores de 22 años. En la actualidad, hay 1.207 delincuentes jóvenes en las cárceles españolas, de los cuales 535 nacieron en nuestro país y 672 (el 55,68%) provienen de otro. Así se desprende de una resolución de Transparencia a la que ha tenido acceso en exclusiva T</w:t>
      </w:r>
      <w:r>
        <w:rPr>
          <w:rFonts w:ascii="Times New Roman" w:hAnsi="Times New Roman" w:cs="Times New Roman"/>
          <w:sz w:val="24"/>
          <w:szCs w:val="24"/>
        </w:rPr>
        <w:t>he Objective</w:t>
      </w:r>
      <w:r w:rsidRPr="0061182F">
        <w:rPr>
          <w:rFonts w:ascii="Times New Roman" w:hAnsi="Times New Roman" w:cs="Times New Roman"/>
          <w:sz w:val="24"/>
          <w:szCs w:val="24"/>
        </w:rPr>
        <w:t>, y que está firmada por el secretario general de Instituciones Penitenciarias, Ángel Luis Ortiz González.</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Resolución de Transparencia facilitada por Instituciones Penitenciarias sobre la población joven reclusa en España.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El documento disgrega a los presos por nacionalidad, sexo y comunidades autónomas. En este último sentido, Andalucía es la región con más presos menores de 22 años: 285. De estos, 140 son extranjeros y 145 son españoles, cerca de la paridad. La siguen de cerca la Comunidad de Madrid (212 reos en total) y la Comunidad Valenciana (151), en donde la tasa de extranjeros reos se dispara hasta el 66,04% y el 60,93%, respectivamente.</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Sin embargo, Islas Baleares y Navarra son las dos autonomías que cuentan con un mayor porcentaje de población reclusa extranjera. Respectivamente, 53 de 68 (77,94%) y 16 de 22 (72,73%) son foráneos. Por otro lado, Asturias, Cantabria, Extremadura y La Rioja destacan por la prevalencia de nacionales entre barrotes: 56 de 68 sumando todas las regiones, que son las que registran menores índices de criminalidad en España.</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Cataluña y País Vasco</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 xml:space="preserve">Los datos facilitados por Instituciones Penitenciarias no incluyen País Vasco ni Cataluña, por cuanto tienen transferidas las competencias. En caso de que se computaran, el porcentaje de población reclusa joven y extranjera se dispararía. De los 511 jóvenes presos en cárceles catalanas, 386 nacieron en otro país. Esto es, el 75,93%. Entre los extranjeros, destaca la nacionalidad marroquí, con 236 presos (46,18% del total de esta franja de edad). Los principales delitos cometidos por estos jóvenes marroquíes son contra el patrimonio, especialmente robos con violencia e intimidación (138), hurtos (11) y robos en casas </w:t>
      </w:r>
      <w:r w:rsidRPr="0061182F">
        <w:rPr>
          <w:rFonts w:ascii="Times New Roman" w:hAnsi="Times New Roman" w:cs="Times New Roman"/>
          <w:sz w:val="24"/>
          <w:szCs w:val="24"/>
        </w:rPr>
        <w:lastRenderedPageBreak/>
        <w:t>habitadas (13). También se registran delitos contra la libertad sexual (4,24%) y lesiones (4,24%). Todos los reclusos marroquíes en esta franja son hombres, y se concentran principalmente en la Presó de Joves de La Roca del Vallès (107).</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En cuanto al País Vasco, no hay datos oficiales desglosados por nacionalidad para presos menores de 22 años. Sin embargo, se sabe que en el centro de menores de Ibaiondo en Zumarraga, según los últimos registros, hay 29 internos, de los cuales 11 son españoles (37,93%) y 18 extranjeros (62,07%): siete de Marruecos, seis de Colombia, dos de Argelia y un interno de Camerún, Cuba y Nicaragua. Los robos y las violaciones son los delitos más comunes entre los menores ahí internos, según informó en su día El Diario Vasco.</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Los presos adultos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Los datos evidencian un problema con las nuevas generaciones de inmigrantes, ya que en el resto de segmentos poblaciones los españoles siguen siendo mayoría: el 67,35%. De hecho, Cataluña es la única región de toda España en la que los presos extranjeros superan a los nacionales. Según el Departamento de Justicia de la Generalitat, en la región hay ya 8.594 personas en la cárcel. De éstas, 4.437 (el 51,83%) son extranjeras.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La situación de Cataluña es tan límite que ya acapara miradas internacionales. Según el informe SPACE I 2024 del Consejo de Europa, la administración penitenciaria catalana es una de las regiones con mayor porcentaje de presos extranjeros en Europa, solo superada por administraciones como Luxemburgo (78%), Suiza (71%), Grecia (57%), Chipre (55%), Austria (51%), Malta (49%) y Bélgica (42%) en países con más de 500.000 habitantes.</w:t>
      </w:r>
    </w:p>
    <w:p w:rsidR="006A1F56" w:rsidRPr="0061182F" w:rsidRDefault="006A1F56" w:rsidP="006A1F56">
      <w:pPr>
        <w:spacing w:line="240" w:lineRule="auto"/>
        <w:jc w:val="both"/>
        <w:rPr>
          <w:rFonts w:ascii="Times New Roman" w:hAnsi="Times New Roman" w:cs="Times New Roman"/>
          <w:sz w:val="24"/>
          <w:szCs w:val="24"/>
        </w:rPr>
      </w:pPr>
      <w:r w:rsidRPr="0061182F">
        <w:rPr>
          <w:rFonts w:ascii="Times New Roman" w:hAnsi="Times New Roman" w:cs="Times New Roman"/>
          <w:sz w:val="24"/>
          <w:szCs w:val="24"/>
        </w:rPr>
        <w:t>Otras regiones españolas que presentan un alto índice de extranjeros en sus cárceles son la Comunidad de Madrid, con un 42% de reos que no son nacionales, según datos del Ministerio del Interior, una proporción significativamente alta respecto a la población general. Le siguen Andalucía, con un porcentaje similar al madrileño y 2.652 presos extranjeros, y la Comunidad Valenciana, la cuarta región con una mayor presencia de reclusos extranjeros: 1.845 de un total de 5.800 en septiembre de 2024.</w:t>
      </w:r>
    </w:p>
    <w:p w:rsidR="006A1F56" w:rsidRPr="00DD27CB" w:rsidRDefault="006A1F56" w:rsidP="006A1F56">
      <w:pPr>
        <w:spacing w:line="240" w:lineRule="auto"/>
        <w:jc w:val="both"/>
        <w:rPr>
          <w:rFonts w:ascii="Times New Roman" w:hAnsi="Times New Roman" w:cs="Times New Roman"/>
          <w:color w:val="FF0000"/>
          <w:sz w:val="24"/>
          <w:szCs w:val="24"/>
        </w:rPr>
      </w:pPr>
      <w:r w:rsidRPr="00DD27CB">
        <w:rPr>
          <w:rFonts w:ascii="Times New Roman" w:hAnsi="Times New Roman" w:cs="Times New Roman"/>
          <w:b/>
          <w:color w:val="FF0000"/>
          <w:sz w:val="24"/>
          <w:szCs w:val="24"/>
        </w:rPr>
        <w:t>Nota I</w:t>
      </w:r>
      <w:r w:rsidRPr="00DD27CB">
        <w:rPr>
          <w:rFonts w:ascii="Times New Roman" w:hAnsi="Times New Roman" w:cs="Times New Roman"/>
          <w:color w:val="FF0000"/>
          <w:sz w:val="24"/>
          <w:szCs w:val="24"/>
        </w:rPr>
        <w:t>: El costo diario de un MENA para el estado español es variable, pero se estima alrededor de los 100 euros al día según el gobierno central, aunque este monto puede ser mayor (hasta 140€ o incluso 300€) dependiendo de la complejidad del caso (discapacidad, problemas de conducta o drogadicción). Este dinero cubre la atención integral, la plaza de acogida y las infraestructuras necesarias, y se distribuye entre las Comunidades Autónomas que reciben un pago base y una financiación adicional por el acogimiento de estos menores. (Fuente: Google - Vista creada con IA)</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Desglose del Costo:</w:t>
      </w:r>
    </w:p>
    <w:p w:rsidR="006A1F56" w:rsidRPr="00AC2000"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el Gobierno Central: </w:t>
      </w:r>
      <w:r w:rsidRPr="00AC2000">
        <w:rPr>
          <w:rFonts w:ascii="Times New Roman" w:hAnsi="Times New Roman" w:cs="Times New Roman"/>
          <w:sz w:val="24"/>
          <w:szCs w:val="24"/>
        </w:rPr>
        <w:t xml:space="preserve">El Gobierno paga más de 100 euros al día por cada MENA acogido, además de un plus a cada Comunidad Autónoma. </w:t>
      </w:r>
    </w:p>
    <w:p w:rsidR="006A1F56" w:rsidRPr="00AC2000"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las Comunidades Autónomas: </w:t>
      </w:r>
      <w:r w:rsidRPr="00AC2000">
        <w:rPr>
          <w:rFonts w:ascii="Times New Roman" w:hAnsi="Times New Roman" w:cs="Times New Roman"/>
          <w:sz w:val="24"/>
          <w:szCs w:val="24"/>
        </w:rPr>
        <w:t xml:space="preserve">Aunque las cifras varían, algunos informes indican que los costes pueden ser significativamente más elevados. Por ejemplo, en algunas comunidades el costo de una plaza puede ascender hasta los 140€ o incluso 300€ al día, especialmente si el menor presenta discapacidad o problemas de conducta y consumo de drogas. </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Factores que influyen en el costo:</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El precio exacto depende del tipo de atención que necesite el menor, incluyendo:</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lastRenderedPageBreak/>
        <w:t xml:space="preserve">Discapacidad: Los menores con discapacidad o grandes discapacidades tienen un coste superior. </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 xml:space="preserve">Problemas de conducta y adicciones: La atención a menores con problemas de conducta o consumo de drogas también eleva el costo. </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 xml:space="preserve">Infraestructuras: La inversión incluye los costes de las plazas de acogida y de nuevas infraestructuras. </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Información Adicional:</w:t>
      </w:r>
    </w:p>
    <w:p w:rsidR="006A1F56" w:rsidRPr="00AC2000"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es una paga directa: </w:t>
      </w:r>
      <w:r w:rsidRPr="00AC2000">
        <w:rPr>
          <w:rFonts w:ascii="Times New Roman" w:hAnsi="Times New Roman" w:cs="Times New Roman"/>
          <w:sz w:val="24"/>
          <w:szCs w:val="24"/>
        </w:rPr>
        <w:t xml:space="preserve">El dinero no se entrega al menor en efectivo, sino que se utiliza para costear la atención y los servicios que reciben. </w:t>
      </w:r>
    </w:p>
    <w:p w:rsidR="006A1F56"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Financiación: </w:t>
      </w:r>
      <w:r w:rsidRPr="00AC2000">
        <w:rPr>
          <w:rFonts w:ascii="Times New Roman" w:hAnsi="Times New Roman" w:cs="Times New Roman"/>
          <w:sz w:val="24"/>
          <w:szCs w:val="24"/>
        </w:rPr>
        <w:t>La financiación de estas prestaciones proviene del Ministerio de Derechos Sociales.</w:t>
      </w:r>
    </w:p>
    <w:p w:rsidR="006A1F56" w:rsidRPr="00AC2000"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C2000">
        <w:rPr>
          <w:rFonts w:ascii="Times New Roman" w:hAnsi="Times New Roman" w:cs="Times New Roman"/>
          <w:sz w:val="24"/>
          <w:szCs w:val="24"/>
          <w:u w:val="single"/>
        </w:rPr>
        <w:t>El Gobierno ofrece a las regiones más de 36.000 euros al</w:t>
      </w:r>
      <w:r>
        <w:rPr>
          <w:rFonts w:ascii="Times New Roman" w:hAnsi="Times New Roman" w:cs="Times New Roman"/>
          <w:sz w:val="24"/>
          <w:szCs w:val="24"/>
          <w:u w:val="single"/>
        </w:rPr>
        <w:t xml:space="preserve"> año (y un plus) por cada mena “</w:t>
      </w:r>
      <w:r w:rsidRPr="00AC2000">
        <w:rPr>
          <w:rFonts w:ascii="Times New Roman" w:hAnsi="Times New Roman" w:cs="Times New Roman"/>
          <w:sz w:val="24"/>
          <w:szCs w:val="24"/>
          <w:u w:val="single"/>
        </w:rPr>
        <w:t>acogido</w:t>
      </w:r>
      <w:r>
        <w:rPr>
          <w:rFonts w:ascii="Times New Roman" w:hAnsi="Times New Roman" w:cs="Times New Roman"/>
          <w:sz w:val="24"/>
          <w:szCs w:val="24"/>
        </w:rPr>
        <w:t xml:space="preserve">” (gaceta.es - </w:t>
      </w:r>
      <w:r w:rsidRPr="00AC2000">
        <w:rPr>
          <w:rFonts w:ascii="Times New Roman" w:hAnsi="Times New Roman" w:cs="Times New Roman"/>
          <w:b/>
          <w:sz w:val="24"/>
          <w:szCs w:val="24"/>
        </w:rPr>
        <w:t>10/7/24</w:t>
      </w:r>
      <w:r>
        <w:rPr>
          <w:rFonts w:ascii="Times New Roman" w:hAnsi="Times New Roman" w:cs="Times New Roman"/>
          <w:sz w:val="24"/>
          <w:szCs w:val="24"/>
        </w:rPr>
        <w:t>)</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Este miércoles en Tenerife, durante la conferencia sectorial entre el Gobierno y las comunidades autónomas, el Ejecutivo buscará convencer a las regiones de recibir a los menores migrantes no acompañados (menas) que se encuentran en Canarias mediante incentivos económicos. Esta iniciativa responde a una de las principales demandas del Partido Popular, que ha insistido al Gobierno en la necesidad de más fondos para garantizar una acogida adecuada.</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Las autoridades han confirmado que cada menor recibirá más de 100 euros diarios, además de un in</w:t>
      </w:r>
      <w:r>
        <w:rPr>
          <w:rFonts w:ascii="Times New Roman" w:hAnsi="Times New Roman" w:cs="Times New Roman"/>
          <w:sz w:val="24"/>
          <w:szCs w:val="24"/>
        </w:rPr>
        <w:t>centivo adicional basado en el “esfuerzo”</w:t>
      </w:r>
      <w:r w:rsidRPr="00AC2000">
        <w:rPr>
          <w:rFonts w:ascii="Times New Roman" w:hAnsi="Times New Roman" w:cs="Times New Roman"/>
          <w:sz w:val="24"/>
          <w:szCs w:val="24"/>
        </w:rPr>
        <w:t xml:space="preserve"> de cada comunidad. Este enfoque sigue el modelo acordado en la conferencia sectorial de Infancia y Adolescencia del 30 de septiembre de 2022, donde se establecieron criterios similares para el </w:t>
      </w:r>
      <w:r>
        <w:rPr>
          <w:rFonts w:ascii="Times New Roman" w:hAnsi="Times New Roman" w:cs="Times New Roman"/>
          <w:sz w:val="24"/>
          <w:szCs w:val="24"/>
        </w:rPr>
        <w:t>reparto de menores extranjeros.</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El acuerdo de 2022 fijó un monto per cápita de 109,21 euros por plaza y día. Además, cada comunidad autónoma recibe una asignación adicional proporcion</w:t>
      </w:r>
      <w:r>
        <w:rPr>
          <w:rFonts w:ascii="Times New Roman" w:hAnsi="Times New Roman" w:cs="Times New Roman"/>
          <w:sz w:val="24"/>
          <w:szCs w:val="24"/>
        </w:rPr>
        <w:t>al y progresiva en función del “</w:t>
      </w:r>
      <w:r w:rsidRPr="00AC2000">
        <w:rPr>
          <w:rFonts w:ascii="Times New Roman" w:hAnsi="Times New Roman" w:cs="Times New Roman"/>
          <w:sz w:val="24"/>
          <w:szCs w:val="24"/>
        </w:rPr>
        <w:t>esfuerzo e</w:t>
      </w:r>
      <w:r>
        <w:rPr>
          <w:rFonts w:ascii="Times New Roman" w:hAnsi="Times New Roman" w:cs="Times New Roman"/>
          <w:sz w:val="24"/>
          <w:szCs w:val="24"/>
        </w:rPr>
        <w:t>structural”</w:t>
      </w:r>
      <w:r w:rsidRPr="00AC2000">
        <w:rPr>
          <w:rFonts w:ascii="Times New Roman" w:hAnsi="Times New Roman" w:cs="Times New Roman"/>
          <w:sz w:val="24"/>
          <w:szCs w:val="24"/>
        </w:rPr>
        <w:t xml:space="preserve"> realizado. En el pasado, estas asignaciones han variado entre 250.000 y 500.000 euros, según la</w:t>
      </w:r>
      <w:r>
        <w:rPr>
          <w:rFonts w:ascii="Times New Roman" w:hAnsi="Times New Roman" w:cs="Times New Roman"/>
          <w:sz w:val="24"/>
          <w:szCs w:val="24"/>
        </w:rPr>
        <w:t xml:space="preserve"> cantidad de menores asignados.</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El número de migrantes que recibirá cada comunidad se determinará considerando variables como la población, la tasa de desempleo, el ratio de menores migrantes por habitante y la dispersión geográfica. Este sistema ya fue acordado en septiembre de 2022 y el Gobierno espera que se convierta en una solución permanen</w:t>
      </w:r>
      <w:r>
        <w:rPr>
          <w:rFonts w:ascii="Times New Roman" w:hAnsi="Times New Roman" w:cs="Times New Roman"/>
          <w:sz w:val="24"/>
          <w:szCs w:val="24"/>
        </w:rPr>
        <w:t>te para un problema recurrente.</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Actualmente, Canarias enfrenta una crisis con alrededor de 6.000 menores migrantes no acompañados en centros saturados, y se espera que este número aumente a 11.000 durante el verano. Ante esta situación, el Gobierno propone que Canarias transfiera la atención de 3.000 de estos menores, aproximadamente la mitad,</w:t>
      </w:r>
      <w:r>
        <w:rPr>
          <w:rFonts w:ascii="Times New Roman" w:hAnsi="Times New Roman" w:cs="Times New Roman"/>
          <w:sz w:val="24"/>
          <w:szCs w:val="24"/>
        </w:rPr>
        <w:t xml:space="preserve"> a otras comunidades autónomas.</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El plan prevé que el reparto de estos menores se realice de manera escalonada durante los próximos 12 meses, una vez que la ley entre en vigor. Para los nuevos menores que lleguen a España, el traslado a sus comunidades de destino se realizará dentro de los 1</w:t>
      </w:r>
      <w:r>
        <w:rPr>
          <w:rFonts w:ascii="Times New Roman" w:hAnsi="Times New Roman" w:cs="Times New Roman"/>
          <w:sz w:val="24"/>
          <w:szCs w:val="24"/>
        </w:rPr>
        <w:t>5 días siguientes a su llegada.</w:t>
      </w:r>
    </w:p>
    <w:p w:rsidR="006A1F56"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lastRenderedPageBreak/>
        <w:t>El Gobierno confía en que este enfoque, basado en acuerdos previos y en una asignación financiera equitativa, permita regular de manera efectiva y definitiva la acogida de menores migrantes, evitando así abordar el problema desde cero cada año.</w:t>
      </w:r>
    </w:p>
    <w:p w:rsidR="006A1F56" w:rsidRPr="00AC2000"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C2000">
        <w:rPr>
          <w:rFonts w:ascii="Times New Roman" w:hAnsi="Times New Roman" w:cs="Times New Roman"/>
          <w:sz w:val="24"/>
          <w:szCs w:val="24"/>
          <w:u w:val="single"/>
        </w:rPr>
        <w:t>El coste de la atención integral a los menores migrantes se cifra en 4.400 euros al mes</w:t>
      </w:r>
      <w:r>
        <w:rPr>
          <w:rFonts w:ascii="Times New Roman" w:hAnsi="Times New Roman" w:cs="Times New Roman"/>
          <w:sz w:val="24"/>
          <w:szCs w:val="24"/>
        </w:rPr>
        <w:t xml:space="preserve"> (La Razón - </w:t>
      </w:r>
      <w:r w:rsidRPr="00AC2000">
        <w:rPr>
          <w:rFonts w:ascii="Times New Roman" w:hAnsi="Times New Roman" w:cs="Times New Roman"/>
          <w:b/>
          <w:sz w:val="24"/>
          <w:szCs w:val="24"/>
        </w:rPr>
        <w:t>10/7/24</w:t>
      </w:r>
      <w:r>
        <w:rPr>
          <w:rFonts w:ascii="Times New Roman" w:hAnsi="Times New Roman" w:cs="Times New Roman"/>
          <w:sz w:val="24"/>
          <w:szCs w:val="24"/>
        </w:rPr>
        <w:t>)</w:t>
      </w:r>
    </w:p>
    <w:p w:rsidR="006A1F56" w:rsidRPr="00AC2000"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La Junta ampliará la acogida “</w:t>
      </w:r>
      <w:r w:rsidRPr="00AC2000">
        <w:rPr>
          <w:rFonts w:ascii="Times New Roman" w:hAnsi="Times New Roman" w:cs="Times New Roman"/>
          <w:sz w:val="24"/>
          <w:szCs w:val="24"/>
        </w:rPr>
        <w:t xml:space="preserve">si hay financiación </w:t>
      </w:r>
      <w:r>
        <w:rPr>
          <w:rFonts w:ascii="Times New Roman" w:hAnsi="Times New Roman" w:cs="Times New Roman"/>
          <w:sz w:val="24"/>
          <w:szCs w:val="24"/>
        </w:rPr>
        <w:t>y tiempo”</w:t>
      </w:r>
      <w:r w:rsidRPr="00AC2000">
        <w:rPr>
          <w:rFonts w:ascii="Times New Roman" w:hAnsi="Times New Roman" w:cs="Times New Roman"/>
          <w:sz w:val="24"/>
          <w:szCs w:val="24"/>
        </w:rPr>
        <w:t xml:space="preserve"> para reorganizar un sistema ya colapsado por la m</w:t>
      </w:r>
      <w:r>
        <w:rPr>
          <w:rFonts w:ascii="Times New Roman" w:hAnsi="Times New Roman" w:cs="Times New Roman"/>
          <w:sz w:val="24"/>
          <w:szCs w:val="24"/>
        </w:rPr>
        <w:t>ala gestión del Gobierno, tras “colar”</w:t>
      </w:r>
      <w:r w:rsidRPr="00AC2000">
        <w:rPr>
          <w:rFonts w:ascii="Times New Roman" w:hAnsi="Times New Roman" w:cs="Times New Roman"/>
          <w:sz w:val="24"/>
          <w:szCs w:val="24"/>
        </w:rPr>
        <w:t xml:space="preserve"> a 454 menores llegados bajo apariencia de mayoría de edad</w:t>
      </w:r>
    </w:p>
    <w:p w:rsidR="006A1F56" w:rsidRPr="00AC2000"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(Por Pedro García)</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La consejera de Inclusión Social, Juventud, Familias e Igualdad, Loles López, acude a la Conferencia Sectorial de Infancia y Adolescencia convocada hoy</w:t>
      </w:r>
      <w:r>
        <w:rPr>
          <w:rFonts w:ascii="Times New Roman" w:hAnsi="Times New Roman" w:cs="Times New Roman"/>
          <w:sz w:val="24"/>
          <w:szCs w:val="24"/>
        </w:rPr>
        <w:t xml:space="preserve"> en Tenerife por el Ministerio “con el compromiso de decir “sí””</w:t>
      </w:r>
      <w:r w:rsidRPr="00AC2000">
        <w:rPr>
          <w:rFonts w:ascii="Times New Roman" w:hAnsi="Times New Roman" w:cs="Times New Roman"/>
          <w:sz w:val="24"/>
          <w:szCs w:val="24"/>
        </w:rPr>
        <w:t xml:space="preserve"> al reparto entre comunidades autónomas de menores migrantes sin ac</w:t>
      </w:r>
      <w:r w:rsidR="00317E3A">
        <w:rPr>
          <w:rFonts w:ascii="Times New Roman" w:hAnsi="Times New Roman" w:cs="Times New Roman"/>
          <w:sz w:val="24"/>
          <w:szCs w:val="24"/>
        </w:rPr>
        <w:t>ompañante llegados a Canarias, “si hay financiación y tiempo”</w:t>
      </w:r>
      <w:r w:rsidRPr="00AC2000">
        <w:rPr>
          <w:rFonts w:ascii="Times New Roman" w:hAnsi="Times New Roman" w:cs="Times New Roman"/>
          <w:sz w:val="24"/>
          <w:szCs w:val="24"/>
        </w:rPr>
        <w:t xml:space="preserve"> para preparar los recursos necesarios. En la actualidad, Andalucía tiene 454 menores migrantes traslados por el Gobierno de España bajo la apariencia de mayoría de edad, reconocido así por la Fiscalía</w:t>
      </w:r>
      <w:r w:rsidR="00317E3A">
        <w:rPr>
          <w:rFonts w:ascii="Times New Roman" w:hAnsi="Times New Roman" w:cs="Times New Roman"/>
          <w:sz w:val="24"/>
          <w:szCs w:val="24"/>
        </w:rPr>
        <w:t>, y está costeando la atención “a pulmón”</w:t>
      </w:r>
      <w:r w:rsidRPr="00AC2000">
        <w:rPr>
          <w:rFonts w:ascii="Times New Roman" w:hAnsi="Times New Roman" w:cs="Times New Roman"/>
          <w:sz w:val="24"/>
          <w:szCs w:val="24"/>
        </w:rPr>
        <w:t>, lo que ha generado una inversión de 3,5 millones de euros desde octubre y el colapso del sistema. Del nuevo reparto, a Andalucía</w:t>
      </w:r>
      <w:r w:rsidR="00317E3A">
        <w:rPr>
          <w:rFonts w:ascii="Times New Roman" w:hAnsi="Times New Roman" w:cs="Times New Roman"/>
          <w:sz w:val="24"/>
          <w:szCs w:val="24"/>
        </w:rPr>
        <w:t xml:space="preserve"> le corresponderían 30 menores -</w:t>
      </w:r>
      <w:r w:rsidRPr="00AC2000">
        <w:rPr>
          <w:rFonts w:ascii="Times New Roman" w:hAnsi="Times New Roman" w:cs="Times New Roman"/>
          <w:sz w:val="24"/>
          <w:szCs w:val="24"/>
        </w:rPr>
        <w:t>y una partida eco</w:t>
      </w:r>
      <w:r w:rsidR="00317E3A">
        <w:rPr>
          <w:rFonts w:ascii="Times New Roman" w:hAnsi="Times New Roman" w:cs="Times New Roman"/>
          <w:sz w:val="24"/>
          <w:szCs w:val="24"/>
        </w:rPr>
        <w:t>nómica de 1,6 millones de euros-</w:t>
      </w:r>
      <w:r w:rsidRPr="00AC2000">
        <w:rPr>
          <w:rFonts w:ascii="Times New Roman" w:hAnsi="Times New Roman" w:cs="Times New Roman"/>
          <w:sz w:val="24"/>
          <w:szCs w:val="24"/>
        </w:rPr>
        <w:t>, fre</w:t>
      </w:r>
      <w:r w:rsidR="00317E3A">
        <w:rPr>
          <w:rFonts w:ascii="Times New Roman" w:hAnsi="Times New Roman" w:cs="Times New Roman"/>
          <w:sz w:val="24"/>
          <w:szCs w:val="24"/>
        </w:rPr>
        <w:t>nte a los 36 recibidos en 2023 -y 1,9 millones-</w:t>
      </w:r>
      <w:r w:rsidRPr="00AC2000">
        <w:rPr>
          <w:rFonts w:ascii="Times New Roman" w:hAnsi="Times New Roman" w:cs="Times New Roman"/>
          <w:sz w:val="24"/>
          <w:szCs w:val="24"/>
        </w:rPr>
        <w:t xml:space="preserve"> y los 38 de 2022, de forma oficial.</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En una comparecencia informativa, López acusó al Gobierno</w:t>
      </w:r>
      <w:r w:rsidR="00317E3A">
        <w:rPr>
          <w:rFonts w:ascii="Times New Roman" w:hAnsi="Times New Roman" w:cs="Times New Roman"/>
          <w:sz w:val="24"/>
          <w:szCs w:val="24"/>
        </w:rPr>
        <w:t xml:space="preserve"> de España de “falta de lealtad institucional”</w:t>
      </w:r>
      <w:r w:rsidRPr="00AC2000">
        <w:rPr>
          <w:rFonts w:ascii="Times New Roman" w:hAnsi="Times New Roman" w:cs="Times New Roman"/>
          <w:sz w:val="24"/>
          <w:szCs w:val="24"/>
        </w:rPr>
        <w:t xml:space="preserve"> por la actitud con la que es</w:t>
      </w:r>
      <w:r w:rsidR="00317E3A">
        <w:rPr>
          <w:rFonts w:ascii="Times New Roman" w:hAnsi="Times New Roman" w:cs="Times New Roman"/>
          <w:sz w:val="24"/>
          <w:szCs w:val="24"/>
        </w:rPr>
        <w:t>tá abordando esta problemática “</w:t>
      </w:r>
      <w:r w:rsidRPr="00AC2000">
        <w:rPr>
          <w:rFonts w:ascii="Times New Roman" w:hAnsi="Times New Roman" w:cs="Times New Roman"/>
          <w:sz w:val="24"/>
          <w:szCs w:val="24"/>
        </w:rPr>
        <w:t>que nada ayuda a alcanzar un acuerdo</w:t>
      </w:r>
      <w:r w:rsidR="00317E3A">
        <w:rPr>
          <w:rFonts w:ascii="Times New Roman" w:hAnsi="Times New Roman" w:cs="Times New Roman"/>
          <w:sz w:val="24"/>
          <w:szCs w:val="24"/>
        </w:rPr>
        <w:t>”</w:t>
      </w:r>
      <w:r w:rsidRPr="00AC2000">
        <w:rPr>
          <w:rFonts w:ascii="Times New Roman" w:hAnsi="Times New Roman" w:cs="Times New Roman"/>
          <w:sz w:val="24"/>
          <w:szCs w:val="24"/>
        </w:rPr>
        <w:t>. Desinformación, falta de diálogo y, algo que molestó mucho a la consejera, la insinuación de la ministra Sira Rego de que el p</w:t>
      </w:r>
      <w:r w:rsidR="00317E3A">
        <w:rPr>
          <w:rFonts w:ascii="Times New Roman" w:hAnsi="Times New Roman" w:cs="Times New Roman"/>
          <w:sz w:val="24"/>
          <w:szCs w:val="24"/>
        </w:rPr>
        <w:t>ueblo andaluz no es solidario. “Eso es rotundamente falso”</w:t>
      </w:r>
      <w:r w:rsidR="005C40BB">
        <w:rPr>
          <w:rFonts w:ascii="Times New Roman" w:hAnsi="Times New Roman" w:cs="Times New Roman"/>
          <w:sz w:val="24"/>
          <w:szCs w:val="24"/>
        </w:rPr>
        <w:t>, dijo López, recordando que “</w:t>
      </w:r>
      <w:r w:rsidRPr="00AC2000">
        <w:rPr>
          <w:rFonts w:ascii="Times New Roman" w:hAnsi="Times New Roman" w:cs="Times New Roman"/>
          <w:sz w:val="24"/>
          <w:szCs w:val="24"/>
        </w:rPr>
        <w:t xml:space="preserve">Andalucía siempre </w:t>
      </w:r>
      <w:r w:rsidR="005C40BB">
        <w:rPr>
          <w:rFonts w:ascii="Times New Roman" w:hAnsi="Times New Roman" w:cs="Times New Roman"/>
          <w:sz w:val="24"/>
          <w:szCs w:val="24"/>
        </w:rPr>
        <w:t>ha sido una tierra solidaria”</w:t>
      </w:r>
      <w:r w:rsidR="00317E3A">
        <w:rPr>
          <w:rFonts w:ascii="Times New Roman" w:hAnsi="Times New Roman" w:cs="Times New Roman"/>
          <w:sz w:val="24"/>
          <w:szCs w:val="24"/>
        </w:rPr>
        <w:t>. “</w:t>
      </w:r>
      <w:r w:rsidRPr="00AC2000">
        <w:rPr>
          <w:rFonts w:ascii="Times New Roman" w:hAnsi="Times New Roman" w:cs="Times New Roman"/>
          <w:sz w:val="24"/>
          <w:szCs w:val="24"/>
        </w:rPr>
        <w:t>Hace unos meses me llamó la secretaria de Estado y me pidió que pusiera a disposición del Gobierno algún espacio para albergar a personas migrantes y sin dudarlo pusimos a di</w:t>
      </w:r>
      <w:r w:rsidR="00317E3A">
        <w:rPr>
          <w:rFonts w:ascii="Times New Roman" w:hAnsi="Times New Roman" w:cs="Times New Roman"/>
          <w:sz w:val="24"/>
          <w:szCs w:val="24"/>
        </w:rPr>
        <w:t>sposición el albergue de Víznar”</w:t>
      </w:r>
      <w:r w:rsidRPr="00AC2000">
        <w:rPr>
          <w:rFonts w:ascii="Times New Roman" w:hAnsi="Times New Roman" w:cs="Times New Roman"/>
          <w:sz w:val="24"/>
          <w:szCs w:val="24"/>
        </w:rPr>
        <w:t>, relató, al tiempo que defendía que la comunidad colabora con Ceuta a través del Plan de Respuesta y que a través de las costas fronteri</w:t>
      </w:r>
      <w:r>
        <w:rPr>
          <w:rFonts w:ascii="Times New Roman" w:hAnsi="Times New Roman" w:cs="Times New Roman"/>
          <w:sz w:val="24"/>
          <w:szCs w:val="24"/>
        </w:rPr>
        <w:t>zas andaluzas llegan migrantes.</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Solidaridad incuestionable</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De hecho, la responsable de las políticas sociales de la Junta consideró que dudar de la sol</w:t>
      </w:r>
      <w:r w:rsidR="00317E3A">
        <w:rPr>
          <w:rFonts w:ascii="Times New Roman" w:hAnsi="Times New Roman" w:cs="Times New Roman"/>
          <w:sz w:val="24"/>
          <w:szCs w:val="24"/>
        </w:rPr>
        <w:t>idaridad del pueblo andaluz es “</w:t>
      </w:r>
      <w:r w:rsidRPr="00AC2000">
        <w:rPr>
          <w:rFonts w:ascii="Times New Roman" w:hAnsi="Times New Roman" w:cs="Times New Roman"/>
          <w:sz w:val="24"/>
          <w:szCs w:val="24"/>
        </w:rPr>
        <w:t>faltar al respeto a una tierra que sie</w:t>
      </w:r>
      <w:r w:rsidR="00317E3A">
        <w:rPr>
          <w:rFonts w:ascii="Times New Roman" w:hAnsi="Times New Roman" w:cs="Times New Roman"/>
          <w:sz w:val="24"/>
          <w:szCs w:val="24"/>
        </w:rPr>
        <w:t>mpre ha acogido a inmigrantes”</w:t>
      </w:r>
      <w:r>
        <w:rPr>
          <w:rFonts w:ascii="Times New Roman" w:hAnsi="Times New Roman" w:cs="Times New Roman"/>
          <w:sz w:val="24"/>
          <w:szCs w:val="24"/>
        </w:rPr>
        <w:t>.</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En el documento de orientaciones estratégicas de julio de 2023 se reflejaba que en 2022 fueron atendido 2.305 menores migrantes no acompañados en la comunidad (2.018 niños y 287 niñas). Un informe de la Cámara de Cuentas de Andalucía de 2020 alertaba de que el gasto mensual medio por plaza de un menor en un centro concertado ascendía a 2.035 euros y en un centro público a 9.813 euros. En la actualidad, siet</w:t>
      </w:r>
      <w:r>
        <w:rPr>
          <w:rFonts w:ascii="Times New Roman" w:hAnsi="Times New Roman" w:cs="Times New Roman"/>
          <w:sz w:val="24"/>
          <w:szCs w:val="24"/>
        </w:rPr>
        <w:t>e años después, en Andalucía la</w:t>
      </w:r>
      <w:r w:rsidRPr="00AC2000">
        <w:rPr>
          <w:rFonts w:ascii="Times New Roman" w:hAnsi="Times New Roman" w:cs="Times New Roman"/>
          <w:sz w:val="24"/>
          <w:szCs w:val="24"/>
        </w:rPr>
        <w:t xml:space="preserve"> totalidad se licitan y el coste anual se eleva a 53.000 euros por plaza,</w:t>
      </w:r>
      <w:r>
        <w:rPr>
          <w:rFonts w:ascii="Times New Roman" w:hAnsi="Times New Roman" w:cs="Times New Roman"/>
          <w:sz w:val="24"/>
          <w:szCs w:val="24"/>
        </w:rPr>
        <w:t xml:space="preserve"> en torno a 4.400 euros al mes.</w:t>
      </w:r>
    </w:p>
    <w:p w:rsidR="006A1F56" w:rsidRPr="00AC2000" w:rsidRDefault="00317E3A"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A1F56" w:rsidRPr="00AC2000">
        <w:rPr>
          <w:rFonts w:ascii="Times New Roman" w:hAnsi="Times New Roman" w:cs="Times New Roman"/>
          <w:sz w:val="24"/>
          <w:szCs w:val="24"/>
        </w:rPr>
        <w:t>El Gobierno de España está reventando las costuras</w:t>
      </w:r>
      <w:r>
        <w:rPr>
          <w:rFonts w:ascii="Times New Roman" w:hAnsi="Times New Roman" w:cs="Times New Roman"/>
          <w:sz w:val="24"/>
          <w:szCs w:val="24"/>
        </w:rPr>
        <w:t xml:space="preserve"> del sistema”, reprochó López. “</w:t>
      </w:r>
      <w:r w:rsidR="006A1F56" w:rsidRPr="00AC2000">
        <w:rPr>
          <w:rFonts w:ascii="Times New Roman" w:hAnsi="Times New Roman" w:cs="Times New Roman"/>
          <w:sz w:val="24"/>
          <w:szCs w:val="24"/>
        </w:rPr>
        <w:t xml:space="preserve">A veces llegan en avión, otras en barco y todo ello sin información, sin coordinación y sin financiación. Nos hemos enterado en la mayoría de casos a través de las oenegés que trabajan </w:t>
      </w:r>
      <w:r w:rsidR="006A1F56" w:rsidRPr="00AC2000">
        <w:rPr>
          <w:rFonts w:ascii="Times New Roman" w:hAnsi="Times New Roman" w:cs="Times New Roman"/>
          <w:sz w:val="24"/>
          <w:szCs w:val="24"/>
        </w:rPr>
        <w:lastRenderedPageBreak/>
        <w:t>con estas personas y Andalucía está atendiéndolos a pulmón, sin un solo céntimo apo</w:t>
      </w:r>
      <w:r>
        <w:rPr>
          <w:rFonts w:ascii="Times New Roman" w:hAnsi="Times New Roman" w:cs="Times New Roman"/>
          <w:sz w:val="24"/>
          <w:szCs w:val="24"/>
        </w:rPr>
        <w:t>rtado por el Gobierno de España”</w:t>
      </w:r>
      <w:r w:rsidR="006A1F56" w:rsidRPr="00AC2000">
        <w:rPr>
          <w:rFonts w:ascii="Times New Roman" w:hAnsi="Times New Roman" w:cs="Times New Roman"/>
          <w:sz w:val="24"/>
          <w:szCs w:val="24"/>
        </w:rPr>
        <w:t>.</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La Junta de Andalucía cuenta con 645 plazas específicas para menores migrantes y tras la llegada de estos 454 menores más la ocupación alcanza el 115% (se recurre a otras plazas desti</w:t>
      </w:r>
      <w:r>
        <w:rPr>
          <w:rFonts w:ascii="Times New Roman" w:hAnsi="Times New Roman" w:cs="Times New Roman"/>
          <w:sz w:val="24"/>
          <w:szCs w:val="24"/>
        </w:rPr>
        <w:t>nadas a otros colectivos).</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La labor que realiza la Junta con estos menores no se limita a comida y alojamiento. Los recursos de protección incluyen centros destinados a garantizar los derechos de los menores, propiciar que tengan todas sus necesidades cubiertas e implementar medidas que entre sus objetivos contengan, entre otras actuaciones, la plena integración social y laboral de la población a la que se atiende. De hecho, actualmente y sin excepciones, toda la población menor migrante no acompañada, mayor de dicha edad de 16 años, recibe o ha recibido formación específica para facilitar y fomentar su plena integración, tanto social, como preparación para el acceso al mercado de trabajo. Todo ello sin excepción y al margen de su proceso de id</w:t>
      </w:r>
      <w:r w:rsidR="00317E3A">
        <w:rPr>
          <w:rFonts w:ascii="Times New Roman" w:hAnsi="Times New Roman" w:cs="Times New Roman"/>
          <w:sz w:val="24"/>
          <w:szCs w:val="24"/>
        </w:rPr>
        <w:t>entificación y regularización. “</w:t>
      </w:r>
      <w:r w:rsidRPr="00AC2000">
        <w:rPr>
          <w:rFonts w:ascii="Times New Roman" w:hAnsi="Times New Roman" w:cs="Times New Roman"/>
          <w:sz w:val="24"/>
          <w:szCs w:val="24"/>
        </w:rPr>
        <w:t>Acogemos, atendemos, asesoramos y acompañamos a los niños y, en esta tierra hasta los 25 año</w:t>
      </w:r>
      <w:r w:rsidR="00317E3A">
        <w:rPr>
          <w:rFonts w:ascii="Times New Roman" w:hAnsi="Times New Roman" w:cs="Times New Roman"/>
          <w:sz w:val="24"/>
          <w:szCs w:val="24"/>
        </w:rPr>
        <w:t>s, y no recibimos ni un céntimo”</w:t>
      </w:r>
      <w:r w:rsidRPr="00AC2000">
        <w:rPr>
          <w:rFonts w:ascii="Times New Roman" w:hAnsi="Times New Roman" w:cs="Times New Roman"/>
          <w:sz w:val="24"/>
          <w:szCs w:val="24"/>
        </w:rPr>
        <w:t>.</w:t>
      </w:r>
    </w:p>
    <w:p w:rsidR="006A1F56" w:rsidRPr="00AC2000"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 xml:space="preserve">Por todo </w:t>
      </w:r>
      <w:r w:rsidR="00317E3A">
        <w:rPr>
          <w:rFonts w:ascii="Times New Roman" w:hAnsi="Times New Roman" w:cs="Times New Roman"/>
          <w:sz w:val="24"/>
          <w:szCs w:val="24"/>
        </w:rPr>
        <w:t>ello, la consejera lamentó que “</w:t>
      </w:r>
      <w:r w:rsidRPr="00AC2000">
        <w:rPr>
          <w:rFonts w:ascii="Times New Roman" w:hAnsi="Times New Roman" w:cs="Times New Roman"/>
          <w:sz w:val="24"/>
          <w:szCs w:val="24"/>
        </w:rPr>
        <w:t>la política migratoria no puede basarse en trasladar a menores como si fuera mal</w:t>
      </w:r>
      <w:r w:rsidR="00317E3A">
        <w:rPr>
          <w:rFonts w:ascii="Times New Roman" w:hAnsi="Times New Roman" w:cs="Times New Roman"/>
          <w:sz w:val="24"/>
          <w:szCs w:val="24"/>
        </w:rPr>
        <w:t>etas en las bodegas de un avión”</w:t>
      </w:r>
      <w:r w:rsidRPr="00AC2000">
        <w:rPr>
          <w:rFonts w:ascii="Times New Roman" w:hAnsi="Times New Roman" w:cs="Times New Roman"/>
          <w:sz w:val="24"/>
          <w:szCs w:val="24"/>
        </w:rPr>
        <w:t xml:space="preserve">, </w:t>
      </w:r>
      <w:r w:rsidR="00317E3A">
        <w:rPr>
          <w:rFonts w:ascii="Times New Roman" w:hAnsi="Times New Roman" w:cs="Times New Roman"/>
          <w:sz w:val="24"/>
          <w:szCs w:val="24"/>
        </w:rPr>
        <w:t>como parece hacer el Gobierno. “</w:t>
      </w:r>
      <w:r w:rsidRPr="00AC2000">
        <w:rPr>
          <w:rFonts w:ascii="Times New Roman" w:hAnsi="Times New Roman" w:cs="Times New Roman"/>
          <w:sz w:val="24"/>
          <w:szCs w:val="24"/>
        </w:rPr>
        <w:t>Necesitan protección de todas las administraciones. S</w:t>
      </w:r>
      <w:r w:rsidR="00317E3A">
        <w:rPr>
          <w:rFonts w:ascii="Times New Roman" w:hAnsi="Times New Roman" w:cs="Times New Roman"/>
          <w:sz w:val="24"/>
          <w:szCs w:val="24"/>
        </w:rPr>
        <w:t>e requiere una respuesta global</w:t>
      </w:r>
      <w:r w:rsidRPr="00AC2000">
        <w:rPr>
          <w:rFonts w:ascii="Times New Roman" w:hAnsi="Times New Roman" w:cs="Times New Roman"/>
          <w:sz w:val="24"/>
          <w:szCs w:val="24"/>
        </w:rPr>
        <w:t>, que el Gobierno ejerza sus competencias en políticas migratorias, en política exterior, que trabaje en los países d</w:t>
      </w:r>
      <w:r w:rsidR="00317E3A">
        <w:rPr>
          <w:rFonts w:ascii="Times New Roman" w:hAnsi="Times New Roman" w:cs="Times New Roman"/>
          <w:sz w:val="24"/>
          <w:szCs w:val="24"/>
        </w:rPr>
        <w:t>e origen y que implique a la UE”</w:t>
      </w:r>
      <w:r w:rsidRPr="00AC2000">
        <w:rPr>
          <w:rFonts w:ascii="Times New Roman" w:hAnsi="Times New Roman" w:cs="Times New Roman"/>
          <w:sz w:val="24"/>
          <w:szCs w:val="24"/>
        </w:rPr>
        <w:t>, resumió Loles López como posibles soluciones. Por ello, en la conferencia sectorial de hoy la Junta espera que el Gobierno no siga mirando «hacia otro lado» y reconozco y ofrezca financiación para la atención de calidad que requieren los 454 menores acogidos.</w:t>
      </w:r>
    </w:p>
    <w:p w:rsidR="006A1F56" w:rsidRDefault="006A1F56" w:rsidP="006A1F56">
      <w:pPr>
        <w:spacing w:line="240" w:lineRule="auto"/>
        <w:jc w:val="both"/>
        <w:rPr>
          <w:rFonts w:ascii="Times New Roman" w:hAnsi="Times New Roman" w:cs="Times New Roman"/>
          <w:sz w:val="24"/>
          <w:szCs w:val="24"/>
        </w:rPr>
      </w:pPr>
      <w:r w:rsidRPr="00AC2000">
        <w:rPr>
          <w:rFonts w:ascii="Times New Roman" w:hAnsi="Times New Roman" w:cs="Times New Roman"/>
          <w:sz w:val="24"/>
          <w:szCs w:val="24"/>
        </w:rPr>
        <w:t>En la misma línea se expresó el portavoz, Ramón Fernández-Pacheco, quien reclamó «coordinación, recursos y financiación» al Ministerio ant</w:t>
      </w:r>
      <w:r w:rsidR="00317E3A">
        <w:rPr>
          <w:rFonts w:ascii="Times New Roman" w:hAnsi="Times New Roman" w:cs="Times New Roman"/>
          <w:sz w:val="24"/>
          <w:szCs w:val="24"/>
        </w:rPr>
        <w:t>e la situación de unos menores “</w:t>
      </w:r>
      <w:r w:rsidRPr="00AC2000">
        <w:rPr>
          <w:rFonts w:ascii="Times New Roman" w:hAnsi="Times New Roman" w:cs="Times New Roman"/>
          <w:sz w:val="24"/>
          <w:szCs w:val="24"/>
        </w:rPr>
        <w:t>en una situación de in</w:t>
      </w:r>
      <w:r w:rsidR="00317E3A">
        <w:rPr>
          <w:rFonts w:ascii="Times New Roman" w:hAnsi="Times New Roman" w:cs="Times New Roman"/>
          <w:sz w:val="24"/>
          <w:szCs w:val="24"/>
        </w:rPr>
        <w:t>defensión” ante la que hay que “mostrar solidaridad”</w:t>
      </w:r>
      <w:r w:rsidRPr="00AC2000">
        <w:rPr>
          <w:rFonts w:ascii="Times New Roman" w:hAnsi="Times New Roman" w:cs="Times New Roman"/>
          <w:sz w:val="24"/>
          <w:szCs w:val="24"/>
        </w:rPr>
        <w:t xml:space="preserve"> y “por supue</w:t>
      </w:r>
      <w:r w:rsidR="00317E3A">
        <w:rPr>
          <w:rFonts w:ascii="Times New Roman" w:hAnsi="Times New Roman" w:cs="Times New Roman"/>
          <w:sz w:val="24"/>
          <w:szCs w:val="24"/>
        </w:rPr>
        <w:t>sto que tienen que ser acogidos”. Además, porque “</w:t>
      </w:r>
      <w:r w:rsidRPr="00AC2000">
        <w:rPr>
          <w:rFonts w:ascii="Times New Roman" w:hAnsi="Times New Roman" w:cs="Times New Roman"/>
          <w:sz w:val="24"/>
          <w:szCs w:val="24"/>
        </w:rPr>
        <w:t>An</w:t>
      </w:r>
      <w:r w:rsidR="00317E3A">
        <w:rPr>
          <w:rFonts w:ascii="Times New Roman" w:hAnsi="Times New Roman" w:cs="Times New Roman"/>
          <w:sz w:val="24"/>
          <w:szCs w:val="24"/>
        </w:rPr>
        <w:t>dalucía necesita la inmigración”</w:t>
      </w:r>
      <w:r w:rsidRPr="00AC2000">
        <w:rPr>
          <w:rFonts w:ascii="Times New Roman" w:hAnsi="Times New Roman" w:cs="Times New Roman"/>
          <w:sz w:val="24"/>
          <w:szCs w:val="24"/>
        </w:rPr>
        <w:t xml:space="preserve"> y pidió que el problema se aborde como una cuestión de Estado, sin descartar la reforma</w:t>
      </w:r>
      <w:r w:rsidR="00317E3A">
        <w:rPr>
          <w:rFonts w:ascii="Times New Roman" w:hAnsi="Times New Roman" w:cs="Times New Roman"/>
          <w:sz w:val="24"/>
          <w:szCs w:val="24"/>
        </w:rPr>
        <w:t xml:space="preserve"> de la Ley de Extranjería como “parte de la solución”</w:t>
      </w:r>
      <w:r w:rsidRPr="00AC2000">
        <w:rPr>
          <w:rFonts w:ascii="Times New Roman" w:hAnsi="Times New Roman" w:cs="Times New Roman"/>
          <w:sz w:val="24"/>
          <w:szCs w:val="24"/>
        </w:rPr>
        <w:t>. El portavoz, por otro lado, se congratuló por no tener «ningún problema» con el parti</w:t>
      </w:r>
      <w:r w:rsidR="00317E3A">
        <w:rPr>
          <w:rFonts w:ascii="Times New Roman" w:hAnsi="Times New Roman" w:cs="Times New Roman"/>
          <w:sz w:val="24"/>
          <w:szCs w:val="24"/>
        </w:rPr>
        <w:t>do de Abascal por este asunto: “</w:t>
      </w:r>
      <w:r w:rsidRPr="00AC2000">
        <w:rPr>
          <w:rFonts w:ascii="Times New Roman" w:hAnsi="Times New Roman" w:cs="Times New Roman"/>
          <w:sz w:val="24"/>
          <w:szCs w:val="24"/>
        </w:rPr>
        <w:t>Lo que diga Vox al Gobierno de Andaluc</w:t>
      </w:r>
      <w:r w:rsidR="00317E3A">
        <w:rPr>
          <w:rFonts w:ascii="Times New Roman" w:hAnsi="Times New Roman" w:cs="Times New Roman"/>
          <w:sz w:val="24"/>
          <w:szCs w:val="24"/>
        </w:rPr>
        <w:t>ía no le condiciona en absoluto”</w:t>
      </w:r>
      <w:r w:rsidRPr="00AC2000">
        <w:rPr>
          <w:rFonts w:ascii="Times New Roman" w:hAnsi="Times New Roman" w:cs="Times New Roman"/>
          <w:sz w:val="24"/>
          <w:szCs w:val="24"/>
        </w:rPr>
        <w:t>.</w:t>
      </w:r>
    </w:p>
    <w:p w:rsidR="006A1F56" w:rsidRPr="00454012"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17E3A">
        <w:rPr>
          <w:rFonts w:ascii="Times New Roman" w:hAnsi="Times New Roman" w:cs="Times New Roman"/>
          <w:sz w:val="24"/>
          <w:szCs w:val="24"/>
          <w:u w:val="single"/>
        </w:rPr>
        <w:t>Admiten que la acogida de “menas”</w:t>
      </w:r>
      <w:r w:rsidRPr="00410C9E">
        <w:rPr>
          <w:rFonts w:ascii="Times New Roman" w:hAnsi="Times New Roman" w:cs="Times New Roman"/>
          <w:sz w:val="24"/>
          <w:szCs w:val="24"/>
          <w:u w:val="single"/>
        </w:rPr>
        <w:t xml:space="preserve"> cuesta más de 4.000€ al mes por cada menor</w:t>
      </w:r>
      <w:r>
        <w:rPr>
          <w:rFonts w:ascii="Times New Roman" w:hAnsi="Times New Roman" w:cs="Times New Roman"/>
          <w:sz w:val="24"/>
          <w:szCs w:val="24"/>
        </w:rPr>
        <w:t xml:space="preserve"> (Fuente: </w:t>
      </w:r>
      <w:r w:rsidRPr="00454012">
        <w:rPr>
          <w:rFonts w:ascii="Times New Roman" w:hAnsi="Times New Roman" w:cs="Times New Roman"/>
          <w:sz w:val="24"/>
          <w:szCs w:val="24"/>
        </w:rPr>
        <w:t>e-noticies.cat/es</w:t>
      </w:r>
      <w:r>
        <w:rPr>
          <w:rFonts w:ascii="Times New Roman" w:hAnsi="Times New Roman" w:cs="Times New Roman"/>
          <w:sz w:val="24"/>
          <w:szCs w:val="24"/>
        </w:rPr>
        <w:t xml:space="preserve"> - </w:t>
      </w:r>
      <w:r w:rsidRPr="00410C9E">
        <w:rPr>
          <w:rFonts w:ascii="Times New Roman" w:hAnsi="Times New Roman" w:cs="Times New Roman"/>
          <w:b/>
          <w:sz w:val="24"/>
          <w:szCs w:val="24"/>
        </w:rPr>
        <w:t>21/7/25</w:t>
      </w:r>
      <w:r>
        <w:rPr>
          <w:rFonts w:ascii="Times New Roman" w:hAnsi="Times New Roman" w:cs="Times New Roman"/>
          <w:sz w:val="24"/>
          <w:szCs w:val="24"/>
        </w:rPr>
        <w:t>)</w:t>
      </w:r>
    </w:p>
    <w:p w:rsidR="006A1F56" w:rsidRPr="00454012" w:rsidRDefault="00317E3A"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La partida para los “menas”</w:t>
      </w:r>
      <w:r w:rsidR="006A1F56" w:rsidRPr="00454012">
        <w:rPr>
          <w:rFonts w:ascii="Times New Roman" w:hAnsi="Times New Roman" w:cs="Times New Roman"/>
          <w:sz w:val="24"/>
          <w:szCs w:val="24"/>
        </w:rPr>
        <w:t xml:space="preserve"> supera ampliamente a otras como discapacidad o atención a personas mayores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El Ministerio de Juventud e Infancia ha dejado negro sobre blanco e</w:t>
      </w:r>
      <w:r w:rsidR="005C40BB">
        <w:rPr>
          <w:rFonts w:ascii="Times New Roman" w:hAnsi="Times New Roman" w:cs="Times New Roman"/>
          <w:sz w:val="24"/>
          <w:szCs w:val="24"/>
        </w:rPr>
        <w:t>l precio real de mantener a un “mena”</w:t>
      </w:r>
      <w:r w:rsidRPr="00454012">
        <w:rPr>
          <w:rFonts w:ascii="Times New Roman" w:hAnsi="Times New Roman" w:cs="Times New Roman"/>
          <w:sz w:val="24"/>
          <w:szCs w:val="24"/>
        </w:rPr>
        <w:t xml:space="preserve"> en España. En la hoja de cálculo que acompaña a su nueva propuesta de reparto aparece la cifra que la mayoría de comunidades venía manejando internamente. Es decir,</w:t>
      </w:r>
      <w:r>
        <w:rPr>
          <w:rFonts w:ascii="Times New Roman" w:hAnsi="Times New Roman" w:cs="Times New Roman"/>
          <w:sz w:val="24"/>
          <w:szCs w:val="24"/>
        </w:rPr>
        <w:t xml:space="preserve"> </w:t>
      </w:r>
      <w:r w:rsidRPr="00454012">
        <w:rPr>
          <w:rFonts w:ascii="Times New Roman" w:hAnsi="Times New Roman" w:cs="Times New Roman"/>
          <w:sz w:val="24"/>
          <w:szCs w:val="24"/>
        </w:rPr>
        <w:t>145 € diarios por plaza, unos 4.350 € mensuales. Ese es el nivel de gasto que ahora se pretende financiar con solo 35,75 € al día, una rebaja cercana al 80 % que ha provocado la rebe</w:t>
      </w:r>
      <w:r>
        <w:rPr>
          <w:rFonts w:ascii="Times New Roman" w:hAnsi="Times New Roman" w:cs="Times New Roman"/>
          <w:sz w:val="24"/>
          <w:szCs w:val="24"/>
        </w:rPr>
        <w:t>lión autonómica.</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Del “coste real” al “modelo low cost”</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Castilla-La Mancha puso voz al malestar tras la fallida Conferencia Sectorial del 17 de julio. Su consejera de Bienestar Social recordó que acoger a los casi 4.000 menores pendientes de </w:t>
      </w:r>
      <w:r w:rsidRPr="00454012">
        <w:rPr>
          <w:rFonts w:ascii="Times New Roman" w:hAnsi="Times New Roman" w:cs="Times New Roman"/>
          <w:sz w:val="24"/>
          <w:szCs w:val="24"/>
        </w:rPr>
        <w:lastRenderedPageBreak/>
        <w:t>traslado desde Canarias y Ceuta costará unos 250 millones este año. Con 100 millones, explicó, apenas se cubren los tres primeros meses de asistencia. Así, el coste por m</w:t>
      </w:r>
      <w:r>
        <w:rPr>
          <w:rFonts w:ascii="Times New Roman" w:hAnsi="Times New Roman" w:cs="Times New Roman"/>
          <w:sz w:val="24"/>
          <w:szCs w:val="24"/>
        </w:rPr>
        <w:t>enor caería de 145 € a 35,75 €.</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Las comunidades del PP dieron plantón a la reunión, pero no están solas. Canarias y Castilla-La Mancha comparten el diagnóstico de inviabilidad. Todas coinciden en que la cifra de 145 € no era generosa: se calculó en 2021 e incluye mejoras contractuales hoy ineludibles, como ratios de educadores y seguridad privada en los centros. El recorte, afirman, obligaría a “desmantelar servicios esenciales o cerrar dispositivos”.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Cataluña confirma la cuenta: 134,86 € diarios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La discusión estatal llega cuando Cataluña también publicó sus propios números. En respuesta parlamentaria a Vox del pasado marzo, el Departament de Drets Socials admitió que gastó 115,5 millones en 2024 para atender a 4.802 menores extranjeros. El dato equivale a 134,86 € diarios, o sea, 4.045 € al mes por joven tutelado. La cifra supera de largo los 2.000 € mensuales que la Generalitat destina de media a una plaza residencial para ancianos o dependientes.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Además, en Cataluña, la tutela se prolonga más allá de la mayoría de edad para facilitar la integración laboral. Este alargamiento eleva aún más el gasto. Además, la administración reconoce que mantiene a jóvenes cuya edad es “dudosa” porque prima el principio de vulnerabilidad. Esto explica que el escándalo de la DGAIA se produjera en un lugar como Cataluña.</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Un agujero en los presupuestos sociales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El cruce de datos confirma que los 4.000 € al mes son el rango mínimo para una acogida “digna”, tal como exige la ley. Si se aplica a los 3.975 menores que el Gobierno quiere reubicar, el coste anual se acerca a 190 millones. La aportación prometida de 100 millones solo cubre el 53 % del desembolso, y además se agota en el primer trimestre. Las comunidades tendrían que financiar los nueve meses restantes sin fondos est</w:t>
      </w:r>
      <w:r>
        <w:rPr>
          <w:rFonts w:ascii="Times New Roman" w:hAnsi="Times New Roman" w:cs="Times New Roman"/>
          <w:sz w:val="24"/>
          <w:szCs w:val="24"/>
        </w:rPr>
        <w:t>atales.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En Cataluña el problema es estructural. El número de menores atendidos se ha duplicado desde 2022, y los servicios sociales alertan de saturación. Los sindicatos del sector piden más personal estable y denuncian contratos temporales que impiden construir vínculos educativos sólidos. Mientras, el debate político gira en torno a la “equidad” en el reparto de recursos: la oposición cuestiona que se destine el doble a los 'menas' </w:t>
      </w:r>
      <w:r>
        <w:rPr>
          <w:rFonts w:ascii="Times New Roman" w:hAnsi="Times New Roman" w:cs="Times New Roman"/>
          <w:sz w:val="24"/>
          <w:szCs w:val="24"/>
        </w:rPr>
        <w:t>que a los mayores dependientes.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Escenarios abiertos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El Ministerio insiste en que la acogida es competencia autonómica y que su aportación pretende cubrir solo la fase de emergencia. Las consejerías replican que el sistema colapsará si la cifra diaria no vuelve a los 145 €. Amenazan incluso con recurrir el decreto de reparto ante el Constitucional.</w:t>
      </w:r>
    </w:p>
    <w:p w:rsidR="006A1F56"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En paralelo, Cataluña, País Vasco y Navarra</w:t>
      </w:r>
      <w:r w:rsidR="005C40BB">
        <w:rPr>
          <w:rFonts w:ascii="Times New Roman" w:hAnsi="Times New Roman" w:cs="Times New Roman"/>
          <w:sz w:val="24"/>
          <w:szCs w:val="24"/>
        </w:rPr>
        <w:t>,</w:t>
      </w:r>
      <w:r w:rsidRPr="00454012">
        <w:rPr>
          <w:rFonts w:ascii="Times New Roman" w:hAnsi="Times New Roman" w:cs="Times New Roman"/>
          <w:sz w:val="24"/>
          <w:szCs w:val="24"/>
        </w:rPr>
        <w:t xml:space="preserve"> quedan exentas del cupo obligatorio, aunque la Generalitat se ofrece a recibir al menos 31 menores. Ese gesto no alivia la tensión presupuestaria. Con cada plaza valorada en más de 4.000 €, el compromiso añade 1,5 millones anuales a la factura catalana.</w:t>
      </w:r>
    </w:p>
    <w:p w:rsidR="006A1F56" w:rsidRDefault="006A1F56" w:rsidP="006A1F56">
      <w:pPr>
        <w:spacing w:line="240" w:lineRule="auto"/>
        <w:jc w:val="both"/>
        <w:rPr>
          <w:rFonts w:ascii="Times New Roman" w:hAnsi="Times New Roman" w:cs="Times New Roman"/>
          <w:sz w:val="24"/>
          <w:szCs w:val="24"/>
        </w:rPr>
      </w:pPr>
    </w:p>
    <w:p w:rsidR="006A1F56" w:rsidRPr="00B83F41" w:rsidRDefault="006A1F56" w:rsidP="006A1F56">
      <w:pPr>
        <w:spacing w:line="240" w:lineRule="auto"/>
        <w:jc w:val="both"/>
        <w:rPr>
          <w:rFonts w:ascii="Times New Roman" w:hAnsi="Times New Roman" w:cs="Times New Roman"/>
          <w:color w:val="FF0000"/>
          <w:sz w:val="24"/>
          <w:szCs w:val="24"/>
        </w:rPr>
      </w:pPr>
      <w:r w:rsidRPr="00B83F41">
        <w:rPr>
          <w:rFonts w:ascii="Times New Roman" w:hAnsi="Times New Roman" w:cs="Times New Roman"/>
          <w:b/>
          <w:color w:val="FF0000"/>
          <w:sz w:val="24"/>
          <w:szCs w:val="24"/>
        </w:rPr>
        <w:lastRenderedPageBreak/>
        <w:t>Nota II</w:t>
      </w:r>
      <w:r w:rsidRPr="00B83F41">
        <w:rPr>
          <w:rFonts w:ascii="Times New Roman" w:hAnsi="Times New Roman" w:cs="Times New Roman"/>
          <w:color w:val="FF0000"/>
          <w:sz w:val="24"/>
          <w:szCs w:val="24"/>
        </w:rPr>
        <w:t>: A fecha de finales de 2023 y principios de 2024, el número de menores extranjeros no acompañados (menas) en España se sitúa en torno a los 15.000, de los cuales unos 10.123 son marroquíes. Estos datos incluyen a los menores que han superado la edad de tutela, con una edad media que ronda los 20 años. (Fuente: Google - Vista creada con IA)</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Detalles: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Número total: Se estima en unos 15.000, según datos de 2024 y 2025, aunque otras fuentes mencionan la cifra de 14.000 a principios de 2025. </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Origen: El grupo más numeroso son los jóvenes de origen marroquí. </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Sexo: La gran mayoría son hombres, representando el 94% del total. </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Marco legal: La cifra incluye tanto a menores de edad como a jóvenes que, tras ser extutelados, aún tienen derecho a residir en España, ya que la edad de tutela puede extenderse. </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Autonomías: Canarias y Andalucía son las comunidades autónomas que han acogido a un mayor número de menas, aunque ha habido un reparto entre ellas para paliar la saturación en la acogida. </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Contexto:</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El número de menas ha aumentado significativamente en los últimos años, duplicándose entre 2021 y 2023, según menciona El Debate. </w:t>
      </w:r>
    </w:p>
    <w:p w:rsidR="006A1F56"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El Gobierno español ha aprobado un reparto de estos menores entre las comunidades autónomas para hacer frente a esta situación, una medida que ha generado debate.</w:t>
      </w:r>
    </w:p>
    <w:p w:rsidR="006A1F56" w:rsidRPr="00B83F41" w:rsidRDefault="006A1F56" w:rsidP="006A1F56">
      <w:pPr>
        <w:spacing w:line="240" w:lineRule="auto"/>
        <w:jc w:val="both"/>
        <w:rPr>
          <w:rFonts w:ascii="Times New Roman" w:hAnsi="Times New Roman" w:cs="Times New Roman"/>
          <w:color w:val="FF0000"/>
          <w:sz w:val="24"/>
          <w:szCs w:val="24"/>
        </w:rPr>
      </w:pPr>
      <w:r w:rsidRPr="00B83F41">
        <w:rPr>
          <w:rFonts w:ascii="Times New Roman" w:hAnsi="Times New Roman" w:cs="Times New Roman"/>
          <w:b/>
          <w:color w:val="FF0000"/>
          <w:sz w:val="24"/>
          <w:szCs w:val="24"/>
        </w:rPr>
        <w:t>Nota III</w:t>
      </w:r>
      <w:r w:rsidRPr="00B83F41">
        <w:rPr>
          <w:rFonts w:ascii="Times New Roman" w:hAnsi="Times New Roman" w:cs="Times New Roman"/>
          <w:color w:val="FF0000"/>
          <w:sz w:val="24"/>
          <w:szCs w:val="24"/>
        </w:rPr>
        <w:t>: No se pueden dar cifras exactas y oficiales para el año 2025 ya que los datos más recientes disponibles son de principios de año, mostrando un total de 15.730 menas registrados al 28 de febrero de 2025 según un informe del Gobierno a VOX. Sin embargo, otras fuentes, como gaceta.es, han publicado estimaciones que prevén un aumento hasta los casi 19.000 en 2025, mientras que otras fuentes de la actualidad como el Instituto Nacional de Estadística (INE) publicaron la población total en España en abril de 2025 con 49.153.849 habitantes. (Fuente: Google - Vista creada con IA)</w:t>
      </w:r>
    </w:p>
    <w:p w:rsidR="006A1F56" w:rsidRPr="0094463D" w:rsidRDefault="006A1F56" w:rsidP="006A1F56">
      <w:pPr>
        <w:spacing w:line="240" w:lineRule="auto"/>
        <w:jc w:val="both"/>
        <w:rPr>
          <w:rFonts w:ascii="Times New Roman" w:hAnsi="Times New Roman" w:cs="Times New Roman"/>
          <w:sz w:val="24"/>
          <w:szCs w:val="24"/>
        </w:rPr>
      </w:pPr>
      <w:r w:rsidRPr="0094463D">
        <w:rPr>
          <w:rFonts w:ascii="Times New Roman" w:hAnsi="Times New Roman" w:cs="Times New Roman"/>
          <w:sz w:val="24"/>
          <w:szCs w:val="24"/>
        </w:rPr>
        <w:t>Datos más recientes sobre la cifra de menas en España:</w:t>
      </w:r>
    </w:p>
    <w:p w:rsidR="006A1F56" w:rsidRPr="0094463D" w:rsidRDefault="006A1F56" w:rsidP="006A1F56">
      <w:pPr>
        <w:spacing w:line="240" w:lineRule="auto"/>
        <w:jc w:val="both"/>
        <w:rPr>
          <w:rFonts w:ascii="Times New Roman" w:hAnsi="Times New Roman" w:cs="Times New Roman"/>
          <w:sz w:val="24"/>
          <w:szCs w:val="24"/>
        </w:rPr>
      </w:pPr>
      <w:r w:rsidRPr="0094463D">
        <w:rPr>
          <w:rFonts w:ascii="Times New Roman" w:hAnsi="Times New Roman" w:cs="Times New Roman"/>
          <w:sz w:val="24"/>
          <w:szCs w:val="24"/>
        </w:rPr>
        <w:t xml:space="preserve">Cifra de registro oficial (28 de febrero de 2025): 15.730 menas están inscritos en el registro oficial. </w:t>
      </w:r>
    </w:p>
    <w:p w:rsidR="006A1F56" w:rsidRPr="0094463D" w:rsidRDefault="006A1F56" w:rsidP="006A1F56">
      <w:pPr>
        <w:spacing w:line="240" w:lineRule="auto"/>
        <w:jc w:val="both"/>
        <w:rPr>
          <w:rFonts w:ascii="Times New Roman" w:hAnsi="Times New Roman" w:cs="Times New Roman"/>
          <w:sz w:val="24"/>
          <w:szCs w:val="24"/>
        </w:rPr>
      </w:pPr>
      <w:r w:rsidRPr="0094463D">
        <w:rPr>
          <w:rFonts w:ascii="Times New Roman" w:hAnsi="Times New Roman" w:cs="Times New Roman"/>
          <w:sz w:val="24"/>
          <w:szCs w:val="24"/>
        </w:rPr>
        <w:t>Estimación para 2025: Algunas fuentes prevén que la cifra pueda ascender a casi 19.000 menores en 2025, con un 94% de varones.</w:t>
      </w:r>
    </w:p>
    <w:p w:rsidR="006A1F56" w:rsidRPr="00454012"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17E3A">
        <w:rPr>
          <w:rFonts w:ascii="Times New Roman" w:hAnsi="Times New Roman" w:cs="Times New Roman"/>
          <w:sz w:val="24"/>
          <w:szCs w:val="24"/>
          <w:u w:val="single"/>
        </w:rPr>
        <w:t>Cuántos “menas”</w:t>
      </w:r>
      <w:r w:rsidRPr="00454012">
        <w:rPr>
          <w:rFonts w:ascii="Times New Roman" w:hAnsi="Times New Roman" w:cs="Times New Roman"/>
          <w:sz w:val="24"/>
          <w:szCs w:val="24"/>
          <w:u w:val="single"/>
        </w:rPr>
        <w:t xml:space="preserve"> hay en España, de qué países proceden y cuánto cuesta acogerlos</w:t>
      </w:r>
      <w:r w:rsidR="00317E3A">
        <w:rPr>
          <w:rFonts w:ascii="Times New Roman" w:hAnsi="Times New Roman" w:cs="Times New Roman"/>
          <w:sz w:val="24"/>
          <w:szCs w:val="24"/>
        </w:rPr>
        <w:t xml:space="preserve"> (</w:t>
      </w:r>
      <w:r>
        <w:rPr>
          <w:rFonts w:ascii="Times New Roman" w:hAnsi="Times New Roman" w:cs="Times New Roman"/>
          <w:sz w:val="24"/>
          <w:szCs w:val="24"/>
        </w:rPr>
        <w:t xml:space="preserve">El Español - </w:t>
      </w:r>
      <w:r w:rsidRPr="00454012">
        <w:rPr>
          <w:rFonts w:ascii="Times New Roman" w:hAnsi="Times New Roman" w:cs="Times New Roman"/>
          <w:b/>
          <w:sz w:val="24"/>
          <w:szCs w:val="24"/>
        </w:rPr>
        <w:t>10/7/24</w:t>
      </w:r>
      <w:r>
        <w:rPr>
          <w:rFonts w:ascii="Times New Roman" w:hAnsi="Times New Roman" w:cs="Times New Roman"/>
          <w:sz w:val="24"/>
          <w:szCs w:val="24"/>
        </w:rPr>
        <w:t>)</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El 94% de los menores extranjeros no acompañados son varones, la nacionalidad preeminente es la marroquí.</w:t>
      </w:r>
    </w:p>
    <w:p w:rsidR="006A1F56" w:rsidRPr="00454012"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54012">
        <w:rPr>
          <w:rFonts w:ascii="Times New Roman" w:hAnsi="Times New Roman" w:cs="Times New Roman"/>
          <w:sz w:val="24"/>
          <w:szCs w:val="24"/>
        </w:rPr>
        <w:t>Álvaro Guzguti</w:t>
      </w:r>
      <w:r>
        <w:rPr>
          <w:rFonts w:ascii="Times New Roman" w:hAnsi="Times New Roman" w:cs="Times New Roman"/>
          <w:sz w:val="24"/>
          <w:szCs w:val="24"/>
        </w:rPr>
        <w:t>)</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lastRenderedPageBreak/>
        <w:t>El Gobierno abordará este miércoles con las Comunidades Autónomas el reparto de menores migrantes no acompañados. La Conferencia Sectorial de Infancia y Adolescencia tendrá lugar en Tenerife, con la incógnita de si los presidentes del PP apoyarán la reforma de la Ley de Extranjería propuesta por el Gobierno de Pedro Sánchez y tras las amenazas de Vox de d</w:t>
      </w:r>
      <w:r>
        <w:rPr>
          <w:rFonts w:ascii="Times New Roman" w:hAnsi="Times New Roman" w:cs="Times New Roman"/>
          <w:sz w:val="24"/>
          <w:szCs w:val="24"/>
        </w:rPr>
        <w:t>eshacer sus pactos autonómicos.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El principal objetivo del Gobierno es llevar al Congreso este mes la reforma de la ley, en concreto de su artículo 35, para distribuir a los menas entre todas las autonomías de manera obligatoria y aliviar la ac</w:t>
      </w:r>
      <w:r w:rsidR="00317E3A">
        <w:rPr>
          <w:rFonts w:ascii="Times New Roman" w:hAnsi="Times New Roman" w:cs="Times New Roman"/>
          <w:sz w:val="24"/>
          <w:szCs w:val="24"/>
        </w:rPr>
        <w:t>tual situación de “emergencia”</w:t>
      </w:r>
      <w:r>
        <w:rPr>
          <w:rFonts w:ascii="Times New Roman" w:hAnsi="Times New Roman" w:cs="Times New Roman"/>
          <w:sz w:val="24"/>
          <w:szCs w:val="24"/>
        </w:rPr>
        <w:t>.</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Canarias, Ceuta y Melilla están sobresaturadas. El número de menores que acogen supera con creces sus capacidades para garantizar los derechos que asisten a los migrantes.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¿Cuántos menas acoge España en la actualidad? ¿De qué naciones proceden? ¿Cuál es su proporción según el sexo? ¿Cuántos hay ya en Canarias? ¿Por qué y en qué medida es competencia, actualmente, de las CCAA? ¿Cuántos centros de atención existen en España?</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¿Qué es un mena?</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Según viene recogido en la web del Ministeri</w:t>
      </w:r>
      <w:r w:rsidR="00317E3A">
        <w:rPr>
          <w:rFonts w:ascii="Times New Roman" w:hAnsi="Times New Roman" w:cs="Times New Roman"/>
          <w:sz w:val="24"/>
          <w:szCs w:val="24"/>
        </w:rPr>
        <w:t>o del Interior, el concepto de “Menor Extranjero No Acompañado” se refiere “</w:t>
      </w:r>
      <w:r w:rsidRPr="00454012">
        <w:rPr>
          <w:rFonts w:ascii="Times New Roman" w:hAnsi="Times New Roman" w:cs="Times New Roman"/>
          <w:sz w:val="24"/>
          <w:szCs w:val="24"/>
        </w:rPr>
        <w:t>al extranjero menor de dieciocho años que llegue a territorio español sin venir acompañado de un adulto responsable de él, ya sea legalmente o con arreglo a la costumbre, apreciándose riesgo de desprotección del menor, mientras tal adulto responsable no se haya hecho cargo efectivamente del menor, así como a cualquier menor extranjero que una vez en España se e</w:t>
      </w:r>
      <w:r w:rsidR="00317E3A">
        <w:rPr>
          <w:rFonts w:ascii="Times New Roman" w:hAnsi="Times New Roman" w:cs="Times New Roman"/>
          <w:sz w:val="24"/>
          <w:szCs w:val="24"/>
        </w:rPr>
        <w:t>ncuentre en aquella situación”</w:t>
      </w:r>
      <w:r>
        <w:rPr>
          <w:rFonts w:ascii="Times New Roman" w:hAnsi="Times New Roman" w:cs="Times New Roman"/>
          <w:sz w:val="24"/>
          <w:szCs w:val="24"/>
        </w:rPr>
        <w:t>.</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¿Cuántos menas hay en España?</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La cifra total ha aumentado en los últimos años. A fecha 31 de diciembre de 2023, el Registro Central de Extranjeros (RCE) contaba con un total de 15.045 personas de entre 16 y 23 años que tenían autorización de residencia como menores no aco</w:t>
      </w:r>
      <w:r>
        <w:rPr>
          <w:rFonts w:ascii="Times New Roman" w:hAnsi="Times New Roman" w:cs="Times New Roman"/>
          <w:sz w:val="24"/>
          <w:szCs w:val="24"/>
        </w:rPr>
        <w:t>mpañados o jóvenes extutelados.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¿Cuál es el porcentaje de sexos y nacionalidad? </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Por sexos, hay sólo un 6% de </w:t>
      </w:r>
      <w:r>
        <w:rPr>
          <w:rFonts w:ascii="Times New Roman" w:hAnsi="Times New Roman" w:cs="Times New Roman"/>
          <w:sz w:val="24"/>
          <w:szCs w:val="24"/>
        </w:rPr>
        <w:t xml:space="preserve">mujeres. El resto son hombres. </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En términos de nacionalidad, hace dos años, las personas de nacionalidad marroquí representaban más del 71% del total. A fecha 31 de diciembre de 2023, está proporción se mantuvo en un 67%.</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En relación a los varones, los marroquíes representan el 68%. A gran distancia, les siguen los provenientes de Gambia (9%), Argelia (6%) y Senegal (4%).</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Entre las mujeres, a fecha 31 de diciembre de 2023, el colectivo marroquí también es dominante, representando el 52% del total. Les siguen las nacionales de Colombia (6%</w:t>
      </w:r>
      <w:r>
        <w:rPr>
          <w:rFonts w:ascii="Times New Roman" w:hAnsi="Times New Roman" w:cs="Times New Roman"/>
          <w:sz w:val="24"/>
          <w:szCs w:val="24"/>
        </w:rPr>
        <w:t>), Brasil (4%) y Honduras (4%).</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¿Cuántos menas hay en Canarias?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Canarias es, con diferencia, el territorio que más menas acoge. El pasado mes de febrero, la consejera de Bienestar Social, Igualdad, Juventud, Infancia y Familias del Gobierno canario, Candelaria Delgado, afirmó que el gobierno autónomo tiene bajo su tutela alrededor de 5.600 menores, que son atendidos en los 76 centros abie</w:t>
      </w:r>
      <w:r>
        <w:rPr>
          <w:rFonts w:ascii="Times New Roman" w:hAnsi="Times New Roman" w:cs="Times New Roman"/>
          <w:sz w:val="24"/>
          <w:szCs w:val="24"/>
        </w:rPr>
        <w:t>rtos para menores en las islas.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lastRenderedPageBreak/>
        <w:t>Hay que tener en cuenta que, según datos del último informe quincenal de inmigración irregular del Ministerio del Interior, a las costas de Canarias han llegado 19.257 inmigrantes en lo que van de año. En 2023 la cifra fue de 7.213, por lo que este año se ha producido un aume</w:t>
      </w:r>
      <w:r>
        <w:rPr>
          <w:rFonts w:ascii="Times New Roman" w:hAnsi="Times New Roman" w:cs="Times New Roman"/>
          <w:sz w:val="24"/>
          <w:szCs w:val="24"/>
        </w:rPr>
        <w:t xml:space="preserve">nto del 167%. </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¿Cuánto dinero recibe cada menor en Canarias?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La Dirección General de Políticas Sociales informa de que, además de la acogida en centros, los menores -extranjeros o nacionales- tienen una pequeña asignación para sus gastos que va de los 10 a los 15 euros semanales. Los extutelados pueden percibir la Prestación Canaria de Inserción si han estado bajo tutela en Canarias. Es</w:t>
      </w:r>
      <w:r>
        <w:rPr>
          <w:rFonts w:ascii="Times New Roman" w:hAnsi="Times New Roman" w:cs="Times New Roman"/>
          <w:sz w:val="24"/>
          <w:szCs w:val="24"/>
        </w:rPr>
        <w:t>ta ayuda alcanza los 472 euros.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¿Cuántos centros de acogida hay en España?</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El número total de centros de acogida de menores en España era, a fecha de dicie</w:t>
      </w:r>
      <w:r>
        <w:rPr>
          <w:rFonts w:ascii="Times New Roman" w:hAnsi="Times New Roman" w:cs="Times New Roman"/>
          <w:sz w:val="24"/>
          <w:szCs w:val="24"/>
        </w:rPr>
        <w:t>mbre de 2021, de 1.185 centros.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¿Qué compete al Gobierno central?</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Según viene reco</w:t>
      </w:r>
      <w:r w:rsidR="00317E3A">
        <w:rPr>
          <w:rFonts w:ascii="Times New Roman" w:hAnsi="Times New Roman" w:cs="Times New Roman"/>
          <w:sz w:val="24"/>
          <w:szCs w:val="24"/>
        </w:rPr>
        <w:t>gido en la Ley de Extranjería, “</w:t>
      </w:r>
      <w:r w:rsidRPr="00454012">
        <w:rPr>
          <w:rFonts w:ascii="Times New Roman" w:hAnsi="Times New Roman" w:cs="Times New Roman"/>
          <w:sz w:val="24"/>
          <w:szCs w:val="24"/>
        </w:rPr>
        <w:t>corresponde al Gobierno, de conformidad con lo previsto en el artículo 149.1.2.ª de la Constitución, la definición, planificación, regulación y desarrollo de la política de inmigración, sin perjuicio de las competencias que puedan ser asumidas por las Comunidades Autónoma</w:t>
      </w:r>
      <w:r w:rsidR="00317E3A">
        <w:rPr>
          <w:rFonts w:ascii="Times New Roman" w:hAnsi="Times New Roman" w:cs="Times New Roman"/>
          <w:sz w:val="24"/>
          <w:szCs w:val="24"/>
        </w:rPr>
        <w:t>s y por las Entidades Locales”</w:t>
      </w:r>
      <w:r>
        <w:rPr>
          <w:rFonts w:ascii="Times New Roman" w:hAnsi="Times New Roman" w:cs="Times New Roman"/>
          <w:sz w:val="24"/>
          <w:szCs w:val="24"/>
        </w:rPr>
        <w:t>.</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Además, y esto es clave en el supuesto de que</w:t>
      </w:r>
      <w:r w:rsidR="00317E3A">
        <w:rPr>
          <w:rFonts w:ascii="Times New Roman" w:hAnsi="Times New Roman" w:cs="Times New Roman"/>
          <w:sz w:val="24"/>
          <w:szCs w:val="24"/>
        </w:rPr>
        <w:t xml:space="preserve"> se llegue a un nuevo acuerdo, “</w:t>
      </w:r>
      <w:r w:rsidRPr="00454012">
        <w:rPr>
          <w:rFonts w:ascii="Times New Roman" w:hAnsi="Times New Roman" w:cs="Times New Roman"/>
          <w:sz w:val="24"/>
          <w:szCs w:val="24"/>
        </w:rPr>
        <w:t>el Estado garantizará el principio de solidaridad, consagrado en la Constitución, atendiendo a las especiales circunstancias de aquellos territorios en los que los flujos migratorios t</w:t>
      </w:r>
      <w:r w:rsidR="00317E3A">
        <w:rPr>
          <w:rFonts w:ascii="Times New Roman" w:hAnsi="Times New Roman" w:cs="Times New Roman"/>
          <w:sz w:val="24"/>
          <w:szCs w:val="24"/>
        </w:rPr>
        <w:t>engan una especial incidencia”</w:t>
      </w:r>
      <w:r>
        <w:rPr>
          <w:rFonts w:ascii="Times New Roman" w:hAnsi="Times New Roman" w:cs="Times New Roman"/>
          <w:sz w:val="24"/>
          <w:szCs w:val="24"/>
        </w:rPr>
        <w:t>.</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¿Y qué compete a las CCAA?</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El principal problema es que la Ley de Extranjería establece en su artículo 35 que la responsabilidad de atender a los menores es de la comunidad autónoma a la que llegan. Esto es algo que no sucede con los adultos. </w:t>
      </w:r>
    </w:p>
    <w:p w:rsidR="006A1F56"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Los menores y extutelados extranjeros se han disparado un 140% en cuatro años: de 7.878 en 2021 a 18.967 en 2025</w:t>
      </w:r>
    </w:p>
    <w:p w:rsidR="006A1F56" w:rsidRPr="00B253F4"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253F4">
        <w:rPr>
          <w:rFonts w:ascii="Times New Roman" w:hAnsi="Times New Roman" w:cs="Times New Roman"/>
          <w:sz w:val="24"/>
          <w:szCs w:val="24"/>
          <w:u w:val="single"/>
        </w:rPr>
        <w:t>Los datos de menas que las autonomías han enviado al Gobierno: Canarias, Andalucía y Madrid acogen más que Cataluña</w:t>
      </w:r>
      <w:r w:rsidR="00317E3A">
        <w:rPr>
          <w:rFonts w:ascii="Times New Roman" w:hAnsi="Times New Roman" w:cs="Times New Roman"/>
          <w:sz w:val="24"/>
          <w:szCs w:val="24"/>
        </w:rPr>
        <w:t xml:space="preserve"> (</w:t>
      </w:r>
      <w:r>
        <w:rPr>
          <w:rFonts w:ascii="Times New Roman" w:hAnsi="Times New Roman" w:cs="Times New Roman"/>
          <w:sz w:val="24"/>
          <w:szCs w:val="24"/>
        </w:rPr>
        <w:t xml:space="preserve">ABC - </w:t>
      </w:r>
      <w:r w:rsidRPr="00B253F4">
        <w:rPr>
          <w:rFonts w:ascii="Times New Roman" w:hAnsi="Times New Roman" w:cs="Times New Roman"/>
          <w:b/>
          <w:sz w:val="24"/>
          <w:szCs w:val="24"/>
        </w:rPr>
        <w:t>1/4/25</w:t>
      </w:r>
      <w:r>
        <w:rPr>
          <w:rFonts w:ascii="Times New Roman" w:hAnsi="Times New Roman" w:cs="Times New Roman"/>
          <w:sz w:val="24"/>
          <w:szCs w:val="24"/>
        </w:rPr>
        <w:t>)</w:t>
      </w:r>
    </w:p>
    <w:p w:rsidR="006A1F56" w:rsidRPr="00B253F4"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t>Los gobierno</w:t>
      </w:r>
      <w:r>
        <w:rPr>
          <w:rFonts w:ascii="Times New Roman" w:hAnsi="Times New Roman" w:cs="Times New Roman"/>
          <w:sz w:val="24"/>
          <w:szCs w:val="24"/>
        </w:rPr>
        <w:t>s</w:t>
      </w:r>
      <w:r w:rsidRPr="00B253F4">
        <w:rPr>
          <w:rFonts w:ascii="Times New Roman" w:hAnsi="Times New Roman" w:cs="Times New Roman"/>
          <w:sz w:val="24"/>
          <w:szCs w:val="24"/>
        </w:rPr>
        <w:t xml:space="preserve"> de las comunidades autónomas han remitido al Ministerio de Infancia y Juventud los datos sobre su capacidad de acogida</w:t>
      </w:r>
    </w:p>
    <w:p w:rsidR="006A1F56" w:rsidRPr="00B253F4"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t>Este lunes terminó el plazo para que las comunidades autónomas enviaran sus datos al Gobierno para que calculase cuántos de los 4.000 menores inmigrantes en Canarias deben acoger cada uno de los territorios, tras el pacto alcanzado por Junts hace dos semanas. Según avanzó el partido independentista, Cataluña recibiría unos 30 menas, mientras que la comunidad de Ma</w:t>
      </w:r>
      <w:r>
        <w:rPr>
          <w:rFonts w:ascii="Times New Roman" w:hAnsi="Times New Roman" w:cs="Times New Roman"/>
          <w:sz w:val="24"/>
          <w:szCs w:val="24"/>
        </w:rPr>
        <w:t>drid acogería alrededor de 800.</w:t>
      </w:r>
    </w:p>
    <w:p w:rsidR="006A1F56" w:rsidRPr="00B253F4"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t>Estos datos no fueron confirmados por el Ejecutivo de Pedro Sánchez, que emplazó a dar los definitivos después de que los gobiernos autonómicos detallaran el estado y saturación de sus sistemas de acogida. Ahora, después de que se hayan remitido al Ministerio de Juventud e Infancia dirigido por Sira Rego,</w:t>
      </w:r>
      <w:r>
        <w:rPr>
          <w:rFonts w:ascii="Times New Roman" w:hAnsi="Times New Roman" w:cs="Times New Roman"/>
          <w:sz w:val="24"/>
          <w:szCs w:val="24"/>
        </w:rPr>
        <w:t xml:space="preserve"> deberá realizarse ese cálculo.</w:t>
      </w:r>
    </w:p>
    <w:p w:rsidR="006A1F56"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lastRenderedPageBreak/>
        <w:t>Según datos de la Consellería de Derechos Sociales de la Generalitat, recogidos por Europa Press, Cataluña acoge actualmente 2.242 menores extranjeros, una cifra que, si bien no es la más alta de todas las comunidades, se reducirá considerablemente si se cumplen los cálculos de Junts.</w:t>
      </w:r>
    </w:p>
    <w:p w:rsidR="006A1F56" w:rsidRPr="00B253F4"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noProof/>
          <w:sz w:val="24"/>
          <w:szCs w:val="24"/>
          <w:lang w:eastAsia="es-ES"/>
        </w:rPr>
        <w:drawing>
          <wp:inline distT="0" distB="0" distL="0" distR="0" wp14:anchorId="3956DA43" wp14:editId="5400088B">
            <wp:extent cx="5731510" cy="5128260"/>
            <wp:effectExtent l="0" t="0" r="2540" b="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a:stretch>
                      <a:fillRect/>
                    </a:stretch>
                  </pic:blipFill>
                  <pic:spPr>
                    <a:xfrm>
                      <a:off x="0" y="0"/>
                      <a:ext cx="5731510" cy="5128260"/>
                    </a:xfrm>
                    <a:prstGeom prst="rect">
                      <a:avLst/>
                    </a:prstGeom>
                  </pic:spPr>
                </pic:pic>
              </a:graphicData>
            </a:graphic>
          </wp:inline>
        </w:drawing>
      </w:r>
    </w:p>
    <w:p w:rsidR="006A1F56" w:rsidRPr="00B253F4"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t>Canarias lidera la acogida de inmigrantes</w:t>
      </w:r>
    </w:p>
    <w:p w:rsidR="006A1F56" w:rsidRPr="00B253F4"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t>Canarias, lógicamente, se encuentra a la cabeza, con más de 5.800 menores extranjeros en acogida, aunque la cifra bajará en unos 400 que se encuentran próximos a la mayoría de edad. Esta sobresaturación del sistema de acogida de las islas es lo que ha llevado a solicitar el reparto por el territorio. Además, el Gobierno de Clavijo recurrió al Tribunal Supremo por entender que es el Ejecutivo central quién tiene que hacerse cargo. El Alto Tribunal le dio la razón la semana pasada y obligó al Estado a hacerse cargo de los menas en un plazo máximo de diez días, aunque aún no ha dado detalles de cómo va a hacerlo.</w:t>
      </w:r>
    </w:p>
    <w:p w:rsidR="006A1F56" w:rsidRPr="00B253F4"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t>Así, por ejemplo, el Gobierno de Ayuso ha señalado que, durante el año 2024, atendió a 2.442 menores extranjeros y que el sistema está a un 132% de su capacidad, según recogió Europa Press. Ana Dávila, consejera de Familia, Juventud y Asuntos Sociales, destacó ante los medios que durante el presente año ya ha atendido a más de 950 menas. Madrid anunció la semana pasada que iban a recurrir el Real Decr</w:t>
      </w:r>
      <w:r>
        <w:rPr>
          <w:rFonts w:ascii="Times New Roman" w:hAnsi="Times New Roman" w:cs="Times New Roman"/>
          <w:sz w:val="24"/>
          <w:szCs w:val="24"/>
        </w:rPr>
        <w:t>eto pactado con los Puigdemont.</w:t>
      </w:r>
    </w:p>
    <w:p w:rsidR="006A1F56" w:rsidRPr="00B253F4"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lastRenderedPageBreak/>
        <w:t>Andalucía es la autonomía que más menores inmigrantes no acompañados atendió en 2024 dentro de la península: 2.615 jóvenes, con una ocupación del sistema cercana al 100%. Según los cálculos avanzados</w:t>
      </w:r>
      <w:r>
        <w:rPr>
          <w:rFonts w:ascii="Times New Roman" w:hAnsi="Times New Roman" w:cs="Times New Roman"/>
          <w:sz w:val="24"/>
          <w:szCs w:val="24"/>
        </w:rPr>
        <w:t>,</w:t>
      </w:r>
      <w:r w:rsidRPr="00B253F4">
        <w:rPr>
          <w:rFonts w:ascii="Times New Roman" w:hAnsi="Times New Roman" w:cs="Times New Roman"/>
          <w:sz w:val="24"/>
          <w:szCs w:val="24"/>
        </w:rPr>
        <w:t xml:space="preserve"> hace un par de semanas, del reparto de los menores de Canarias les correspondería casi 800 que se integrarían en el sistema. Desde la Junta han denunciado que el Gobierno de España miente en materia de inmigración, y oculta los datos de, por ejemplo, el estado del </w:t>
      </w:r>
      <w:r>
        <w:rPr>
          <w:rFonts w:ascii="Times New Roman" w:hAnsi="Times New Roman" w:cs="Times New Roman"/>
          <w:sz w:val="24"/>
          <w:szCs w:val="24"/>
        </w:rPr>
        <w:t>sistema de acogida de Cataluña.</w:t>
      </w:r>
    </w:p>
    <w:p w:rsidR="006A1F56" w:rsidRPr="00B253F4"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t xml:space="preserve">La Comunidad Valenciana, por su parte, ha remitido los datos al ministerio dirigido por Sira Rego. Este martes, la vicepresidenta de la Generalitat, Susana Camarero, ha detallado las cifras: durante el 2024 atendió a más de 900 inmigrantes, con una media de permanencia de 480-490. Su sistema de acogida está al 160%, ha denunciado Camarero. Además, han anunciado que acudirán al </w:t>
      </w:r>
      <w:r>
        <w:rPr>
          <w:rFonts w:ascii="Times New Roman" w:hAnsi="Times New Roman" w:cs="Times New Roman"/>
          <w:sz w:val="24"/>
          <w:szCs w:val="24"/>
        </w:rPr>
        <w:t>Tribunal Constitucional para re</w:t>
      </w:r>
      <w:r w:rsidRPr="00B253F4">
        <w:rPr>
          <w:rFonts w:ascii="Times New Roman" w:hAnsi="Times New Roman" w:cs="Times New Roman"/>
          <w:sz w:val="24"/>
          <w:szCs w:val="24"/>
        </w:rPr>
        <w:t>currir el Real Decreto que modificaba la Ley de Extranjería.</w:t>
      </w:r>
    </w:p>
    <w:p w:rsidR="006A1F56" w:rsidRPr="00B253F4"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t>Mazón ya advirtió, al presentar el acuerdo con Vox sobre los presupuestos, que no acogería más inmigrantes irregulares; algo que el resto de comunidades gobernadas del PP no va a hacer.</w:t>
      </w:r>
    </w:p>
    <w:p w:rsidR="006A1F56" w:rsidRPr="00B253F4" w:rsidRDefault="00317E3A"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A1F56" w:rsidRPr="00B253F4">
        <w:rPr>
          <w:rFonts w:ascii="Times New Roman" w:hAnsi="Times New Roman" w:cs="Times New Roman"/>
          <w:sz w:val="24"/>
          <w:szCs w:val="24"/>
        </w:rPr>
        <w:t>No ha trascendido que Cataluña haya remitido los datos al ministerio. Aragón se ha negado a mandarlos por h</w:t>
      </w:r>
      <w:r w:rsidR="006A1F56">
        <w:rPr>
          <w:rFonts w:ascii="Times New Roman" w:hAnsi="Times New Roman" w:cs="Times New Roman"/>
          <w:sz w:val="24"/>
          <w:szCs w:val="24"/>
        </w:rPr>
        <w:t>aber recurrido el Real Decreto</w:t>
      </w:r>
      <w:r>
        <w:rPr>
          <w:rFonts w:ascii="Times New Roman" w:hAnsi="Times New Roman" w:cs="Times New Roman"/>
          <w:sz w:val="24"/>
          <w:szCs w:val="24"/>
        </w:rPr>
        <w:t>)</w:t>
      </w:r>
      <w:r w:rsidR="006A1F56">
        <w:rPr>
          <w:rFonts w:ascii="Times New Roman" w:hAnsi="Times New Roman" w:cs="Times New Roman"/>
          <w:sz w:val="24"/>
          <w:szCs w:val="24"/>
        </w:rPr>
        <w:t>.</w:t>
      </w:r>
    </w:p>
    <w:p w:rsidR="006A1F56" w:rsidRPr="00B253F4"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t>Galicia, un 108% de saturación</w:t>
      </w:r>
    </w:p>
    <w:p w:rsidR="006A1F56" w:rsidRPr="00B253F4"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t>Galicia también detalló los datos que remitió a Moncloa: 273 menas bajo la tutela de la Xunta en un sistema con una saturación de un 108%. Según sus cálculos, les corresponderían unos 326 jóvenes del reparto, lo que duplicaría con creces los acogidos, y que el presidente Alfonso Rueda cifró en un coste de 30 millones al año. «No se trata de repartir el problema, sino de solucion</w:t>
      </w:r>
      <w:r>
        <w:rPr>
          <w:rFonts w:ascii="Times New Roman" w:hAnsi="Times New Roman" w:cs="Times New Roman"/>
          <w:sz w:val="24"/>
          <w:szCs w:val="24"/>
        </w:rPr>
        <w:t>arlo», explicó ante los medios.</w:t>
      </w:r>
    </w:p>
    <w:p w:rsidR="006A1F56" w:rsidRPr="00B253F4"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t>También otras comunidades han enviado sus datos, recogidos por Europa Press: Castilla y León atiende actualmente a 178 menas (le corresponderían 309 del reparto); Asturias, 89 (151 del reparto); Castilla-La Mancha, 139 (291); País Vasco, 859 (sólo 87 de los actualmente acogidos en Canarias); La Rioja, 15 (sumaría 154); Cantabria, 22 (170); Extremadura, 126 (169); Baleares, 573 (recibiría a 58 menores, pero su sistema está por encima del 1.000% de saturación) y la Región de Murcia, 619 plazas ocupadas (190 del reparto).</w:t>
      </w:r>
    </w:p>
    <w:p w:rsidR="006A1F56" w:rsidRPr="00454012" w:rsidRDefault="006A1F56" w:rsidP="006A1F56">
      <w:pPr>
        <w:spacing w:line="240" w:lineRule="auto"/>
        <w:jc w:val="both"/>
        <w:rPr>
          <w:rFonts w:ascii="Times New Roman" w:hAnsi="Times New Roman" w:cs="Times New Roman"/>
          <w:sz w:val="24"/>
          <w:szCs w:val="24"/>
        </w:rPr>
      </w:pPr>
      <w:r w:rsidRPr="00B253F4">
        <w:rPr>
          <w:rFonts w:ascii="Times New Roman" w:hAnsi="Times New Roman" w:cs="Times New Roman"/>
          <w:sz w:val="24"/>
          <w:szCs w:val="24"/>
        </w:rPr>
        <w:t>Además de Madrid y la Comunidad Valenciana que ya han anunciado el recurso, otras comunidades del PP han señalado que están estudiando acudir al Cons</w:t>
      </w:r>
      <w:r>
        <w:rPr>
          <w:rFonts w:ascii="Times New Roman" w:hAnsi="Times New Roman" w:cs="Times New Roman"/>
          <w:sz w:val="24"/>
          <w:szCs w:val="24"/>
        </w:rPr>
        <w:t>t</w:t>
      </w:r>
      <w:r w:rsidRPr="00B253F4">
        <w:rPr>
          <w:rFonts w:ascii="Times New Roman" w:hAnsi="Times New Roman" w:cs="Times New Roman"/>
          <w:sz w:val="24"/>
          <w:szCs w:val="24"/>
        </w:rPr>
        <w:t>itucional. Aragón también acudió a los tribunales, pero por la vía contencioso-administrativa. Por el momento, el Gobierno de Azcón se ha negado a dar traslado de los datos de los menores que tiene en acogida.</w:t>
      </w:r>
    </w:p>
    <w:p w:rsidR="006A1F56" w:rsidRPr="00454012"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253F4">
        <w:rPr>
          <w:rFonts w:ascii="Times New Roman" w:hAnsi="Times New Roman" w:cs="Times New Roman"/>
          <w:sz w:val="24"/>
          <w:szCs w:val="24"/>
          <w:u w:val="single"/>
        </w:rPr>
        <w:t>Radiografía de los menas en España: el 94% son varones y el 60% provienen de Marruecos</w:t>
      </w:r>
      <w:r w:rsidR="00317E3A">
        <w:rPr>
          <w:rFonts w:ascii="Times New Roman" w:hAnsi="Times New Roman" w:cs="Times New Roman"/>
          <w:sz w:val="24"/>
          <w:szCs w:val="24"/>
        </w:rPr>
        <w:t xml:space="preserve"> (</w:t>
      </w:r>
      <w:r>
        <w:rPr>
          <w:rFonts w:ascii="Times New Roman" w:hAnsi="Times New Roman" w:cs="Times New Roman"/>
          <w:sz w:val="24"/>
          <w:szCs w:val="24"/>
        </w:rPr>
        <w:t xml:space="preserve">The Objective - </w:t>
      </w:r>
      <w:r w:rsidRPr="00B253F4">
        <w:rPr>
          <w:rFonts w:ascii="Times New Roman" w:hAnsi="Times New Roman" w:cs="Times New Roman"/>
          <w:b/>
          <w:sz w:val="24"/>
          <w:szCs w:val="24"/>
        </w:rPr>
        <w:t>13/8/25</w:t>
      </w:r>
      <w:r>
        <w:rPr>
          <w:rFonts w:ascii="Times New Roman" w:hAnsi="Times New Roman" w:cs="Times New Roman"/>
          <w:sz w:val="24"/>
          <w:szCs w:val="24"/>
        </w:rPr>
        <w:t>)</w:t>
      </w:r>
    </w:p>
    <w:p w:rsidR="006A1F56" w:rsidRPr="00454012"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54012">
        <w:rPr>
          <w:rFonts w:ascii="Times New Roman" w:hAnsi="Times New Roman" w:cs="Times New Roman"/>
          <w:sz w:val="24"/>
          <w:szCs w:val="24"/>
        </w:rPr>
        <w:t>Marcos Ondarra</w:t>
      </w:r>
      <w:r>
        <w:rPr>
          <w:rFonts w:ascii="Times New Roman" w:hAnsi="Times New Roman" w:cs="Times New Roman"/>
          <w:sz w:val="24"/>
          <w:szCs w:val="24"/>
        </w:rPr>
        <w:t>)</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Los menas, acrónimo de menores extranjeros no acompañados, marcan el debate político en España de un tiempo a esta parte. El Gobierno de Pedro Sánchez, que ha decidido repartirlos por las Comunidades Autónomas con criterios dispares que perjudican al Partido Popular y benefician a sus socios separatistas, se refiere a </w:t>
      </w:r>
      <w:r w:rsidR="00317E3A">
        <w:rPr>
          <w:rFonts w:ascii="Times New Roman" w:hAnsi="Times New Roman" w:cs="Times New Roman"/>
          <w:sz w:val="24"/>
          <w:szCs w:val="24"/>
        </w:rPr>
        <w:t>ellos como “niños y niñas” que “huyen de la guerra”</w:t>
      </w:r>
      <w:r w:rsidRPr="00454012">
        <w:rPr>
          <w:rFonts w:ascii="Times New Roman" w:hAnsi="Times New Roman" w:cs="Times New Roman"/>
          <w:sz w:val="24"/>
          <w:szCs w:val="24"/>
        </w:rPr>
        <w:t xml:space="preserve">. Sin embargo, los datos del Observatorio Permanente de la Inmigración (OPI), </w:t>
      </w:r>
      <w:r w:rsidRPr="00454012">
        <w:rPr>
          <w:rFonts w:ascii="Times New Roman" w:hAnsi="Times New Roman" w:cs="Times New Roman"/>
          <w:sz w:val="24"/>
          <w:szCs w:val="24"/>
        </w:rPr>
        <w:lastRenderedPageBreak/>
        <w:t>dependiente del Ministerio de Inclusión, Seguridad Social y Migra</w:t>
      </w:r>
      <w:r>
        <w:rPr>
          <w:rFonts w:ascii="Times New Roman" w:hAnsi="Times New Roman" w:cs="Times New Roman"/>
          <w:sz w:val="24"/>
          <w:szCs w:val="24"/>
        </w:rPr>
        <w:t>ciones, muestran otra realidad.</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Estos evidencian que la mayor parte de los menas que acoge nuestro país provienen de Marruecos, en donde no existe ningún conflicto bélico ni hay persecuciones que justifiquen un éxodo. Les siguen los provenientes de Gambia (12%), Argelia (9%) y Senegal (6%), señal de una falta de control efectivo en la presión migratoria proveniente del norte de África. Además, casi todos ellos son varones. Entre los inmigrantes de Iberoamérica, sin embargo, abundan las mujeres. Ellas son el 62% de las personas que proceden de Honduras, el 67% </w:t>
      </w:r>
      <w:r>
        <w:rPr>
          <w:rFonts w:ascii="Times New Roman" w:hAnsi="Times New Roman" w:cs="Times New Roman"/>
          <w:sz w:val="24"/>
          <w:szCs w:val="24"/>
        </w:rPr>
        <w:t>de Brasil o el 61% de Colombia.</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En concreto, el número de menas y jóvenes extutelados se ha disparado recientemente, pasando de 7.878 en junio de 2021 a 18.967 en marzo de 2025, un aumento del 140,7% en tan solo cuatro años. De estos, 11.225 son marroquíes (el 59%). Por sexos, solo el 6% son mujeres. Y en cuanto a la edad media, esta oscila los 19 años, siendo los más mayores los que proceden de Ghana (21),</w:t>
      </w:r>
      <w:r>
        <w:rPr>
          <w:rFonts w:ascii="Times New Roman" w:hAnsi="Times New Roman" w:cs="Times New Roman"/>
          <w:sz w:val="24"/>
          <w:szCs w:val="24"/>
        </w:rPr>
        <w:t xml:space="preserve"> Marruecos (20) y Nigeria (20).</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La penúltima reforma de la ley de extranjería, que se acometió en octubre de 2021, tenía como objetivo que el permiso de residencia de los menas no expirara a los 18 años. El Gobierno defendió entonces su pertinencia, y aseveró que no produciría un «efecto llamada». Sin embargo, el número de adscritos al Registro Central de Extranjeros (RCE) ha aumentado de una forma brutal desde entonces. El 31 de diciembre de 2021, había 5.718 de entre 18 y 23 años con autorización de residencia como menores no acompañados o jóvenes extutelados. A 31 de diciembre de 2023, este número ha ascendido a 15.971 personas; un crecimi</w:t>
      </w:r>
      <w:r>
        <w:rPr>
          <w:rFonts w:ascii="Times New Roman" w:hAnsi="Times New Roman" w:cs="Times New Roman"/>
          <w:sz w:val="24"/>
          <w:szCs w:val="24"/>
        </w:rPr>
        <w:t>ento del 179,3% en cuatro años.</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Baja inserción laboral</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En cuanto a la última reforma de esta norma, que entró en vigor en mayo de este año, esta contempla que los jóvenes extutelados que cumplan 18 años pueden solicitar autorizaciones de trabajo con menos trabas burocráticas, con el objetivo de mejorar su inserción laboral. Sin embargo, en la actualidad, el 43% de los menas y extutelados con permiso de trabajo (8.204) no están empleados ni cotizan a la Seguridad Social. Las cifras son aún peores entre los menas de 16 a 17 años: de los 2.996 con autorización para trabajar, sólo 299 (un 10%) están afiliados a la Seguridad Social.</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En cuanto a las principales actividades de este colectivo, destacan la hostelería (27%), las actividades administrativas y servicios auxiliares</w:t>
      </w:r>
      <w:r>
        <w:rPr>
          <w:rFonts w:ascii="Times New Roman" w:hAnsi="Times New Roman" w:cs="Times New Roman"/>
          <w:sz w:val="24"/>
          <w:szCs w:val="24"/>
        </w:rPr>
        <w:t xml:space="preserve"> (15%) y la construcción (12%).</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Crisis política</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El reparto de menas desde las Islas Canarias a toda la península, que ha comenzado esta semana, está siendo objeto de polémica, por cuanto el Gobierno de Pedro Sánchez ha decidido qué País Vasco y Cataluña, en donde se ubican sus socios parlamentarios, se vean exentos del deber de acogerlos. También por la opacidad con la que el Ejecutivo está gestionando esta situación, sin informar con anterioridad de a dó</w:t>
      </w:r>
      <w:r w:rsidR="00317E3A">
        <w:rPr>
          <w:rFonts w:ascii="Times New Roman" w:hAnsi="Times New Roman" w:cs="Times New Roman"/>
          <w:sz w:val="24"/>
          <w:szCs w:val="24"/>
        </w:rPr>
        <w:t>nde se destinarán alegando que -</w:t>
      </w:r>
      <w:r w:rsidRPr="00454012">
        <w:rPr>
          <w:rFonts w:ascii="Times New Roman" w:hAnsi="Times New Roman" w:cs="Times New Roman"/>
          <w:sz w:val="24"/>
          <w:szCs w:val="24"/>
        </w:rPr>
        <w:t>en palabras de Elma Saiz, la ministra de Inclusión,</w:t>
      </w:r>
      <w:r w:rsidR="00317E3A">
        <w:rPr>
          <w:rFonts w:ascii="Times New Roman" w:hAnsi="Times New Roman" w:cs="Times New Roman"/>
          <w:sz w:val="24"/>
          <w:szCs w:val="24"/>
        </w:rPr>
        <w:t xml:space="preserve"> Seguridad Social y Migraciones-</w:t>
      </w:r>
      <w:r w:rsidRPr="00454012">
        <w:rPr>
          <w:rFonts w:ascii="Times New Roman" w:hAnsi="Times New Roman" w:cs="Times New Roman"/>
          <w:sz w:val="24"/>
          <w:szCs w:val="24"/>
        </w:rPr>
        <w:t xml:space="preserve"> han tenido q</w:t>
      </w:r>
      <w:r w:rsidR="00921F40">
        <w:rPr>
          <w:rFonts w:ascii="Times New Roman" w:hAnsi="Times New Roman" w:cs="Times New Roman"/>
          <w:sz w:val="24"/>
          <w:szCs w:val="24"/>
        </w:rPr>
        <w:t>ue retirar “</w:t>
      </w:r>
      <w:r w:rsidRPr="00454012">
        <w:rPr>
          <w:rFonts w:ascii="Times New Roman" w:hAnsi="Times New Roman" w:cs="Times New Roman"/>
          <w:sz w:val="24"/>
          <w:szCs w:val="24"/>
        </w:rPr>
        <w:t>una panca</w:t>
      </w:r>
      <w:r w:rsidR="00921F40">
        <w:rPr>
          <w:rFonts w:ascii="Times New Roman" w:hAnsi="Times New Roman" w:cs="Times New Roman"/>
          <w:sz w:val="24"/>
          <w:szCs w:val="24"/>
        </w:rPr>
        <w:t>rta nazi que pedía su expulsión”</w:t>
      </w:r>
      <w:r w:rsidRPr="00454012">
        <w:rPr>
          <w:rFonts w:ascii="Times New Roman" w:hAnsi="Times New Roman" w:cs="Times New Roman"/>
          <w:sz w:val="24"/>
          <w:szCs w:val="24"/>
        </w:rPr>
        <w:t>. Sin embargo, los socialistas no han especificado dónde la han hallado.</w:t>
      </w:r>
    </w:p>
    <w:p w:rsidR="006A1F56" w:rsidRPr="00454012"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 xml:space="preserve">Sea como fuere, la situación en Canarias es insostenible. Con 8.500 menas bajo su tutela, las islas acogen a más menores extranjeros que Grecia, Marruecos o que todos los ayuntamientos del Reino Unido juntos. Por poner un ejemplo clarificador, el número total de menas que </w:t>
      </w:r>
      <w:r w:rsidRPr="00454012">
        <w:rPr>
          <w:rFonts w:ascii="Times New Roman" w:hAnsi="Times New Roman" w:cs="Times New Roman"/>
          <w:sz w:val="24"/>
          <w:szCs w:val="24"/>
        </w:rPr>
        <w:lastRenderedPageBreak/>
        <w:t>viven en algún tipo de estructura estatal griega, según el gobierno de ese país, es de 2.641, de los que 58</w:t>
      </w:r>
      <w:r w:rsidR="00317E3A">
        <w:rPr>
          <w:rFonts w:ascii="Times New Roman" w:hAnsi="Times New Roman" w:cs="Times New Roman"/>
          <w:sz w:val="24"/>
          <w:szCs w:val="24"/>
        </w:rPr>
        <w:t>5 son egipcios. PP denuncia la “imposición”</w:t>
      </w:r>
      <w:r w:rsidRPr="00454012">
        <w:rPr>
          <w:rFonts w:ascii="Times New Roman" w:hAnsi="Times New Roman" w:cs="Times New Roman"/>
          <w:sz w:val="24"/>
          <w:szCs w:val="24"/>
        </w:rPr>
        <w:t xml:space="preserve"> del PSOE y sus socios en el reparto y Vox pide que el problema se ataje de origen.</w:t>
      </w:r>
    </w:p>
    <w:p w:rsidR="006A1F56" w:rsidRPr="00454012" w:rsidRDefault="00317E3A"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Además, establece que “</w:t>
      </w:r>
      <w:r w:rsidR="006A1F56" w:rsidRPr="00454012">
        <w:rPr>
          <w:rFonts w:ascii="Times New Roman" w:hAnsi="Times New Roman" w:cs="Times New Roman"/>
          <w:sz w:val="24"/>
          <w:szCs w:val="24"/>
        </w:rPr>
        <w:t>las comunidades autónomas podrán llegar a acuerdos con las comunidades autónomas donde se encuentren los menores extranjeros no acompañados para asumir la tutela y custodia, con el fin de garantizar a los menores unas mejores condici</w:t>
      </w:r>
      <w:r>
        <w:rPr>
          <w:rFonts w:ascii="Times New Roman" w:hAnsi="Times New Roman" w:cs="Times New Roman"/>
          <w:sz w:val="24"/>
          <w:szCs w:val="24"/>
        </w:rPr>
        <w:t>ones de integración”</w:t>
      </w:r>
      <w:r w:rsidR="006A1F56">
        <w:rPr>
          <w:rFonts w:ascii="Times New Roman" w:hAnsi="Times New Roman" w:cs="Times New Roman"/>
          <w:sz w:val="24"/>
          <w:szCs w:val="24"/>
        </w:rPr>
        <w:t>.</w:t>
      </w:r>
    </w:p>
    <w:p w:rsidR="006A1F56" w:rsidRDefault="006A1F56" w:rsidP="006A1F56">
      <w:pPr>
        <w:spacing w:line="240" w:lineRule="auto"/>
        <w:jc w:val="both"/>
        <w:rPr>
          <w:rFonts w:ascii="Times New Roman" w:hAnsi="Times New Roman" w:cs="Times New Roman"/>
          <w:sz w:val="24"/>
          <w:szCs w:val="24"/>
        </w:rPr>
      </w:pPr>
      <w:r w:rsidRPr="00454012">
        <w:rPr>
          <w:rFonts w:ascii="Times New Roman" w:hAnsi="Times New Roman" w:cs="Times New Roman"/>
          <w:sz w:val="24"/>
          <w:szCs w:val="24"/>
        </w:rPr>
        <w:t>El Gobierno quiere cambiar este siste</w:t>
      </w:r>
      <w:r w:rsidR="00317E3A">
        <w:rPr>
          <w:rFonts w:ascii="Times New Roman" w:hAnsi="Times New Roman" w:cs="Times New Roman"/>
          <w:sz w:val="24"/>
          <w:szCs w:val="24"/>
        </w:rPr>
        <w:t>ma. Pretende que no dependa de “acuerdos”</w:t>
      </w:r>
      <w:r w:rsidRPr="00454012">
        <w:rPr>
          <w:rFonts w:ascii="Times New Roman" w:hAnsi="Times New Roman" w:cs="Times New Roman"/>
          <w:sz w:val="24"/>
          <w:szCs w:val="24"/>
        </w:rPr>
        <w:t xml:space="preserve"> con otras comunidades autónomas y que el reparto se haga de manera obligatoria, para que haya un sistema que sea permanente y no al albur de la situación de cada momento.</w:t>
      </w:r>
    </w:p>
    <w:p w:rsidR="006A1F56" w:rsidRPr="007B0F72"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B0F72">
        <w:rPr>
          <w:rFonts w:ascii="Times New Roman" w:hAnsi="Times New Roman" w:cs="Times New Roman"/>
          <w:sz w:val="24"/>
          <w:szCs w:val="24"/>
          <w:u w:val="single"/>
        </w:rPr>
        <w:t>Explosión de menas en España: casi 19.000 en 2025, el 94% varones y el 60% procedente de Marruecos</w:t>
      </w:r>
      <w:r>
        <w:rPr>
          <w:rFonts w:ascii="Times New Roman" w:hAnsi="Times New Roman" w:cs="Times New Roman"/>
          <w:sz w:val="24"/>
          <w:szCs w:val="24"/>
        </w:rPr>
        <w:t xml:space="preserve"> (Fuente: gaceta.es - </w:t>
      </w:r>
      <w:r w:rsidRPr="007B0F72">
        <w:rPr>
          <w:rFonts w:ascii="Times New Roman" w:hAnsi="Times New Roman" w:cs="Times New Roman"/>
          <w:b/>
          <w:sz w:val="24"/>
          <w:szCs w:val="24"/>
        </w:rPr>
        <w:t>16/8/25</w:t>
      </w:r>
      <w:r>
        <w:rPr>
          <w:rFonts w:ascii="Times New Roman" w:hAnsi="Times New Roman" w:cs="Times New Roman"/>
          <w:sz w:val="24"/>
          <w:szCs w:val="24"/>
        </w:rPr>
        <w:t>)</w:t>
      </w:r>
    </w:p>
    <w:p w:rsidR="006A1F56" w:rsidRPr="007B0F72"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B0F72">
        <w:rPr>
          <w:rFonts w:ascii="Times New Roman" w:hAnsi="Times New Roman" w:cs="Times New Roman"/>
          <w:sz w:val="24"/>
          <w:szCs w:val="24"/>
        </w:rPr>
        <w:t>Santiago Carranza-Vélez</w:t>
      </w:r>
      <w:r>
        <w:rPr>
          <w:rFonts w:ascii="Times New Roman" w:hAnsi="Times New Roman" w:cs="Times New Roman"/>
          <w:sz w:val="24"/>
          <w:szCs w:val="24"/>
        </w:rPr>
        <w:t>)</w:t>
      </w:r>
    </w:p>
    <w:p w:rsidR="006A1F56" w:rsidRPr="007B0F72" w:rsidRDefault="006A1F56" w:rsidP="006A1F56">
      <w:pPr>
        <w:spacing w:line="240" w:lineRule="auto"/>
        <w:jc w:val="both"/>
        <w:rPr>
          <w:rFonts w:ascii="Times New Roman" w:hAnsi="Times New Roman" w:cs="Times New Roman"/>
          <w:sz w:val="24"/>
          <w:szCs w:val="24"/>
        </w:rPr>
      </w:pPr>
      <w:r w:rsidRPr="007B0F72">
        <w:rPr>
          <w:rFonts w:ascii="Times New Roman" w:hAnsi="Times New Roman" w:cs="Times New Roman"/>
          <w:sz w:val="24"/>
          <w:szCs w:val="24"/>
        </w:rPr>
        <w:t xml:space="preserve">España acoge ya a 18.967 menores extranjeros no acompañados y jóvenes extutelados, según datos del Observatorio Permanente de la Inmigración recogidos por The Objective. La cifra supone un incremento </w:t>
      </w:r>
      <w:r w:rsidR="00317E3A">
        <w:rPr>
          <w:rFonts w:ascii="Times New Roman" w:hAnsi="Times New Roman" w:cs="Times New Roman"/>
          <w:sz w:val="24"/>
          <w:szCs w:val="24"/>
        </w:rPr>
        <w:t>del 140% en apenas cuatro años -en junio de 2021 eran 7.878-</w:t>
      </w:r>
      <w:r w:rsidRPr="007B0F72">
        <w:rPr>
          <w:rFonts w:ascii="Times New Roman" w:hAnsi="Times New Roman" w:cs="Times New Roman"/>
          <w:sz w:val="24"/>
          <w:szCs w:val="24"/>
        </w:rPr>
        <w:t xml:space="preserve"> y refleja un patrón claro: el 94% son varones y el 59% procede de Marruecos, país sin conflicto bélico </w:t>
      </w:r>
      <w:r>
        <w:rPr>
          <w:rFonts w:ascii="Times New Roman" w:hAnsi="Times New Roman" w:cs="Times New Roman"/>
          <w:sz w:val="24"/>
          <w:szCs w:val="24"/>
        </w:rPr>
        <w:t>alguno que justifique un éxodo.</w:t>
      </w:r>
    </w:p>
    <w:p w:rsidR="006A1F56" w:rsidRPr="007B0F72" w:rsidRDefault="006A1F56" w:rsidP="006A1F56">
      <w:pPr>
        <w:spacing w:line="240" w:lineRule="auto"/>
        <w:jc w:val="both"/>
        <w:rPr>
          <w:rFonts w:ascii="Times New Roman" w:hAnsi="Times New Roman" w:cs="Times New Roman"/>
          <w:sz w:val="24"/>
          <w:szCs w:val="24"/>
        </w:rPr>
      </w:pPr>
      <w:r w:rsidRPr="007B0F72">
        <w:rPr>
          <w:rFonts w:ascii="Times New Roman" w:hAnsi="Times New Roman" w:cs="Times New Roman"/>
          <w:sz w:val="24"/>
          <w:szCs w:val="24"/>
        </w:rPr>
        <w:t>Les siguen en número los provenientes de Gambia (12%), Argelia (9%) y Senegal (6%), lo que evidencia la presión migratoria desde el norte de África. Entre los inmigrantes de Iberoamérica, en cambio, predominan las mujeres: el 62% en el caso de Honduras, el 67% en Brasil y el 61% en Colombia.</w:t>
      </w:r>
    </w:p>
    <w:p w:rsidR="006A1F56" w:rsidRPr="007B0F72" w:rsidRDefault="006A1F56" w:rsidP="006A1F56">
      <w:pPr>
        <w:spacing w:line="240" w:lineRule="auto"/>
        <w:jc w:val="both"/>
        <w:rPr>
          <w:rFonts w:ascii="Times New Roman" w:hAnsi="Times New Roman" w:cs="Times New Roman"/>
          <w:sz w:val="24"/>
          <w:szCs w:val="24"/>
        </w:rPr>
      </w:pPr>
      <w:r w:rsidRPr="007B0F72">
        <w:rPr>
          <w:rFonts w:ascii="Times New Roman" w:hAnsi="Times New Roman" w:cs="Times New Roman"/>
          <w:sz w:val="24"/>
          <w:szCs w:val="24"/>
        </w:rPr>
        <w:t>La reforma de la Ley de Extranjería de octubre de 2021 permitió que el permiso de residencia de los menas no caducara al cumplir 18 años, algo que el Ejec</w:t>
      </w:r>
      <w:r w:rsidR="00317E3A">
        <w:rPr>
          <w:rFonts w:ascii="Times New Roman" w:hAnsi="Times New Roman" w:cs="Times New Roman"/>
          <w:sz w:val="24"/>
          <w:szCs w:val="24"/>
        </w:rPr>
        <w:t>utivo aseguró que no generaría “efecto llamada”</w:t>
      </w:r>
      <w:r w:rsidRPr="007B0F72">
        <w:rPr>
          <w:rFonts w:ascii="Times New Roman" w:hAnsi="Times New Roman" w:cs="Times New Roman"/>
          <w:sz w:val="24"/>
          <w:szCs w:val="24"/>
        </w:rPr>
        <w:t xml:space="preserve">. Sin embargo, desde entonces, los inscritos en el Registro Central de Extranjeros de entre 18 y 23 años con esta condición han pasado de 5.718 en 2021 a 15.971 </w:t>
      </w:r>
      <w:r>
        <w:rPr>
          <w:rFonts w:ascii="Times New Roman" w:hAnsi="Times New Roman" w:cs="Times New Roman"/>
          <w:sz w:val="24"/>
          <w:szCs w:val="24"/>
        </w:rPr>
        <w:t>en 2023, un aumento del 179,3%.</w:t>
      </w:r>
    </w:p>
    <w:p w:rsidR="006A1F56" w:rsidRPr="007B0F72" w:rsidRDefault="006A1F56" w:rsidP="006A1F56">
      <w:pPr>
        <w:spacing w:line="240" w:lineRule="auto"/>
        <w:jc w:val="both"/>
        <w:rPr>
          <w:rFonts w:ascii="Times New Roman" w:hAnsi="Times New Roman" w:cs="Times New Roman"/>
          <w:sz w:val="24"/>
          <w:szCs w:val="24"/>
        </w:rPr>
      </w:pPr>
      <w:r w:rsidRPr="007B0F72">
        <w:rPr>
          <w:rFonts w:ascii="Times New Roman" w:hAnsi="Times New Roman" w:cs="Times New Roman"/>
          <w:sz w:val="24"/>
          <w:szCs w:val="24"/>
        </w:rPr>
        <w:t>La última reforma, en vigor desde mayo, facilita la autorización de trabajo para los extutelados. Pese a ello, el 43% de los que tienen permiso laboral no están empleados ni cotizan. Entre los de 16 y 17 años con autorización, sólo el 10% está afiliado. Los que trabajan lo hacen sobre todo en hostelería (27%), actividades administrati</w:t>
      </w:r>
      <w:r>
        <w:rPr>
          <w:rFonts w:ascii="Times New Roman" w:hAnsi="Times New Roman" w:cs="Times New Roman"/>
          <w:sz w:val="24"/>
          <w:szCs w:val="24"/>
        </w:rPr>
        <w:t>vas (15%) y construcción (12%).</w:t>
      </w:r>
    </w:p>
    <w:p w:rsidR="006A1F56" w:rsidRDefault="006A1F56" w:rsidP="006A1F56">
      <w:pPr>
        <w:spacing w:line="240" w:lineRule="auto"/>
        <w:jc w:val="both"/>
        <w:rPr>
          <w:rFonts w:ascii="Times New Roman" w:hAnsi="Times New Roman" w:cs="Times New Roman"/>
          <w:sz w:val="24"/>
          <w:szCs w:val="24"/>
        </w:rPr>
      </w:pPr>
      <w:r w:rsidRPr="007B0F72">
        <w:rPr>
          <w:rFonts w:ascii="Times New Roman" w:hAnsi="Times New Roman" w:cs="Times New Roman"/>
          <w:sz w:val="24"/>
          <w:szCs w:val="24"/>
        </w:rPr>
        <w:t>Con 8.500 menas bajo su tutela, Canarias acoge a más menores extranjeros que Grecia (2.641) o que todos los ayuntamientos del Reino Unido juntos. El reparto aprobado por el Gobierno ex</w:t>
      </w:r>
      <w:r w:rsidR="00317E3A">
        <w:rPr>
          <w:rFonts w:ascii="Times New Roman" w:hAnsi="Times New Roman" w:cs="Times New Roman"/>
          <w:sz w:val="24"/>
          <w:szCs w:val="24"/>
        </w:rPr>
        <w:t>cluye al País Vasco y Cataluña -</w:t>
      </w:r>
      <w:r w:rsidRPr="007B0F72">
        <w:rPr>
          <w:rFonts w:ascii="Times New Roman" w:hAnsi="Times New Roman" w:cs="Times New Roman"/>
          <w:sz w:val="24"/>
          <w:szCs w:val="24"/>
        </w:rPr>
        <w:t>territorios controlado</w:t>
      </w:r>
      <w:r w:rsidR="00317E3A">
        <w:rPr>
          <w:rFonts w:ascii="Times New Roman" w:hAnsi="Times New Roman" w:cs="Times New Roman"/>
          <w:sz w:val="24"/>
          <w:szCs w:val="24"/>
        </w:rPr>
        <w:t>s por sus socios parlamentarios-</w:t>
      </w:r>
      <w:r w:rsidRPr="007B0F72">
        <w:rPr>
          <w:rFonts w:ascii="Times New Roman" w:hAnsi="Times New Roman" w:cs="Times New Roman"/>
          <w:sz w:val="24"/>
          <w:szCs w:val="24"/>
        </w:rPr>
        <w:t xml:space="preserve"> y se ha realizado sin transparencia, lo que ha provocado críticas del Partido Popular y que VOX reclame actuar en origen.</w:t>
      </w:r>
    </w:p>
    <w:p w:rsidR="006A1F56" w:rsidRPr="00B83F41" w:rsidRDefault="006A1F56" w:rsidP="006A1F56">
      <w:pPr>
        <w:spacing w:line="240" w:lineRule="auto"/>
        <w:jc w:val="both"/>
        <w:rPr>
          <w:rFonts w:ascii="Times New Roman" w:hAnsi="Times New Roman" w:cs="Times New Roman"/>
          <w:color w:val="FF0000"/>
          <w:sz w:val="24"/>
          <w:szCs w:val="24"/>
        </w:rPr>
      </w:pPr>
      <w:r w:rsidRPr="00B83F41">
        <w:rPr>
          <w:rFonts w:ascii="Times New Roman" w:hAnsi="Times New Roman" w:cs="Times New Roman"/>
          <w:b/>
          <w:color w:val="FF0000"/>
          <w:sz w:val="24"/>
          <w:szCs w:val="24"/>
        </w:rPr>
        <w:t>Nota IV</w:t>
      </w:r>
      <w:r w:rsidRPr="00B83F41">
        <w:rPr>
          <w:rFonts w:ascii="Times New Roman" w:hAnsi="Times New Roman" w:cs="Times New Roman"/>
          <w:color w:val="FF0000"/>
          <w:sz w:val="24"/>
          <w:szCs w:val="24"/>
        </w:rPr>
        <w:t>: La otra crisis de los menas en Canarias: más de 1.500 han cumplido 18 años en 2024 y son ahora migrantes irregulares</w:t>
      </w:r>
      <w:r>
        <w:rPr>
          <w:rFonts w:ascii="Times New Roman" w:hAnsi="Times New Roman" w:cs="Times New Roman"/>
          <w:color w:val="FF0000"/>
          <w:sz w:val="24"/>
          <w:szCs w:val="24"/>
        </w:rPr>
        <w:t>.</w:t>
      </w:r>
      <w:r w:rsidRPr="00B83F41">
        <w:rPr>
          <w:rFonts w:ascii="Times New Roman" w:hAnsi="Times New Roman" w:cs="Times New Roman"/>
          <w:color w:val="FF0000"/>
          <w:sz w:val="24"/>
          <w:szCs w:val="24"/>
        </w:rPr>
        <w:t xml:space="preserve"> (Fuente: El Español - </w:t>
      </w:r>
      <w:r w:rsidRPr="00B83F41">
        <w:rPr>
          <w:rFonts w:ascii="Times New Roman" w:hAnsi="Times New Roman" w:cs="Times New Roman"/>
          <w:b/>
          <w:color w:val="FF0000"/>
          <w:sz w:val="24"/>
          <w:szCs w:val="24"/>
        </w:rPr>
        <w:t>2/1/25</w:t>
      </w:r>
      <w:r w:rsidRPr="00B83F41">
        <w:rPr>
          <w:rFonts w:ascii="Times New Roman" w:hAnsi="Times New Roman" w:cs="Times New Roman"/>
          <w:color w:val="FF0000"/>
          <w:sz w:val="24"/>
          <w:szCs w:val="24"/>
        </w:rPr>
        <w:t>)</w:t>
      </w:r>
    </w:p>
    <w:p w:rsidR="006A1F56" w:rsidRPr="0094463D" w:rsidRDefault="006A1F56" w:rsidP="006A1F56">
      <w:pPr>
        <w:spacing w:line="240" w:lineRule="auto"/>
        <w:jc w:val="both"/>
        <w:rPr>
          <w:rFonts w:ascii="Times New Roman" w:hAnsi="Times New Roman" w:cs="Times New Roman"/>
          <w:sz w:val="24"/>
          <w:szCs w:val="24"/>
        </w:rPr>
      </w:pPr>
      <w:r w:rsidRPr="0094463D">
        <w:rPr>
          <w:rFonts w:ascii="Times New Roman" w:hAnsi="Times New Roman" w:cs="Times New Roman"/>
          <w:sz w:val="24"/>
          <w:szCs w:val="24"/>
        </w:rPr>
        <w:t xml:space="preserve">La ley les permite, al alcanzar la mayoría de edad, tramitar un permiso temporal de residencia, pero les exige recursos económicos para mantenerse. </w:t>
      </w:r>
    </w:p>
    <w:p w:rsidR="006A1F56" w:rsidRPr="0094463D" w:rsidRDefault="00317E3A"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Canarias advierte de un mayor “problema social”</w:t>
      </w:r>
      <w:r w:rsidR="006A1F56" w:rsidRPr="0094463D">
        <w:rPr>
          <w:rFonts w:ascii="Times New Roman" w:hAnsi="Times New Roman" w:cs="Times New Roman"/>
          <w:sz w:val="24"/>
          <w:szCs w:val="24"/>
        </w:rPr>
        <w:t xml:space="preserve"> porque otros 2.157 jóvenes cumplirán 18 años en 2025, el 37% de los 5.812 que hoy tiene tutelados.</w:t>
      </w:r>
    </w:p>
    <w:p w:rsidR="006A1F56" w:rsidRPr="0094463D" w:rsidRDefault="006A1F56" w:rsidP="006A1F56">
      <w:pPr>
        <w:spacing w:line="240" w:lineRule="auto"/>
        <w:jc w:val="both"/>
        <w:rPr>
          <w:rFonts w:ascii="Times New Roman" w:hAnsi="Times New Roman" w:cs="Times New Roman"/>
          <w:sz w:val="24"/>
          <w:szCs w:val="24"/>
        </w:rPr>
      </w:pPr>
      <w:r w:rsidRPr="0094463D">
        <w:rPr>
          <w:rFonts w:ascii="Times New Roman" w:hAnsi="Times New Roman" w:cs="Times New Roman"/>
          <w:sz w:val="24"/>
          <w:szCs w:val="24"/>
        </w:rPr>
        <w:t>El año 2024 se cierra, según las cifras oficiales del Gobierno de Canarias, con 6.336 menas (menores extranjeros no acompañados) nuevos, dentro del total de 46.717 migrantes irregulares llegados a las islas. Entonces, ¿cómo es posible que los datos oficiales que denuncia Fernando Clavijo, su pr</w:t>
      </w:r>
      <w:r w:rsidR="00471D15">
        <w:rPr>
          <w:rFonts w:ascii="Times New Roman" w:hAnsi="Times New Roman" w:cs="Times New Roman"/>
          <w:sz w:val="24"/>
          <w:szCs w:val="24"/>
        </w:rPr>
        <w:t>esidente, confirmen sólo 5.812 “</w:t>
      </w:r>
      <w:r w:rsidRPr="0094463D">
        <w:rPr>
          <w:rFonts w:ascii="Times New Roman" w:hAnsi="Times New Roman" w:cs="Times New Roman"/>
          <w:sz w:val="24"/>
          <w:szCs w:val="24"/>
        </w:rPr>
        <w:t>niños y niñas haci</w:t>
      </w:r>
      <w:r w:rsidR="00471D15">
        <w:rPr>
          <w:rFonts w:ascii="Times New Roman" w:hAnsi="Times New Roman" w:cs="Times New Roman"/>
          <w:sz w:val="24"/>
          <w:szCs w:val="24"/>
        </w:rPr>
        <w:t>nados en los centros de acogida”</w:t>
      </w:r>
      <w:r w:rsidRPr="0094463D">
        <w:rPr>
          <w:rFonts w:ascii="Times New Roman" w:hAnsi="Times New Roman" w:cs="Times New Roman"/>
          <w:sz w:val="24"/>
          <w:szCs w:val="24"/>
        </w:rPr>
        <w:t>?...</w:t>
      </w:r>
    </w:p>
    <w:p w:rsidR="006A1F56" w:rsidRPr="0094463D" w:rsidRDefault="006A1F56" w:rsidP="006A1F56">
      <w:pPr>
        <w:pStyle w:val="ecl-social-media-sharedescription"/>
        <w:jc w:val="both"/>
      </w:pPr>
      <w:r w:rsidRPr="0094463D">
        <w:t xml:space="preserve">- </w:t>
      </w:r>
      <w:r w:rsidRPr="0094463D">
        <w:rPr>
          <w:u w:val="single"/>
        </w:rPr>
        <w:t>Portugal estrena policía migratoria con poderes para detener y deportar inmigrantes ilegales</w:t>
      </w:r>
      <w:r w:rsidRPr="0094463D">
        <w:t xml:space="preserve"> (Libertad Digital - </w:t>
      </w:r>
      <w:r w:rsidRPr="0094463D">
        <w:rPr>
          <w:b/>
        </w:rPr>
        <w:t>22/8/25</w:t>
      </w:r>
      <w:r w:rsidRPr="0094463D">
        <w:t>)</w:t>
      </w:r>
    </w:p>
    <w:p w:rsidR="006A1F56" w:rsidRPr="0094463D" w:rsidRDefault="006A1F56" w:rsidP="006A1F56">
      <w:pPr>
        <w:pStyle w:val="ecl-social-media-sharedescription"/>
        <w:jc w:val="both"/>
      </w:pPr>
      <w:r w:rsidRPr="0094463D">
        <w:t>Este dispositivo contará con 1.200 agentes y el foco prioritario serán puertos y aeropuertos, considerados principales puntos de entrada al país.</w:t>
      </w:r>
    </w:p>
    <w:p w:rsidR="006A1F56" w:rsidRPr="0094463D" w:rsidRDefault="006A1F56" w:rsidP="006A1F56">
      <w:pPr>
        <w:pStyle w:val="ecl-social-media-sharedescription"/>
        <w:jc w:val="both"/>
      </w:pPr>
      <w:r w:rsidRPr="0094463D">
        <w:t>(Por Antonio J. Moleón)</w:t>
      </w:r>
    </w:p>
    <w:p w:rsidR="006A1F56" w:rsidRPr="0094463D" w:rsidRDefault="006A1F56" w:rsidP="006A1F56">
      <w:pPr>
        <w:pStyle w:val="ecl-social-media-sharedescription"/>
        <w:jc w:val="both"/>
      </w:pPr>
      <w:r w:rsidRPr="0094463D">
        <w:t>Esta semana ha entrado en vigor en Portugal la nueva Policía para Extranjeros, un cuerpo policial creado con el objetivo de fiscalizar la situación de los inmigrantes en el país vecino. Estos agentes están autorizados dar el alto a personas en la vía pública, exigir la presentación de documentos y permisos de residencia y, en caso de no disponer de ellos, detenerlas y deportarlas a su país de origen en un plazo máximo de veinte días.</w:t>
      </w:r>
    </w:p>
    <w:p w:rsidR="006A1F56" w:rsidRPr="0094463D" w:rsidRDefault="006A1F56" w:rsidP="006A1F56">
      <w:pPr>
        <w:pStyle w:val="ecl-social-media-sharedescription"/>
        <w:jc w:val="both"/>
      </w:pPr>
      <w:r w:rsidRPr="0094463D">
        <w:t>La medida fue aprobada en julio por el Parlamento portugués con los votos de los partidos de derecha y la oposición de la izquierda, que alertó de que no se debatió lo suficiente. También se votaron varias modificaciones a la Ley de Extranjería, aunque más tarde el Tribunal Constitucional declaró inconstitucionales cuatro de esas medidas por "vulnerar principios fundamentales".</w:t>
      </w:r>
    </w:p>
    <w:p w:rsidR="006A1F56" w:rsidRPr="0094463D" w:rsidRDefault="006A1F56" w:rsidP="006A1F56">
      <w:pPr>
        <w:pStyle w:val="ecl-social-media-sharedescription"/>
        <w:jc w:val="both"/>
      </w:pPr>
      <w:r w:rsidRPr="0094463D">
        <w:t>Se aprobó la creación de la Unidad Nacional de Extranjeros y Fronteras (UNEF), que es el nuevo organismo encargado de estas tareas, dentro de la Policía de Seguridad Pública (PSP). El plan del Gobierno de Luís Montenegro prevé que cuente con 2.000 efectivos, aunque de momento arranca con 1.200 agentes desplegados en todo el territorio. Según el Ministerio de Adm</w:t>
      </w:r>
      <w:r w:rsidR="00471D15">
        <w:t>inistración Interna, las zonas “calientes”</w:t>
      </w:r>
      <w:r w:rsidRPr="0094463D">
        <w:t xml:space="preserve"> serán los puertos y aeropuertos, considerados principales puntos de entrada de inmigrantes ilegales.</w:t>
      </w:r>
    </w:p>
    <w:p w:rsidR="006A1F56" w:rsidRPr="0094463D" w:rsidRDefault="006A1F56" w:rsidP="006A1F56">
      <w:pPr>
        <w:pStyle w:val="ecl-social-media-sharedescription"/>
        <w:jc w:val="both"/>
      </w:pPr>
      <w:r w:rsidRPr="0094463D">
        <w:t>Notificación de abandono voluntario</w:t>
      </w:r>
    </w:p>
    <w:p w:rsidR="006A1F56" w:rsidRPr="0094463D" w:rsidRDefault="006A1F56" w:rsidP="006A1F56">
      <w:pPr>
        <w:pStyle w:val="ecl-social-media-sharedescription"/>
        <w:jc w:val="both"/>
      </w:pPr>
      <w:r w:rsidRPr="0094463D">
        <w:t>En caso de que un inmigrante no pueda acreditar su situación legal cuando sea requerido por la policía, recibirá una notificación de abandono voluntario. Si la orden no se cumple, la expulsión puede ejecutarse de manera forzosa. En ese caso, el inmigrante puede ser acusado de desobediencia y llevado a uno de los centros de permanencia temporal, donde esperará la decisión judicial que determine su deportación.</w:t>
      </w:r>
    </w:p>
    <w:p w:rsidR="006A1F56" w:rsidRDefault="006A1F56" w:rsidP="006A1F56">
      <w:pPr>
        <w:pStyle w:val="ecl-social-media-sharedescription"/>
        <w:jc w:val="both"/>
      </w:pPr>
      <w:r w:rsidRPr="0094463D">
        <w:t xml:space="preserve">Desde las elecciones de mayo -donde ganó la derecha-, unos 35.000 inmigrantes han recibido notificación de salida voluntaria. Mientras, en Lisboa, el Ayuntamiento ha denunciado situaciones de hacinamiento y subalquiler en ciertas viviendas, algunas de las cuales aparecen registradas como dirección de residencia en decenas de solicitudes de permiso. Como respuesta, la AIMA (Agencia para la Integración, Migraciones y Asilo) endurecerá los </w:t>
      </w:r>
      <w:r w:rsidRPr="0094463D">
        <w:lastRenderedPageBreak/>
        <w:t>requisitos: será obligatorio presentar un documento firmado ante notario por el propietario del inmueble donde se reside en alquiler.</w:t>
      </w:r>
    </w:p>
    <w:p w:rsidR="006A1F56" w:rsidRPr="00B83F41" w:rsidRDefault="006A1F56" w:rsidP="006A1F56">
      <w:pPr>
        <w:spacing w:line="240" w:lineRule="auto"/>
        <w:jc w:val="both"/>
        <w:rPr>
          <w:rFonts w:ascii="Times New Roman" w:hAnsi="Times New Roman" w:cs="Times New Roman"/>
          <w:sz w:val="24"/>
          <w:szCs w:val="24"/>
        </w:rPr>
      </w:pPr>
      <w:r w:rsidRPr="00B83F41">
        <w:rPr>
          <w:rFonts w:ascii="Times New Roman" w:hAnsi="Times New Roman" w:cs="Times New Roman"/>
          <w:sz w:val="24"/>
          <w:szCs w:val="24"/>
        </w:rPr>
        <w:t xml:space="preserve">- </w:t>
      </w:r>
      <w:r w:rsidRPr="00B83F41">
        <w:rPr>
          <w:rFonts w:ascii="Times New Roman" w:hAnsi="Times New Roman" w:cs="Times New Roman"/>
          <w:sz w:val="24"/>
          <w:szCs w:val="24"/>
          <w:u w:val="single"/>
        </w:rPr>
        <w:t xml:space="preserve">Grecia castigará la inmigración ilegal con hasta cinco años de </w:t>
      </w:r>
      <w:r w:rsidR="00471D15">
        <w:rPr>
          <w:rFonts w:ascii="Times New Roman" w:hAnsi="Times New Roman" w:cs="Times New Roman"/>
          <w:sz w:val="24"/>
          <w:szCs w:val="24"/>
          <w:u w:val="single"/>
        </w:rPr>
        <w:t>cárcel: “</w:t>
      </w:r>
      <w:r w:rsidRPr="00B83F41">
        <w:rPr>
          <w:rFonts w:ascii="Times New Roman" w:hAnsi="Times New Roman" w:cs="Times New Roman"/>
          <w:sz w:val="24"/>
          <w:szCs w:val="24"/>
          <w:u w:val="single"/>
        </w:rPr>
        <w:t>Prisión o regreso a su país</w:t>
      </w:r>
      <w:r w:rsidR="00471D15">
        <w:rPr>
          <w:rFonts w:ascii="Times New Roman" w:hAnsi="Times New Roman" w:cs="Times New Roman"/>
          <w:sz w:val="24"/>
          <w:szCs w:val="24"/>
        </w:rPr>
        <w:t>”</w:t>
      </w:r>
      <w:r w:rsidRPr="00B83F41">
        <w:rPr>
          <w:rFonts w:ascii="Times New Roman" w:hAnsi="Times New Roman" w:cs="Times New Roman"/>
          <w:sz w:val="24"/>
          <w:szCs w:val="24"/>
        </w:rPr>
        <w:t xml:space="preserve"> (Libertad Digital - </w:t>
      </w:r>
      <w:r w:rsidRPr="00B83F41">
        <w:rPr>
          <w:rFonts w:ascii="Times New Roman" w:hAnsi="Times New Roman" w:cs="Times New Roman"/>
          <w:b/>
          <w:sz w:val="24"/>
          <w:szCs w:val="24"/>
        </w:rPr>
        <w:t>3/9/25</w:t>
      </w:r>
      <w:r w:rsidRPr="00B83F41">
        <w:rPr>
          <w:rFonts w:ascii="Times New Roman" w:hAnsi="Times New Roman" w:cs="Times New Roman"/>
          <w:sz w:val="24"/>
          <w:szCs w:val="24"/>
        </w:rPr>
        <w:t>)</w:t>
      </w:r>
    </w:p>
    <w:p w:rsidR="006A1F56" w:rsidRPr="00B83F41" w:rsidRDefault="006A1F56" w:rsidP="006A1F56">
      <w:pPr>
        <w:spacing w:line="240" w:lineRule="auto"/>
        <w:jc w:val="both"/>
        <w:rPr>
          <w:rFonts w:ascii="Times New Roman" w:hAnsi="Times New Roman" w:cs="Times New Roman"/>
          <w:sz w:val="24"/>
          <w:szCs w:val="24"/>
        </w:rPr>
      </w:pPr>
      <w:r w:rsidRPr="00B83F41">
        <w:rPr>
          <w:rFonts w:ascii="Times New Roman" w:hAnsi="Times New Roman" w:cs="Times New Roman"/>
          <w:sz w:val="24"/>
          <w:szCs w:val="24"/>
        </w:rPr>
        <w:t>La ley ha ampliado a 24 meses la detención de inmigrantes y ha fijado en 14 días el plazo para la salida voluntaria.</w:t>
      </w:r>
    </w:p>
    <w:p w:rsidR="006A1F56" w:rsidRPr="00B83F41" w:rsidRDefault="006A1F56" w:rsidP="006A1F56">
      <w:pPr>
        <w:spacing w:line="240" w:lineRule="auto"/>
        <w:jc w:val="both"/>
        <w:rPr>
          <w:rFonts w:ascii="Times New Roman" w:hAnsi="Times New Roman" w:cs="Times New Roman"/>
          <w:sz w:val="24"/>
          <w:szCs w:val="24"/>
        </w:rPr>
      </w:pPr>
      <w:r w:rsidRPr="00B83F41">
        <w:rPr>
          <w:rFonts w:ascii="Times New Roman" w:hAnsi="Times New Roman" w:cs="Times New Roman"/>
          <w:sz w:val="24"/>
          <w:szCs w:val="24"/>
        </w:rPr>
        <w:t>(Por Luis Farreras)</w:t>
      </w:r>
    </w:p>
    <w:p w:rsidR="006A1F56" w:rsidRPr="00B83F41" w:rsidRDefault="006A1F56" w:rsidP="006A1F56">
      <w:pPr>
        <w:spacing w:line="240" w:lineRule="auto"/>
        <w:jc w:val="both"/>
        <w:rPr>
          <w:rFonts w:ascii="Times New Roman" w:hAnsi="Times New Roman" w:cs="Times New Roman"/>
          <w:sz w:val="24"/>
          <w:szCs w:val="24"/>
        </w:rPr>
      </w:pPr>
      <w:r w:rsidRPr="00B83F41">
        <w:rPr>
          <w:rFonts w:ascii="Times New Roman" w:hAnsi="Times New Roman" w:cs="Times New Roman"/>
          <w:sz w:val="24"/>
          <w:szCs w:val="24"/>
        </w:rPr>
        <w:t>El Parlamento griego ha dado este miércoles luz verde a una reforma migratoria que ha introducido penas de prisión para quienes han permanecido en el país sin papeles, ha eliminado la posibilidad de regularización tras siete años de residencia y ha facilitado la expulsión de solicitantes de asilo rechazados, según ha informado EFE.</w:t>
      </w:r>
    </w:p>
    <w:p w:rsidR="006A1F56" w:rsidRPr="00B83F41" w:rsidRDefault="006A1F56" w:rsidP="006A1F56">
      <w:pPr>
        <w:spacing w:line="240" w:lineRule="auto"/>
        <w:jc w:val="both"/>
        <w:rPr>
          <w:rFonts w:ascii="Times New Roman" w:hAnsi="Times New Roman" w:cs="Times New Roman"/>
          <w:sz w:val="24"/>
          <w:szCs w:val="24"/>
        </w:rPr>
      </w:pPr>
      <w:r w:rsidRPr="00B83F41">
        <w:rPr>
          <w:rFonts w:ascii="Times New Roman" w:hAnsi="Times New Roman" w:cs="Times New Roman"/>
          <w:sz w:val="24"/>
          <w:szCs w:val="24"/>
        </w:rPr>
        <w:t>La norma, impulsada por el Ejecutivo del primer ministro Kyriakos Mitsotakis y respaldada por la mayoría absoluta de su partido, Nueva Democracia, ha salido adelante con el apoyo del grupo nacionalista Niki y de varios diputados independientes de extrema derecha. La oposición en bloque se ha manifestado en contra tras un debate que ha comenzado el martes y se ha prolongado hasta la votación.</w:t>
      </w:r>
    </w:p>
    <w:p w:rsidR="006A1F56" w:rsidRPr="00B83F41" w:rsidRDefault="006A1F56" w:rsidP="006A1F56">
      <w:pPr>
        <w:spacing w:line="240" w:lineRule="auto"/>
        <w:jc w:val="both"/>
        <w:rPr>
          <w:rFonts w:ascii="Times New Roman" w:hAnsi="Times New Roman" w:cs="Times New Roman"/>
          <w:sz w:val="24"/>
          <w:szCs w:val="24"/>
        </w:rPr>
      </w:pPr>
      <w:r w:rsidRPr="00B83F41">
        <w:rPr>
          <w:rFonts w:ascii="Times New Roman" w:hAnsi="Times New Roman" w:cs="Times New Roman"/>
          <w:sz w:val="24"/>
          <w:szCs w:val="24"/>
        </w:rPr>
        <w:t>Críticas de la oposición</w:t>
      </w:r>
    </w:p>
    <w:p w:rsidR="006A1F56" w:rsidRPr="00B83F41" w:rsidRDefault="006A1F56" w:rsidP="006A1F56">
      <w:pPr>
        <w:spacing w:line="240" w:lineRule="auto"/>
        <w:jc w:val="both"/>
        <w:rPr>
          <w:rFonts w:ascii="Times New Roman" w:hAnsi="Times New Roman" w:cs="Times New Roman"/>
          <w:sz w:val="24"/>
          <w:szCs w:val="24"/>
        </w:rPr>
      </w:pPr>
      <w:r w:rsidRPr="00B83F41">
        <w:rPr>
          <w:rFonts w:ascii="Times New Roman" w:hAnsi="Times New Roman" w:cs="Times New Roman"/>
          <w:sz w:val="24"/>
          <w:szCs w:val="24"/>
        </w:rPr>
        <w:t xml:space="preserve">Los socialdemócratas </w:t>
      </w:r>
      <w:r w:rsidR="00471D15">
        <w:rPr>
          <w:rFonts w:ascii="Times New Roman" w:hAnsi="Times New Roman" w:cs="Times New Roman"/>
          <w:sz w:val="24"/>
          <w:szCs w:val="24"/>
        </w:rPr>
        <w:t>de Pasok han tachado la ley de “ilegal”, “</w:t>
      </w:r>
      <w:r w:rsidRPr="00B83F41">
        <w:rPr>
          <w:rFonts w:ascii="Times New Roman" w:hAnsi="Times New Roman" w:cs="Times New Roman"/>
          <w:sz w:val="24"/>
          <w:szCs w:val="24"/>
        </w:rPr>
        <w:t>caót</w:t>
      </w:r>
      <w:r w:rsidR="00471D15">
        <w:rPr>
          <w:rFonts w:ascii="Times New Roman" w:hAnsi="Times New Roman" w:cs="Times New Roman"/>
          <w:sz w:val="24"/>
          <w:szCs w:val="24"/>
        </w:rPr>
        <w:t>ica” e “inaplicable”</w:t>
      </w:r>
      <w:r w:rsidRPr="00B83F41">
        <w:rPr>
          <w:rFonts w:ascii="Times New Roman" w:hAnsi="Times New Roman" w:cs="Times New Roman"/>
          <w:sz w:val="24"/>
          <w:szCs w:val="24"/>
        </w:rPr>
        <w:t>, mientras que el Partido Comunista de Gr</w:t>
      </w:r>
      <w:r w:rsidR="00471D15">
        <w:rPr>
          <w:rFonts w:ascii="Times New Roman" w:hAnsi="Times New Roman" w:cs="Times New Roman"/>
          <w:sz w:val="24"/>
          <w:szCs w:val="24"/>
        </w:rPr>
        <w:t>ecia (KKE) la ha calificado de “racista” y “vergonzosa”</w:t>
      </w:r>
      <w:r w:rsidRPr="00B83F41">
        <w:rPr>
          <w:rFonts w:ascii="Times New Roman" w:hAnsi="Times New Roman" w:cs="Times New Roman"/>
          <w:sz w:val="24"/>
          <w:szCs w:val="24"/>
        </w:rPr>
        <w:t>. Desde la formación comunista h</w:t>
      </w:r>
      <w:r w:rsidR="00471D15">
        <w:rPr>
          <w:rFonts w:ascii="Times New Roman" w:hAnsi="Times New Roman" w:cs="Times New Roman"/>
          <w:sz w:val="24"/>
          <w:szCs w:val="24"/>
        </w:rPr>
        <w:t>an reprochado que la normativa “</w:t>
      </w:r>
      <w:r w:rsidRPr="00B83F41">
        <w:rPr>
          <w:rFonts w:ascii="Times New Roman" w:hAnsi="Times New Roman" w:cs="Times New Roman"/>
          <w:sz w:val="24"/>
          <w:szCs w:val="24"/>
        </w:rPr>
        <w:t>impone la deportación de migrantes que no pueden optar al regreso voluntario</w:t>
      </w:r>
      <w:r w:rsidR="00471D15">
        <w:rPr>
          <w:rFonts w:ascii="Times New Roman" w:hAnsi="Times New Roman" w:cs="Times New Roman"/>
          <w:sz w:val="24"/>
          <w:szCs w:val="24"/>
        </w:rPr>
        <w:t xml:space="preserve"> a sus respectivos países”</w:t>
      </w:r>
      <w:r w:rsidRPr="00B83F41">
        <w:rPr>
          <w:rFonts w:ascii="Times New Roman" w:hAnsi="Times New Roman" w:cs="Times New Roman"/>
          <w:sz w:val="24"/>
          <w:szCs w:val="24"/>
        </w:rPr>
        <w:t>.</w:t>
      </w:r>
    </w:p>
    <w:p w:rsidR="006A1F56" w:rsidRPr="00B83F41" w:rsidRDefault="006A1F56" w:rsidP="006A1F56">
      <w:pPr>
        <w:spacing w:line="240" w:lineRule="auto"/>
        <w:jc w:val="both"/>
        <w:rPr>
          <w:rFonts w:ascii="Times New Roman" w:hAnsi="Times New Roman" w:cs="Times New Roman"/>
          <w:sz w:val="24"/>
          <w:szCs w:val="24"/>
        </w:rPr>
      </w:pPr>
      <w:r w:rsidRPr="00B83F41">
        <w:rPr>
          <w:rFonts w:ascii="Times New Roman" w:hAnsi="Times New Roman" w:cs="Times New Roman"/>
          <w:sz w:val="24"/>
          <w:szCs w:val="24"/>
        </w:rPr>
        <w:t>La reforma ha establecido penas de entre dos y cinco años de prisión, además de una multa mínima de 5.000 euros, para quienes han permanecido de manera i</w:t>
      </w:r>
      <w:r w:rsidR="00471D15">
        <w:rPr>
          <w:rFonts w:ascii="Times New Roman" w:hAnsi="Times New Roman" w:cs="Times New Roman"/>
          <w:sz w:val="24"/>
          <w:szCs w:val="24"/>
        </w:rPr>
        <w:t>rregular en territorio griego. “</w:t>
      </w:r>
      <w:r w:rsidRPr="00B83F41">
        <w:rPr>
          <w:rFonts w:ascii="Times New Roman" w:hAnsi="Times New Roman" w:cs="Times New Roman"/>
          <w:sz w:val="24"/>
          <w:szCs w:val="24"/>
        </w:rPr>
        <w:t xml:space="preserve">Estamos tipificando el delito de estancia ilegal. Cualquiera que permanezca ilegalmente se enfrentará a detención administrativa, vigilancia </w:t>
      </w:r>
      <w:r w:rsidR="00471D15">
        <w:rPr>
          <w:rFonts w:ascii="Times New Roman" w:hAnsi="Times New Roman" w:cs="Times New Roman"/>
          <w:sz w:val="24"/>
          <w:szCs w:val="24"/>
        </w:rPr>
        <w:t>electrónica y sanciones penales”</w:t>
      </w:r>
      <w:r w:rsidRPr="00B83F41">
        <w:rPr>
          <w:rFonts w:ascii="Times New Roman" w:hAnsi="Times New Roman" w:cs="Times New Roman"/>
          <w:sz w:val="24"/>
          <w:szCs w:val="24"/>
        </w:rPr>
        <w:t>, ha advertido durante el debate el ministro de Migración y Asilo, Thanos Plevris.</w:t>
      </w:r>
    </w:p>
    <w:p w:rsidR="006A1F56" w:rsidRPr="00B83F41" w:rsidRDefault="00471D15"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El propio Plevris ha señalado: “</w:t>
      </w:r>
      <w:r w:rsidR="006A1F56" w:rsidRPr="00B83F41">
        <w:rPr>
          <w:rFonts w:ascii="Times New Roman" w:hAnsi="Times New Roman" w:cs="Times New Roman"/>
          <w:sz w:val="24"/>
          <w:szCs w:val="24"/>
        </w:rPr>
        <w:t>Si su asilo es rechazado, tiene dos opciones: prisió</w:t>
      </w:r>
      <w:r>
        <w:rPr>
          <w:rFonts w:ascii="Times New Roman" w:hAnsi="Times New Roman" w:cs="Times New Roman"/>
          <w:sz w:val="24"/>
          <w:szCs w:val="24"/>
        </w:rPr>
        <w:t>n o regreso a su país de origen”</w:t>
      </w:r>
      <w:r w:rsidR="006A1F56" w:rsidRPr="00B83F41">
        <w:rPr>
          <w:rFonts w:ascii="Times New Roman" w:hAnsi="Times New Roman" w:cs="Times New Roman"/>
          <w:sz w:val="24"/>
          <w:szCs w:val="24"/>
        </w:rPr>
        <w:t>. También ha indicado que los inmigra</w:t>
      </w:r>
      <w:r>
        <w:rPr>
          <w:rFonts w:ascii="Times New Roman" w:hAnsi="Times New Roman" w:cs="Times New Roman"/>
          <w:sz w:val="24"/>
          <w:szCs w:val="24"/>
        </w:rPr>
        <w:t>ntes afectados serán retenidos “</w:t>
      </w:r>
      <w:r w:rsidR="006A1F56" w:rsidRPr="00B83F41">
        <w:rPr>
          <w:rFonts w:ascii="Times New Roman" w:hAnsi="Times New Roman" w:cs="Times New Roman"/>
          <w:sz w:val="24"/>
          <w:szCs w:val="24"/>
        </w:rPr>
        <w:t>hasta que se produ</w:t>
      </w:r>
      <w:r>
        <w:rPr>
          <w:rFonts w:ascii="Times New Roman" w:hAnsi="Times New Roman" w:cs="Times New Roman"/>
          <w:sz w:val="24"/>
          <w:szCs w:val="24"/>
        </w:rPr>
        <w:t>zca su salida efectiva del país”</w:t>
      </w:r>
      <w:r w:rsidR="006A1F56" w:rsidRPr="00B83F41">
        <w:rPr>
          <w:rFonts w:ascii="Times New Roman" w:hAnsi="Times New Roman" w:cs="Times New Roman"/>
          <w:sz w:val="24"/>
          <w:szCs w:val="24"/>
        </w:rPr>
        <w:t xml:space="preserve"> y ha advertido que quienes intenten reingresar en Grecia sin papeles se enfrentarán a condenas de hasta tres años de cárcel, según ha publicado el diario Kathimerini.</w:t>
      </w:r>
    </w:p>
    <w:p w:rsidR="006A1F56" w:rsidRPr="00B83F41" w:rsidRDefault="006A1F56" w:rsidP="006A1F56">
      <w:pPr>
        <w:spacing w:line="240" w:lineRule="auto"/>
        <w:jc w:val="both"/>
        <w:rPr>
          <w:rFonts w:ascii="Times New Roman" w:hAnsi="Times New Roman" w:cs="Times New Roman"/>
          <w:sz w:val="24"/>
          <w:szCs w:val="24"/>
        </w:rPr>
      </w:pPr>
      <w:r w:rsidRPr="00B83F41">
        <w:rPr>
          <w:rFonts w:ascii="Times New Roman" w:hAnsi="Times New Roman" w:cs="Times New Roman"/>
          <w:sz w:val="24"/>
          <w:szCs w:val="24"/>
        </w:rPr>
        <w:t>Entrada en vigor</w:t>
      </w:r>
    </w:p>
    <w:p w:rsidR="006A1F56" w:rsidRPr="00B83F41" w:rsidRDefault="006A1F56" w:rsidP="006A1F56">
      <w:pPr>
        <w:spacing w:line="240" w:lineRule="auto"/>
        <w:jc w:val="both"/>
        <w:rPr>
          <w:rFonts w:ascii="Times New Roman" w:hAnsi="Times New Roman" w:cs="Times New Roman"/>
          <w:sz w:val="24"/>
          <w:szCs w:val="24"/>
        </w:rPr>
      </w:pPr>
      <w:r w:rsidRPr="00B83F41">
        <w:rPr>
          <w:rFonts w:ascii="Times New Roman" w:hAnsi="Times New Roman" w:cs="Times New Roman"/>
          <w:sz w:val="24"/>
          <w:szCs w:val="24"/>
        </w:rPr>
        <w:t>Entre las medidas incluidas, la ley ha suprimido la posibilidad de obtener un permiso de residencia tras siete años de estancia continuada en Grecia. No obstante, quienes ya han solicitado ese permiso antes de la aprobación de la norma han visto garantizado que su caso será tramitado bajo la legislación anterior. El tiempo máximo de detención administrativa de inmigrantes en situación irregular también se ha ampliado de 18 a</w:t>
      </w:r>
      <w:r w:rsidR="00471D15">
        <w:rPr>
          <w:rFonts w:ascii="Times New Roman" w:hAnsi="Times New Roman" w:cs="Times New Roman"/>
          <w:sz w:val="24"/>
          <w:szCs w:val="24"/>
        </w:rPr>
        <w:t xml:space="preserve"> 24 meses. Además, el plazo de “salida voluntaria”</w:t>
      </w:r>
      <w:r w:rsidRPr="00B83F41">
        <w:rPr>
          <w:rFonts w:ascii="Times New Roman" w:hAnsi="Times New Roman" w:cs="Times New Roman"/>
          <w:sz w:val="24"/>
          <w:szCs w:val="24"/>
        </w:rPr>
        <w:t xml:space="preserve"> para solicitantes de asilo rechazados se ha fijado en 14 días, ampliables hasta 60 en circunstancias excepcionales.</w:t>
      </w:r>
    </w:p>
    <w:p w:rsidR="006A1F56" w:rsidRPr="00B83F41" w:rsidRDefault="006A1F56" w:rsidP="006A1F56">
      <w:pPr>
        <w:spacing w:line="240" w:lineRule="auto"/>
        <w:jc w:val="both"/>
        <w:rPr>
          <w:rFonts w:ascii="Times New Roman" w:hAnsi="Times New Roman" w:cs="Times New Roman"/>
          <w:sz w:val="24"/>
          <w:szCs w:val="24"/>
        </w:rPr>
      </w:pPr>
      <w:r w:rsidRPr="00B83F41">
        <w:rPr>
          <w:rFonts w:ascii="Times New Roman" w:hAnsi="Times New Roman" w:cs="Times New Roman"/>
          <w:sz w:val="24"/>
          <w:szCs w:val="24"/>
        </w:rPr>
        <w:t>El ministro ha afirmado que Grecia se ha posicionado</w:t>
      </w:r>
      <w:r w:rsidR="00471D15">
        <w:rPr>
          <w:rFonts w:ascii="Times New Roman" w:hAnsi="Times New Roman" w:cs="Times New Roman"/>
          <w:sz w:val="24"/>
          <w:szCs w:val="24"/>
        </w:rPr>
        <w:t xml:space="preserve"> como el “</w:t>
      </w:r>
      <w:r w:rsidRPr="00B83F41">
        <w:rPr>
          <w:rFonts w:ascii="Times New Roman" w:hAnsi="Times New Roman" w:cs="Times New Roman"/>
          <w:sz w:val="24"/>
          <w:szCs w:val="24"/>
        </w:rPr>
        <w:t>primer país en introducir med</w:t>
      </w:r>
      <w:r w:rsidR="00471D15">
        <w:rPr>
          <w:rFonts w:ascii="Times New Roman" w:hAnsi="Times New Roman" w:cs="Times New Roman"/>
          <w:sz w:val="24"/>
          <w:szCs w:val="24"/>
        </w:rPr>
        <w:t>idas extremadamente disuasorias” y en “</w:t>
      </w:r>
      <w:r w:rsidRPr="00B83F41">
        <w:rPr>
          <w:rFonts w:ascii="Times New Roman" w:hAnsi="Times New Roman" w:cs="Times New Roman"/>
          <w:sz w:val="24"/>
          <w:szCs w:val="24"/>
        </w:rPr>
        <w:t>criminalizar la</w:t>
      </w:r>
      <w:r w:rsidR="00471D15">
        <w:rPr>
          <w:rFonts w:ascii="Times New Roman" w:hAnsi="Times New Roman" w:cs="Times New Roman"/>
          <w:sz w:val="24"/>
          <w:szCs w:val="24"/>
        </w:rPr>
        <w:t xml:space="preserve"> estancia ilegal de esta manera”</w:t>
      </w:r>
      <w:r w:rsidRPr="00B83F41">
        <w:rPr>
          <w:rFonts w:ascii="Times New Roman" w:hAnsi="Times New Roman" w:cs="Times New Roman"/>
          <w:sz w:val="24"/>
          <w:szCs w:val="24"/>
        </w:rPr>
        <w:t xml:space="preserve">. </w:t>
      </w:r>
      <w:r w:rsidRPr="00B83F41">
        <w:rPr>
          <w:rFonts w:ascii="Times New Roman" w:hAnsi="Times New Roman" w:cs="Times New Roman"/>
          <w:sz w:val="24"/>
          <w:szCs w:val="24"/>
        </w:rPr>
        <w:lastRenderedPageBreak/>
        <w:t>Atenas ha deportado a cientos de migrantes en situación irregular durante el pasado mes de julio y ha anunciado que más personas serán devueltas próximamente a Pakistán, Bangladesh y Egipto.</w:t>
      </w:r>
    </w:p>
    <w:p w:rsidR="006A1F56" w:rsidRPr="00B83F41" w:rsidRDefault="006A1F56" w:rsidP="006A1F56">
      <w:pPr>
        <w:spacing w:line="240" w:lineRule="auto"/>
        <w:jc w:val="both"/>
        <w:rPr>
          <w:rFonts w:ascii="Times New Roman" w:hAnsi="Times New Roman" w:cs="Times New Roman"/>
          <w:sz w:val="24"/>
          <w:szCs w:val="24"/>
        </w:rPr>
      </w:pPr>
      <w:r w:rsidRPr="00B83F41">
        <w:rPr>
          <w:rFonts w:ascii="Times New Roman" w:hAnsi="Times New Roman" w:cs="Times New Roman"/>
          <w:sz w:val="24"/>
          <w:szCs w:val="24"/>
        </w:rPr>
        <w:t>La nueva ley ha entrado en vigor de forma inmediata tras su publicación en la gaceta oficial y ha suscitado críticas de ACNUR, del Defensor del Pueblo griego, de la Unión de Jueces Administrativos y de numerosas ONG de derechos humanos.</w:t>
      </w:r>
    </w:p>
    <w:p w:rsidR="006A1F56" w:rsidRPr="0094463D" w:rsidRDefault="006A1F56" w:rsidP="006A1F56">
      <w:pPr>
        <w:pStyle w:val="ecl-social-media-sharedescription"/>
        <w:jc w:val="both"/>
      </w:pPr>
      <w:r w:rsidRPr="0094463D">
        <w:rPr>
          <w:u w:val="single"/>
        </w:rPr>
        <w:t>Datos sobre población carcelaria</w:t>
      </w:r>
      <w:r>
        <w:t xml:space="preserve"> </w:t>
      </w:r>
    </w:p>
    <w:p w:rsidR="006A1F56" w:rsidRPr="0094463D" w:rsidRDefault="006A1F56" w:rsidP="006A1F56">
      <w:pPr>
        <w:pStyle w:val="ecl-social-media-sharedescription"/>
        <w:jc w:val="both"/>
      </w:pPr>
      <w:r w:rsidRPr="0094463D">
        <w:t>En julio de 2024, la población carcelaria en España es de 58.937 reclusos, de los cuales 40.402 (68,5%) son españoles y 18.535 (31,5%) son extranjeros. La población reclusa extranjera ha crecido un 16% desde 2020, mientras que la de españoles solo ha crecido un 2,9% en el mismo periodo. (Fuente</w:t>
      </w:r>
      <w:r>
        <w:t>: Google - Vista creada con IA)</w:t>
      </w:r>
    </w:p>
    <w:p w:rsidR="006A1F56" w:rsidRPr="0094463D" w:rsidRDefault="006A1F56" w:rsidP="006A1F56">
      <w:pPr>
        <w:pStyle w:val="ecl-social-media-sharedescription"/>
        <w:jc w:val="both"/>
      </w:pPr>
      <w:r w:rsidRPr="0094463D">
        <w:t>Distribución de la población carcelaria</w:t>
      </w:r>
    </w:p>
    <w:p w:rsidR="006A1F56" w:rsidRPr="0094463D" w:rsidRDefault="006A1F56" w:rsidP="006A1F56">
      <w:pPr>
        <w:pStyle w:val="ecl-social-media-sharedescription"/>
        <w:jc w:val="both"/>
      </w:pPr>
      <w:r w:rsidRPr="0094463D">
        <w:t xml:space="preserve">Nacionales vs. Extranjeros: De un total de 58.937 reclusos, 40.402 son españoles y 18.535 son extranjeros. </w:t>
      </w:r>
    </w:p>
    <w:p w:rsidR="006A1F56" w:rsidRPr="0094463D" w:rsidRDefault="006A1F56" w:rsidP="006A1F56">
      <w:pPr>
        <w:pStyle w:val="ecl-social-media-sharedescription"/>
        <w:jc w:val="both"/>
      </w:pPr>
      <w:r w:rsidRPr="0094463D">
        <w:t xml:space="preserve">Proporción: Los extranjeros representan el 31,4% de la población reclusa, una cifra que triplica su proporción en la población general de España, donde son el 12,7%. </w:t>
      </w:r>
    </w:p>
    <w:p w:rsidR="006A1F56" w:rsidRPr="0094463D" w:rsidRDefault="006A1F56" w:rsidP="006A1F56">
      <w:pPr>
        <w:pStyle w:val="ecl-social-media-sharedescription"/>
        <w:jc w:val="both"/>
      </w:pPr>
      <w:r w:rsidRPr="0094463D">
        <w:t>Evolución y comparación</w:t>
      </w:r>
    </w:p>
    <w:p w:rsidR="006A1F56" w:rsidRPr="0094463D" w:rsidRDefault="006A1F56" w:rsidP="006A1F56">
      <w:pPr>
        <w:pStyle w:val="ecl-social-media-sharedescription"/>
        <w:jc w:val="both"/>
      </w:pPr>
      <w:r w:rsidRPr="0094463D">
        <w:t xml:space="preserve">Crecimiento: La población extranjera en prisión ha crecido un 16% desde 2020, un crecimiento significativamente mayor al 3% de la población de españoles en prisión. </w:t>
      </w:r>
    </w:p>
    <w:p w:rsidR="006A1F56" w:rsidRPr="0094463D" w:rsidRDefault="006A1F56" w:rsidP="006A1F56">
      <w:pPr>
        <w:pStyle w:val="ecl-social-media-sharedescription"/>
        <w:jc w:val="both"/>
      </w:pPr>
      <w:r w:rsidRPr="0094463D">
        <w:t xml:space="preserve">Nacionalidades más representadas: Los marroquíes, colombianos y argelinos son las nacionalidades extranjeras con mayor número de reclusos en España, reflejando el orden de población extranjera en el país. </w:t>
      </w:r>
    </w:p>
    <w:p w:rsidR="006A1F56" w:rsidRPr="0094463D" w:rsidRDefault="006A1F56" w:rsidP="006A1F56">
      <w:pPr>
        <w:pStyle w:val="ecl-social-media-sharedescription"/>
        <w:jc w:val="both"/>
      </w:pPr>
      <w:r w:rsidRPr="0094463D">
        <w:t xml:space="preserve">Contexto geográfico </w:t>
      </w:r>
    </w:p>
    <w:p w:rsidR="006A1F56" w:rsidRPr="0094463D" w:rsidRDefault="006A1F56" w:rsidP="006A1F56">
      <w:pPr>
        <w:pStyle w:val="ecl-social-media-sharedescription"/>
        <w:jc w:val="both"/>
      </w:pPr>
      <w:r w:rsidRPr="0094463D">
        <w:t>Concentración de extranjeros: Andalucía y Madrid concentran el mayor número de extranjeros en prisión.</w:t>
      </w:r>
    </w:p>
    <w:p w:rsidR="006A1F56" w:rsidRPr="0094463D" w:rsidRDefault="006A1F56" w:rsidP="006A1F56">
      <w:pPr>
        <w:pStyle w:val="ecl-social-media-sharedescription"/>
        <w:jc w:val="both"/>
      </w:pPr>
      <w:r>
        <w:t xml:space="preserve">Consideraciones Adicionales: </w:t>
      </w:r>
      <w:r w:rsidRPr="0094463D">
        <w:t xml:space="preserve">Los datos corresponden a julio de 2024 y fueron adelantados por el diario ABC. </w:t>
      </w:r>
    </w:p>
    <w:p w:rsidR="006A1F56" w:rsidRPr="0094463D" w:rsidRDefault="006A1F56" w:rsidP="006A1F56">
      <w:pPr>
        <w:pStyle w:val="ecl-social-media-sharedescription"/>
        <w:jc w:val="both"/>
      </w:pPr>
      <w:r w:rsidRPr="0094463D">
        <w:t>La población extranjera en las prisiones españolas es significativamente más alta que en la media de Europa, donde no excede el 10% en algunas regiones.</w:t>
      </w:r>
    </w:p>
    <w:p w:rsidR="006A1F56" w:rsidRPr="0094463D" w:rsidRDefault="006A1F56" w:rsidP="006A1F56">
      <w:pPr>
        <w:pStyle w:val="ecl-social-media-sharedescription"/>
        <w:jc w:val="both"/>
      </w:pPr>
      <w:r w:rsidRPr="0094463D">
        <w:t xml:space="preserve">- </w:t>
      </w:r>
      <w:r w:rsidRPr="0094463D">
        <w:rPr>
          <w:u w:val="single"/>
        </w:rPr>
        <w:t>La nacionalidad extranjera con más reclusos en España: supone casi el 30% del total de presos foráneos encarcelados</w:t>
      </w:r>
      <w:r w:rsidR="00471D15">
        <w:t xml:space="preserve"> (</w:t>
      </w:r>
      <w:r w:rsidRPr="0094463D">
        <w:t xml:space="preserve">ABC - </w:t>
      </w:r>
      <w:r w:rsidRPr="0094463D">
        <w:rPr>
          <w:b/>
        </w:rPr>
        <w:t>19/11/24</w:t>
      </w:r>
      <w:r w:rsidRPr="0094463D">
        <w:t>)</w:t>
      </w:r>
    </w:p>
    <w:p w:rsidR="006A1F56" w:rsidRPr="0094463D" w:rsidRDefault="006A1F56" w:rsidP="006A1F56">
      <w:pPr>
        <w:pStyle w:val="ecl-social-media-sharedescription"/>
        <w:jc w:val="both"/>
      </w:pPr>
      <w:r w:rsidRPr="0094463D">
        <w:t>Uno de cada tres condenados extranjeros que están entre rejas en España tiene procedencia marroquí</w:t>
      </w:r>
    </w:p>
    <w:p w:rsidR="006A1F56" w:rsidRPr="0094463D" w:rsidRDefault="006A1F56" w:rsidP="006A1F56">
      <w:pPr>
        <w:pStyle w:val="ecl-social-media-sharedescription"/>
        <w:jc w:val="both"/>
      </w:pPr>
      <w:r w:rsidRPr="0094463D">
        <w:lastRenderedPageBreak/>
        <w:t>Esta es la población residente en España en 2024 que ha nacido en el extranjero: número de personas según su país de origen</w:t>
      </w:r>
    </w:p>
    <w:p w:rsidR="006A1F56" w:rsidRPr="0094463D" w:rsidRDefault="006A1F56" w:rsidP="006A1F56">
      <w:pPr>
        <w:pStyle w:val="ecl-social-media-sharedescription"/>
        <w:jc w:val="both"/>
      </w:pPr>
      <w:r w:rsidRPr="0094463D">
        <w:t>(Por Jorge Herrero)</w:t>
      </w:r>
    </w:p>
    <w:p w:rsidR="006A1F56" w:rsidRPr="0094463D" w:rsidRDefault="006A1F56" w:rsidP="006A1F56">
      <w:pPr>
        <w:pStyle w:val="ecl-social-media-sharedescription"/>
        <w:jc w:val="both"/>
      </w:pPr>
      <w:r w:rsidRPr="0094463D">
        <w:t>España, como muchos países de la Unión Europea, ha experimentado un gran aumento en la llegada de inmigrantes en los últimos años. Este fenómeno, que es en parte consecuencia de las crisis políticas, económicas y humanitarias que se producen en diversos puntos del planeta, ha generado un intenso debate en los países donde más se sufre.</w:t>
      </w:r>
    </w:p>
    <w:p w:rsidR="006A1F56" w:rsidRPr="0094463D" w:rsidRDefault="006A1F56" w:rsidP="006A1F56">
      <w:pPr>
        <w:pStyle w:val="ecl-social-media-sharedescription"/>
        <w:jc w:val="both"/>
      </w:pPr>
      <w:r w:rsidRPr="0094463D">
        <w:t>Si bien la inmigración enriquece el tejido social y económico de los territorios, también plantea serios desafíos en términos de integración, empleo y seguridad. En ese sentido, en España, en los últimos meses la presión migratoria ha alcanzado un punto crítico y las imágenes de llegadas masivas a las costas del país no dejan de sucederse, lo que ha creado una creciente preocupación por parte de la población, que se pregunta cómo gestionar el flujo continuo de personas que buscan una nueva vida en Europa.</w:t>
      </w:r>
    </w:p>
    <w:p w:rsidR="006A1F56" w:rsidRPr="0094463D" w:rsidRDefault="006A1F56" w:rsidP="006A1F56">
      <w:pPr>
        <w:pStyle w:val="ecl-social-media-sharedescription"/>
        <w:jc w:val="both"/>
      </w:pPr>
      <w:r w:rsidRPr="0094463D">
        <w:t>Este contexto migratorio también se refleja en el sistema penitenciario español. Aunque, según reveló el Ministerio del Interior a finales de agosto, el número total de reclusos extranjeros ha disminuido en los últimos 15 años, los datos del ministerio de Fernando Grande-Marlaska muestran una realidad distinta de la que el Gobierno quiere mostrar.</w:t>
      </w:r>
    </w:p>
    <w:p w:rsidR="006A1F56" w:rsidRPr="0094463D" w:rsidRDefault="006A1F56" w:rsidP="006A1F56">
      <w:pPr>
        <w:pStyle w:val="ecl-social-media-sharedescription"/>
        <w:jc w:val="both"/>
      </w:pPr>
      <w:r w:rsidRPr="0094463D">
        <w:t>Desde 2020, la tendencia descendente se ha revertido y el número de presos extranjeros ha crecido en comparación con la población reclusa de origen español.</w:t>
      </w:r>
    </w:p>
    <w:p w:rsidR="006A1F56" w:rsidRPr="0094463D" w:rsidRDefault="006A1F56" w:rsidP="006A1F56">
      <w:pPr>
        <w:pStyle w:val="ecl-social-media-sharedescription"/>
        <w:jc w:val="both"/>
      </w:pPr>
      <w:r w:rsidRPr="0094463D">
        <w:t>En total, según datos de julio de 2024, en España hay 58.937 reclusos. De ellos, 40.402 son españoles y 18.535, extranjeros. Si bien, si se analiza la evolución desde 2020, el dato de presos nacionales ha crecido un 2,9% (era de 39.262 personas en 2020) y el de extranjeros lo ha hecho en un 16% (la cifra era de 15.918 reclusos hace 4 años).</w:t>
      </w:r>
    </w:p>
    <w:p w:rsidR="006A1F56" w:rsidRDefault="006A1F56" w:rsidP="006A1F56">
      <w:pPr>
        <w:pStyle w:val="ecl-social-media-sharedescription"/>
        <w:jc w:val="both"/>
      </w:pPr>
      <w:r w:rsidRPr="00BF2DB7">
        <w:rPr>
          <w:noProof/>
        </w:rPr>
        <w:drawing>
          <wp:inline distT="0" distB="0" distL="0" distR="0" wp14:anchorId="36BAE1BA" wp14:editId="3A7277FC">
            <wp:extent cx="5727700" cy="3505200"/>
            <wp:effectExtent l="0" t="0" r="6350"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5731510" cy="3507532"/>
                    </a:xfrm>
                    <a:prstGeom prst="rect">
                      <a:avLst/>
                    </a:prstGeom>
                  </pic:spPr>
                </pic:pic>
              </a:graphicData>
            </a:graphic>
          </wp:inline>
        </w:drawing>
      </w:r>
    </w:p>
    <w:p w:rsidR="006A1F56" w:rsidRDefault="006A1F56" w:rsidP="006A1F56">
      <w:pPr>
        <w:pStyle w:val="ecl-social-media-sharedescription"/>
        <w:jc w:val="both"/>
      </w:pPr>
      <w:r w:rsidRPr="00BF2DB7">
        <w:rPr>
          <w:noProof/>
        </w:rPr>
        <w:lastRenderedPageBreak/>
        <w:drawing>
          <wp:inline distT="0" distB="0" distL="0" distR="0" wp14:anchorId="2C3CBA05" wp14:editId="30B927E9">
            <wp:extent cx="5733826" cy="3575050"/>
            <wp:effectExtent l="0" t="0" r="635" b="635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5731510" cy="3573606"/>
                    </a:xfrm>
                    <a:prstGeom prst="rect">
                      <a:avLst/>
                    </a:prstGeom>
                  </pic:spPr>
                </pic:pic>
              </a:graphicData>
            </a:graphic>
          </wp:inline>
        </w:drawing>
      </w:r>
    </w:p>
    <w:p w:rsidR="006A1F56" w:rsidRDefault="006A1F56" w:rsidP="006A1F56">
      <w:pPr>
        <w:pStyle w:val="ecl-social-media-sharedescription"/>
        <w:jc w:val="both"/>
      </w:pPr>
      <w:r>
        <w:t>Según las cifras obtenidas por ABC a través del Portal de Transparencia, los extranjeros representan el 31,4% de la población reclusa en España, lo que supone más del doble (2,47 veces más) de su presencia en el conjunto de la población empadronada en el país, que alcanza el 12,7%.</w:t>
      </w:r>
    </w:p>
    <w:p w:rsidR="006A1F56" w:rsidRDefault="006A1F56" w:rsidP="006A1F56">
      <w:pPr>
        <w:pStyle w:val="ecl-social-media-sharedescription"/>
        <w:jc w:val="both"/>
      </w:pPr>
      <w:r>
        <w:t>Este dato pone de relieve una disparidad entre los residentes extranjeros en libertad y los que se encuentran privados de ella. Mientras que uno de cada mil españoles está en prisión, entre los extranjeros esta cifra se eleva a tres.</w:t>
      </w:r>
    </w:p>
    <w:p w:rsidR="006A1F56" w:rsidRDefault="006A1F56" w:rsidP="006A1F56">
      <w:pPr>
        <w:pStyle w:val="ecl-social-media-sharedescription"/>
        <w:jc w:val="both"/>
      </w:pPr>
      <w:r>
        <w:t>Asimismo, hay diferencias regionales. En comunidades como Cataluña, Madrid o Castilla y León, el porcentaje de presos extranjeros en comparación con su presencia en la sociedad general es desproporcionadamente alto. En Cataluña, por ejemplo, la mitad de los reclusos son extranjeros, mientras que en Madrid esta cifra alcanza el 42%.</w:t>
      </w:r>
    </w:p>
    <w:p w:rsidR="006A1F56" w:rsidRDefault="006A1F56" w:rsidP="006A1F56">
      <w:pPr>
        <w:pStyle w:val="ecl-social-media-sharedescription"/>
        <w:jc w:val="both"/>
      </w:pPr>
      <w:r>
        <w:t>¿Cuál es el colectivo extranjero con más reclusos en las cárceles españolas?</w:t>
      </w:r>
    </w:p>
    <w:p w:rsidR="006A1F56" w:rsidRDefault="006A1F56" w:rsidP="006A1F56">
      <w:pPr>
        <w:pStyle w:val="ecl-social-media-sharedescription"/>
        <w:jc w:val="both"/>
      </w:pPr>
      <w:r>
        <w:t>Los países de origen de los presos en las cárceles españolas revelan dinámicas que van más allá de la simple presencia migratoria. Aunque las nacionalidades con mayor número de empadronados en España incluyen procedencias como Marruecos, Rumanía o Colombia, no todas están igualmente representadas en el sistema penitenciario. Así por ejemplo, países como Italia, Reino Unido o Venezuela, que figuran entre los principales grupos de residentes extranjeros, no se encuentran entre las nacionalidades más comunes de los reclusos.</w:t>
      </w:r>
    </w:p>
    <w:p w:rsidR="006A1F56" w:rsidRDefault="006A1F56" w:rsidP="006A1F56">
      <w:pPr>
        <w:pStyle w:val="ecl-social-media-sharedescription"/>
        <w:jc w:val="both"/>
      </w:pPr>
      <w:r>
        <w:t>El colectivo extranjero con mayor presencia en las cárceles españolas es el de los ciudadanos de origen marroquí. Con 5.471 reclusos, los marroquíes representan el 29,5% de la población penitenciaria extranjera.</w:t>
      </w:r>
    </w:p>
    <w:p w:rsidR="006A1F56" w:rsidRPr="00B83F41" w:rsidRDefault="006A1F56" w:rsidP="006A1F56">
      <w:pPr>
        <w:pStyle w:val="ecl-social-media-sharedescription"/>
        <w:jc w:val="both"/>
        <w:rPr>
          <w:color w:val="FF0000"/>
        </w:rPr>
      </w:pPr>
      <w:r w:rsidRPr="00B83F41">
        <w:rPr>
          <w:b/>
          <w:color w:val="FF0000"/>
        </w:rPr>
        <w:t>Nota V</w:t>
      </w:r>
      <w:r w:rsidRPr="00B83F41">
        <w:rPr>
          <w:color w:val="FF0000"/>
        </w:rPr>
        <w:t xml:space="preserve">: El coste anual por preso en España ha variado en estimaciones recientes, rondando los 28.535 euros (aproximadamente 2.378 euros mensuales) en 2024, según cifras de ABC </w:t>
      </w:r>
      <w:r w:rsidRPr="00B83F41">
        <w:rPr>
          <w:color w:val="FF0000"/>
        </w:rPr>
        <w:lastRenderedPageBreak/>
        <w:t>basadas en el presupuesto penitenciario. Sin embargo, existen otras estimaciones, como las del Consejo de Europa en 2021, que señalaban un coste diario de 234,50 euros, lo que implicaría un gasto anual significativamente mayor, cercano a los 85.592 euros por recluso. (Fuente: Google - Vista creada con IA)</w:t>
      </w:r>
    </w:p>
    <w:p w:rsidR="006A1F56" w:rsidRDefault="006A1F56" w:rsidP="006A1F56">
      <w:pPr>
        <w:pStyle w:val="ecl-social-media-sharedescription"/>
        <w:jc w:val="both"/>
      </w:pPr>
      <w:r>
        <w:t>Detalles de las estimaciones:</w:t>
      </w:r>
    </w:p>
    <w:p w:rsidR="006A1F56" w:rsidRDefault="006A1F56" w:rsidP="006A1F56">
      <w:pPr>
        <w:pStyle w:val="ecl-social-media-sharedescription"/>
        <w:jc w:val="both"/>
      </w:pPr>
      <w:r>
        <w:t xml:space="preserve">Cálculo del presupuesto: Una cifra es el resultado de dividir el presupuesto anual destinado a las instituciones penitenciarias (por ejemplo, 1.326 millones de euros en 2023) por el número de reclusos (unos 46.468 en el mismo periodo). </w:t>
      </w:r>
    </w:p>
    <w:p w:rsidR="006A1F56" w:rsidRDefault="006A1F56" w:rsidP="006A1F56">
      <w:pPr>
        <w:pStyle w:val="ecl-social-media-sharedescription"/>
        <w:jc w:val="both"/>
      </w:pPr>
      <w:r>
        <w:t xml:space="preserve">Variaciones según la fuente: Consejo de Europa (2021): Informó sobre un gasto de 234,50 euros al día, lo que suma aproximadamente 85.592 euros al año. </w:t>
      </w:r>
    </w:p>
    <w:p w:rsidR="006A1F56" w:rsidRDefault="006A1F56" w:rsidP="006A1F56">
      <w:pPr>
        <w:pStyle w:val="ecl-social-media-sharedescription"/>
        <w:jc w:val="both"/>
      </w:pPr>
      <w:r>
        <w:t xml:space="preserve">Funcionario de Prisiones / ABC (2024): Calculó unos 28.535 euros anuales dividiendo el presupuesto de las prisiones por el número de internos. </w:t>
      </w:r>
    </w:p>
    <w:p w:rsidR="006A1F56" w:rsidRDefault="006A1F56" w:rsidP="006A1F56">
      <w:pPr>
        <w:pStyle w:val="ecl-social-media-sharedescription"/>
        <w:jc w:val="both"/>
      </w:pPr>
      <w:r>
        <w:t>Factores que influyen en el coste:</w:t>
      </w:r>
    </w:p>
    <w:p w:rsidR="006A1F56" w:rsidRDefault="006A1F56" w:rsidP="006A1F56">
      <w:pPr>
        <w:pStyle w:val="ecl-social-media-sharedescription"/>
        <w:jc w:val="both"/>
      </w:pPr>
      <w:r>
        <w:t xml:space="preserve">Presupuesto penitenciario: Es el factor principal, ya que el gasto total se distribuye entre todos los reclusos. </w:t>
      </w:r>
    </w:p>
    <w:p w:rsidR="006A1F56" w:rsidRDefault="006A1F56" w:rsidP="006A1F56">
      <w:pPr>
        <w:pStyle w:val="ecl-social-media-sharedescription"/>
        <w:jc w:val="both"/>
      </w:pPr>
      <w:r>
        <w:t xml:space="preserve">Número de reclusos: El cálculo depende directamente de la cantidad de internos. </w:t>
      </w:r>
    </w:p>
    <w:p w:rsidR="006A1F56" w:rsidRDefault="006A1F56" w:rsidP="006A1F56">
      <w:pPr>
        <w:pStyle w:val="ecl-social-media-sharedescription"/>
        <w:jc w:val="both"/>
      </w:pPr>
      <w:r>
        <w:t xml:space="preserve">Cuidado farmacéutico: Los gastos en asistencia médica y farmacéutica son un componente importante del presupuesto. </w:t>
      </w:r>
    </w:p>
    <w:p w:rsidR="006A1F56" w:rsidRDefault="006A1F56" w:rsidP="006A1F56">
      <w:pPr>
        <w:pStyle w:val="ecl-social-media-sharedescription"/>
        <w:jc w:val="both"/>
      </w:pPr>
      <w:r>
        <w:t>Las estimaciones varían, pero es importante tener en cuenta que el coste total para el estado español es considerable, y estas cifras reflejan la inversión necesaria para mantener el sistema penitenciario.</w:t>
      </w:r>
    </w:p>
    <w:p w:rsidR="006A1F56" w:rsidRPr="00B83F41" w:rsidRDefault="006A1F56" w:rsidP="006A1F56">
      <w:pPr>
        <w:pStyle w:val="ecl-social-media-sharedescription"/>
        <w:jc w:val="both"/>
        <w:rPr>
          <w:color w:val="FF0000"/>
        </w:rPr>
      </w:pPr>
      <w:r w:rsidRPr="00B83F41">
        <w:rPr>
          <w:b/>
          <w:color w:val="FF0000"/>
        </w:rPr>
        <w:t>Nota VI</w:t>
      </w:r>
      <w:r w:rsidRPr="00B83F41">
        <w:rPr>
          <w:color w:val="FF0000"/>
        </w:rPr>
        <w:t>: ¿Cómo es el gasto penitenciario en España respecto a otros países de la Unión Europea? Es complicado comparar porque cada país tiene un coste de vida y salarios diferentes. Pero España está 45% por encima de la media europea. Hay países en los que el coste por preso diario es más bajo como en Portugal (55 euros diarios) o Grecia (28 euros diarios). Y hay otros países con un mayor coste como por ejemplo Alemania (157 euros diarios) o Francia (135 euros). (Fuente: funcionarioprisiones.com/coste)</w:t>
      </w:r>
    </w:p>
    <w:p w:rsidR="006A1F56" w:rsidRDefault="006A1F56" w:rsidP="006A1F56">
      <w:pPr>
        <w:pStyle w:val="ecl-social-media-sharedescription"/>
        <w:jc w:val="both"/>
      </w:pPr>
      <w:r w:rsidRPr="00082F42">
        <w:rPr>
          <w:u w:val="single"/>
        </w:rPr>
        <w:t>Datos sobre</w:t>
      </w:r>
      <w:r>
        <w:rPr>
          <w:u w:val="single"/>
        </w:rPr>
        <w:t xml:space="preserve"> la</w:t>
      </w:r>
      <w:r w:rsidRPr="00082F42">
        <w:rPr>
          <w:u w:val="single"/>
        </w:rPr>
        <w:t xml:space="preserve"> cantidad de inmigrantes irregulares que hay en España</w:t>
      </w:r>
      <w:r>
        <w:t xml:space="preserve"> </w:t>
      </w:r>
    </w:p>
    <w:p w:rsidR="006A1F56" w:rsidRDefault="006A1F56" w:rsidP="006A1F56">
      <w:pPr>
        <w:pStyle w:val="ecl-social-media-sharedescription"/>
        <w:jc w:val="both"/>
      </w:pPr>
      <w:r>
        <w:t>No existe una cifra exacta y actualizada sobre el total de inmigrantes irregulares en España, ya que son difíciles de contabilizar, pero se estima que entre 390.000 y 470.000 personas residen en situación irregular. Esta cifra es una estimación de finales de 2019 o principios de 2020, y se estima que rondaba los 700.000 en 2023.  (Fuente: Google - Vista creada con IA)</w:t>
      </w:r>
    </w:p>
    <w:p w:rsidR="006A1F56" w:rsidRDefault="006A1F56" w:rsidP="006A1F56">
      <w:pPr>
        <w:pStyle w:val="ecl-social-media-sharedescription"/>
        <w:jc w:val="both"/>
      </w:pPr>
      <w:r>
        <w:t xml:space="preserve">¿Por qué es difícil determinar la cifra exacta? </w:t>
      </w:r>
    </w:p>
    <w:p w:rsidR="006A1F56" w:rsidRDefault="006A1F56" w:rsidP="006A1F56">
      <w:pPr>
        <w:pStyle w:val="ecl-social-media-sharedescription"/>
        <w:jc w:val="both"/>
      </w:pPr>
      <w:r>
        <w:t>Dificultad de conteo: Las personas en situación irregular no están registradas en el sistema oficial, lo que hace que su número exacto sea difícil de determinar.</w:t>
      </w:r>
    </w:p>
    <w:p w:rsidR="006A1F56" w:rsidRDefault="006A1F56" w:rsidP="006A1F56">
      <w:pPr>
        <w:pStyle w:val="ecl-social-media-sharedescription"/>
        <w:jc w:val="both"/>
      </w:pPr>
      <w:r>
        <w:lastRenderedPageBreak/>
        <w:t>Estimaciones variables: Los cálculos se basan en diferentes metodologías, lo que genera un rango de cifras.</w:t>
      </w:r>
    </w:p>
    <w:p w:rsidR="006A1F56" w:rsidRDefault="006A1F56" w:rsidP="006A1F56">
      <w:pPr>
        <w:pStyle w:val="ecl-social-media-sharedescription"/>
        <w:jc w:val="both"/>
      </w:pPr>
      <w:r>
        <w:t>Contexto de las estimaciones:</w:t>
      </w:r>
    </w:p>
    <w:p w:rsidR="006A1F56" w:rsidRDefault="006A1F56" w:rsidP="006A1F56">
      <w:pPr>
        <w:pStyle w:val="ecl-social-media-sharedescription"/>
        <w:jc w:val="both"/>
      </w:pPr>
      <w:r>
        <w:t xml:space="preserve">Estimación de Funcas: Una estimación de la Fundación de Cajas de Ahorros (Funcas) sitúa la cifra entre 390.000 y 470.000 personas a finales de 2019. </w:t>
      </w:r>
    </w:p>
    <w:p w:rsidR="006A1F56" w:rsidRDefault="006A1F56" w:rsidP="006A1F56">
      <w:pPr>
        <w:pStyle w:val="ecl-social-media-sharedescription"/>
        <w:jc w:val="both"/>
      </w:pPr>
      <w:r>
        <w:t xml:space="preserve">Aumento en los últimos años: La población extranjera en situación irregular ha crecido notablemente desde 2017, llegando a aproximadamente 700.000 personas en 2023. </w:t>
      </w:r>
    </w:p>
    <w:p w:rsidR="006A1F56" w:rsidRDefault="006A1F56" w:rsidP="006A1F56">
      <w:pPr>
        <w:pStyle w:val="ecl-social-media-sharedescription"/>
        <w:jc w:val="both"/>
      </w:pPr>
      <w:r>
        <w:t>Población de inmigrantes irregulares: La mayoría de las personas en situación irregular son de nacionalidades de fuera de la Unión Europea (no comunitarias). Los principales colectivos son de países de África occidental y, en los últimos años, también de Colombia y Venezuela.</w:t>
      </w:r>
    </w:p>
    <w:p w:rsidR="006A1F56" w:rsidRDefault="006A1F56" w:rsidP="006A1F56">
      <w:pPr>
        <w:pStyle w:val="ecl-social-media-sharedescription"/>
        <w:jc w:val="both"/>
      </w:pPr>
      <w:r>
        <w:t xml:space="preserve">- </w:t>
      </w:r>
      <w:r w:rsidRPr="005A1686">
        <w:rPr>
          <w:u w:val="single"/>
        </w:rPr>
        <w:t>El número de extranjeros en situación irregular se aproximaba ya en 2023 a los 700.000</w:t>
      </w:r>
      <w:r>
        <w:t xml:space="preserve"> (Fuente: Funcas - Notas de Coyuntura Social - </w:t>
      </w:r>
      <w:r w:rsidRPr="003F6DCF">
        <w:rPr>
          <w:b/>
        </w:rPr>
        <w:t>7/5/24</w:t>
      </w:r>
      <w:r>
        <w:t>)</w:t>
      </w:r>
    </w:p>
    <w:p w:rsidR="006A1F56" w:rsidRDefault="006A1F56" w:rsidP="006A1F56">
      <w:pPr>
        <w:pStyle w:val="ecl-social-media-sharedescription"/>
        <w:jc w:val="both"/>
      </w:pPr>
      <w:r>
        <w:t>A principios de ese año, la cifra estimada de extranjeros no comunitarios en situación irregular ascendía a 686.000</w:t>
      </w:r>
    </w:p>
    <w:p w:rsidR="006A1F56" w:rsidRDefault="006A1F56" w:rsidP="006A1F56">
      <w:pPr>
        <w:pStyle w:val="ecl-social-media-sharedescription"/>
        <w:jc w:val="both"/>
      </w:pPr>
      <w:r>
        <w:t>Entre ellos, predominaban los extranjeros con nacionalidades americanas, muy por delante de quienes ostentaban nacionalidades africanas</w:t>
      </w:r>
    </w:p>
    <w:p w:rsidR="006A1F56" w:rsidRDefault="006A1F56" w:rsidP="006A1F56">
      <w:pPr>
        <w:pStyle w:val="ecl-social-media-sharedescription"/>
        <w:jc w:val="both"/>
      </w:pPr>
      <w:r>
        <w:t>La magnitud de estas estimaciones de población en situación irregular en España pone de relieve las insuficiencias del modelo de gestión de la migración</w:t>
      </w:r>
    </w:p>
    <w:p w:rsidR="006A1F56" w:rsidRDefault="006A1F56" w:rsidP="006A1F56">
      <w:pPr>
        <w:pStyle w:val="ecl-social-media-sharedescription"/>
        <w:jc w:val="both"/>
      </w:pPr>
      <w:r w:rsidRPr="005A1686">
        <w:rPr>
          <w:noProof/>
        </w:rPr>
        <w:drawing>
          <wp:inline distT="0" distB="0" distL="0" distR="0" wp14:anchorId="4B753EDD" wp14:editId="6BF98338">
            <wp:extent cx="5731510" cy="3505200"/>
            <wp:effectExtent l="0" t="0" r="2540"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4"/>
                    <a:stretch>
                      <a:fillRect/>
                    </a:stretch>
                  </pic:blipFill>
                  <pic:spPr>
                    <a:xfrm>
                      <a:off x="0" y="0"/>
                      <a:ext cx="5731510" cy="3505200"/>
                    </a:xfrm>
                    <a:prstGeom prst="rect">
                      <a:avLst/>
                    </a:prstGeom>
                  </pic:spPr>
                </pic:pic>
              </a:graphicData>
            </a:graphic>
          </wp:inline>
        </w:drawing>
      </w:r>
    </w:p>
    <w:p w:rsidR="006A1F56" w:rsidRDefault="006A1F56" w:rsidP="006A1F56">
      <w:pPr>
        <w:pStyle w:val="ecl-social-media-sharedescription"/>
        <w:jc w:val="both"/>
      </w:pPr>
      <w:r>
        <w:t xml:space="preserve">Desde 2017 la población de nacionalidades no comunitarias residente en España ha aumentado sustancialmente. A 1 de enero de 2023 alcanzó un nuevo máximo de 4,1 millones. </w:t>
      </w:r>
      <w:r>
        <w:lastRenderedPageBreak/>
        <w:t>Aunque aún no hay cifras definitivas correspondientes a 2024, si se mantuviera la proporción de no comunitarios en la población extranjera estimada por el INE, se habría alcanzado ya un nuevo máximo, de casi 4,4 millones. Así se recoge en el primer número de Notas de Coyuntura Social, publicación trimestral de Funcas que aborda temas de actualidad a partir del análisis de fuentes estadísticas que permitan dimensionar los problemas sociales y contribuir a la reflexión y al debate público.</w:t>
      </w:r>
    </w:p>
    <w:p w:rsidR="006A1F56" w:rsidRDefault="006A1F56" w:rsidP="006A1F56">
      <w:pPr>
        <w:pStyle w:val="ecl-social-media-sharedescription"/>
        <w:jc w:val="both"/>
      </w:pPr>
      <w:r>
        <w:t>Una parte de esa población extranjera no comunitaria, entendida aquí como la que cuenta con una nacionalidad distinta de las de los Estados miembros de la Unión Europea, Reino Unido y los países de la AELC (Islandia, Liechtenstein, Noruega y Suiza), se halla en situación administrativa irregular. Según estimaciones de Funcas, a principios de 2023 el número de personas en esa situación ascendía a 686.000 (el 17% de la población no comunitaria residente entonces en España). Entre ellas destacan las que acreditan nacionalidades americanas (600.000 personas), claramente por delante de las que ostentan nacionalidades europeas no comunitarias (alrededor de 51.000) y africanas (cerca de 35.000). Habida cuenta del incremento de población extranjera puesto de manifiesto por otras fuentes estadísticas en 2023 y la tendencia creciente en el número de inmigrantes en situación irregular observada en los últimos años, no es arriesgado suponer que la cifra total de estos se sitúa en la actualidad por encima de 700.000.</w:t>
      </w:r>
    </w:p>
    <w:p w:rsidR="006A1F56" w:rsidRDefault="006A1F56" w:rsidP="006A1F56">
      <w:pPr>
        <w:pStyle w:val="ecl-social-media-sharedescription"/>
        <w:jc w:val="both"/>
      </w:pPr>
      <w:r w:rsidRPr="005A1686">
        <w:rPr>
          <w:noProof/>
        </w:rPr>
        <w:drawing>
          <wp:inline distT="0" distB="0" distL="0" distR="0" wp14:anchorId="1C092FB3" wp14:editId="27779EAD">
            <wp:extent cx="5728439" cy="3454400"/>
            <wp:effectExtent l="0" t="0" r="5715" b="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
                    <a:stretch>
                      <a:fillRect/>
                    </a:stretch>
                  </pic:blipFill>
                  <pic:spPr>
                    <a:xfrm>
                      <a:off x="0" y="0"/>
                      <a:ext cx="5731510" cy="3456252"/>
                    </a:xfrm>
                    <a:prstGeom prst="rect">
                      <a:avLst/>
                    </a:prstGeom>
                  </pic:spPr>
                </pic:pic>
              </a:graphicData>
            </a:graphic>
          </wp:inline>
        </w:drawing>
      </w:r>
    </w:p>
    <w:p w:rsidR="006A1F56" w:rsidRDefault="006A1F56" w:rsidP="006A1F56">
      <w:pPr>
        <w:pStyle w:val="ecl-social-media-sharedescription"/>
        <w:jc w:val="both"/>
      </w:pPr>
      <w:r>
        <w:t xml:space="preserve">Estas cifras superan ampliamente las que de forma habitual aparecen en distintos foros y medios como estimación del número de potenciales beneficiarios de la Iniciativa Legislativa Popular (ILP) presentada recientemente en el Congreso de los Diputados y que pretende legalizar la situación de aquellos extranjeros que, antes del 1 de noviembre de 2021, residían en territorio español. En efecto, se suele tomar como referencia del número de personas que se podrían beneficiar de esta iniciativa la cifra de 500.000, lo que convertiría a esta regularización extraordinaria en la segunda más extensa de las efectuadas hasta ahora, solo por detrás de la última, de 2005, en la que se aceptaron 576.506 solicitudes. Sin embargo, a pesar de su magnitud, la nueva regularización extraordinaria dejaría fuera a aquellos </w:t>
      </w:r>
      <w:r>
        <w:lastRenderedPageBreak/>
        <w:t xml:space="preserve">extranjeros que, habiendo llegado a España después del 1 de noviembre de 2021, todavía no han conseguido regularizar su situación administrativa a través de los cauces legales previstos. De las estimaciones de Funcas se desprende que este grupo podría sobrepasar las 200.000 personas. </w:t>
      </w:r>
    </w:p>
    <w:p w:rsidR="006A1F56" w:rsidRDefault="006A1F56" w:rsidP="006A1F56">
      <w:pPr>
        <w:pStyle w:val="ecl-social-media-sharedescription"/>
        <w:jc w:val="both"/>
      </w:pPr>
      <w:r w:rsidRPr="005A1686">
        <w:rPr>
          <w:noProof/>
        </w:rPr>
        <w:drawing>
          <wp:inline distT="0" distB="0" distL="0" distR="0" wp14:anchorId="0054A11D" wp14:editId="49B5947A">
            <wp:extent cx="5727700" cy="4337050"/>
            <wp:effectExtent l="0" t="0" r="6350" b="635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6"/>
                    <a:stretch>
                      <a:fillRect/>
                    </a:stretch>
                  </pic:blipFill>
                  <pic:spPr>
                    <a:xfrm>
                      <a:off x="0" y="0"/>
                      <a:ext cx="5731510" cy="4339935"/>
                    </a:xfrm>
                    <a:prstGeom prst="rect">
                      <a:avLst/>
                    </a:prstGeom>
                  </pic:spPr>
                </pic:pic>
              </a:graphicData>
            </a:graphic>
          </wp:inline>
        </w:drawing>
      </w:r>
    </w:p>
    <w:p w:rsidR="006A1F56" w:rsidRDefault="006A1F56" w:rsidP="006A1F56">
      <w:pPr>
        <w:pStyle w:val="ecl-social-media-sharedescription"/>
        <w:jc w:val="both"/>
      </w:pPr>
      <w:r>
        <w:t>La considerable dimensión de estas estimaciones de población extranjera en situación irregular en España pone de relieve las insuficiencias del modelo de gestión de la migración, con unos canales de regularización que no se adaptan al contexto actual de intensos flujos migratorios de entrada. Aplicado desde 2005, el mecanismo de regularización por arraigo (social, familiar, laboral y, desde 2022, de formación) ha regularizado de forma individual y continua la situación de buena parte de los inmigrantes si han residido en España al menos dos o tres años, dependiendo del tipo de arraigo. El establecimiento de este mecanismo, si bien ha evitado la urgencia de regularizaciones extraordinarias durante casi dos décadas (que exigen esfuerzos de gestión administrativa también extraordinarios), no ha impedido que en momentos de gran intensidad de llegadas de extranjeros, como el actual, el número de quienes carecen de autorización administrativa para residir en España alcance cifras elevadas.</w:t>
      </w:r>
    </w:p>
    <w:p w:rsidR="006A1F56" w:rsidRDefault="006A1F56" w:rsidP="006A1F56">
      <w:pPr>
        <w:pStyle w:val="ecl-social-media-sharedescription"/>
        <w:jc w:val="both"/>
      </w:pPr>
      <w:r>
        <w:t xml:space="preserve">Las regularizaciones extraordinarias que se realizaron en el periodo 1986-2005 recibieron amplio apoyo de diferentes sectores de la sociedad española, que han valorado la integración de estos inmigrantes en el mercado laboral formal y su contribución al sistema de Seguridad Social y, en definitiva, al crecimiento de la economía. Sin embargo, el recurso a las regularizaciones extraordinarias evidencia un problema característico de la política migratoria española: la falta de planificación y proactividad. </w:t>
      </w:r>
    </w:p>
    <w:p w:rsidR="006A1F56" w:rsidRPr="00082F42" w:rsidRDefault="006A1F56" w:rsidP="006A1F56">
      <w:pPr>
        <w:pStyle w:val="ecl-social-media-sharedescription"/>
        <w:jc w:val="both"/>
      </w:pPr>
      <w:r>
        <w:lastRenderedPageBreak/>
        <w:t>La utilización de herramientas más proactivas de gestión de la migración (como colaboraciones con los países de origen para la migración y la formación, o acuerdos de migración laboral dirigidos a sectores u ocupaciones específicos) podría mejorar la gestión de los flujos migratorios, facilitar la integración económica y social de los inmigrantes y contribuir a una política migratoria más coherente y efectiva.</w:t>
      </w:r>
    </w:p>
    <w:p w:rsidR="006A1F56" w:rsidRPr="008D249E" w:rsidRDefault="006A1F56" w:rsidP="006A1F56">
      <w:pPr>
        <w:pStyle w:val="ecl-social-media-sharedescription"/>
        <w:jc w:val="both"/>
      </w:pPr>
      <w:r w:rsidRPr="00D52280">
        <w:rPr>
          <w:noProof/>
        </w:rPr>
        <w:drawing>
          <wp:inline distT="0" distB="0" distL="0" distR="0" wp14:anchorId="0C710446" wp14:editId="66BDA1E8">
            <wp:extent cx="5391150" cy="5092700"/>
            <wp:effectExtent l="0" t="0" r="0" b="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
                    <a:stretch>
                      <a:fillRect/>
                    </a:stretch>
                  </pic:blipFill>
                  <pic:spPr>
                    <a:xfrm>
                      <a:off x="0" y="0"/>
                      <a:ext cx="5391903" cy="5093411"/>
                    </a:xfrm>
                    <a:prstGeom prst="rect">
                      <a:avLst/>
                    </a:prstGeom>
                  </pic:spPr>
                </pic:pic>
              </a:graphicData>
            </a:graphic>
          </wp:inline>
        </w:drawing>
      </w:r>
    </w:p>
    <w:p w:rsidR="006A1F56" w:rsidRDefault="006A1F56" w:rsidP="006A1F56">
      <w:pPr>
        <w:spacing w:line="240" w:lineRule="auto"/>
        <w:jc w:val="both"/>
        <w:rPr>
          <w:rFonts w:ascii="Arial" w:hAnsi="Arial" w:cs="Arial"/>
          <w:caps/>
          <w:color w:val="121212"/>
          <w:spacing w:val="8"/>
          <w:sz w:val="23"/>
          <w:szCs w:val="23"/>
        </w:rPr>
      </w:pPr>
      <w:r w:rsidRPr="00B83F41">
        <w:rPr>
          <w:rFonts w:ascii="Times New Roman" w:hAnsi="Times New Roman" w:cs="Times New Roman"/>
          <w:b/>
          <w:color w:val="FF0000"/>
          <w:sz w:val="24"/>
          <w:szCs w:val="24"/>
        </w:rPr>
        <w:t>Nota VII</w:t>
      </w:r>
      <w:r w:rsidRPr="00B83F41">
        <w:rPr>
          <w:rFonts w:ascii="Times New Roman" w:hAnsi="Times New Roman" w:cs="Times New Roman"/>
          <w:color w:val="FF0000"/>
          <w:sz w:val="24"/>
          <w:szCs w:val="24"/>
        </w:rPr>
        <w:t xml:space="preserve">: Datos del Informe de la Fundación por Causa y la Universidad Carlos III, sobre inmigración irregular (publicados por El Confidencial - </w:t>
      </w:r>
      <w:r w:rsidRPr="00B83F41">
        <w:rPr>
          <w:rFonts w:ascii="Times New Roman" w:hAnsi="Times New Roman" w:cs="Times New Roman"/>
          <w:b/>
          <w:color w:val="FF0000"/>
          <w:sz w:val="24"/>
          <w:szCs w:val="24"/>
        </w:rPr>
        <w:t>25/6/20</w:t>
      </w:r>
      <w:r w:rsidRPr="00B83F41">
        <w:rPr>
          <w:rFonts w:ascii="Times New Roman" w:hAnsi="Times New Roman" w:cs="Times New Roman"/>
          <w:color w:val="FF0000"/>
          <w:sz w:val="24"/>
          <w:szCs w:val="24"/>
        </w:rPr>
        <w:t>)</w:t>
      </w:r>
      <w:r>
        <w:rPr>
          <w:rFonts w:ascii="Times New Roman" w:hAnsi="Times New Roman" w:cs="Times New Roman"/>
          <w:sz w:val="24"/>
          <w:szCs w:val="24"/>
        </w:rPr>
        <w:t>:</w:t>
      </w:r>
      <w:r w:rsidRPr="00F777AF">
        <w:rPr>
          <w:rFonts w:ascii="Arial" w:hAnsi="Arial" w:cs="Arial"/>
          <w:caps/>
          <w:color w:val="121212"/>
          <w:spacing w:val="8"/>
          <w:sz w:val="23"/>
          <w:szCs w:val="23"/>
        </w:rPr>
        <w:t xml:space="preserve"> </w:t>
      </w:r>
    </w:p>
    <w:p w:rsidR="006A1F56" w:rsidRPr="00D52280" w:rsidRDefault="006A1F56" w:rsidP="006A1F56">
      <w:pPr>
        <w:spacing w:line="240" w:lineRule="auto"/>
        <w:jc w:val="both"/>
        <w:rPr>
          <w:rFonts w:ascii="Times New Roman" w:hAnsi="Times New Roman" w:cs="Times New Roman"/>
          <w:sz w:val="24"/>
          <w:szCs w:val="24"/>
        </w:rPr>
      </w:pPr>
      <w:r w:rsidRPr="00D52280">
        <w:rPr>
          <w:rFonts w:ascii="Times New Roman" w:hAnsi="Times New Roman" w:cs="Times New Roman"/>
          <w:sz w:val="24"/>
          <w:szCs w:val="24"/>
        </w:rPr>
        <w:t>¿</w:t>
      </w:r>
      <w:r>
        <w:rPr>
          <w:rFonts w:ascii="Times New Roman" w:hAnsi="Times New Roman" w:cs="Times New Roman"/>
          <w:sz w:val="24"/>
          <w:szCs w:val="24"/>
        </w:rPr>
        <w:t xml:space="preserve">Cuál es su contribución fiscal? </w:t>
      </w:r>
      <w:r w:rsidRPr="00D52280">
        <w:rPr>
          <w:rFonts w:ascii="Times New Roman" w:hAnsi="Times New Roman" w:cs="Times New Roman"/>
          <w:sz w:val="24"/>
          <w:szCs w:val="24"/>
        </w:rPr>
        <w:t>Quizá el capítulo más polémico del informe es el dedicado a estimar la aportación a las arcas del Estado de la población inmigrante y los potenciales efectos de una regularización de todos aquellos que se encuentran hoy en situación irregular. Los autores lo exponen mediante dos conceptos: “contribución fiscal neta directa”</w:t>
      </w:r>
      <w:r>
        <w:rPr>
          <w:rFonts w:ascii="Times New Roman" w:hAnsi="Times New Roman" w:cs="Times New Roman"/>
          <w:sz w:val="24"/>
          <w:szCs w:val="24"/>
        </w:rPr>
        <w:t xml:space="preserve"> y “contribución fiscal total”.</w:t>
      </w:r>
    </w:p>
    <w:p w:rsidR="006A1F56" w:rsidRPr="00D52280" w:rsidRDefault="006A1F56" w:rsidP="006A1F56">
      <w:pPr>
        <w:spacing w:line="240" w:lineRule="auto"/>
        <w:jc w:val="both"/>
        <w:rPr>
          <w:rFonts w:ascii="Times New Roman" w:hAnsi="Times New Roman" w:cs="Times New Roman"/>
          <w:sz w:val="24"/>
          <w:szCs w:val="24"/>
        </w:rPr>
      </w:pPr>
      <w:r w:rsidRPr="00D52280">
        <w:rPr>
          <w:rFonts w:ascii="Times New Roman" w:hAnsi="Times New Roman" w:cs="Times New Roman"/>
          <w:sz w:val="24"/>
          <w:szCs w:val="24"/>
        </w:rPr>
        <w:t>La primera calcula las aportaciones sobre la renta y contribuciones sociales y le resta la suma de las transferencias públicas recibidas de los hogares. Es decir: cuánto contribuyen menos lo ingresado en forma de ayudas directas. El saldo de esta primera estimación es positivo y se sitúa en</w:t>
      </w:r>
      <w:r>
        <w:rPr>
          <w:rFonts w:ascii="Times New Roman" w:hAnsi="Times New Roman" w:cs="Times New Roman"/>
          <w:sz w:val="24"/>
          <w:szCs w:val="24"/>
        </w:rPr>
        <w:t xml:space="preserve"> </w:t>
      </w:r>
      <w:r w:rsidRPr="00D52280">
        <w:rPr>
          <w:rFonts w:ascii="Times New Roman" w:hAnsi="Times New Roman" w:cs="Times New Roman"/>
          <w:sz w:val="24"/>
          <w:szCs w:val="24"/>
        </w:rPr>
        <w:t xml:space="preserve">torno a los 4.200 euros anuales por familia, un 70% más alto que el de los hogares con nacionalidad española (más envejecidos y condicionados por el efecto estadístico de los cerca de 10 millones de pensionistas -6 millones de ellos jubilados-). Aunque pueda </w:t>
      </w:r>
      <w:r w:rsidRPr="00D52280">
        <w:rPr>
          <w:rFonts w:ascii="Times New Roman" w:hAnsi="Times New Roman" w:cs="Times New Roman"/>
          <w:sz w:val="24"/>
          <w:szCs w:val="24"/>
        </w:rPr>
        <w:lastRenderedPageBreak/>
        <w:t>sorprender, se trata de cifras en sintonía con las expuestas en trabajos similares realizados en otros países del entorno europeo.</w:t>
      </w:r>
    </w:p>
    <w:p w:rsidR="006A1F56" w:rsidRPr="00D52280" w:rsidRDefault="006A1F56" w:rsidP="006A1F56">
      <w:pPr>
        <w:spacing w:line="240" w:lineRule="auto"/>
        <w:jc w:val="both"/>
        <w:rPr>
          <w:rFonts w:ascii="Times New Roman" w:hAnsi="Times New Roman" w:cs="Times New Roman"/>
          <w:sz w:val="24"/>
          <w:szCs w:val="24"/>
        </w:rPr>
      </w:pPr>
      <w:r w:rsidRPr="00D52280">
        <w:rPr>
          <w:rFonts w:ascii="Times New Roman" w:hAnsi="Times New Roman" w:cs="Times New Roman"/>
          <w:sz w:val="24"/>
          <w:szCs w:val="24"/>
        </w:rPr>
        <w:t>La segunda variable incorpora al cálculo los impuestos directos y el gasto público en educación y salud. Aquí los hogares compuestos por inmigrantes extracomunitarios reciben 400 euros más de media que los formados solo por españoles, una diferencia que se explica teniendo en cuenta el consumo medio de las familias (calculados en función de sus ingresos medios) y la contabilización de gastos sanitarios y educativos en familias jóvenes y con hijos.</w:t>
      </w:r>
    </w:p>
    <w:p w:rsidR="006A1F56" w:rsidRPr="00D52280" w:rsidRDefault="006A1F56" w:rsidP="006A1F56">
      <w:pPr>
        <w:spacing w:line="240" w:lineRule="auto"/>
        <w:jc w:val="both"/>
        <w:rPr>
          <w:rFonts w:ascii="Times New Roman" w:hAnsi="Times New Roman" w:cs="Times New Roman"/>
          <w:sz w:val="24"/>
          <w:szCs w:val="24"/>
        </w:rPr>
      </w:pPr>
      <w:r w:rsidRPr="00D52280">
        <w:rPr>
          <w:rFonts w:ascii="Times New Roman" w:hAnsi="Times New Roman" w:cs="Times New Roman"/>
          <w:sz w:val="24"/>
          <w:szCs w:val="24"/>
        </w:rPr>
        <w:t xml:space="preserve">El informe concluye asegurando que la situación de irregularidad tiene un coste medio anual para las arcas públicas españoles de 2.000 euros por inmigrante. “En caso de regularización”, proponen los autores, “la aportación fiscal neta de los inmigrantes en situación irregular se incrementaría </w:t>
      </w:r>
      <w:r>
        <w:rPr>
          <w:rFonts w:ascii="Times New Roman" w:hAnsi="Times New Roman" w:cs="Times New Roman"/>
          <w:sz w:val="24"/>
          <w:szCs w:val="24"/>
        </w:rPr>
        <w:t>por encima de los 3.250 euros”.</w:t>
      </w:r>
    </w:p>
    <w:p w:rsidR="006A1F56" w:rsidRDefault="006A1F56" w:rsidP="006A1F56">
      <w:pPr>
        <w:spacing w:line="240" w:lineRule="auto"/>
        <w:jc w:val="both"/>
        <w:rPr>
          <w:rFonts w:ascii="Times New Roman" w:hAnsi="Times New Roman" w:cs="Times New Roman"/>
          <w:sz w:val="24"/>
          <w:szCs w:val="24"/>
        </w:rPr>
      </w:pPr>
      <w:r w:rsidRPr="00D52280">
        <w:rPr>
          <w:rFonts w:ascii="Times New Roman" w:hAnsi="Times New Roman" w:cs="Times New Roman"/>
          <w:sz w:val="24"/>
          <w:szCs w:val="24"/>
        </w:rPr>
        <w:t>Otro argumento expuesto por los autores a favor de la regularización -sin entrar en enfoques humanitarios- es la necesidad de control de sectores de la población con gran movilidad y riesgo de contagio en medio de una pandemia.</w:t>
      </w:r>
    </w:p>
    <w:p w:rsidR="006A1F56" w:rsidRPr="00B83F41" w:rsidRDefault="006A1F56" w:rsidP="006A1F56">
      <w:pPr>
        <w:spacing w:line="240" w:lineRule="auto"/>
        <w:jc w:val="both"/>
        <w:rPr>
          <w:rFonts w:ascii="Times New Roman" w:hAnsi="Times New Roman" w:cs="Times New Roman"/>
          <w:color w:val="FF0000"/>
          <w:sz w:val="24"/>
          <w:szCs w:val="24"/>
        </w:rPr>
      </w:pPr>
      <w:r w:rsidRPr="00B83F41">
        <w:rPr>
          <w:rFonts w:ascii="Times New Roman" w:hAnsi="Times New Roman" w:cs="Times New Roman"/>
          <w:b/>
          <w:color w:val="FF0000"/>
          <w:sz w:val="24"/>
          <w:szCs w:val="24"/>
        </w:rPr>
        <w:t>Nota VIII</w:t>
      </w:r>
      <w:r w:rsidRPr="00B83F41">
        <w:rPr>
          <w:rFonts w:ascii="Times New Roman" w:hAnsi="Times New Roman" w:cs="Times New Roman"/>
          <w:color w:val="FF0000"/>
          <w:sz w:val="24"/>
          <w:szCs w:val="24"/>
        </w:rPr>
        <w:t xml:space="preserve">: En España, el gasto público en educación superó los 67.900 millones de euros en 2023, lo que representa un aumento del 7% con respecto al año anterior, según el Ministerio de Educación, Formación Profesional y Deportes. Este gasto incluye tanto la educación infantil, primaria y especial, como secundaria, formación profesional y universitaria, así como becas y ayudas al estudio. </w:t>
      </w:r>
    </w:p>
    <w:p w:rsidR="006A1F56" w:rsidRPr="0094463D" w:rsidRDefault="006A1F56" w:rsidP="006A1F56">
      <w:pPr>
        <w:spacing w:line="240" w:lineRule="auto"/>
        <w:jc w:val="both"/>
        <w:rPr>
          <w:rFonts w:ascii="Times New Roman" w:hAnsi="Times New Roman" w:cs="Times New Roman"/>
          <w:sz w:val="24"/>
          <w:szCs w:val="24"/>
        </w:rPr>
      </w:pPr>
    </w:p>
    <w:p w:rsidR="006A1F56" w:rsidRDefault="006A1F56" w:rsidP="006A1F56">
      <w:pPr>
        <w:spacing w:line="240" w:lineRule="auto"/>
        <w:jc w:val="both"/>
        <w:rPr>
          <w:rFonts w:ascii="Times New Roman" w:hAnsi="Times New Roman" w:cs="Times New Roman"/>
          <w:color w:val="FF0000"/>
          <w:sz w:val="24"/>
          <w:szCs w:val="24"/>
        </w:rPr>
      </w:pPr>
      <w:r w:rsidRPr="006E794B">
        <w:rPr>
          <w:rFonts w:ascii="Times New Roman" w:hAnsi="Times New Roman" w:cs="Times New Roman"/>
          <w:noProof/>
          <w:color w:val="FF0000"/>
          <w:sz w:val="24"/>
          <w:szCs w:val="24"/>
          <w:lang w:eastAsia="es-ES"/>
        </w:rPr>
        <w:drawing>
          <wp:inline distT="0" distB="0" distL="0" distR="0" wp14:anchorId="28FA8DF4" wp14:editId="2F248390">
            <wp:extent cx="5731510" cy="3081911"/>
            <wp:effectExtent l="0" t="0" r="2540" b="4445"/>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8"/>
                    <a:stretch>
                      <a:fillRect/>
                    </a:stretch>
                  </pic:blipFill>
                  <pic:spPr>
                    <a:xfrm>
                      <a:off x="0" y="0"/>
                      <a:ext cx="5731510" cy="3081911"/>
                    </a:xfrm>
                    <a:prstGeom prst="rect">
                      <a:avLst/>
                    </a:prstGeom>
                  </pic:spPr>
                </pic:pic>
              </a:graphicData>
            </a:graphic>
          </wp:inline>
        </w:drawing>
      </w:r>
    </w:p>
    <w:p w:rsidR="006A1F56" w:rsidRDefault="006A1F56" w:rsidP="006A1F56">
      <w:pPr>
        <w:spacing w:line="240" w:lineRule="auto"/>
        <w:jc w:val="both"/>
        <w:rPr>
          <w:rFonts w:ascii="Times New Roman" w:hAnsi="Times New Roman" w:cs="Times New Roman"/>
          <w:color w:val="FF0000"/>
          <w:sz w:val="24"/>
          <w:szCs w:val="24"/>
        </w:rPr>
      </w:pPr>
      <w:r w:rsidRPr="006E794B">
        <w:rPr>
          <w:rFonts w:ascii="Times New Roman" w:hAnsi="Times New Roman" w:cs="Times New Roman"/>
          <w:noProof/>
          <w:color w:val="FF0000"/>
          <w:sz w:val="24"/>
          <w:szCs w:val="24"/>
          <w:lang w:eastAsia="es-ES"/>
        </w:rPr>
        <w:lastRenderedPageBreak/>
        <w:drawing>
          <wp:inline distT="0" distB="0" distL="0" distR="0" wp14:anchorId="44E38207" wp14:editId="67000E9F">
            <wp:extent cx="5731510" cy="2522844"/>
            <wp:effectExtent l="0" t="0" r="2540" b="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stretch>
                      <a:fillRect/>
                    </a:stretch>
                  </pic:blipFill>
                  <pic:spPr>
                    <a:xfrm>
                      <a:off x="0" y="0"/>
                      <a:ext cx="5731510" cy="2522844"/>
                    </a:xfrm>
                    <a:prstGeom prst="rect">
                      <a:avLst/>
                    </a:prstGeom>
                  </pic:spPr>
                </pic:pic>
              </a:graphicData>
            </a:graphic>
          </wp:inline>
        </w:drawing>
      </w:r>
    </w:p>
    <w:p w:rsidR="006A1F56" w:rsidRPr="0094463D" w:rsidRDefault="006A1F56" w:rsidP="006A1F56">
      <w:pPr>
        <w:spacing w:line="240" w:lineRule="auto"/>
        <w:jc w:val="both"/>
        <w:rPr>
          <w:rFonts w:ascii="Times New Roman" w:hAnsi="Times New Roman" w:cs="Times New Roman"/>
          <w:sz w:val="24"/>
          <w:szCs w:val="24"/>
        </w:rPr>
      </w:pPr>
      <w:r w:rsidRPr="0094463D">
        <w:rPr>
          <w:rFonts w:ascii="Times New Roman" w:hAnsi="Times New Roman" w:cs="Times New Roman"/>
          <w:sz w:val="24"/>
          <w:szCs w:val="24"/>
        </w:rPr>
        <w:t>El gasto público en educación en el año 2022 se situó en torno a los 63 446,5 millones de euros, suponiendo el 4,62 % del PIB y distribuyéndose principalmente en educación infantil y primaria (29,0 %), educación secundaria y formación profesional (29,2 %) y educación universitaria (18,4 %).</w:t>
      </w:r>
    </w:p>
    <w:p w:rsidR="006A1F56" w:rsidRDefault="006A1F56" w:rsidP="006A1F56">
      <w:pPr>
        <w:spacing w:line="240" w:lineRule="auto"/>
        <w:jc w:val="both"/>
        <w:rPr>
          <w:rFonts w:ascii="Times New Roman" w:hAnsi="Times New Roman" w:cs="Times New Roman"/>
          <w:color w:val="FF0000"/>
          <w:sz w:val="24"/>
          <w:szCs w:val="24"/>
        </w:rPr>
      </w:pPr>
      <w:r w:rsidRPr="006E794B">
        <w:rPr>
          <w:rFonts w:ascii="Times New Roman" w:hAnsi="Times New Roman" w:cs="Times New Roman"/>
          <w:noProof/>
          <w:color w:val="FF0000"/>
          <w:sz w:val="24"/>
          <w:szCs w:val="24"/>
          <w:lang w:eastAsia="es-ES"/>
        </w:rPr>
        <w:drawing>
          <wp:inline distT="0" distB="0" distL="0" distR="0" wp14:anchorId="2D9A2D76" wp14:editId="0ECECA42">
            <wp:extent cx="4658375" cy="5268061"/>
            <wp:effectExtent l="0" t="0" r="8890" b="8890"/>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0"/>
                    <a:stretch>
                      <a:fillRect/>
                    </a:stretch>
                  </pic:blipFill>
                  <pic:spPr>
                    <a:xfrm>
                      <a:off x="0" y="0"/>
                      <a:ext cx="4658375" cy="5268061"/>
                    </a:xfrm>
                    <a:prstGeom prst="rect">
                      <a:avLst/>
                    </a:prstGeom>
                  </pic:spPr>
                </pic:pic>
              </a:graphicData>
            </a:graphic>
          </wp:inline>
        </w:drawing>
      </w:r>
    </w:p>
    <w:p w:rsidR="006A1F56" w:rsidRPr="00B83F41" w:rsidRDefault="006A1F56" w:rsidP="006A1F56">
      <w:pPr>
        <w:spacing w:line="240" w:lineRule="auto"/>
        <w:jc w:val="both"/>
        <w:rPr>
          <w:rFonts w:ascii="Times New Roman" w:hAnsi="Times New Roman" w:cs="Times New Roman"/>
          <w:color w:val="FF0000"/>
          <w:sz w:val="24"/>
          <w:szCs w:val="24"/>
        </w:rPr>
      </w:pPr>
      <w:r w:rsidRPr="00B83F41">
        <w:rPr>
          <w:rFonts w:ascii="Times New Roman" w:hAnsi="Times New Roman" w:cs="Times New Roman"/>
          <w:b/>
          <w:color w:val="FF0000"/>
          <w:sz w:val="24"/>
          <w:szCs w:val="24"/>
        </w:rPr>
        <w:lastRenderedPageBreak/>
        <w:t>Nota IX</w:t>
      </w:r>
      <w:r w:rsidRPr="00B83F41">
        <w:rPr>
          <w:rFonts w:ascii="Times New Roman" w:hAnsi="Times New Roman" w:cs="Times New Roman"/>
          <w:color w:val="FF0000"/>
          <w:sz w:val="24"/>
          <w:szCs w:val="24"/>
        </w:rPr>
        <w:t>: El gasto público per cápita en Sanidad en España fue de 1.890 euros en 2025, con un crecimiento del 5% respecto al año anterior, según datos de abril de 2025. Este dato se refiere al gasto de las comunidades autónomas, que son las principales responsables del gasto sanitario público en España. (Fuente: Google - Vista creada con IA)</w:t>
      </w:r>
    </w:p>
    <w:p w:rsidR="006A1F56" w:rsidRDefault="006A1F56" w:rsidP="006A1F56">
      <w:pPr>
        <w:spacing w:line="240" w:lineRule="auto"/>
        <w:jc w:val="both"/>
        <w:rPr>
          <w:rFonts w:ascii="Times New Roman" w:hAnsi="Times New Roman" w:cs="Times New Roman"/>
          <w:color w:val="FF0000"/>
          <w:sz w:val="24"/>
          <w:szCs w:val="24"/>
        </w:rPr>
      </w:pPr>
      <w:r w:rsidRPr="006E794B">
        <w:rPr>
          <w:rFonts w:ascii="Times New Roman" w:hAnsi="Times New Roman" w:cs="Times New Roman"/>
          <w:noProof/>
          <w:color w:val="FF0000"/>
          <w:sz w:val="24"/>
          <w:szCs w:val="24"/>
          <w:lang w:eastAsia="es-ES"/>
        </w:rPr>
        <w:drawing>
          <wp:inline distT="0" distB="0" distL="0" distR="0" wp14:anchorId="3C6DFCAC" wp14:editId="628313F8">
            <wp:extent cx="5731510" cy="3622608"/>
            <wp:effectExtent l="0" t="0" r="2540" b="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1"/>
                    <a:stretch>
                      <a:fillRect/>
                    </a:stretch>
                  </pic:blipFill>
                  <pic:spPr>
                    <a:xfrm>
                      <a:off x="0" y="0"/>
                      <a:ext cx="5731510" cy="3622608"/>
                    </a:xfrm>
                    <a:prstGeom prst="rect">
                      <a:avLst/>
                    </a:prstGeom>
                  </pic:spPr>
                </pic:pic>
              </a:graphicData>
            </a:graphic>
          </wp:inline>
        </w:drawing>
      </w:r>
    </w:p>
    <w:p w:rsidR="006A1F56" w:rsidRDefault="006A1F56" w:rsidP="006A1F56">
      <w:pPr>
        <w:spacing w:line="240" w:lineRule="auto"/>
        <w:jc w:val="both"/>
        <w:rPr>
          <w:rFonts w:ascii="Times New Roman" w:hAnsi="Times New Roman" w:cs="Times New Roman"/>
          <w:color w:val="FF0000"/>
          <w:sz w:val="24"/>
          <w:szCs w:val="24"/>
        </w:rPr>
      </w:pPr>
      <w:r w:rsidRPr="006E794B">
        <w:rPr>
          <w:rFonts w:ascii="Times New Roman" w:hAnsi="Times New Roman" w:cs="Times New Roman"/>
          <w:noProof/>
          <w:color w:val="FF0000"/>
          <w:sz w:val="24"/>
          <w:szCs w:val="24"/>
          <w:lang w:eastAsia="es-ES"/>
        </w:rPr>
        <w:drawing>
          <wp:inline distT="0" distB="0" distL="0" distR="0" wp14:anchorId="38143294" wp14:editId="79E51F52">
            <wp:extent cx="5731510" cy="3789777"/>
            <wp:effectExtent l="0" t="0" r="2540" b="127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2"/>
                    <a:stretch>
                      <a:fillRect/>
                    </a:stretch>
                  </pic:blipFill>
                  <pic:spPr>
                    <a:xfrm>
                      <a:off x="0" y="0"/>
                      <a:ext cx="5731510" cy="3789777"/>
                    </a:xfrm>
                    <a:prstGeom prst="rect">
                      <a:avLst/>
                    </a:prstGeom>
                  </pic:spPr>
                </pic:pic>
              </a:graphicData>
            </a:graphic>
          </wp:inline>
        </w:drawing>
      </w:r>
    </w:p>
    <w:p w:rsidR="006A1F56" w:rsidRDefault="006A1F56" w:rsidP="006A1F56">
      <w:pPr>
        <w:spacing w:line="240" w:lineRule="auto"/>
        <w:jc w:val="both"/>
        <w:rPr>
          <w:rFonts w:ascii="Times New Roman" w:hAnsi="Times New Roman" w:cs="Times New Roman"/>
          <w:color w:val="FF0000"/>
          <w:sz w:val="24"/>
          <w:szCs w:val="24"/>
        </w:rPr>
      </w:pPr>
      <w:r w:rsidRPr="006E794B">
        <w:rPr>
          <w:rFonts w:ascii="Times New Roman" w:hAnsi="Times New Roman" w:cs="Times New Roman"/>
          <w:noProof/>
          <w:color w:val="FF0000"/>
          <w:sz w:val="24"/>
          <w:szCs w:val="24"/>
          <w:lang w:eastAsia="es-ES"/>
        </w:rPr>
        <w:lastRenderedPageBreak/>
        <w:drawing>
          <wp:inline distT="0" distB="0" distL="0" distR="0" wp14:anchorId="2EF00167" wp14:editId="487299E5">
            <wp:extent cx="5731510" cy="3702825"/>
            <wp:effectExtent l="0" t="0" r="2540" b="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3"/>
                    <a:stretch>
                      <a:fillRect/>
                    </a:stretch>
                  </pic:blipFill>
                  <pic:spPr>
                    <a:xfrm>
                      <a:off x="0" y="0"/>
                      <a:ext cx="5731510" cy="3702825"/>
                    </a:xfrm>
                    <a:prstGeom prst="rect">
                      <a:avLst/>
                    </a:prstGeom>
                  </pic:spPr>
                </pic:pic>
              </a:graphicData>
            </a:graphic>
          </wp:inline>
        </w:drawing>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 </w:t>
      </w:r>
      <w:r w:rsidRPr="008E1713">
        <w:rPr>
          <w:rFonts w:ascii="Times New Roman" w:hAnsi="Times New Roman" w:cs="Times New Roman"/>
          <w:sz w:val="24"/>
          <w:szCs w:val="24"/>
          <w:u w:val="single"/>
        </w:rPr>
        <w:t>El gasto sanitario por habitante crece un 5% en España</w:t>
      </w:r>
      <w:r w:rsidRPr="008E1713">
        <w:rPr>
          <w:rFonts w:ascii="Times New Roman" w:hAnsi="Times New Roman" w:cs="Times New Roman"/>
          <w:sz w:val="24"/>
          <w:szCs w:val="24"/>
        </w:rPr>
        <w:t xml:space="preserve"> (El Economista - </w:t>
      </w:r>
      <w:r w:rsidRPr="008E1713">
        <w:rPr>
          <w:rFonts w:ascii="Times New Roman" w:hAnsi="Times New Roman" w:cs="Times New Roman"/>
          <w:b/>
          <w:sz w:val="24"/>
          <w:szCs w:val="24"/>
        </w:rPr>
        <w:t>30/4/25</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El gasto per cápita ascendió hasta superar los 2.000 euros por habitante</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La cifra consolidada del gasto total se situó en los 97.661 millones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(Por Mónica G. Moreno)</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Más de 97.000 millones de euros. Ese fue el gasto sanitario público en España en 2023. En concreto, según recoge La Estadística de Gasto Sanitario Público (EGSP) 2023 del Ministerio de Sanidad, esta cifra consolidada alcanzó los 97.661 millones de euros, lo que representó el 6,5% del Producto Interior Bruto (PIB). Respecto al dato de 2022, cuando se situó en 91.974 millones de euros, el gasto sanitario público se incrementó un 6%. Por habitante, el gasto sanitario aumentó un 5%, al pasar de 1.925 euros en 2022 hasta los 2.021 euros en 2023. Esta cifra ha crecido un 27% en comparación con la de 2019, previa a la pandemia sanitaria del Covid-19, cuando se situó en 1.592 euros por habitante.</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Los servicios hospitalarios y especializados son los que mayor peso tienen, representando un 61% del gasto total consolidado, con 59.545 millones de euros. En farmacia y en servicios primarios de salud, ambos con un 14,3%, se destinaron má</w:t>
      </w:r>
      <w:r w:rsidR="00471D15">
        <w:rPr>
          <w:rFonts w:ascii="Times New Roman" w:hAnsi="Times New Roman" w:cs="Times New Roman"/>
          <w:sz w:val="24"/>
          <w:szCs w:val="24"/>
        </w:rPr>
        <w:t>s de 13.900 millones de euros. “</w:t>
      </w:r>
      <w:r w:rsidRPr="008E1713">
        <w:rPr>
          <w:rFonts w:ascii="Times New Roman" w:hAnsi="Times New Roman" w:cs="Times New Roman"/>
          <w:sz w:val="24"/>
          <w:szCs w:val="24"/>
        </w:rPr>
        <w:t>El comportamiento en el período 2019-2023 de las tres principales funciones asistenciales (que representan el 89,6% del gasto total) ha sido dispar, aunque todas redujeron su contribución. Así, la farmacia y los servicios hospitalarios y especializados cedieron 1,5 puntos y 1,3 puntos, respectivamente, durante el quinquenio, mientras los servicios primarios de salud experimentaron un desc</w:t>
      </w:r>
      <w:r w:rsidR="00471D15">
        <w:rPr>
          <w:rFonts w:ascii="Times New Roman" w:hAnsi="Times New Roman" w:cs="Times New Roman"/>
          <w:sz w:val="24"/>
          <w:szCs w:val="24"/>
        </w:rPr>
        <w:t>enso de 0,3 puntos porcentuales”</w:t>
      </w:r>
      <w:r w:rsidRPr="008E1713">
        <w:rPr>
          <w:rFonts w:ascii="Times New Roman" w:hAnsi="Times New Roman" w:cs="Times New Roman"/>
          <w:sz w:val="24"/>
          <w:szCs w:val="24"/>
        </w:rPr>
        <w:t>, señala el informe.</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Las comunidades autónomas tuvieron un peso de 91.004 millones de euros del gasto sanitario público total. Esto representa el 6,1% del PIB y un gasto per cápita medio de 1.890 euros por habitante. De acuerdo con los datos del año 2023, un 46,2% del gasto sanitario público fue originado por tres comunidades autónomas: Cataluña, Andalucía y la Comunidad de Madrid, </w:t>
      </w:r>
      <w:r w:rsidRPr="008E1713">
        <w:rPr>
          <w:rFonts w:ascii="Times New Roman" w:hAnsi="Times New Roman" w:cs="Times New Roman"/>
          <w:sz w:val="24"/>
          <w:szCs w:val="24"/>
        </w:rPr>
        <w:lastRenderedPageBreak/>
        <w:t>con 15.963, 14.178 y 11.919 millones de euros, respectivamente. La Rioja, Cantabria y la Comunidad Foral de Navarra son las comunidades con el gasto más bajo, en valores absolutos, al situarse en 599 millones, 1.214 millones y 1.411 millones, en cada caso.</w:t>
      </w:r>
    </w:p>
    <w:p w:rsidR="006A1F56"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En relación con su población, las regiones con mayor gasto sanitario público son el País Vasco (2.208 euros por habitante), el Principado de Asturias (2.182 euros por habitante) y la Región de Murcia (2.134 euros por habitante). Por el contrario, las comunidades con menor gasto sanitario público son Andalucía (1.648 euros por habitante), la Comunidad de Madrid (1.719 euros por habitante) y la Comunitat Valenciana (1.810 euros por habitante)</w:t>
      </w:r>
      <w:r>
        <w:rPr>
          <w:rFonts w:ascii="Times New Roman" w:hAnsi="Times New Roman" w:cs="Times New Roman"/>
          <w:sz w:val="24"/>
          <w:szCs w:val="24"/>
        </w:rPr>
        <w:t>…</w:t>
      </w:r>
    </w:p>
    <w:p w:rsidR="006A1F56" w:rsidRPr="00471D15" w:rsidRDefault="006A1F56" w:rsidP="006A1F56">
      <w:pPr>
        <w:spacing w:line="240" w:lineRule="auto"/>
        <w:jc w:val="both"/>
        <w:rPr>
          <w:rFonts w:ascii="Times New Roman" w:hAnsi="Times New Roman" w:cs="Times New Roman"/>
          <w:sz w:val="24"/>
          <w:szCs w:val="24"/>
        </w:rPr>
      </w:pPr>
      <w:r w:rsidRPr="00471D15">
        <w:rPr>
          <w:rFonts w:ascii="Times New Roman" w:hAnsi="Times New Roman" w:cs="Times New Roman"/>
          <w:b/>
          <w:sz w:val="24"/>
          <w:szCs w:val="24"/>
        </w:rPr>
        <w:t>Algunos “derechos comparados” - El peso de los “números ocultos” (“quién a quién”… y otras “incógnitas” que genera la aplicación de la Ley de los Grandes Números)</w:t>
      </w:r>
    </w:p>
    <w:p w:rsidR="006A1F56" w:rsidRPr="008E1713" w:rsidRDefault="006A1F56" w:rsidP="006A1F56">
      <w:pPr>
        <w:spacing w:line="240" w:lineRule="auto"/>
        <w:jc w:val="both"/>
        <w:rPr>
          <w:rFonts w:ascii="Times New Roman" w:hAnsi="Times New Roman" w:cs="Times New Roman"/>
          <w:spacing w:val="-1"/>
          <w:sz w:val="24"/>
          <w:szCs w:val="24"/>
          <w:shd w:val="clear" w:color="auto" w:fill="FFFFFF"/>
        </w:rPr>
      </w:pPr>
      <w:r w:rsidRPr="008E1713">
        <w:rPr>
          <w:rFonts w:ascii="Times New Roman" w:hAnsi="Times New Roman" w:cs="Times New Roman"/>
          <w:spacing w:val="-1"/>
          <w:sz w:val="24"/>
          <w:szCs w:val="24"/>
          <w:shd w:val="clear" w:color="auto" w:fill="FFFFFF"/>
        </w:rPr>
        <w:t>- Las llegadas de inmigrantes sin papeles se han disparado en los últimos años. Según datos oficiales del Ministerio del Interior, en 2024 se registraron un total de 63.970 llegadas irregulares, lo que supone un incremento del 12,5% respecto a las cifras de 2023 (56.852). De hecho, el pasado ejercicio estuvo cerca de rozar el récord de 64 .298 alcanzado en 2018… (</w:t>
      </w:r>
      <w:r>
        <w:rPr>
          <w:rFonts w:ascii="Times New Roman" w:hAnsi="Times New Roman" w:cs="Times New Roman"/>
          <w:spacing w:val="-1"/>
          <w:sz w:val="24"/>
          <w:szCs w:val="24"/>
          <w:shd w:val="clear" w:color="auto" w:fill="FFFFFF"/>
        </w:rPr>
        <w:t xml:space="preserve">Fuente: </w:t>
      </w:r>
      <w:r w:rsidRPr="008E1713">
        <w:rPr>
          <w:rFonts w:ascii="Times New Roman" w:hAnsi="Times New Roman" w:cs="Times New Roman"/>
          <w:spacing w:val="-1"/>
          <w:sz w:val="24"/>
          <w:szCs w:val="24"/>
          <w:shd w:val="clear" w:color="auto" w:fill="FFFFFF"/>
        </w:rPr>
        <w:t xml:space="preserve">Libertad Digital - </w:t>
      </w:r>
      <w:r w:rsidRPr="008E1713">
        <w:rPr>
          <w:rFonts w:ascii="Times New Roman" w:hAnsi="Times New Roman" w:cs="Times New Roman"/>
          <w:b/>
          <w:spacing w:val="-1"/>
          <w:sz w:val="24"/>
          <w:szCs w:val="24"/>
          <w:shd w:val="clear" w:color="auto" w:fill="FFFFFF"/>
        </w:rPr>
        <w:t>4/7/25</w:t>
      </w:r>
      <w:r w:rsidRPr="008E1713">
        <w:rPr>
          <w:rFonts w:ascii="Times New Roman" w:hAnsi="Times New Roman" w:cs="Times New Roman"/>
          <w:spacing w:val="-1"/>
          <w:sz w:val="24"/>
          <w:szCs w:val="24"/>
          <w:shd w:val="clear" w:color="auto" w:fill="FFFFFF"/>
        </w:rPr>
        <w:t>)</w:t>
      </w:r>
    </w:p>
    <w:p w:rsidR="006A1F56" w:rsidRPr="008E1713" w:rsidRDefault="006A1F56" w:rsidP="006A1F56">
      <w:pPr>
        <w:spacing w:line="240" w:lineRule="auto"/>
        <w:jc w:val="both"/>
        <w:rPr>
          <w:rFonts w:ascii="Times New Roman" w:hAnsi="Times New Roman" w:cs="Times New Roman"/>
          <w:spacing w:val="-1"/>
          <w:sz w:val="24"/>
          <w:szCs w:val="24"/>
          <w:shd w:val="clear" w:color="auto" w:fill="FFFFFF"/>
        </w:rPr>
      </w:pPr>
      <w:r w:rsidRPr="008E1713">
        <w:rPr>
          <w:rFonts w:ascii="Times New Roman" w:hAnsi="Times New Roman" w:cs="Times New Roman"/>
          <w:spacing w:val="-1"/>
          <w:sz w:val="24"/>
          <w:szCs w:val="24"/>
          <w:shd w:val="clear" w:color="auto" w:fill="FFFFFF"/>
        </w:rPr>
        <w:t>- El gasto pre</w:t>
      </w:r>
      <w:r w:rsidR="00921F40">
        <w:rPr>
          <w:rFonts w:ascii="Times New Roman" w:hAnsi="Times New Roman" w:cs="Times New Roman"/>
          <w:spacing w:val="-1"/>
          <w:sz w:val="24"/>
          <w:szCs w:val="24"/>
          <w:shd w:val="clear" w:color="auto" w:fill="FFFFFF"/>
        </w:rPr>
        <w:t>supuestado para el programa de “acción concertada”</w:t>
      </w:r>
      <w:r w:rsidRPr="008E1713">
        <w:rPr>
          <w:rFonts w:ascii="Times New Roman" w:hAnsi="Times New Roman" w:cs="Times New Roman"/>
          <w:spacing w:val="-1"/>
          <w:sz w:val="24"/>
          <w:szCs w:val="24"/>
          <w:shd w:val="clear" w:color="auto" w:fill="FFFFFF"/>
        </w:rPr>
        <w:t xml:space="preserve"> alcanzó 173 millones de euros en 2022, cifra que se elevó a 633 millones en el año 2023 y que creció a 652 millones en el ejercicio 2024. En total, el último trienio habría sumado 1.458 millones desembolsados en esta cuestión. Esta cifra asciende a casi 10.000 euros por cada inmigrante sin papeles registrado en las estadísticas del Ministerio del Interior para 2022, 2023 2024… (</w:t>
      </w:r>
      <w:r>
        <w:rPr>
          <w:rFonts w:ascii="Times New Roman" w:hAnsi="Times New Roman" w:cs="Times New Roman"/>
          <w:spacing w:val="-1"/>
          <w:sz w:val="24"/>
          <w:szCs w:val="24"/>
          <w:shd w:val="clear" w:color="auto" w:fill="FFFFFF"/>
        </w:rPr>
        <w:t xml:space="preserve">Fuente: </w:t>
      </w:r>
      <w:r w:rsidRPr="008E1713">
        <w:rPr>
          <w:rFonts w:ascii="Times New Roman" w:hAnsi="Times New Roman" w:cs="Times New Roman"/>
          <w:spacing w:val="-1"/>
          <w:sz w:val="24"/>
          <w:szCs w:val="24"/>
          <w:shd w:val="clear" w:color="auto" w:fill="FFFFFF"/>
        </w:rPr>
        <w:t xml:space="preserve">Libertad Digital - </w:t>
      </w:r>
      <w:r w:rsidRPr="008E1713">
        <w:rPr>
          <w:rFonts w:ascii="Times New Roman" w:hAnsi="Times New Roman" w:cs="Times New Roman"/>
          <w:b/>
          <w:spacing w:val="-1"/>
          <w:sz w:val="24"/>
          <w:szCs w:val="24"/>
          <w:shd w:val="clear" w:color="auto" w:fill="FFFFFF"/>
        </w:rPr>
        <w:t>4/7/25</w:t>
      </w:r>
      <w:r w:rsidRPr="008E1713">
        <w:rPr>
          <w:rFonts w:ascii="Times New Roman" w:hAnsi="Times New Roman" w:cs="Times New Roman"/>
          <w:spacing w:val="-1"/>
          <w:sz w:val="24"/>
          <w:szCs w:val="24"/>
          <w:shd w:val="clear" w:color="auto" w:fill="FFFFFF"/>
        </w:rPr>
        <w:t>)</w:t>
      </w:r>
    </w:p>
    <w:p w:rsidR="006A1F56" w:rsidRPr="008E1713" w:rsidRDefault="006A1F56" w:rsidP="006A1F56">
      <w:pPr>
        <w:spacing w:line="240" w:lineRule="auto"/>
        <w:jc w:val="both"/>
        <w:rPr>
          <w:rFonts w:ascii="Times New Roman" w:hAnsi="Times New Roman" w:cs="Times New Roman"/>
          <w:sz w:val="24"/>
          <w:szCs w:val="24"/>
          <w:shd w:val="clear" w:color="auto" w:fill="FFFFFF"/>
        </w:rPr>
      </w:pPr>
      <w:r w:rsidRPr="008E1713">
        <w:rPr>
          <w:rFonts w:ascii="Times New Roman" w:hAnsi="Times New Roman" w:cs="Times New Roman"/>
          <w:sz w:val="24"/>
          <w:szCs w:val="24"/>
          <w:shd w:val="clear" w:color="auto" w:fill="FFFFFF"/>
        </w:rPr>
        <w:t>- En el último acuerdo, sellado en el año 2024, las autonomías recibían 145 euros por mena al día, cantidad que se extendía durante los doce meses. El nuevo pago acordado, de 100 millones, solo cubre tres meses, en lugar de todo el curso completo… (</w:t>
      </w:r>
      <w:r>
        <w:rPr>
          <w:rFonts w:ascii="Times New Roman" w:hAnsi="Times New Roman" w:cs="Times New Roman"/>
          <w:sz w:val="24"/>
          <w:szCs w:val="24"/>
          <w:shd w:val="clear" w:color="auto" w:fill="FFFFFF"/>
        </w:rPr>
        <w:t xml:space="preserve">Fuente: </w:t>
      </w:r>
      <w:r w:rsidRPr="008E1713">
        <w:rPr>
          <w:rFonts w:ascii="Times New Roman" w:hAnsi="Times New Roman" w:cs="Times New Roman"/>
          <w:sz w:val="24"/>
          <w:szCs w:val="24"/>
          <w:shd w:val="clear" w:color="auto" w:fill="FFFFFF"/>
        </w:rPr>
        <w:t xml:space="preserve">Vozpópuli - </w:t>
      </w:r>
      <w:r w:rsidRPr="008E1713">
        <w:rPr>
          <w:rFonts w:ascii="Times New Roman" w:hAnsi="Times New Roman" w:cs="Times New Roman"/>
          <w:b/>
          <w:sz w:val="24"/>
          <w:szCs w:val="24"/>
          <w:shd w:val="clear" w:color="auto" w:fill="FFFFFF"/>
        </w:rPr>
        <w:t>18/7/25</w:t>
      </w:r>
      <w:r w:rsidRPr="008E1713">
        <w:rPr>
          <w:rFonts w:ascii="Times New Roman" w:hAnsi="Times New Roman" w:cs="Times New Roman"/>
          <w:sz w:val="24"/>
          <w:szCs w:val="24"/>
          <w:shd w:val="clear" w:color="auto" w:fill="FFFFFF"/>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 Un 73%, cinco puntos más que en enero, cree que la cantidad de inmigrantes es </w:t>
      </w:r>
      <w:r w:rsidR="00921F40">
        <w:rPr>
          <w:rFonts w:ascii="Times New Roman" w:hAnsi="Times New Roman" w:cs="Times New Roman"/>
          <w:sz w:val="24"/>
          <w:szCs w:val="24"/>
        </w:rPr>
        <w:t>“excesiva”</w:t>
      </w:r>
      <w:r w:rsidR="00471D15">
        <w:rPr>
          <w:rFonts w:ascii="Times New Roman" w:hAnsi="Times New Roman" w:cs="Times New Roman"/>
          <w:sz w:val="24"/>
          <w:szCs w:val="24"/>
        </w:rPr>
        <w:t>: sólo un 3,5% la ve “insuficiente”</w:t>
      </w:r>
      <w:r w:rsidRPr="008E1713">
        <w:rPr>
          <w:rFonts w:ascii="Times New Roman" w:hAnsi="Times New Roman" w:cs="Times New Roman"/>
          <w:sz w:val="24"/>
          <w:szCs w:val="24"/>
        </w:rPr>
        <w:t>. Entre los votantes del PSOE, casi el 60% dice que hay que endurecer la política contra la inmigración ilegal y el 85,6% apoya expulsar a los extranjeros que cometan delitos. España ha expulsado a 12.200 migrantes en 5 años… (</w:t>
      </w:r>
      <w:r>
        <w:rPr>
          <w:rFonts w:ascii="Times New Roman" w:hAnsi="Times New Roman" w:cs="Times New Roman"/>
          <w:sz w:val="24"/>
          <w:szCs w:val="24"/>
        </w:rPr>
        <w:t xml:space="preserve">Fuente: </w:t>
      </w:r>
      <w:r w:rsidRPr="008E1713">
        <w:rPr>
          <w:rFonts w:ascii="Times New Roman" w:hAnsi="Times New Roman" w:cs="Times New Roman"/>
          <w:sz w:val="24"/>
          <w:szCs w:val="24"/>
        </w:rPr>
        <w:t xml:space="preserve">El Español - </w:t>
      </w:r>
      <w:r w:rsidRPr="008E1713">
        <w:rPr>
          <w:rFonts w:ascii="Times New Roman" w:hAnsi="Times New Roman" w:cs="Times New Roman"/>
          <w:b/>
          <w:sz w:val="24"/>
          <w:szCs w:val="24"/>
        </w:rPr>
        <w:t>25/7/25</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Canarias acoge más menas que Grecia y Reino Unido juntos.</w:t>
      </w:r>
      <w:r w:rsidRPr="008E1713">
        <w:rPr>
          <w:rFonts w:ascii="Times New Roman" w:hAnsi="Times New Roman" w:cs="Times New Roman"/>
          <w:sz w:val="24"/>
          <w:szCs w:val="24"/>
          <w:u w:val="single"/>
        </w:rPr>
        <w:t xml:space="preserve"> </w:t>
      </w:r>
      <w:r w:rsidRPr="008E1713">
        <w:rPr>
          <w:rFonts w:ascii="Times New Roman" w:hAnsi="Times New Roman" w:cs="Times New Roman"/>
          <w:sz w:val="24"/>
          <w:szCs w:val="24"/>
        </w:rPr>
        <w:t>El perfil de estos menores en las islas es inequívoco: el 97 % son varones, principalmente entre 15 y 17 años. Las principales nacionalidades de origen son Senegal (2.027), Mali (1.434), Marruecos (823) y Gambia (543). Apenas el 6 % son niñas, muchas de ellas en situación de vulnerabilidad extrema por el riesgo de trata y violencia sexual… (</w:t>
      </w:r>
      <w:r>
        <w:rPr>
          <w:rFonts w:ascii="Times New Roman" w:hAnsi="Times New Roman" w:cs="Times New Roman"/>
          <w:sz w:val="24"/>
          <w:szCs w:val="24"/>
        </w:rPr>
        <w:t xml:space="preserve">Fuente: </w:t>
      </w:r>
      <w:r w:rsidRPr="008E1713">
        <w:rPr>
          <w:rFonts w:ascii="Times New Roman" w:hAnsi="Times New Roman" w:cs="Times New Roman"/>
          <w:sz w:val="24"/>
          <w:szCs w:val="24"/>
        </w:rPr>
        <w:t xml:space="preserve">Vozpópuli - </w:t>
      </w:r>
      <w:r w:rsidRPr="008E1713">
        <w:rPr>
          <w:rFonts w:ascii="Times New Roman" w:hAnsi="Times New Roman" w:cs="Times New Roman"/>
          <w:b/>
          <w:sz w:val="24"/>
          <w:szCs w:val="24"/>
        </w:rPr>
        <w:t>11/8/25</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La inmigración hispanoamericana es la más rentable para España. Mientras España invierte 500 millones de euros anuales en programas de integración para grupos no hispanohablantes, los hispanoamericanos llegan con las herramientas ya en la mano. No necesitan años de cursos de español, ni mediadores culturales que traduzcan no solo palabras, sino formas de entender el mundo. Los datos de la Fundación BBVA son elocuentes: el 85% de los hispanoamericanos se sienten plenamente integrados en cinco años frente a un 60% de los africanos. No es superioridad ni inferioridad: es compatibilidad… (</w:t>
      </w:r>
      <w:r>
        <w:rPr>
          <w:rFonts w:ascii="Times New Roman" w:hAnsi="Times New Roman" w:cs="Times New Roman"/>
          <w:sz w:val="24"/>
          <w:szCs w:val="24"/>
        </w:rPr>
        <w:t xml:space="preserve">Fuente: </w:t>
      </w:r>
      <w:r w:rsidRPr="008E1713">
        <w:rPr>
          <w:rFonts w:ascii="Times New Roman" w:hAnsi="Times New Roman" w:cs="Times New Roman"/>
          <w:sz w:val="24"/>
          <w:szCs w:val="24"/>
        </w:rPr>
        <w:t xml:space="preserve">The Objective - </w:t>
      </w:r>
      <w:r w:rsidRPr="008E1713">
        <w:rPr>
          <w:rFonts w:ascii="Times New Roman" w:hAnsi="Times New Roman" w:cs="Times New Roman"/>
          <w:b/>
          <w:sz w:val="24"/>
          <w:szCs w:val="24"/>
        </w:rPr>
        <w:t>11/8/25</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lastRenderedPageBreak/>
        <w:t>- Radiografía de los menas en España: el 94% son varones y el 60% provienen de Marruecos.</w:t>
      </w:r>
      <w:r w:rsidRPr="008E1713">
        <w:rPr>
          <w:rFonts w:ascii="Times New Roman" w:hAnsi="Times New Roman" w:cs="Times New Roman"/>
          <w:sz w:val="24"/>
          <w:szCs w:val="24"/>
          <w:u w:val="single"/>
        </w:rPr>
        <w:t xml:space="preserve"> </w:t>
      </w:r>
      <w:r w:rsidRPr="008E1713">
        <w:rPr>
          <w:rFonts w:ascii="Times New Roman" w:hAnsi="Times New Roman" w:cs="Times New Roman"/>
          <w:sz w:val="24"/>
          <w:szCs w:val="24"/>
        </w:rPr>
        <w:t>Los menores y extutelados extranjeros se han disparado un 140% en cuatro años: de 7.878 en 2021 a 18.967 en 2025. En concreto, el número de menas y jóvenes extutelados se ha disparado recientemente, pasando de 7.878 en junio de 2021 a 18.967 en marzo de 2025, un aumento del 140,7% en tan solo cuatro años. De estos, 11.225 son marroquíes (el 59%). Por sexos, solo el 6% son mujeres. Y en cuanto a la edad media, esta oscila los 19 años, siendo los más mayores los que proceden de Ghana (21), Marruecos (20) y Nigeria (20)… (</w:t>
      </w:r>
      <w:r>
        <w:rPr>
          <w:rFonts w:ascii="Times New Roman" w:hAnsi="Times New Roman" w:cs="Times New Roman"/>
          <w:sz w:val="24"/>
          <w:szCs w:val="24"/>
        </w:rPr>
        <w:t xml:space="preserve">Fuente: </w:t>
      </w:r>
      <w:r w:rsidRPr="008E1713">
        <w:rPr>
          <w:rFonts w:ascii="Times New Roman" w:hAnsi="Times New Roman" w:cs="Times New Roman"/>
          <w:sz w:val="24"/>
          <w:szCs w:val="24"/>
        </w:rPr>
        <w:t xml:space="preserve">The Objective - </w:t>
      </w:r>
      <w:r w:rsidRPr="008E1713">
        <w:rPr>
          <w:rFonts w:ascii="Times New Roman" w:hAnsi="Times New Roman" w:cs="Times New Roman"/>
          <w:b/>
          <w:sz w:val="24"/>
          <w:szCs w:val="24"/>
        </w:rPr>
        <w:t>13/8/25</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 Los extranjeros suman el 40% del empleo desde la reforma laboral: la mitad son camareros, comerciales o barrenderos. La Seguridad Social registró en julio un total de 3.096.015 afiliados extranjeros, tras sumar 198.585 ocupados en los últimos doce meses, un 6,86%, según ha informado el Ministerio de Inclusión y Seguridad Social </w:t>
      </w:r>
      <w:r w:rsidR="00471D15">
        <w:rPr>
          <w:rFonts w:ascii="Times New Roman" w:hAnsi="Times New Roman" w:cs="Times New Roman"/>
          <w:sz w:val="24"/>
          <w:szCs w:val="24"/>
        </w:rPr>
        <w:t>y Migraciones, que destaca que “</w:t>
      </w:r>
      <w:r w:rsidRPr="008E1713">
        <w:rPr>
          <w:rFonts w:ascii="Times New Roman" w:hAnsi="Times New Roman" w:cs="Times New Roman"/>
          <w:sz w:val="24"/>
          <w:szCs w:val="24"/>
        </w:rPr>
        <w:t>más del 40% del empleo desde la reforma laboral creado corresponde a estos trabajadores</w:t>
      </w:r>
      <w:r w:rsidR="00471D15">
        <w:rPr>
          <w:rFonts w:ascii="Times New Roman" w:hAnsi="Times New Roman" w:cs="Times New Roman"/>
          <w:sz w:val="24"/>
          <w:szCs w:val="24"/>
        </w:rPr>
        <w:t>”</w:t>
      </w:r>
      <w:r w:rsidRPr="008E1713">
        <w:rPr>
          <w:rFonts w:ascii="Times New Roman" w:hAnsi="Times New Roman" w:cs="Times New Roman"/>
          <w:sz w:val="24"/>
          <w:szCs w:val="24"/>
        </w:rPr>
        <w:t>. Sin embargo, se siguen concentrando en las actividades que exigen menos cualificación y conllevan sueldos más bajos. El 21% está en hostelería, el 16% en actividades comerciales y el 11% en servicios auxiliares, una categoría que incluye trabajos como los de barrederos porteros de fincas o limpiadores. Otro 11% trabaja en la construcción… (</w:t>
      </w:r>
      <w:r>
        <w:rPr>
          <w:rFonts w:ascii="Times New Roman" w:hAnsi="Times New Roman" w:cs="Times New Roman"/>
          <w:sz w:val="24"/>
          <w:szCs w:val="24"/>
        </w:rPr>
        <w:t xml:space="preserve">Fuente: </w:t>
      </w:r>
      <w:r w:rsidRPr="008E1713">
        <w:rPr>
          <w:rFonts w:ascii="Times New Roman" w:hAnsi="Times New Roman" w:cs="Times New Roman"/>
          <w:sz w:val="24"/>
          <w:szCs w:val="24"/>
        </w:rPr>
        <w:t xml:space="preserve">El Economista - </w:t>
      </w:r>
      <w:r w:rsidRPr="008E1713">
        <w:rPr>
          <w:rFonts w:ascii="Times New Roman" w:hAnsi="Times New Roman" w:cs="Times New Roman"/>
          <w:b/>
          <w:sz w:val="24"/>
          <w:szCs w:val="24"/>
        </w:rPr>
        <w:t>14/8/25</w:t>
      </w:r>
      <w:r w:rsidRPr="008E1713">
        <w:rPr>
          <w:rFonts w:ascii="Times New Roman" w:hAnsi="Times New Roman" w:cs="Times New Roman"/>
          <w:sz w:val="24"/>
          <w:szCs w:val="24"/>
        </w:rPr>
        <w:t>)</w:t>
      </w:r>
    </w:p>
    <w:p w:rsidR="006A1F56" w:rsidRPr="008E1713" w:rsidRDefault="006A1F56" w:rsidP="006A1F56">
      <w:pPr>
        <w:pStyle w:val="ecl-social-media-sharedescription"/>
        <w:jc w:val="both"/>
      </w:pPr>
      <w:r w:rsidRPr="008E1713">
        <w:t>- En julio de 2024, la población carcelaria en España es de 58.937 reclusos, de los cuales 40.402 (68,5%) son españoles y 18.535 (31,5%) son extranjeros. La población reclusa extranjera ha crecido un 16% desde 2020, mientras que la de españoles solo ha crecido un 2,9% en el mismo periodo. Proporción: Los extranjeros representan el 31,4% de la población reclusa, una cifra que triplica su proporción en la población general de España, donde son el 12,7%... (Fuente: Google - Vista creada con IA)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En España ya hay más presos extranjeros que nacionales entre los menores de 22 años. En la actualidad, hay 1.207 delincuentes jóvenes en las cárceles españolas, de los cuales 535 nacieron en nuestro país y 672 (el 55,68%) provienen de otro. Los datos facilitados por Instituciones Penitenciarias no incluyen País Vasco ni Cataluña, por cuanto tienen transferidas las competencias. En caso de que se computaran, el porcentaje de población reclusa joven y extranjera se dispararía. De los 511 jóvenes presos en cárceles catalanas, 386 nacieron en otro país. Esto es, el 75,93%. Entre los extranjeros, destaca la nacionalidad marroquí, con 236 presos (46,18% del total de esta franja de edad). Los datos facilitados por Instituciones Penitenciarias no incluyen País Vasco ni Cataluña, por cuanto tienen transferidas las competencias. En caso de que se computaran, el porcentaje de población reclusa joven y extranjera se dispararía. De los 511 jóvenes presos en cárceles catalanas, 386 nacieron en otro país. Esto es, el 75,93%. Entre los extranjeros, destaca la nacionalidad marroquí, con 236 presos (46,18% del total de esta franja de edad). Los datos evidencian un problema con las nuevas generaciones de inmigrantes, ya que en el resto de segmentos poblaciones los españoles siguen siendo mayoría: el 67,35%... (</w:t>
      </w:r>
      <w:r>
        <w:rPr>
          <w:rFonts w:ascii="Times New Roman" w:hAnsi="Times New Roman" w:cs="Times New Roman"/>
          <w:sz w:val="24"/>
          <w:szCs w:val="24"/>
        </w:rPr>
        <w:t xml:space="preserve">Fuente: </w:t>
      </w:r>
      <w:r w:rsidRPr="008E1713">
        <w:rPr>
          <w:rFonts w:ascii="Times New Roman" w:hAnsi="Times New Roman" w:cs="Times New Roman"/>
          <w:sz w:val="24"/>
          <w:szCs w:val="24"/>
        </w:rPr>
        <w:t xml:space="preserve">The Objective - </w:t>
      </w:r>
      <w:r w:rsidRPr="008E1713">
        <w:rPr>
          <w:rFonts w:ascii="Times New Roman" w:hAnsi="Times New Roman" w:cs="Times New Roman"/>
          <w:b/>
          <w:sz w:val="24"/>
          <w:szCs w:val="24"/>
        </w:rPr>
        <w:t>17/8/25</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El costo diario de un MENA para el estado español es variable, pero se estima alrededor de los 100 euros al día según el gobierno central, aunque este monto puede ser mayor (hasta 140€ o incluso 300€) dependiendo de la complejidad del caso (discapacidad, problemas de conducta o drogadicción). Este dinero cubre la atención integral, la plaza de acogida y las infraestructuras necesarias, y se distribuye entre las Comunidades Autónomas que reciben un pago base y una financiación adicional por el acogimiento de estos menores. (Fuente: Google - Vista creada con IA)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lastRenderedPageBreak/>
        <w:t>- El Gobierno ofrece a las regiones más de 36.000 euros al</w:t>
      </w:r>
      <w:r w:rsidR="00471D15">
        <w:rPr>
          <w:rFonts w:ascii="Times New Roman" w:hAnsi="Times New Roman" w:cs="Times New Roman"/>
          <w:sz w:val="24"/>
          <w:szCs w:val="24"/>
        </w:rPr>
        <w:t xml:space="preserve"> año (y un plus) por cada mena “acogido”</w:t>
      </w:r>
      <w:r w:rsidRPr="008E1713">
        <w:rPr>
          <w:rFonts w:ascii="Times New Roman" w:hAnsi="Times New Roman" w:cs="Times New Roman"/>
          <w:sz w:val="24"/>
          <w:szCs w:val="24"/>
        </w:rPr>
        <w:t xml:space="preserve">… (Fuente: gaceta.es - </w:t>
      </w:r>
      <w:r w:rsidRPr="008E1713">
        <w:rPr>
          <w:rFonts w:ascii="Times New Roman" w:hAnsi="Times New Roman" w:cs="Times New Roman"/>
          <w:b/>
          <w:sz w:val="24"/>
          <w:szCs w:val="24"/>
        </w:rPr>
        <w:t>10/7/24</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 El coste de la atención integral a los menores migrantes se cifra en 4.400 euros al mes… (Fuente: La Razón - </w:t>
      </w:r>
      <w:r w:rsidRPr="008E1713">
        <w:rPr>
          <w:rFonts w:ascii="Times New Roman" w:hAnsi="Times New Roman" w:cs="Times New Roman"/>
          <w:b/>
          <w:sz w:val="24"/>
          <w:szCs w:val="24"/>
        </w:rPr>
        <w:t>10/7/24</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El Ministerio de Juventud e Infancia ha dejado negro sobre blanco e</w:t>
      </w:r>
      <w:r w:rsidR="00471D15">
        <w:rPr>
          <w:rFonts w:ascii="Times New Roman" w:hAnsi="Times New Roman" w:cs="Times New Roman"/>
          <w:sz w:val="24"/>
          <w:szCs w:val="24"/>
        </w:rPr>
        <w:t>l precio real de mantener a un “mena”</w:t>
      </w:r>
      <w:r w:rsidRPr="008E1713">
        <w:rPr>
          <w:rFonts w:ascii="Times New Roman" w:hAnsi="Times New Roman" w:cs="Times New Roman"/>
          <w:sz w:val="24"/>
          <w:szCs w:val="24"/>
        </w:rPr>
        <w:t xml:space="preserve"> en España. En la hoja de cálculo que acompaña a su nueva propuesta de reparto aparece la cifra que la mayoría de comunidades venía manejando internamente. Es decir, 145 € diarios por plaza, unos 4.350 € mensuales. Ese es el nivel de gasto que ahora se pretende financiar con solo 35,75 € al día, una rebaja cercana al 80 % que ha provocado la rebelión autonómica… (Fuente: e-noticies.cat/es - </w:t>
      </w:r>
      <w:r w:rsidRPr="008E1713">
        <w:rPr>
          <w:rFonts w:ascii="Times New Roman" w:hAnsi="Times New Roman" w:cs="Times New Roman"/>
          <w:b/>
          <w:sz w:val="24"/>
          <w:szCs w:val="24"/>
        </w:rPr>
        <w:t>21/7/25</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A fecha de finales de 2023 y principios de 2024, el número de menores extranjeros no acompañados (menas) en España se sitúa en torno a los 15.000, de los cuales unos 10.123 son marroquíes. Estos datos incluyen a los menores que han superado la edad de tutela, con una edad media que ronda los 20 años. (Fuente: Google - Vista creada con IA)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No se pueden dar cifras exactas y oficiales para el año 2025 ya que los datos más recientes disponibles son de principios de año, mostrando un total de 15.730 menas registrados al 28 de febrero de 2025 según un informe del Gobierno a VOX. Sin embargo, otras fuentes, como gaceta.es, han publicado estimaciones que prevén un aumento hasta los casi 19.000 en 2025, mientras que otras fuentes de la actualidad como el Instituto Nacional de Estadística (INE) publicaron la población total en España en abril de 2025 con 49.153.849 habitantes. (Fuente: Google - Vista creada con IA)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¿Cuántos centros de acogida hay en España? El número total de centros de acogida de menores en España era, a fecha de diciembre de 2021, de 1.185 centros… (Fuente: Google - Vista creada con IA)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¿Qué compete al Gobierno central? Según viene reco</w:t>
      </w:r>
      <w:r w:rsidR="00471D15">
        <w:rPr>
          <w:rFonts w:ascii="Times New Roman" w:hAnsi="Times New Roman" w:cs="Times New Roman"/>
          <w:sz w:val="24"/>
          <w:szCs w:val="24"/>
        </w:rPr>
        <w:t>gido en la Ley de Extranjería, “</w:t>
      </w:r>
      <w:r w:rsidRPr="008E1713">
        <w:rPr>
          <w:rFonts w:ascii="Times New Roman" w:hAnsi="Times New Roman" w:cs="Times New Roman"/>
          <w:sz w:val="24"/>
          <w:szCs w:val="24"/>
        </w:rPr>
        <w:t>corresponde al Gobierno, de conformidad con lo previsto en el artículo 149.1.2.ª de la Constitución, la definición, planificación, regulación y desarrollo de la política de inmigración, sin perjuicio de las competencias que puedan ser asumidas por las Comunidades Autóno</w:t>
      </w:r>
      <w:r w:rsidR="00471D15">
        <w:rPr>
          <w:rFonts w:ascii="Times New Roman" w:hAnsi="Times New Roman" w:cs="Times New Roman"/>
          <w:sz w:val="24"/>
          <w:szCs w:val="24"/>
        </w:rPr>
        <w:t>mas y por las Entidades Locales”</w:t>
      </w:r>
      <w:r w:rsidRPr="008E1713">
        <w:rPr>
          <w:rFonts w:ascii="Times New Roman" w:hAnsi="Times New Roman" w:cs="Times New Roman"/>
          <w:sz w:val="24"/>
          <w:szCs w:val="24"/>
        </w:rPr>
        <w:t xml:space="preserve">. Además, y esto es clave en el supuesto de que se llegue a un </w:t>
      </w:r>
      <w:r w:rsidR="00471D15">
        <w:rPr>
          <w:rFonts w:ascii="Times New Roman" w:hAnsi="Times New Roman" w:cs="Times New Roman"/>
          <w:sz w:val="24"/>
          <w:szCs w:val="24"/>
        </w:rPr>
        <w:t>nuevo acuerdo, “</w:t>
      </w:r>
      <w:r w:rsidRPr="008E1713">
        <w:rPr>
          <w:rFonts w:ascii="Times New Roman" w:hAnsi="Times New Roman" w:cs="Times New Roman"/>
          <w:sz w:val="24"/>
          <w:szCs w:val="24"/>
        </w:rPr>
        <w:t>el Estado garantizará el principio de solidaridad, consagrado en la Constitución, atendiendo a las especiales circunstancias de aquellos territorios en los que los flujos migratorios</w:t>
      </w:r>
      <w:r w:rsidR="00471D15">
        <w:rPr>
          <w:rFonts w:ascii="Times New Roman" w:hAnsi="Times New Roman" w:cs="Times New Roman"/>
          <w:sz w:val="24"/>
          <w:szCs w:val="24"/>
        </w:rPr>
        <w:t xml:space="preserve"> tengan una especial incidencia”</w:t>
      </w:r>
      <w:r w:rsidRPr="008E1713">
        <w:rPr>
          <w:rFonts w:ascii="Times New Roman" w:hAnsi="Times New Roman" w:cs="Times New Roman"/>
          <w:sz w:val="24"/>
          <w:szCs w:val="24"/>
        </w:rPr>
        <w:t>… (Fuente: Google - Vista creada con IA)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 ¿Y qué compete a las CCAA? El principal problema es que la Ley de Extranjería establece en su artículo 35 que la responsabilidad de atender a los menores es de la comunidad autónoma a la que llegan. Esto es algo que no sucede con los adultos… (Fuente: Google - Vista creada con IA) </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Radiografía de los menas en España: el 94% son varones y el 60% provienen de Marruecos.</w:t>
      </w:r>
      <w:r w:rsidRPr="008E1713">
        <w:rPr>
          <w:rFonts w:ascii="Times New Roman" w:hAnsi="Times New Roman" w:cs="Times New Roman"/>
          <w:sz w:val="24"/>
          <w:szCs w:val="24"/>
          <w:u w:val="single"/>
        </w:rPr>
        <w:t xml:space="preserve"> </w:t>
      </w:r>
      <w:r w:rsidRPr="008E1713">
        <w:rPr>
          <w:rFonts w:ascii="Times New Roman" w:hAnsi="Times New Roman" w:cs="Times New Roman"/>
          <w:sz w:val="24"/>
          <w:szCs w:val="24"/>
        </w:rPr>
        <w:t xml:space="preserve">Los datos del Observatorio Permanente de la Inmigración (OPI), dependiente del Ministerio de Inclusión, Seguridad Social y Migraciones, evidencian que la mayor parte de los menas que acoge nuestro país provienen de Marruecos, en donde no existe ningún conflicto bélico ni hay persecuciones que justifiquen un éxodo. Les siguen los provenientes de Gambia (12%), Argelia (9%) y Senegal (6%), señal de una falta de control efectivo en la presión migratoria proveniente del norte de África. Además, casi todos ellos son varones. Entre los inmigrantes </w:t>
      </w:r>
      <w:r w:rsidRPr="008E1713">
        <w:rPr>
          <w:rFonts w:ascii="Times New Roman" w:hAnsi="Times New Roman" w:cs="Times New Roman"/>
          <w:sz w:val="24"/>
          <w:szCs w:val="24"/>
        </w:rPr>
        <w:lastRenderedPageBreak/>
        <w:t>de Iberoamérica, sin embargo, abundan las mujeres. Ellas son el 62% de las personas que proceden de Honduras, el 67% de Brasil o el 61% de Colombia. En concreto, el número de menas y jóvenes extutelados se ha disparado recientemente, pasando de 7.878 en junio de 2021 a 18.967 en marzo de 2025, un aumento del 140,7% en tan solo cuatro años. De estos, 11.225 son marroquíes (el 59%). Por sexos, solo el 6% son mujeres. Y en cuanto a la edad media, esta oscila los 19 años, siendo los más mayores los que proceden de Ghana (21), Marruecos (20) y Nigeria (20)… (</w:t>
      </w:r>
      <w:r>
        <w:rPr>
          <w:rFonts w:ascii="Times New Roman" w:hAnsi="Times New Roman" w:cs="Times New Roman"/>
          <w:sz w:val="24"/>
          <w:szCs w:val="24"/>
        </w:rPr>
        <w:t xml:space="preserve">Fuente: </w:t>
      </w:r>
      <w:r w:rsidRPr="008E1713">
        <w:rPr>
          <w:rFonts w:ascii="Times New Roman" w:hAnsi="Times New Roman" w:cs="Times New Roman"/>
          <w:sz w:val="24"/>
          <w:szCs w:val="24"/>
        </w:rPr>
        <w:t xml:space="preserve">The Objective - </w:t>
      </w:r>
      <w:r w:rsidRPr="008E1713">
        <w:rPr>
          <w:rFonts w:ascii="Times New Roman" w:hAnsi="Times New Roman" w:cs="Times New Roman"/>
          <w:b/>
          <w:sz w:val="24"/>
          <w:szCs w:val="24"/>
        </w:rPr>
        <w:t>13/8/25</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b/>
          <w:sz w:val="24"/>
          <w:szCs w:val="24"/>
        </w:rPr>
        <w:t xml:space="preserve">- </w:t>
      </w:r>
      <w:r w:rsidRPr="008E1713">
        <w:rPr>
          <w:rFonts w:ascii="Times New Roman" w:hAnsi="Times New Roman" w:cs="Times New Roman"/>
          <w:sz w:val="24"/>
          <w:szCs w:val="24"/>
        </w:rPr>
        <w:t>La otra crisis de los menas en Canarias: más de 1.500 han cumplido 18 años en 2024 y son ahora migrantes irregulares. La ley les permite, al alcanzar la mayoría de edad, tramitar un permiso temporal de residencia, pero les exige recursos económicos para mantenerse.</w:t>
      </w:r>
      <w:r w:rsidR="00921F40">
        <w:rPr>
          <w:rFonts w:ascii="Times New Roman" w:hAnsi="Times New Roman" w:cs="Times New Roman"/>
          <w:sz w:val="24"/>
          <w:szCs w:val="24"/>
        </w:rPr>
        <w:t xml:space="preserve"> Canarias advierte de un mayor “problema social”</w:t>
      </w:r>
      <w:r w:rsidRPr="008E1713">
        <w:rPr>
          <w:rFonts w:ascii="Times New Roman" w:hAnsi="Times New Roman" w:cs="Times New Roman"/>
          <w:sz w:val="24"/>
          <w:szCs w:val="24"/>
        </w:rPr>
        <w:t xml:space="preserve"> porque otros 2.157 jóvenes cumplirán 18 años en 2025, el 37% de los 5.812 que hoy tiene tutelados. El año 2024 se cierra, según las cifras oficiales del Gobierno de Canarias, con 6.336 menas (menores extranjeros no acompañados) nuevos, dentro del total de 46.717 migrantes irregulares llegados a las islas. (Fuente: El Español - </w:t>
      </w:r>
      <w:r w:rsidRPr="008E1713">
        <w:rPr>
          <w:rFonts w:ascii="Times New Roman" w:hAnsi="Times New Roman" w:cs="Times New Roman"/>
          <w:b/>
          <w:sz w:val="24"/>
          <w:szCs w:val="24"/>
        </w:rPr>
        <w:t>2/1/25</w:t>
      </w:r>
      <w:r w:rsidRPr="008E1713">
        <w:rPr>
          <w:rFonts w:ascii="Times New Roman" w:hAnsi="Times New Roman" w:cs="Times New Roman"/>
          <w:sz w:val="24"/>
          <w:szCs w:val="24"/>
        </w:rPr>
        <w:t>)</w:t>
      </w:r>
    </w:p>
    <w:p w:rsidR="006A1F56" w:rsidRPr="008E1713" w:rsidRDefault="006A1F56" w:rsidP="006A1F56">
      <w:pPr>
        <w:pStyle w:val="ecl-social-media-sharedescription"/>
        <w:jc w:val="both"/>
      </w:pPr>
      <w:r w:rsidRPr="008E1713">
        <w:rPr>
          <w:b/>
        </w:rPr>
        <w:t xml:space="preserve">- </w:t>
      </w:r>
      <w:r w:rsidRPr="008E1713">
        <w:t>El coste anual por preso en España ha variado en estimaciones recientes, rondando los 28.535 euros (aproximadamente 2.378 euros mensuales) en 2024, según cifras de ABC basadas en el presupuesto penitenciario. Sin embargo, existen otras estimaciones, como las del Consejo de Europa en 2021, que señalaban un coste diario de 234,50 euros, lo que implicaría un gasto anual significativamente mayor, cercano a los 85.592 euros por recluso. (Fuente: Google - Vista creada con IA)</w:t>
      </w:r>
    </w:p>
    <w:p w:rsidR="006A1F56" w:rsidRPr="008E1713" w:rsidRDefault="006A1F56" w:rsidP="006A1F56">
      <w:pPr>
        <w:pStyle w:val="ecl-social-media-sharedescription"/>
        <w:jc w:val="both"/>
      </w:pPr>
      <w:r w:rsidRPr="008E1713">
        <w:t xml:space="preserve">- El número de extranjeros en situación irregular se aproximaba ya en 2023 a los 700.000. A principios de ese año, la cifra estimada de extranjeros no comunitarios en situación irregular ascendía a 686.000. Entre ellos, predominaban los extranjeros con nacionalidades americanas, muy por delante de quienes ostentaban nacionalidades africanas…  (Fuente: Funcas - Notas de Coyuntura Social - </w:t>
      </w:r>
      <w:r w:rsidRPr="008E1713">
        <w:rPr>
          <w:b/>
        </w:rPr>
        <w:t>7/5/24</w:t>
      </w:r>
      <w:r w:rsidRPr="008E1713">
        <w:t>)</w:t>
      </w:r>
    </w:p>
    <w:p w:rsidR="006A1F56" w:rsidRPr="008E1713" w:rsidRDefault="006A1F56" w:rsidP="006A1F56">
      <w:pPr>
        <w:pStyle w:val="ecl-social-media-sharedescription"/>
        <w:jc w:val="both"/>
      </w:pPr>
      <w:r w:rsidRPr="008E1713">
        <w:t>- No hay datos oficiales exactos sobre cuántos niños inmigrantes en situación irregular hay en España específicamente en edad escolar, pero se estima que al menos un 12% del medio millón de niños y niñas en situación irregular en 2021 (aproximadamente unos 55.000) tendría una edad superior a los 15 años y, por tanto, estarían sujetos a consideraciones en materia educativa y laboral. Los datos se han actualizado a 2023 y 2024, que sitúan en unos 700.000 los inmigrantes en situación irregular, pero no desglosan por edad para el total, sino para grupos específicos en años anteriores, como el caso de porCausa que en 2021 habla de 125.000 niños en situación irregular (Fuente: Google - Vista creada con IA)</w:t>
      </w:r>
    </w:p>
    <w:p w:rsidR="006A1F56" w:rsidRPr="008E1713" w:rsidRDefault="006A1F56" w:rsidP="006A1F56">
      <w:pPr>
        <w:spacing w:line="240" w:lineRule="auto"/>
        <w:jc w:val="both"/>
        <w:rPr>
          <w:rFonts w:ascii="Arial" w:hAnsi="Arial" w:cs="Arial"/>
          <w:caps/>
          <w:spacing w:val="8"/>
          <w:sz w:val="23"/>
          <w:szCs w:val="23"/>
        </w:rPr>
      </w:pPr>
      <w:r w:rsidRPr="008E1713">
        <w:rPr>
          <w:rFonts w:ascii="Times New Roman" w:hAnsi="Times New Roman" w:cs="Times New Roman"/>
          <w:b/>
          <w:sz w:val="24"/>
          <w:szCs w:val="24"/>
        </w:rPr>
        <w:t xml:space="preserve">- </w:t>
      </w:r>
      <w:r w:rsidRPr="008E1713">
        <w:rPr>
          <w:rFonts w:ascii="Times New Roman" w:hAnsi="Times New Roman" w:cs="Times New Roman"/>
          <w:sz w:val="24"/>
          <w:szCs w:val="24"/>
        </w:rPr>
        <w:t>¿Cuál es su contribución fiscal? Datos del Informe de la Fundación por Causa y la Universidad Carlos III, sobre inmigr</w:t>
      </w:r>
      <w:r>
        <w:rPr>
          <w:rFonts w:ascii="Times New Roman" w:hAnsi="Times New Roman" w:cs="Times New Roman"/>
          <w:sz w:val="24"/>
          <w:szCs w:val="24"/>
        </w:rPr>
        <w:t xml:space="preserve">ación irregular (Fuente: </w:t>
      </w:r>
      <w:r w:rsidRPr="008E1713">
        <w:rPr>
          <w:rFonts w:ascii="Times New Roman" w:hAnsi="Times New Roman" w:cs="Times New Roman"/>
          <w:sz w:val="24"/>
          <w:szCs w:val="24"/>
        </w:rPr>
        <w:t>El Confidencial - 25/6/20):</w:t>
      </w:r>
      <w:r w:rsidRPr="008E1713">
        <w:rPr>
          <w:rFonts w:ascii="Arial" w:hAnsi="Arial" w:cs="Arial"/>
          <w:caps/>
          <w:spacing w:val="8"/>
          <w:sz w:val="23"/>
          <w:szCs w:val="23"/>
        </w:rPr>
        <w:t xml:space="preserve"> </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En el informe se estima la aportación a las arcas del Estado de la población inmigrante y los potenciales efectos de una regularización de todos aquellos que se encuentran hoy en situación irregular. Los autores lo exponen mediante dos conceptos: “contribución fiscal neta directa” y “contribución fiscal total”.</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La primera calcula las aportaciones sobre la renta y contribuciones sociales y le resta la suma de las transferencias públicas recibidas de los hogares. Es decir: cuánto contribuyen menos lo ingresado en forma de ayudas directas. El saldo de esta primera estimación es positivo y se sitúa en torno a los 4.200 euros anuales por familia, un 70% más alto que el de los hogares </w:t>
      </w:r>
      <w:r w:rsidRPr="008E1713">
        <w:rPr>
          <w:rFonts w:ascii="Times New Roman" w:hAnsi="Times New Roman" w:cs="Times New Roman"/>
          <w:sz w:val="24"/>
          <w:szCs w:val="24"/>
        </w:rPr>
        <w:lastRenderedPageBreak/>
        <w:t>con nacionalidad española (más envejecidos y condicionados por el efecto estadístico de los cerca de 10 millones de pensionistas -6 millones de ellos jubilados-). Aunque pueda sorprender, se trata de cifras en sintonía con las expuestas en trabajos similares realizados en otros países del entorno europeo.</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La segunda variable incorpora al cálculo los impuestos directos y el gasto público en educación y salud. Aquí los hogares compuestos por inmigrantes extracomunitarios reciben 400 euros más de media que los formados solo por españoles, una diferencia que se explica teniendo en cuenta el consumo medio de las familias (calculados en función de sus ingresos medios) y la contabilización de gastos sanitarios y educativos en familias jóvenes y con hijos.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El informe concluye asegurando que la situación de irregularidad tiene un coste medio anual para las arcas públicas españoles de 2.000 euros por inmigrante. “En caso de regularización”, proponen los autores, “la aportación fiscal neta de los inmigrantes en situación irregular se incrementaría por encima de los 3.250 euros”.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b/>
          <w:sz w:val="24"/>
          <w:szCs w:val="24"/>
        </w:rPr>
        <w:t xml:space="preserve">- </w:t>
      </w:r>
      <w:r w:rsidRPr="008E1713">
        <w:rPr>
          <w:rFonts w:ascii="Times New Roman" w:hAnsi="Times New Roman" w:cs="Times New Roman"/>
          <w:sz w:val="24"/>
          <w:szCs w:val="24"/>
        </w:rPr>
        <w:t xml:space="preserve">En España, el gasto público en educación superó los 67.900 millones de euros en 2023, lo que representa un aumento del 7% con respecto al año anterior, según el Ministerio de Educación, Formación Profesional y Deportes. Este gasto incluye tanto la educación infantil, primaria y especial, como secundaria, formación profesional y universitaria, así como becas y ayudas al estudio. </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noProof/>
          <w:sz w:val="24"/>
          <w:szCs w:val="24"/>
          <w:lang w:eastAsia="es-ES"/>
        </w:rPr>
        <w:drawing>
          <wp:inline distT="0" distB="0" distL="0" distR="0" wp14:anchorId="660AEA13" wp14:editId="4BC2C214">
            <wp:extent cx="5731510" cy="2522220"/>
            <wp:effectExtent l="0" t="0" r="2540" b="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stretch>
                      <a:fillRect/>
                    </a:stretch>
                  </pic:blipFill>
                  <pic:spPr>
                    <a:xfrm>
                      <a:off x="0" y="0"/>
                      <a:ext cx="5731510" cy="2522220"/>
                    </a:xfrm>
                    <a:prstGeom prst="rect">
                      <a:avLst/>
                    </a:prstGeom>
                  </pic:spPr>
                </pic:pic>
              </a:graphicData>
            </a:graphic>
          </wp:inline>
        </w:drawing>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b/>
          <w:sz w:val="24"/>
          <w:szCs w:val="24"/>
        </w:rPr>
        <w:t xml:space="preserve">- </w:t>
      </w:r>
      <w:r w:rsidRPr="008E1713">
        <w:rPr>
          <w:rFonts w:ascii="Times New Roman" w:hAnsi="Times New Roman" w:cs="Times New Roman"/>
          <w:sz w:val="24"/>
          <w:szCs w:val="24"/>
        </w:rPr>
        <w:t>El gasto público per cápita en Sanidad en España fue de 1.890 euros en 2025, con un crecimiento del 5% respecto al año anterior, según datos de abril de 2025. Este dato se refiere al gasto de las comunidades autónomas, que son las principales responsables del gasto sanitario público en España. Más de 97.000 millones de euros. Ese fue el gasto sanitario público en España en 2023. En concreto, según recoge La Estadística de Gasto Sanitario Público (EGSP) 2023 del Ministerio de Sanidad, esta cifra consolidada alcanzó los 97.661 millones de euros, lo que representó el 6,5% del Producto Interior Bruto (PIB). Respecto al dato de 2022, cuando se situó en 91.974 millones de euros, el gasto sanitario público se incrementó un 6%. Por habitante, el gasto sanitario aumentó un 5%, al pasar de 1.925 euros en 2022 hasta los 2.021 euros en 2023. Esta cifra ha crecido un 27% en comparación con la de 2019, previa a la pandemia sanitaria del Covid-19, cuando se situó en 1.592 euros por habitante… (</w:t>
      </w:r>
      <w:r>
        <w:rPr>
          <w:rFonts w:ascii="Times New Roman" w:hAnsi="Times New Roman" w:cs="Times New Roman"/>
          <w:sz w:val="24"/>
          <w:szCs w:val="24"/>
        </w:rPr>
        <w:t xml:space="preserve">Fuente: </w:t>
      </w:r>
      <w:r w:rsidRPr="008E1713">
        <w:rPr>
          <w:rFonts w:ascii="Times New Roman" w:hAnsi="Times New Roman" w:cs="Times New Roman"/>
          <w:sz w:val="24"/>
          <w:szCs w:val="24"/>
        </w:rPr>
        <w:t xml:space="preserve">El Economista - </w:t>
      </w:r>
      <w:r w:rsidRPr="008E1713">
        <w:rPr>
          <w:rFonts w:ascii="Times New Roman" w:hAnsi="Times New Roman" w:cs="Times New Roman"/>
          <w:b/>
          <w:sz w:val="24"/>
          <w:szCs w:val="24"/>
        </w:rPr>
        <w:t>30/4/25</w:t>
      </w:r>
      <w:r w:rsidRPr="008E1713">
        <w:rPr>
          <w:rFonts w:ascii="Times New Roman" w:hAnsi="Times New Roman" w:cs="Times New Roman"/>
          <w:sz w:val="24"/>
          <w:szCs w:val="24"/>
        </w:rPr>
        <w:t>)</w:t>
      </w:r>
    </w:p>
    <w:p w:rsidR="006A1F56" w:rsidRDefault="006A1F56" w:rsidP="006A1F56">
      <w:pPr>
        <w:spacing w:line="240" w:lineRule="auto"/>
        <w:jc w:val="both"/>
        <w:rPr>
          <w:rFonts w:ascii="Times New Roman" w:hAnsi="Times New Roman" w:cs="Times New Roman"/>
          <w:sz w:val="24"/>
          <w:szCs w:val="24"/>
        </w:rPr>
      </w:pPr>
    </w:p>
    <w:p w:rsidR="006A1F56" w:rsidRPr="00471D15" w:rsidRDefault="006A1F56" w:rsidP="006A1F56">
      <w:pPr>
        <w:spacing w:line="240" w:lineRule="auto"/>
        <w:jc w:val="both"/>
        <w:rPr>
          <w:rFonts w:ascii="Times New Roman" w:hAnsi="Times New Roman" w:cs="Times New Roman"/>
          <w:b/>
          <w:sz w:val="24"/>
          <w:szCs w:val="24"/>
        </w:rPr>
      </w:pPr>
      <w:r w:rsidRPr="00471D15">
        <w:rPr>
          <w:rFonts w:ascii="Times New Roman" w:hAnsi="Times New Roman" w:cs="Times New Roman"/>
          <w:b/>
          <w:sz w:val="24"/>
          <w:szCs w:val="24"/>
        </w:rPr>
        <w:lastRenderedPageBreak/>
        <w:t>Resumen de las “costas y costos” de la inmigración irregular… (y lo que queda por venir)</w:t>
      </w:r>
    </w:p>
    <w:p w:rsidR="006A1F56" w:rsidRPr="008E1713" w:rsidRDefault="006A1F56" w:rsidP="006A1F56">
      <w:pPr>
        <w:spacing w:line="240" w:lineRule="auto"/>
        <w:jc w:val="both"/>
        <w:rPr>
          <w:rFonts w:ascii="Times New Roman" w:hAnsi="Times New Roman" w:cs="Times New Roman"/>
          <w:spacing w:val="-1"/>
          <w:sz w:val="24"/>
          <w:szCs w:val="24"/>
          <w:shd w:val="clear" w:color="auto" w:fill="FFFFFF"/>
        </w:rPr>
      </w:pPr>
      <w:r w:rsidRPr="008E1713">
        <w:rPr>
          <w:rFonts w:ascii="Times New Roman" w:hAnsi="Times New Roman" w:cs="Times New Roman"/>
          <w:spacing w:val="-1"/>
          <w:sz w:val="24"/>
          <w:szCs w:val="24"/>
          <w:shd w:val="clear" w:color="auto" w:fill="FFFFFF"/>
        </w:rPr>
        <w:t>- 63.970 llegadas de inmigrantes  irregulares (dato del año 2024)</w:t>
      </w:r>
    </w:p>
    <w:p w:rsidR="006A1F56" w:rsidRPr="008E1713" w:rsidRDefault="006A1F56" w:rsidP="006A1F56">
      <w:pPr>
        <w:spacing w:line="240" w:lineRule="auto"/>
        <w:jc w:val="both"/>
        <w:rPr>
          <w:rFonts w:ascii="Times New Roman" w:hAnsi="Times New Roman" w:cs="Times New Roman"/>
          <w:spacing w:val="-1"/>
          <w:sz w:val="24"/>
          <w:szCs w:val="24"/>
          <w:shd w:val="clear" w:color="auto" w:fill="FFFFFF"/>
        </w:rPr>
      </w:pPr>
      <w:r w:rsidRPr="008E1713">
        <w:rPr>
          <w:rFonts w:ascii="Times New Roman" w:hAnsi="Times New Roman" w:cs="Times New Roman"/>
          <w:spacing w:val="-1"/>
          <w:sz w:val="24"/>
          <w:szCs w:val="24"/>
          <w:shd w:val="clear" w:color="auto" w:fill="FFFFFF"/>
        </w:rPr>
        <w:t>- Gasto pre</w:t>
      </w:r>
      <w:r w:rsidR="00471D15">
        <w:rPr>
          <w:rFonts w:ascii="Times New Roman" w:hAnsi="Times New Roman" w:cs="Times New Roman"/>
          <w:spacing w:val="-1"/>
          <w:sz w:val="24"/>
          <w:szCs w:val="24"/>
          <w:shd w:val="clear" w:color="auto" w:fill="FFFFFF"/>
        </w:rPr>
        <w:t>supuestado para el programa de “acción concertada”</w:t>
      </w:r>
      <w:r w:rsidRPr="008E1713">
        <w:rPr>
          <w:rFonts w:ascii="Times New Roman" w:hAnsi="Times New Roman" w:cs="Times New Roman"/>
          <w:spacing w:val="-1"/>
          <w:sz w:val="24"/>
          <w:szCs w:val="24"/>
          <w:shd w:val="clear" w:color="auto" w:fill="FFFFFF"/>
        </w:rPr>
        <w:t>: 10.000 euros por cada inmigrante sin papeles registrado (dato del año 2024)</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Aunque no hay cifras exactas y oficiales para el año 2025 ya que los datos más recientes disponibles son de principios de año, mostrando un total de 15.730 menas registrados al 28 de febrero de 2025 (según un informe del Gobierno a VOX), otras fuentes, como gaceta.es, han publicado estimaciones que prevén un aumento hasta los casi 19.000 en 2025</w:t>
      </w:r>
    </w:p>
    <w:p w:rsidR="006A1F56" w:rsidRPr="008E1713" w:rsidRDefault="006A1F56" w:rsidP="006A1F56">
      <w:pPr>
        <w:spacing w:line="240" w:lineRule="auto"/>
        <w:jc w:val="both"/>
        <w:rPr>
          <w:rFonts w:ascii="Times New Roman" w:hAnsi="Times New Roman" w:cs="Times New Roman"/>
          <w:sz w:val="24"/>
          <w:szCs w:val="24"/>
          <w:shd w:val="clear" w:color="auto" w:fill="FFFFFF"/>
        </w:rPr>
      </w:pPr>
      <w:r w:rsidRPr="008E1713">
        <w:rPr>
          <w:rFonts w:ascii="Times New Roman" w:hAnsi="Times New Roman" w:cs="Times New Roman"/>
          <w:sz w:val="24"/>
          <w:szCs w:val="24"/>
          <w:shd w:val="clear" w:color="auto" w:fill="FFFFFF"/>
        </w:rPr>
        <w:t>- Las autonomías recibían 145 euros por mena al día, cantidad que se extendía durante los doce meses (último acuerdo, sellado en el año 2024)</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El costo diario de un MENA para el estado español es variable, pero se estima alrededor de los 100 euros al día según el gobierno central, aunque este monto puede ser mayor (hasta 140€ o incluso 300€) dependiendo de la complejidad del caso (discapacidad, problemas de cond</w:t>
      </w:r>
      <w:r w:rsidR="00471D15">
        <w:rPr>
          <w:rFonts w:ascii="Times New Roman" w:hAnsi="Times New Roman" w:cs="Times New Roman"/>
          <w:sz w:val="24"/>
          <w:szCs w:val="24"/>
        </w:rPr>
        <w:t>ucta o drogadicción)</w:t>
      </w:r>
      <w:r w:rsidRPr="008E1713">
        <w:rPr>
          <w:rFonts w:ascii="Times New Roman" w:hAnsi="Times New Roman" w:cs="Times New Roman"/>
          <w:sz w:val="24"/>
          <w:szCs w:val="24"/>
        </w:rPr>
        <w:t xml:space="preserve"> (dato del año 2025)</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El Gobierno ofrece a las regiones más de 36.000 euros al año (y un plus) por cada mena “acogido” (dato del año 2024)</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El coste de la atención integral a los menores migrantes se cifra en 4.400 euros al mes (dato del año 2024)</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El Ministerio de Juventud e Infancia ha dejado claro el precio real de mantener a un 'mena' en España. En la hoja de cálculo que acompaña a su nueva propuesta de reparto aparece la cifra que la mayoría de comunidades venía manejando internamente. Es decir, 145 € diarios por plaza, unos 4.350 € mensuales (dato del año 2025)</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El 94% de los mena son varones, y el 60% provienen de Marruecos. Les siguen los provenientes de Gambia (12</w:t>
      </w:r>
      <w:r w:rsidR="00471D15">
        <w:rPr>
          <w:rFonts w:ascii="Times New Roman" w:hAnsi="Times New Roman" w:cs="Times New Roman"/>
          <w:sz w:val="24"/>
          <w:szCs w:val="24"/>
        </w:rPr>
        <w:t>%), Argelia (9%) y Senegal (6%)</w:t>
      </w:r>
      <w:r w:rsidRPr="008E1713">
        <w:rPr>
          <w:rFonts w:ascii="Times New Roman" w:hAnsi="Times New Roman" w:cs="Times New Roman"/>
          <w:sz w:val="24"/>
          <w:szCs w:val="24"/>
        </w:rPr>
        <w:t xml:space="preserve"> (dato del año 2025) </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De la población carcelaria en España (58.937), 18.535 (31,5%) son extranjeros (una cifra que triplica su proporción en la población general de España, donde son el 12,7%)</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El coste anual por preso en España ha variado en estimaciones recientes, rondando los 28.535 euros (aproximadamente 2.378 euros mensuales) en 2024, según cifras de ABC basadas en el presupuesto penitenciario. Sin embargo, existen otras estimaciones, como las del Consejo de Europa en 2021, que señalaban un coste diario de 234,50 euros, lo que implicaría un gasto anual significativamente mayor, cercano a los 85.592 euros por recluso (dato del año 2024)</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El número de extranjeros en situación irregular se aproximaba ya en 2023 a los 700.000. A principios de ese año, la cifra estimada de extranjeros no comunitarios en situación irregular ascendía a 686.000. Entre ellos, predominaban los extranjeros con nacionalidades americanas, muy por delante de quienes ostentaban nacionalidades africanas (dato del año 2024)</w:t>
      </w:r>
    </w:p>
    <w:p w:rsidR="006A1F56" w:rsidRPr="008E1713" w:rsidRDefault="006A1F56" w:rsidP="006A1F56">
      <w:pPr>
        <w:pStyle w:val="ecl-social-media-sharedescription"/>
        <w:jc w:val="both"/>
      </w:pPr>
      <w:r w:rsidRPr="008E1713">
        <w:t xml:space="preserve">- No hay datos oficiales exactos sobre cuántos niños inmigrantes en situación irregular hay en España específicamente en edad escolar, pero se estima que al menos un 12% del medio </w:t>
      </w:r>
      <w:r w:rsidRPr="008E1713">
        <w:lastRenderedPageBreak/>
        <w:t>millón de niños y niñas en situación irregular en 2021 (aproximadamente unos 55.000) tendría una edad superior a los 15 años y, por tanto, estarían sujetos a consideraciones en materia educativa y laboral. Los datos se han actualizado a 2023 y 2024, que sitúan en unos 700.000 los inmigrantes en situación irregular, pero no desglosan por edad para el total, sino para grupos específicos en años anteriores, como el caso de porCausa que en 2021 habla de 125.000 niños en situación irregular (Fuente: Google - Vista creada con IA)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Según el Informe de la Fundación por Causa y la Universidad Carlos III, sobre inmigración irregular (publicado por El Confidencial - 25/6/20), la situación de irregularidad tiene un coste medio anual para las arcas públicas españoles de 2.000 euros por inmigrante.</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 El gasto anual (público y privado) por estudiante en instituciones educativas, para todos los niveles alcanzó 6.979 euros (según indicadores de la educación 2024) </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El gasto público per cápita en Sanidad en España fue de 1.890 euros en 2025</w:t>
      </w:r>
    </w:p>
    <w:p w:rsidR="006A1F56" w:rsidRPr="008E1713" w:rsidRDefault="006A1F56" w:rsidP="006A1F56">
      <w:pPr>
        <w:spacing w:line="240" w:lineRule="auto"/>
        <w:jc w:val="both"/>
        <w:rPr>
          <w:rFonts w:ascii="Times New Roman" w:hAnsi="Times New Roman" w:cs="Times New Roman"/>
          <w:b/>
          <w:sz w:val="24"/>
          <w:szCs w:val="24"/>
        </w:rPr>
      </w:pPr>
      <w:r w:rsidRPr="008E1713">
        <w:rPr>
          <w:rFonts w:ascii="Times New Roman" w:hAnsi="Times New Roman" w:cs="Times New Roman"/>
          <w:b/>
          <w:sz w:val="24"/>
          <w:szCs w:val="24"/>
        </w:rPr>
        <w:t>Cálculo</w:t>
      </w:r>
      <w:r>
        <w:rPr>
          <w:rFonts w:ascii="Times New Roman" w:hAnsi="Times New Roman" w:cs="Times New Roman"/>
          <w:b/>
          <w:sz w:val="24"/>
          <w:szCs w:val="24"/>
        </w:rPr>
        <w:t xml:space="preserve"> “políticamente incorrecto”</w:t>
      </w:r>
      <w:r w:rsidRPr="008E1713">
        <w:rPr>
          <w:rFonts w:ascii="Times New Roman" w:hAnsi="Times New Roman" w:cs="Times New Roman"/>
          <w:b/>
          <w:sz w:val="24"/>
          <w:szCs w:val="24"/>
        </w:rPr>
        <w:t xml:space="preserve"> de</w:t>
      </w:r>
      <w:r>
        <w:rPr>
          <w:rFonts w:ascii="Times New Roman" w:hAnsi="Times New Roman" w:cs="Times New Roman"/>
          <w:b/>
          <w:sz w:val="24"/>
          <w:szCs w:val="24"/>
        </w:rPr>
        <w:t xml:space="preserve"> las</w:t>
      </w:r>
      <w:r w:rsidRPr="008E1713">
        <w:rPr>
          <w:rFonts w:ascii="Times New Roman" w:hAnsi="Times New Roman" w:cs="Times New Roman"/>
          <w:b/>
          <w:sz w:val="24"/>
          <w:szCs w:val="24"/>
        </w:rPr>
        <w:t xml:space="preserve"> </w:t>
      </w:r>
      <w:r>
        <w:rPr>
          <w:rFonts w:ascii="Times New Roman" w:hAnsi="Times New Roman" w:cs="Times New Roman"/>
          <w:b/>
          <w:sz w:val="24"/>
          <w:szCs w:val="24"/>
        </w:rPr>
        <w:t>“</w:t>
      </w:r>
      <w:r w:rsidRPr="008E1713">
        <w:rPr>
          <w:rFonts w:ascii="Times New Roman" w:hAnsi="Times New Roman" w:cs="Times New Roman"/>
          <w:b/>
          <w:sz w:val="24"/>
          <w:szCs w:val="24"/>
        </w:rPr>
        <w:t>costas y costes</w:t>
      </w:r>
      <w:r>
        <w:rPr>
          <w:rFonts w:ascii="Times New Roman" w:hAnsi="Times New Roman" w:cs="Times New Roman"/>
          <w:b/>
          <w:sz w:val="24"/>
          <w:szCs w:val="24"/>
        </w:rPr>
        <w:t>”</w:t>
      </w:r>
      <w:r w:rsidRPr="008E1713">
        <w:rPr>
          <w:rFonts w:ascii="Times New Roman" w:hAnsi="Times New Roman" w:cs="Times New Roman"/>
          <w:b/>
          <w:sz w:val="24"/>
          <w:szCs w:val="24"/>
        </w:rPr>
        <w:t xml:space="preserve"> (estimación personal</w:t>
      </w:r>
      <w:r>
        <w:rPr>
          <w:rFonts w:ascii="Times New Roman" w:hAnsi="Times New Roman" w:cs="Times New Roman"/>
          <w:b/>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- 700.000 extranjeros en situación irregular x 10.000 euros de acción concertada = </w:t>
      </w:r>
      <w:r w:rsidRPr="008E1713">
        <w:rPr>
          <w:rFonts w:ascii="Times New Roman" w:hAnsi="Times New Roman" w:cs="Times New Roman"/>
          <w:b/>
          <w:sz w:val="24"/>
          <w:szCs w:val="24"/>
        </w:rPr>
        <w:t>7.000  millones de euros</w:t>
      </w:r>
      <w:r>
        <w:rPr>
          <w:rFonts w:ascii="Times New Roman" w:hAnsi="Times New Roman" w:cs="Times New Roman"/>
          <w:sz w:val="24"/>
          <w:szCs w:val="24"/>
        </w:rPr>
        <w:t xml:space="preserve"> / (quedan sin cuantificar los gastos derivados de la “acción concertada)</w:t>
      </w:r>
    </w:p>
    <w:p w:rsidR="006A1F56" w:rsidRPr="008E1713" w:rsidRDefault="006A1F56" w:rsidP="006A1F56">
      <w:pPr>
        <w:spacing w:line="240" w:lineRule="auto"/>
        <w:jc w:val="both"/>
        <w:rPr>
          <w:rFonts w:ascii="Times New Roman" w:hAnsi="Times New Roman" w:cs="Times New Roman"/>
          <w:b/>
          <w:sz w:val="24"/>
          <w:szCs w:val="24"/>
        </w:rPr>
      </w:pPr>
      <w:r w:rsidRPr="008E1713">
        <w:rPr>
          <w:rFonts w:ascii="Times New Roman" w:hAnsi="Times New Roman" w:cs="Times New Roman"/>
          <w:sz w:val="24"/>
          <w:szCs w:val="24"/>
        </w:rPr>
        <w:t xml:space="preserve">- 15.730 menas registrados al 28 de febrero de 2025 x 4.350 € mensuales x 12 meses = </w:t>
      </w:r>
      <w:r w:rsidRPr="008E1713">
        <w:rPr>
          <w:rFonts w:ascii="Times New Roman" w:hAnsi="Times New Roman" w:cs="Times New Roman"/>
          <w:b/>
          <w:sz w:val="24"/>
          <w:szCs w:val="24"/>
        </w:rPr>
        <w:t>821,1 millones de euros /año</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- 18.535  presos extranjeros x 28.535 euros año  = </w:t>
      </w:r>
      <w:r w:rsidRPr="008E1713">
        <w:rPr>
          <w:rFonts w:ascii="Times New Roman" w:hAnsi="Times New Roman" w:cs="Times New Roman"/>
          <w:b/>
          <w:sz w:val="24"/>
          <w:szCs w:val="24"/>
        </w:rPr>
        <w:t>528, 9 millones de euros año</w:t>
      </w:r>
      <w:r w:rsidRPr="008E1713">
        <w:rPr>
          <w:rFonts w:ascii="Times New Roman" w:hAnsi="Times New Roman" w:cs="Times New Roman"/>
          <w:sz w:val="24"/>
          <w:szCs w:val="24"/>
        </w:rPr>
        <w:t xml:space="preserve"> (esta cifra pasaría a los 1.586,4 millones de euros año, si se aplicara el gasto anual estimado por el Consejo de Europa (para el año 2021) </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  15.730 menas registrados al 28 de febrero de 2025 x  6.979 euros por año de gasto anual en instituciones educativas, para todos los niveles = </w:t>
      </w:r>
      <w:r w:rsidRPr="008E1713">
        <w:rPr>
          <w:rFonts w:ascii="Times New Roman" w:hAnsi="Times New Roman" w:cs="Times New Roman"/>
          <w:b/>
          <w:sz w:val="24"/>
          <w:szCs w:val="24"/>
        </w:rPr>
        <w:t>109,8 millones de euros año</w:t>
      </w:r>
      <w:r w:rsidRPr="008E1713">
        <w:rPr>
          <w:rFonts w:ascii="Times New Roman" w:hAnsi="Times New Roman" w:cs="Times New Roman"/>
          <w:sz w:val="24"/>
          <w:szCs w:val="24"/>
        </w:rPr>
        <w:t xml:space="preserve"> (esta cifra pasaría a los 872,4 millones de euros año, si se agregaran los familiares de los 700.000 extranjeros en situación irregular, en edad escolar: 125.000 (dato del año 2021)</w:t>
      </w:r>
    </w:p>
    <w:p w:rsidR="006A1F56" w:rsidRPr="008E1713" w:rsidRDefault="006A1F56" w:rsidP="006A1F56">
      <w:pPr>
        <w:spacing w:line="240" w:lineRule="auto"/>
        <w:jc w:val="both"/>
        <w:rPr>
          <w:rFonts w:ascii="Times New Roman" w:hAnsi="Times New Roman" w:cs="Times New Roman"/>
          <w:b/>
          <w:sz w:val="24"/>
          <w:szCs w:val="24"/>
        </w:rPr>
      </w:pPr>
      <w:r w:rsidRPr="008E1713">
        <w:rPr>
          <w:rFonts w:ascii="Times New Roman" w:hAnsi="Times New Roman" w:cs="Times New Roman"/>
          <w:sz w:val="24"/>
          <w:szCs w:val="24"/>
        </w:rPr>
        <w:t xml:space="preserve">-  700.000 extranjeros en situación irregular x 1.890 euros por año de gasto público per cápita en Sanidad = </w:t>
      </w:r>
      <w:r w:rsidRPr="008E1713">
        <w:rPr>
          <w:rFonts w:ascii="Times New Roman" w:hAnsi="Times New Roman" w:cs="Times New Roman"/>
          <w:b/>
          <w:sz w:val="24"/>
          <w:szCs w:val="24"/>
        </w:rPr>
        <w:t>1.323 millones de euros año</w:t>
      </w:r>
    </w:p>
    <w:p w:rsidR="006A1F56" w:rsidRPr="008E1713" w:rsidRDefault="006A1F56" w:rsidP="006A1F56">
      <w:pPr>
        <w:spacing w:line="240" w:lineRule="auto"/>
        <w:jc w:val="both"/>
        <w:rPr>
          <w:rFonts w:ascii="Times New Roman" w:hAnsi="Times New Roman" w:cs="Times New Roman"/>
          <w:b/>
          <w:sz w:val="24"/>
          <w:szCs w:val="24"/>
        </w:rPr>
      </w:pPr>
      <w:r w:rsidRPr="008E1713">
        <w:rPr>
          <w:rFonts w:ascii="Times New Roman" w:hAnsi="Times New Roman" w:cs="Times New Roman"/>
          <w:sz w:val="24"/>
          <w:szCs w:val="24"/>
        </w:rPr>
        <w:t xml:space="preserve">- 15.730 menas registrados al 28/2/25 x 1.890 euros por año de gasto público per cápita en Sanidad =  </w:t>
      </w:r>
      <w:r w:rsidRPr="008E1713">
        <w:rPr>
          <w:rFonts w:ascii="Times New Roman" w:hAnsi="Times New Roman" w:cs="Times New Roman"/>
          <w:b/>
          <w:sz w:val="24"/>
          <w:szCs w:val="24"/>
        </w:rPr>
        <w:t>29,7 millones de euros año</w:t>
      </w:r>
    </w:p>
    <w:p w:rsidR="006A1F56" w:rsidRPr="008E1713" w:rsidRDefault="006A1F56" w:rsidP="006A1F56">
      <w:pPr>
        <w:spacing w:line="240" w:lineRule="auto"/>
        <w:jc w:val="both"/>
        <w:rPr>
          <w:rFonts w:ascii="Times New Roman" w:hAnsi="Times New Roman" w:cs="Times New Roman"/>
          <w:b/>
          <w:sz w:val="24"/>
          <w:szCs w:val="24"/>
        </w:rPr>
      </w:pPr>
      <w:r w:rsidRPr="008E1713">
        <w:rPr>
          <w:rFonts w:ascii="Times New Roman" w:hAnsi="Times New Roman" w:cs="Times New Roman"/>
          <w:b/>
          <w:sz w:val="24"/>
          <w:szCs w:val="24"/>
        </w:rPr>
        <w:t>Sumatoria: 821,1 + 528,9 + 109,8 + 1.323 + 29,7 = 2.812,5 millones de euros año.</w:t>
      </w:r>
    </w:p>
    <w:p w:rsidR="006A1F56" w:rsidRPr="008E1713" w:rsidRDefault="006A1F56" w:rsidP="006A1F56">
      <w:pPr>
        <w:spacing w:line="240" w:lineRule="auto"/>
        <w:jc w:val="both"/>
        <w:rPr>
          <w:rFonts w:ascii="Times New Roman" w:hAnsi="Times New Roman" w:cs="Times New Roman"/>
          <w:b/>
          <w:sz w:val="24"/>
          <w:szCs w:val="24"/>
        </w:rPr>
      </w:pPr>
      <w:r w:rsidRPr="008E1713">
        <w:rPr>
          <w:rFonts w:ascii="Times New Roman" w:hAnsi="Times New Roman" w:cs="Times New Roman"/>
          <w:b/>
          <w:sz w:val="24"/>
          <w:szCs w:val="24"/>
        </w:rPr>
        <w:t>A los que habría que agregar los 7.000 millones de euros (supuestamente, gastados por única vez) en “acción concertada”, para los 700.000 extranjeros en situación irregular.</w:t>
      </w:r>
    </w:p>
    <w:p w:rsidR="006A1F56" w:rsidRPr="008E1713" w:rsidRDefault="006A1F56" w:rsidP="006A1F56">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“alianza de la civilizaciones” (o, de “incivilizaciones”): ¿cómo se financia?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 </w:t>
      </w:r>
      <w:r w:rsidRPr="008E1713">
        <w:rPr>
          <w:rFonts w:ascii="Times New Roman" w:hAnsi="Times New Roman" w:cs="Times New Roman"/>
          <w:sz w:val="24"/>
          <w:szCs w:val="24"/>
          <w:u w:val="single"/>
        </w:rPr>
        <w:t>España elevará hasta los 180 millones la financiación a la cooperación con Senegal</w:t>
      </w:r>
      <w:r w:rsidRPr="008E1713">
        <w:rPr>
          <w:rFonts w:ascii="Times New Roman" w:hAnsi="Times New Roman" w:cs="Times New Roman"/>
          <w:sz w:val="24"/>
          <w:szCs w:val="24"/>
        </w:rPr>
        <w:t xml:space="preserve"> (Fuente: swissinfo.ch/spa - </w:t>
      </w:r>
      <w:r w:rsidRPr="008E1713">
        <w:rPr>
          <w:rFonts w:ascii="Times New Roman" w:hAnsi="Times New Roman" w:cs="Times New Roman"/>
          <w:b/>
          <w:sz w:val="24"/>
          <w:szCs w:val="24"/>
        </w:rPr>
        <w:t>27/6/24</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Dakar, 26 jun (EFE).- El Gobierno español firmará un nuevo marco de cooperación con Senegal dotado de al menos 180 millones de euros en los próximos cuatro años, una cifra récord para la acción española en el país africano, según anunció el ministro de Asuntos Exteriores, José Manuel Albares.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lastRenderedPageBreak/>
        <w:t>Albares, que realiza una visita oficial a Senegal, mantuvo su primer contacto oficial con el presidente de Senegal, Bassirou Diomaye Faye, elegido en las urnas el pasado marzo, al que ha invitado a visitar España y a reunirse con el presidente del Gobierno, Pedro Sánchez, y el rey Felipe VI.</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Además de la reunión con el presidente, el ministro mantuvo un encuentro con su homóloga senegalesa, Yassine Fall, a la que ha avanzado la firma de este nuevo marco de cooperación, que supondrá un aumento importante de los fondos destinados por España al país, que en los últimos cuatro años alcanzaron los 135 millones de euros.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El compromiso con África Occidental se materializará también en el plan director de cooperación para el periodo 2024/2017, que se aprobará próximamente y en el que esta región se consolida como una de las áreas prioritarias para España.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Y dentro de África Occidental, que estará en el nivel de áreas como América Latina, Senegal será el país prioritario, con el foco puesto en juventud y empleo, aunque también habrá proyectos de cooperación en materia de seguridad alimentaria, agricultura o agua y saneamiento.</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Las autoridades senegalesas también han trasladado al ministro su interés en retomar la presencia española en las escuelas-taller de rehabilitación de patrimonio en la zona de San Luis, una de las principales ciudades del país africano.</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Albares ha agradecido a Senegal su participación en la Comunidad Económica de Estados de Á</w:t>
      </w:r>
      <w:r w:rsidR="00203F39">
        <w:rPr>
          <w:rFonts w:ascii="Times New Roman" w:hAnsi="Times New Roman" w:cs="Times New Roman"/>
          <w:sz w:val="24"/>
          <w:szCs w:val="24"/>
        </w:rPr>
        <w:t>frica Occidental (CDAO) por su “papel de puente”</w:t>
      </w:r>
      <w:r w:rsidRPr="008E1713">
        <w:rPr>
          <w:rFonts w:ascii="Times New Roman" w:hAnsi="Times New Roman" w:cs="Times New Roman"/>
          <w:sz w:val="24"/>
          <w:szCs w:val="24"/>
        </w:rPr>
        <w:t xml:space="preserve"> y ha destacado su valor como socio para poder llevar la cooperación a toda la región.</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Cooperación migratoria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Durante su reunión con su homóloga senegalesa, el ministro ha concretado también las principales líneas de cooperación migratoria que seguirán ambos países, así como la posibilidad de impulsar iniciativas de migración circular.</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La relación en materia migratoria entre España y Senegal, tras el cambio de Gob</w:t>
      </w:r>
      <w:r w:rsidR="00203F39">
        <w:rPr>
          <w:rFonts w:ascii="Times New Roman" w:hAnsi="Times New Roman" w:cs="Times New Roman"/>
          <w:sz w:val="24"/>
          <w:szCs w:val="24"/>
        </w:rPr>
        <w:t>ierno, es “</w:t>
      </w:r>
      <w:r w:rsidRPr="008E1713">
        <w:rPr>
          <w:rFonts w:ascii="Times New Roman" w:hAnsi="Times New Roman" w:cs="Times New Roman"/>
          <w:sz w:val="24"/>
          <w:szCs w:val="24"/>
        </w:rPr>
        <w:t>la mejor que han tenido hasta el mome</w:t>
      </w:r>
      <w:r w:rsidR="00203F39">
        <w:rPr>
          <w:rFonts w:ascii="Times New Roman" w:hAnsi="Times New Roman" w:cs="Times New Roman"/>
          <w:sz w:val="24"/>
          <w:szCs w:val="24"/>
        </w:rPr>
        <w:t>nto y siempre ha sido muy buena”</w:t>
      </w:r>
      <w:r w:rsidRPr="008E1713">
        <w:rPr>
          <w:rFonts w:ascii="Times New Roman" w:hAnsi="Times New Roman" w:cs="Times New Roman"/>
          <w:sz w:val="24"/>
          <w:szCs w:val="24"/>
        </w:rPr>
        <w:t>, destacó Albares.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El Gobierno sen</w:t>
      </w:r>
      <w:r w:rsidR="00203F39">
        <w:rPr>
          <w:rFonts w:ascii="Times New Roman" w:hAnsi="Times New Roman" w:cs="Times New Roman"/>
          <w:sz w:val="24"/>
          <w:szCs w:val="24"/>
        </w:rPr>
        <w:t>egalés le ha traslado que hará “</w:t>
      </w:r>
      <w:r w:rsidRPr="008E1713">
        <w:rPr>
          <w:rFonts w:ascii="Times New Roman" w:hAnsi="Times New Roman" w:cs="Times New Roman"/>
          <w:sz w:val="24"/>
          <w:szCs w:val="24"/>
        </w:rPr>
        <w:t>todo lo posible para cortar en estos momentos ese flujo migr</w:t>
      </w:r>
      <w:r w:rsidR="00203F39">
        <w:rPr>
          <w:rFonts w:ascii="Times New Roman" w:hAnsi="Times New Roman" w:cs="Times New Roman"/>
          <w:sz w:val="24"/>
          <w:szCs w:val="24"/>
        </w:rPr>
        <w:t>atorio irregular hacia Canarias” y buscará “</w:t>
      </w:r>
      <w:r w:rsidRPr="008E1713">
        <w:rPr>
          <w:rFonts w:ascii="Times New Roman" w:hAnsi="Times New Roman" w:cs="Times New Roman"/>
          <w:sz w:val="24"/>
          <w:szCs w:val="24"/>
        </w:rPr>
        <w:t>ir dirigiendo a la gente hacia las vías de migración legal y regular, como son las nuevas vías que queremos</w:t>
      </w:r>
      <w:r w:rsidR="00203F39">
        <w:rPr>
          <w:rFonts w:ascii="Times New Roman" w:hAnsi="Times New Roman" w:cs="Times New Roman"/>
          <w:sz w:val="24"/>
          <w:szCs w:val="24"/>
        </w:rPr>
        <w:t xml:space="preserve"> explorar de migración circular”</w:t>
      </w:r>
      <w:r w:rsidRPr="008E1713">
        <w:rPr>
          <w:rFonts w:ascii="Times New Roman" w:hAnsi="Times New Roman" w:cs="Times New Roman"/>
          <w:sz w:val="24"/>
          <w:szCs w:val="24"/>
        </w:rPr>
        <w:t>, dijo el ministro.</w:t>
      </w:r>
    </w:p>
    <w:p w:rsidR="006A1F56" w:rsidRPr="008E1713" w:rsidRDefault="00203F39"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En este sentido, aseguró que “</w:t>
      </w:r>
      <w:r w:rsidR="006A1F56" w:rsidRPr="008E1713">
        <w:rPr>
          <w:rFonts w:ascii="Times New Roman" w:hAnsi="Times New Roman" w:cs="Times New Roman"/>
          <w:sz w:val="24"/>
          <w:szCs w:val="24"/>
        </w:rPr>
        <w:t>empieza a haber una mo</w:t>
      </w:r>
      <w:r>
        <w:rPr>
          <w:rFonts w:ascii="Times New Roman" w:hAnsi="Times New Roman" w:cs="Times New Roman"/>
          <w:sz w:val="24"/>
          <w:szCs w:val="24"/>
        </w:rPr>
        <w:t>deración en cuanto a las cifras”</w:t>
      </w:r>
      <w:r w:rsidR="006A1F56" w:rsidRPr="008E1713">
        <w:rPr>
          <w:rFonts w:ascii="Times New Roman" w:hAnsi="Times New Roman" w:cs="Times New Roman"/>
          <w:sz w:val="24"/>
          <w:szCs w:val="24"/>
        </w:rPr>
        <w:t xml:space="preserve"> de senegaleses que llegan a Canarias.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Respecto a esta migración circular, de la que ya existe algún proyecto en el sector agrícola, se ha explorado la posibilidad de que conductores de camiones senegaleses puedan ir a España a trabajar de forma temporal.</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También se ha acordado avanzar en la utilización de parte de los fondos de la cooperación española para un programa de retorno para aquellas personas de la diáspor</w:t>
      </w:r>
      <w:r w:rsidR="00203F39">
        <w:rPr>
          <w:rFonts w:ascii="Times New Roman" w:hAnsi="Times New Roman" w:cs="Times New Roman"/>
          <w:sz w:val="24"/>
          <w:szCs w:val="24"/>
        </w:rPr>
        <w:t>a que quieren volver a Senegal “</w:t>
      </w:r>
      <w:r w:rsidRPr="008E1713">
        <w:rPr>
          <w:rFonts w:ascii="Times New Roman" w:hAnsi="Times New Roman" w:cs="Times New Roman"/>
          <w:sz w:val="24"/>
          <w:szCs w:val="24"/>
        </w:rPr>
        <w:t xml:space="preserve">con los </w:t>
      </w:r>
      <w:r w:rsidR="00203F39">
        <w:rPr>
          <w:rFonts w:ascii="Times New Roman" w:hAnsi="Times New Roman" w:cs="Times New Roman"/>
          <w:sz w:val="24"/>
          <w:szCs w:val="24"/>
        </w:rPr>
        <w:t>conocimientos que han adquirido”</w:t>
      </w:r>
      <w:r w:rsidRPr="008E1713">
        <w:rPr>
          <w:rFonts w:ascii="Times New Roman" w:hAnsi="Times New Roman" w:cs="Times New Roman"/>
          <w:sz w:val="24"/>
          <w:szCs w:val="24"/>
        </w:rPr>
        <w:t xml:space="preserve"> en España, señaló.</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lastRenderedPageBreak/>
        <w:t xml:space="preserve">El ministro llegó el miércoles por la tarde a Dakar, para mantener un encuentro con los efectivos </w:t>
      </w:r>
      <w:r w:rsidR="00921F40" w:rsidRPr="008E1713">
        <w:rPr>
          <w:rFonts w:ascii="Times New Roman" w:hAnsi="Times New Roman" w:cs="Times New Roman"/>
          <w:sz w:val="24"/>
          <w:szCs w:val="24"/>
        </w:rPr>
        <w:t>aéreos</w:t>
      </w:r>
      <w:r w:rsidRPr="008E1713">
        <w:rPr>
          <w:rFonts w:ascii="Times New Roman" w:hAnsi="Times New Roman" w:cs="Times New Roman"/>
          <w:sz w:val="24"/>
          <w:szCs w:val="24"/>
        </w:rPr>
        <w:t xml:space="preserve"> españoles en Senegal, el destacamento Marfil, y con el ministro del Interior senegalés, Jean Baptiste Tine.</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Además, durante su estancia en el país africano, el ministro visitará la isla de Gorée, un enclave frente a la capital del país que hace cuatro siglos sirvió como puente para el tráfico de hasta 20 millones de esclavos.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Con la visita a Dakar, Albares ha completado un ciclo de encuentros al más alto nivel en Gambia y Senegal, que el ministro ve como «muy buenos socios por la estabilidad que ofrecen» en la región. </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 </w:t>
      </w:r>
      <w:r w:rsidR="00203F39">
        <w:rPr>
          <w:rFonts w:ascii="Times New Roman" w:hAnsi="Times New Roman" w:cs="Times New Roman"/>
          <w:sz w:val="24"/>
          <w:szCs w:val="24"/>
          <w:u w:val="single"/>
        </w:rPr>
        <w:t>Pedro Sánchez: “</w:t>
      </w:r>
      <w:r w:rsidRPr="008E1713">
        <w:rPr>
          <w:rFonts w:ascii="Times New Roman" w:hAnsi="Times New Roman" w:cs="Times New Roman"/>
          <w:sz w:val="24"/>
          <w:szCs w:val="24"/>
          <w:u w:val="single"/>
        </w:rPr>
        <w:t>Hoy damos un nuevo paso para consolidar la alianza entre África y España en busca de un futu</w:t>
      </w:r>
      <w:r w:rsidR="00203F39">
        <w:rPr>
          <w:rFonts w:ascii="Times New Roman" w:hAnsi="Times New Roman" w:cs="Times New Roman"/>
          <w:sz w:val="24"/>
          <w:szCs w:val="24"/>
          <w:u w:val="single"/>
        </w:rPr>
        <w:t>ro más rico, sostenible y justo”</w:t>
      </w:r>
      <w:r w:rsidRPr="008E1713">
        <w:rPr>
          <w:rFonts w:ascii="Times New Roman" w:hAnsi="Times New Roman" w:cs="Times New Roman"/>
          <w:sz w:val="24"/>
          <w:szCs w:val="24"/>
        </w:rPr>
        <w:t xml:space="preserve"> (Fuente: lamoncloa.gob.es - </w:t>
      </w:r>
      <w:r w:rsidRPr="008E1713">
        <w:rPr>
          <w:rFonts w:ascii="Times New Roman" w:hAnsi="Times New Roman" w:cs="Times New Roman"/>
          <w:b/>
          <w:sz w:val="24"/>
          <w:szCs w:val="24"/>
        </w:rPr>
        <w:t>5/12/24</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El presidente del Gobierno, P</w:t>
      </w:r>
      <w:r w:rsidR="00921F40">
        <w:rPr>
          <w:rFonts w:ascii="Times New Roman" w:hAnsi="Times New Roman" w:cs="Times New Roman"/>
          <w:sz w:val="24"/>
          <w:szCs w:val="24"/>
        </w:rPr>
        <w:t>edro Sánchez, ha presentado la “</w:t>
      </w:r>
      <w:r w:rsidRPr="008E1713">
        <w:rPr>
          <w:rFonts w:ascii="Times New Roman" w:hAnsi="Times New Roman" w:cs="Times New Roman"/>
          <w:sz w:val="24"/>
          <w:szCs w:val="24"/>
        </w:rPr>
        <w:t>Estrategia España-África 2025-2028. Trabajando juntos a tra</w:t>
      </w:r>
      <w:r w:rsidR="00921F40">
        <w:rPr>
          <w:rFonts w:ascii="Times New Roman" w:hAnsi="Times New Roman" w:cs="Times New Roman"/>
          <w:sz w:val="24"/>
          <w:szCs w:val="24"/>
        </w:rPr>
        <w:t>vés de una relación estratégica”</w:t>
      </w:r>
      <w:r w:rsidRPr="008E1713">
        <w:rPr>
          <w:rFonts w:ascii="Times New Roman" w:hAnsi="Times New Roman" w:cs="Times New Roman"/>
          <w:sz w:val="24"/>
          <w:szCs w:val="24"/>
        </w:rPr>
        <w:t>, con la participación del ministro de Asuntos Exteriores, Unión Europea y Cooperación, José Manuel Albares.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Al acto han asistido el presidente de la República Islámica de Mauritania, Mohamed Cheik El Ghazouani, el presidente de la Comisión de la Unión Africana, Moussa Faki Mahamat, el presidente de la Comisión de la Comunidad Económica de Estados de África Occidental (CEDEAO), Omar Alieu Touray, y el ministro de Economía, del Plan y de Cooperación del Gobierno de Senegal, Abdourrahmane Sarr, en representación del primer ministro, así como miembros del cuerpo diplomático africano y europeo acreditado en España, otros miembros del Gobierno de España y representantes académicos, empresariales y de la sociedad civil con vínculos con el continente africano.</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Pa</w:t>
      </w:r>
      <w:r w:rsidR="00203F39">
        <w:rPr>
          <w:rFonts w:ascii="Times New Roman" w:hAnsi="Times New Roman" w:cs="Times New Roman"/>
          <w:sz w:val="24"/>
          <w:szCs w:val="24"/>
        </w:rPr>
        <w:t>ra el presidente del Gobierno, “</w:t>
      </w:r>
      <w:r w:rsidRPr="008E1713">
        <w:rPr>
          <w:rFonts w:ascii="Times New Roman" w:hAnsi="Times New Roman" w:cs="Times New Roman"/>
          <w:sz w:val="24"/>
          <w:szCs w:val="24"/>
        </w:rPr>
        <w:t>Áfric</w:t>
      </w:r>
      <w:r w:rsidR="00203F39">
        <w:rPr>
          <w:rFonts w:ascii="Times New Roman" w:hAnsi="Times New Roman" w:cs="Times New Roman"/>
          <w:sz w:val="24"/>
          <w:szCs w:val="24"/>
        </w:rPr>
        <w:t>a es el futuro que ya está aquí”</w:t>
      </w:r>
      <w:r w:rsidRPr="008E1713">
        <w:rPr>
          <w:rFonts w:ascii="Times New Roman" w:hAnsi="Times New Roman" w:cs="Times New Roman"/>
          <w:sz w:val="24"/>
          <w:szCs w:val="24"/>
        </w:rPr>
        <w:t>. En un momento en el que es necesario adaptarse a la nueva realidad africana, cuando su estabilidad y progreso se han convertido en intereses estratégicos para España, el Gobierno presenta la Estrategia España-África 2025-2028, con el objetivo principal de reforzar las relaciones con el continente, que se encuentra en un momento de transformación económica, política y social, y que cada vez juega un papel mayor en la comunidad internacional y es más consciente de su peso. "España quiere iniciar una nueva era en su relación con África. De igual a igual", ha subrayado Pedro Sánchez.</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En esta línea, la nueva Estrategia España-África pretende orientar la acción de España en el continente africano y se basa en el principio de asociación y en el respeto y beneficio mutuo, en la escucha de los socios africanos, y con un énfasis en el multilateralismo. El presidente del Gobierno ha destacado que la Estrategia presenta una mirada renovada con el continente africano, que parte del respeto entre iguales y que busca generar sinergias mutuamente beneficiosas, reconociendo a los países africanos como socios estratégicos, con capacidad de liderazgo y protagonismo propio.</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Pedro Sánchez ha desgranado los cinco objetivos estratégicos principales de la nueva Estrategia, que pasan por: reforzar una relación hispano-africana que consolide y profundice el conocimiento y la interlocución recíproca y facilite a acción conjunta; crecer, a través de un desarrollo africano inclusivo y sostenible favorecido por la implicación de instituciones, empresas y organizaciones españolas, europeas e internacionales, pero sobre todo la implicación de los jóvenes; conectar, con unos vínculos más estrechos entre las sociedades y economías de África, España y el mundo; proteger, a través de la cooperación para reforzar </w:t>
      </w:r>
      <w:r w:rsidRPr="008E1713">
        <w:rPr>
          <w:rFonts w:ascii="Times New Roman" w:hAnsi="Times New Roman" w:cs="Times New Roman"/>
          <w:sz w:val="24"/>
          <w:szCs w:val="24"/>
        </w:rPr>
        <w:lastRenderedPageBreak/>
        <w:t>capacidades en materia de justicia y seguridad; y convivir, con unas sociedades africanas abiertas e instituciones sólidas e inclusivas.</w:t>
      </w:r>
    </w:p>
    <w:p w:rsidR="006A1F56" w:rsidRPr="008E1713" w:rsidRDefault="00203F39"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A1F56" w:rsidRPr="008E1713">
        <w:rPr>
          <w:rFonts w:ascii="Times New Roman" w:hAnsi="Times New Roman" w:cs="Times New Roman"/>
          <w:sz w:val="24"/>
          <w:szCs w:val="24"/>
        </w:rPr>
        <w:t>Las cien medidas que recoge la Estrategia incluyen la creación de nuevos instrumentos de colaboración y el refuerzo de los existentes; la profundización de nuestro diálogo y de nuestro conocimiento de la realidad africana, la multiplicación de las vías para el intercambio de conocimientos y la creación de capacidad y empleo; y la activación del saber hacer de nuestras empresas, instituciones y organizaciones para contribuir a los retos productivos, energéticos y de conectividad que África va a tener que superar, y va a ser capaz de superar con la col</w:t>
      </w:r>
      <w:r>
        <w:rPr>
          <w:rFonts w:ascii="Times New Roman" w:hAnsi="Times New Roman" w:cs="Times New Roman"/>
          <w:sz w:val="24"/>
          <w:szCs w:val="24"/>
        </w:rPr>
        <w:t>aboración de socios como España”</w:t>
      </w:r>
      <w:r w:rsidR="006A1F56" w:rsidRPr="008E1713">
        <w:rPr>
          <w:rFonts w:ascii="Times New Roman" w:hAnsi="Times New Roman" w:cs="Times New Roman"/>
          <w:sz w:val="24"/>
          <w:szCs w:val="24"/>
        </w:rPr>
        <w:t>, según ha explicado el ministro de Asuntos Exteriores, Unión Europea y Cooperación, José Manuel Albares.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El presidente del Gobierno ha remarcado que la estrategia es un instrumento para fortalecer las relaciones entre África y España en un mundo de extrema compl</w:t>
      </w:r>
      <w:r w:rsidR="00203F39">
        <w:rPr>
          <w:rFonts w:ascii="Times New Roman" w:hAnsi="Times New Roman" w:cs="Times New Roman"/>
          <w:sz w:val="24"/>
          <w:szCs w:val="24"/>
        </w:rPr>
        <w:t>ejidad y desafíos compartidos. “</w:t>
      </w:r>
      <w:r w:rsidRPr="008E1713">
        <w:rPr>
          <w:rFonts w:ascii="Times New Roman" w:hAnsi="Times New Roman" w:cs="Times New Roman"/>
          <w:sz w:val="24"/>
          <w:szCs w:val="24"/>
        </w:rPr>
        <w:t>Pero también es una de declaración de intenciones. Hoy damos un nuevo paso para consolidar esta alianza en busca de un futuro más rico, más sost</w:t>
      </w:r>
      <w:r w:rsidR="00203F39">
        <w:rPr>
          <w:rFonts w:ascii="Times New Roman" w:hAnsi="Times New Roman" w:cs="Times New Roman"/>
          <w:sz w:val="24"/>
          <w:szCs w:val="24"/>
        </w:rPr>
        <w:t>enible, y, sobre todo más justo”</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La Estrategia España-África 2025-2028, diseñada con alcance continental</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Uno de los principales aspectos de la Estrategia es que, por primera vez, se ha diseñado con una dimensión continental, en la que no se distinguen categorías de países ni se establecen socios prioritarios, al mismo tiempo que se presta especial atención a nuestra vecindad inmediata: el norte de África, África Occidental y el Sahel, sin limitarse a África Subsahariana, tal y como se reflejaba en los anteriores Planes África.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Una muestra del compromiso de España con el desarrollo, estabilidad y transformación del continente africano es la reciente gira que realizó el presidente del Gobierno a Mauritania, Gambia y Senegal, en la que Sánchez destacó la creación de esta Estrategia y su espíritu de participación, apertura y sintonía con los propios objetivos que ha fijado el continente africano.</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En este sentido, dentro de las 100 líneas de acción que prevé la Estrategia, Sánchez ha anunciado que España aumentará su despliegue diplomático en la región, reforzando la red de Embajadas y Consulados e impulsando la actividad de Casa África, Casa Árabe y la Casa del Mediterráneo. También ha anunciado que se creará un Consejo Asesor para mejorar la coordinación de la acción del Gobierno en el continente.</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El presidente del Gobierno ha hecho referencia al segundo eje de la Estrategia: crecer con una visión inclusiva y sostenible. En este sentido, ha puesto en valor el lanz</w:t>
      </w:r>
      <w:r w:rsidR="00203F39">
        <w:rPr>
          <w:rFonts w:ascii="Times New Roman" w:hAnsi="Times New Roman" w:cs="Times New Roman"/>
          <w:sz w:val="24"/>
          <w:szCs w:val="24"/>
        </w:rPr>
        <w:t>amiento de iniciativas como la “Alianza África Avanza”</w:t>
      </w:r>
      <w:r w:rsidRPr="008E1713">
        <w:rPr>
          <w:rFonts w:ascii="Times New Roman" w:hAnsi="Times New Roman" w:cs="Times New Roman"/>
          <w:sz w:val="24"/>
          <w:szCs w:val="24"/>
        </w:rPr>
        <w:t>, presentada en Senegal, orientada a promover la inversión española y a generar empleos de calidad en África Occidental y que contará con un secretariado permanente en este país.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Asimismo, Pedro Sánchez ha hecho énfasis en aprovechar las migraciones como una fuerza de transformación económica y social, en referencia al tercer eje: conectar. Ha anunciado que en el próximo trimestre España lanzará una estrategia de Movilidad Laboral, que persigue establecer un modelo migratorio que beneficie tanto a los países de origen como a las personas migrantes y a los países de destino, generando vías legales y seguras que refuercen los sistemas de formación en los países africanos. Para ello, el presidente del Gobierno ha explicado que se impulsarán redes de colaboración entre universidades y centros de </w:t>
      </w:r>
      <w:r w:rsidRPr="008E1713">
        <w:rPr>
          <w:rFonts w:ascii="Times New Roman" w:hAnsi="Times New Roman" w:cs="Times New Roman"/>
          <w:sz w:val="24"/>
          <w:szCs w:val="24"/>
        </w:rPr>
        <w:lastRenderedPageBreak/>
        <w:t>investigación. Y aumentaremos los recursos para el aprendizaje del español con una mayor presencia del Instituto Cervantes en el continente africano.</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El presidente del Gobierno también se ha referido al cuarto eje: proteger. En este sentido, ha destacado que España mantendrá y reforzará su apoyo a los Estados y a las organizaciones regionales para mantener la paz y la seguridad, estrechando la colaboración en la lucha contra el terrorismo, la radicalización, el crimen organizado y los tráficos ilícitos.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Sánchez ha remarcado que, más allá de estos retos, los países africanos se enfrentan, como el resto del mundo, a la amenaza climática y medioambiental, y ha destacado que, proteger también es cooperar en una seguridad integral, que no solo proteja físicamente, sino que garantice derechos esenciales como la salud, la educación y la nutrición para todos y todas.</w:t>
      </w:r>
    </w:p>
    <w:p w:rsidR="006A1F56" w:rsidRPr="008E1713" w:rsidRDefault="00203F39"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A1F56" w:rsidRPr="008E1713">
        <w:rPr>
          <w:rFonts w:ascii="Times New Roman" w:hAnsi="Times New Roman" w:cs="Times New Roman"/>
          <w:sz w:val="24"/>
          <w:szCs w:val="24"/>
        </w:rPr>
        <w:t>Junto a nuestros socios africanos, trabajaremos para abordar las raíces de la inseguridad, promoviendo el desarrollo inclusivo, la justicia socia</w:t>
      </w:r>
      <w:r>
        <w:rPr>
          <w:rFonts w:ascii="Times New Roman" w:hAnsi="Times New Roman" w:cs="Times New Roman"/>
          <w:sz w:val="24"/>
          <w:szCs w:val="24"/>
        </w:rPr>
        <w:t>l y la sostenibilidad ambiental”</w:t>
      </w:r>
      <w:r w:rsidR="006A1F56" w:rsidRPr="008E1713">
        <w:rPr>
          <w:rFonts w:ascii="Times New Roman" w:hAnsi="Times New Roman" w:cs="Times New Roman"/>
          <w:sz w:val="24"/>
          <w:szCs w:val="24"/>
        </w:rPr>
        <w:t>, ha recalcado el presidente del Gobierno.</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Pedro Sánchez ha subrayado que, para ello, España mantendrá su apoyo al fortalecimiento de la democracia, el Estado de Derecho y los derechos humanos en África, en alusión al quinto eje, convivir. En este sentido, el presidente del Gobierno ha destacado que España apoyará a la sociedad civil africana, promoviendo la participación, especialmente de las mujeres y los colectivos vulnerables, para luchar contra la discriminación.</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España, un mayor papel en la política de la Unión Europea hacia África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Otro de los elementos distintivos de esta Estrategia España-África es que España se presenta como Estado miembro de la Unión Europea dispuesto a asumir un mayor rol en la orientación y ejecución de la política de la UE hacia África, así como a hacer un mayor uso de los instrumentos de la política europea en apoyo del desarrollo y de los objetivos estratégicos en el continente, acordados con los socios africanos.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España y la Unión Europa consideran a África como una prioridad geopolítica en su condición de continente vecino más cercano con el que existen lazos históricos, económicos y culturales compartidos. En este sentido, y dado el peso demográfico y la extensión geográfica del continente, España necesita una UE presente y fortalecida en África, también porque ejecuta varios de sus proyectos con fondos europeos.</w:t>
      </w:r>
    </w:p>
    <w:p w:rsidR="006A1F56"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Por ello, el presidente del Gobierno ha hecho énfasis en el aprovechamiento de las oportunidades de inversión que ofrece la iniciativa Global Gateway para proyectos en África para llevar a cabo proyectos estratégicos que respondan a las necesidades de los socios africanos. También ha puesto en valor la oportunidad que supone la IV Conferencia Internacional de Financiación para el Desarrollo, que acogerá Sevilla, y que permitirá avanzar en nuevos modelos de financiación para el desarrollo y para el alivio de la deuda.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La juventud, papel clave en la Estrategia España-África 2025-2028</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La Estrategia repasa también las oportunidades que presenta el continente, tanto para su propia población, como para el mundo y para España. Por ello, la juventud cobra un papel protagonista en la transformación del continente africano, ya que el factor demográfico constituye una gran oportunidad para el crecimiento económico, el progreso y el desarrollo de África. El presidente del Gobierno ha destacado que la juventud es una fuerza única para el continente y también para un m</w:t>
      </w:r>
      <w:r w:rsidR="00203F39">
        <w:rPr>
          <w:rFonts w:ascii="Times New Roman" w:hAnsi="Times New Roman" w:cs="Times New Roman"/>
          <w:sz w:val="24"/>
          <w:szCs w:val="24"/>
        </w:rPr>
        <w:t>undo que envejece rápidamente. “</w:t>
      </w:r>
      <w:r w:rsidRPr="008E1713">
        <w:rPr>
          <w:rFonts w:ascii="Times New Roman" w:hAnsi="Times New Roman" w:cs="Times New Roman"/>
          <w:sz w:val="24"/>
          <w:szCs w:val="24"/>
        </w:rPr>
        <w:t>Es un desafí</w:t>
      </w:r>
      <w:r w:rsidR="00203F39">
        <w:rPr>
          <w:rFonts w:ascii="Times New Roman" w:hAnsi="Times New Roman" w:cs="Times New Roman"/>
          <w:sz w:val="24"/>
          <w:szCs w:val="24"/>
        </w:rPr>
        <w:t>o, pero también una oportunidad”</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lastRenderedPageBreak/>
        <w:t>En este sentido, las líneas de acción serán reforzar el trabajo en materia de desarrollo inclusivo, con el acento en la creación de oportunidades para la juventud, especialmente las mujeres, así como una mayor capacitación de los jóvenes para acceder a un trabajo decente. Pedro Sánchez ha destacado que España creará una fundación para la generación de oportunidades académicas para la juventud africana, con una dotación de becas y programas de intercambio.</w:t>
      </w:r>
    </w:p>
    <w:p w:rsidR="006A1F56" w:rsidRPr="008E1713" w:rsidRDefault="00203F39"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A1F56" w:rsidRPr="008E1713">
        <w:rPr>
          <w:rFonts w:ascii="Times New Roman" w:hAnsi="Times New Roman" w:cs="Times New Roman"/>
          <w:sz w:val="24"/>
          <w:szCs w:val="24"/>
        </w:rPr>
        <w:t>Porque la historia y el futuro de África ya no la escriben los demás, sino los propios africanos. Y España quiere ser parte de esa escritura, como país herma</w:t>
      </w:r>
      <w:r>
        <w:rPr>
          <w:rFonts w:ascii="Times New Roman" w:hAnsi="Times New Roman" w:cs="Times New Roman"/>
          <w:sz w:val="24"/>
          <w:szCs w:val="24"/>
        </w:rPr>
        <w:t>no de nuestro continente vecino”</w:t>
      </w:r>
      <w:r w:rsidR="006A1F56" w:rsidRPr="008E1713">
        <w:rPr>
          <w:rFonts w:ascii="Times New Roman" w:hAnsi="Times New Roman" w:cs="Times New Roman"/>
          <w:sz w:val="24"/>
          <w:szCs w:val="24"/>
        </w:rPr>
        <w:t>, ha concluido el presidente del Gobierno.</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 </w:t>
      </w:r>
      <w:r w:rsidRPr="008E1713">
        <w:rPr>
          <w:rFonts w:ascii="Times New Roman" w:hAnsi="Times New Roman" w:cs="Times New Roman"/>
          <w:sz w:val="24"/>
          <w:szCs w:val="24"/>
          <w:u w:val="single"/>
        </w:rPr>
        <w:t>El Gobierno de Sánchez alcanza ya los mil millones de euros en ayudas y préstamos a Marruecos</w:t>
      </w:r>
      <w:r w:rsidRPr="008E1713">
        <w:rPr>
          <w:rFonts w:ascii="Times New Roman" w:hAnsi="Times New Roman" w:cs="Times New Roman"/>
          <w:sz w:val="24"/>
          <w:szCs w:val="24"/>
        </w:rPr>
        <w:t xml:space="preserve"> (Fuente: telemadrid.es - </w:t>
      </w:r>
      <w:r w:rsidRPr="008E1713">
        <w:rPr>
          <w:rFonts w:ascii="Times New Roman" w:hAnsi="Times New Roman" w:cs="Times New Roman"/>
          <w:b/>
          <w:sz w:val="24"/>
          <w:szCs w:val="24"/>
        </w:rPr>
        <w:t>30/3/25</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Parte de estas subvenciones se destinan a equipamiento para el control fronterizo</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El Gobierno de Sánchez ha alcanzado ya los mil millones de euros en ayudas y préstamos a Marruecos desde que llegó a la Moncloa. Gran parte de ese dinero se destina a la compra de material y vehículos para el control de fronteras y créditos para la compra de trenes.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Parte de estas subvenciones se destinan a equipamiento para el control fronterizo. Aquí la ayuda asciende a 157 millones de euros. 122 millones de euros de ellos se han realizado en subvenciones directas desde 2019 a 2022.</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Además, se han donado unos 35 millones de euros en equipamiento como vehículos 4x4 o drones. Destaca en este sentido una ayuda de 8,6 millones de euros para la compra de 130 todoterrenos con rejillas protectoras, aire acondicionado y manual de instrucciones en francés, para la Policía de Marruecos.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El Ministerio del Interior de Marruecos figura como el que más subvenciones recibe del Gobierno español. Según los datos disponibles correspondientes a 2022, con actualizaciones realizadas hasta septiembre de 2023, este departamento consiguió 30 millones de euros.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También se han concedido créditos para la compra de trenes. Así, Sánchez daba luz verde en febrero a un crédito de más de 750 millones de euros para que la empresa ferroviaria marroquí adjudicase diversas licitaciones a la corporación española CAF.</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 </w:t>
      </w:r>
      <w:r w:rsidRPr="008E1713">
        <w:rPr>
          <w:rFonts w:ascii="Times New Roman" w:hAnsi="Times New Roman" w:cs="Times New Roman"/>
          <w:sz w:val="24"/>
          <w:szCs w:val="24"/>
          <w:u w:val="single"/>
        </w:rPr>
        <w:t>Sánchez entrega más de 600 millones a Mauritania en apenas año y medio para poner freno a la inmigración</w:t>
      </w:r>
      <w:r w:rsidRPr="008E1713">
        <w:rPr>
          <w:rFonts w:ascii="Times New Roman" w:hAnsi="Times New Roman" w:cs="Times New Roman"/>
          <w:sz w:val="24"/>
          <w:szCs w:val="24"/>
        </w:rPr>
        <w:t xml:space="preserve"> (Fuente: Vozpópuli - </w:t>
      </w:r>
      <w:r w:rsidRPr="008E1713">
        <w:rPr>
          <w:rFonts w:ascii="Times New Roman" w:hAnsi="Times New Roman" w:cs="Times New Roman"/>
          <w:b/>
          <w:sz w:val="24"/>
          <w:szCs w:val="24"/>
        </w:rPr>
        <w:t>19/7/25</w:t>
      </w:r>
      <w:r w:rsidRPr="008E1713">
        <w:rPr>
          <w:rFonts w:ascii="Times New Roman" w:hAnsi="Times New Roman" w:cs="Times New Roman"/>
          <w:sz w:val="24"/>
          <w:szCs w:val="24"/>
        </w:rPr>
        <w:t>)</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Albares anuncia una nueva línea de crédito de 50 millones, que se suman a las partidas anteriores.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(Por Mario Cortijo)</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Pedro Sánchez ha decidido que la mejor forma de acabar con la inmigración ilegal es sacar la cartera y regar de millones a los países en origen. En concreto, en año y medio, el presidente del Gobierno ya ha dado a Mauritania, en conchabeo con la UE, más de 600 millones de euros.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Una estrategia manida y que otros países también han utilizado, pero que en el caso español está resultando poco eficiente, dado que los problemas de llegadas nunca se han resuelto de forma definitiva con estas partidas presupuestarias. De hecho, 2024 fue el año con más </w:t>
      </w:r>
      <w:r w:rsidRPr="008E1713">
        <w:rPr>
          <w:rFonts w:ascii="Times New Roman" w:hAnsi="Times New Roman" w:cs="Times New Roman"/>
          <w:sz w:val="24"/>
          <w:szCs w:val="24"/>
        </w:rPr>
        <w:lastRenderedPageBreak/>
        <w:t>inmigración ilegal desde que hay registro pese a que Sánchez regó Mauritania con millones de euros españoles y comunitarios.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Ahora, el ministro de Exteriores, José Manuel Albares, ha decidido abrir una línea de crédito de 50 millones de euros más por parte del Fondo para la Promoción del Desarrollo (FONPRODE), vinculado a la Agencia Española de Cooperación Internacional al Desarrollo AECID, para financiar el Proyecto de Desarrollo del Valle del Río Senegal. </w:t>
      </w:r>
    </w:p>
    <w:p w:rsidR="006A1F56" w:rsidRPr="008E1713" w:rsidRDefault="00203F39"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Un dinero que pretende “</w:t>
      </w:r>
      <w:r w:rsidR="006A1F56" w:rsidRPr="008E1713">
        <w:rPr>
          <w:rFonts w:ascii="Times New Roman" w:hAnsi="Times New Roman" w:cs="Times New Roman"/>
          <w:sz w:val="24"/>
          <w:szCs w:val="24"/>
        </w:rPr>
        <w:t>mejorar el acceso a infraestructuras y servicios básicos integrados, inclusivos y resilientes al clima en comunidades</w:t>
      </w:r>
      <w:r>
        <w:rPr>
          <w:rFonts w:ascii="Times New Roman" w:hAnsi="Times New Roman" w:cs="Times New Roman"/>
          <w:sz w:val="24"/>
          <w:szCs w:val="24"/>
        </w:rPr>
        <w:t xml:space="preserve"> fronterizas de cuatro regiones”</w:t>
      </w:r>
      <w:r w:rsidR="006A1F56" w:rsidRPr="008E1713">
        <w:rPr>
          <w:rFonts w:ascii="Times New Roman" w:hAnsi="Times New Roman" w:cs="Times New Roman"/>
          <w:sz w:val="24"/>
          <w:szCs w:val="24"/>
        </w:rPr>
        <w:t>, pero que al mismo tiempo, sin que figure en ningún papel, sirve como contrapartida para que las autoridades mauritanas vigilen sus fronteras y eviten la salida de inmigrantes.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 xml:space="preserve">En concreto, estos nuevos 50 millones se suman a los 200 millones de euros que Pedro Sánchez destinó a Mauritania para desarrollar proyectos de hidrógeno verde en febrero del pasado año, cuando visitó el país junto a Ursula von der Leyen. </w:t>
      </w:r>
    </w:p>
    <w:p w:rsidR="006A1F56" w:rsidRPr="008E1713" w:rsidRDefault="00921F40"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“Regalos”</w:t>
      </w:r>
      <w:r w:rsidR="006A1F56" w:rsidRPr="008E1713">
        <w:rPr>
          <w:rFonts w:ascii="Times New Roman" w:hAnsi="Times New Roman" w:cs="Times New Roman"/>
          <w:sz w:val="24"/>
          <w:szCs w:val="24"/>
        </w:rPr>
        <w:t xml:space="preserve"> españoles a Mauritania</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No fue el único 'regalo' español a Mauritania durante la visita de Pedro Sánchez, ya que el presidente cerró un acuerdo para destinar 60 millones para el desarrollo de Mauritania entre 2024 y 2027. Un Marco de Asociación de País entre ambas naciones, tal y como informó entonces AECID. Exteriores también depositó 50 millones de euros en líneas de crédito en colaboración con el Banco Mundial, por lo que su visita en 2024 costó al erario público 310 millones de euros, a los que se suman 50 más ahora en 2025.</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A ellos hay que añadir otros 232 millones de euros que financió la Unión Europea e</w:t>
      </w:r>
      <w:r w:rsidR="00203F39">
        <w:rPr>
          <w:rFonts w:ascii="Times New Roman" w:hAnsi="Times New Roman" w:cs="Times New Roman"/>
          <w:sz w:val="24"/>
          <w:szCs w:val="24"/>
        </w:rPr>
        <w:t>n forma de “paquete de ayudas”</w:t>
      </w:r>
      <w:r w:rsidRPr="008E1713">
        <w:rPr>
          <w:rFonts w:ascii="Times New Roman" w:hAnsi="Times New Roman" w:cs="Times New Roman"/>
          <w:sz w:val="24"/>
          <w:szCs w:val="24"/>
        </w:rPr>
        <w:t xml:space="preserve"> sin supuesta contraprestación alguna. Un dinero que en realidad también perseguía agasajar a las autoridades mauritanas para frenar una inmigración que, en muchos casos, utiliza España para dar el salto a otros países comunitarios, especialmente los francófonos.</w:t>
      </w:r>
    </w:p>
    <w:p w:rsidR="006A1F56" w:rsidRPr="008E1713"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Aquella dotación sirvió para frenar la sangría migratoria... durante unos meses: si en el primer trimestre de 2024 llegaron 14.035 inmigrantes ilegales, en abril y mayo la cifra se redujo a 3.494. Después, el flujo migratorio volvió a dispararse hasta cerrar el peor año en cuanto a saturación migratoria.</w:t>
      </w:r>
    </w:p>
    <w:p w:rsidR="006A1F56"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Por lo tanto, España repite la misma táctica que en otras ocasiones solo le ha servido como parche temporal: apostar por una buena relación bilateral en la que España aporta generosas partidas de dinero a cambio de fortalecer las fronteras en origen... hasta que decidan que quieren más.</w:t>
      </w:r>
    </w:p>
    <w:p w:rsidR="006A1F56" w:rsidRPr="009506BA" w:rsidRDefault="006A1F56" w:rsidP="006A1F56">
      <w:pPr>
        <w:spacing w:line="240" w:lineRule="auto"/>
        <w:jc w:val="both"/>
        <w:rPr>
          <w:rFonts w:ascii="Times New Roman" w:hAnsi="Times New Roman" w:cs="Times New Roman"/>
          <w:b/>
          <w:sz w:val="24"/>
          <w:szCs w:val="24"/>
        </w:rPr>
      </w:pPr>
      <w:r w:rsidRPr="009506BA">
        <w:rPr>
          <w:rFonts w:ascii="Times New Roman" w:hAnsi="Times New Roman" w:cs="Times New Roman"/>
          <w:b/>
          <w:sz w:val="24"/>
          <w:szCs w:val="24"/>
        </w:rPr>
        <w:t>¿Y cómo responden los “sátrapas” chantajistas</w:t>
      </w:r>
      <w:r w:rsidR="00203F39">
        <w:rPr>
          <w:rFonts w:ascii="Times New Roman" w:hAnsi="Times New Roman" w:cs="Times New Roman"/>
          <w:b/>
          <w:sz w:val="24"/>
          <w:szCs w:val="24"/>
        </w:rPr>
        <w:t>?</w:t>
      </w:r>
      <w:r w:rsidRPr="009506BA">
        <w:rPr>
          <w:rFonts w:ascii="Times New Roman" w:hAnsi="Times New Roman" w:cs="Times New Roman"/>
          <w:b/>
          <w:sz w:val="24"/>
          <w:szCs w:val="24"/>
        </w:rPr>
        <w:t xml:space="preserve"> (de la</w:t>
      </w:r>
      <w:r w:rsidR="00203F39">
        <w:rPr>
          <w:rFonts w:ascii="Times New Roman" w:hAnsi="Times New Roman" w:cs="Times New Roman"/>
          <w:b/>
          <w:sz w:val="24"/>
          <w:szCs w:val="24"/>
        </w:rPr>
        <w:t xml:space="preserve"> “alianza de incivilizaciones”)</w:t>
      </w:r>
    </w:p>
    <w:p w:rsidR="006A1F56" w:rsidRPr="009506BA" w:rsidRDefault="006A1F56" w:rsidP="006A1F56">
      <w:pPr>
        <w:spacing w:line="240" w:lineRule="auto"/>
        <w:jc w:val="both"/>
        <w:rPr>
          <w:rFonts w:ascii="Times New Roman" w:hAnsi="Times New Roman" w:cs="Times New Roman"/>
          <w:b/>
          <w:sz w:val="24"/>
          <w:szCs w:val="24"/>
        </w:rPr>
      </w:pPr>
      <w:r w:rsidRPr="009506BA">
        <w:rPr>
          <w:rFonts w:ascii="Times New Roman" w:hAnsi="Times New Roman" w:cs="Times New Roman"/>
          <w:b/>
          <w:sz w:val="24"/>
          <w:szCs w:val="24"/>
        </w:rPr>
        <w:t xml:space="preserve">Con una política de “plaga de langostas” (el juego de pies, como fórmula de extorción) </w:t>
      </w:r>
    </w:p>
    <w:p w:rsidR="006A1F56" w:rsidRDefault="006A1F56" w:rsidP="006A1F56">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“verdad de la milanesa” (cuando ya no se puede negar la evidencia)</w:t>
      </w:r>
    </w:p>
    <w:p w:rsidR="006A1F56" w:rsidRPr="00801681"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01681">
        <w:rPr>
          <w:rFonts w:ascii="Times New Roman" w:hAnsi="Times New Roman" w:cs="Times New Roman"/>
          <w:sz w:val="24"/>
          <w:szCs w:val="24"/>
          <w:u w:val="single"/>
        </w:rPr>
        <w:t>Mauritania tapona un millón de migrantes que quieren llegar a Canarias</w:t>
      </w:r>
      <w:r>
        <w:rPr>
          <w:rFonts w:ascii="Times New Roman" w:hAnsi="Times New Roman" w:cs="Times New Roman"/>
          <w:sz w:val="24"/>
          <w:szCs w:val="24"/>
        </w:rPr>
        <w:t xml:space="preserve"> (Fuente: Atalayar - </w:t>
      </w:r>
      <w:r w:rsidRPr="00801681">
        <w:rPr>
          <w:rFonts w:ascii="Times New Roman" w:hAnsi="Times New Roman" w:cs="Times New Roman"/>
          <w:b/>
          <w:sz w:val="24"/>
          <w:szCs w:val="24"/>
        </w:rPr>
        <w:t>15/10/24</w:t>
      </w:r>
      <w:r>
        <w:rPr>
          <w:rFonts w:ascii="Times New Roman" w:hAnsi="Times New Roman" w:cs="Times New Roman"/>
          <w:sz w:val="24"/>
          <w:szCs w:val="24"/>
        </w:rPr>
        <w:t>)</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 xml:space="preserve">El Observatorio Atlas-Sahel de Mauritania alerta que los enjambres de “embarcaciones” no van a cesar y pide a la UE medidas drásticas de apoyo para evitar conflictos sociales en este país </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lastRenderedPageBreak/>
        <w:t xml:space="preserve">(Por José Luis Jiménez) </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Mauritania tiene 5.000 kilómetros de frontera y cuando un cayuco sale del norte de ese país a Canarias atraviesa una distancia similar a la que hay si</w:t>
      </w:r>
      <w:r>
        <w:rPr>
          <w:rFonts w:ascii="Times New Roman" w:hAnsi="Times New Roman" w:cs="Times New Roman"/>
          <w:sz w:val="24"/>
          <w:szCs w:val="24"/>
        </w:rPr>
        <w:t xml:space="preserve"> se fuera desde Telde a Madrid.</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Mauritania es el nuevo tapón de Occidente por dos vías: la del Sahel y la subsahariana. Lemine Katthary, presidente del Observatorio Atlas-Sahel, mientras toma una gran taza de café aguado y hace un remolino con la cuchara de un hotel de Nuakchot, mantiene un prolongado silencio en la videoconferencia para soltar la primera sentencia de uno de los mayores expertos norteafricanos en inmigración: “Más de un millón de inmigrantes irregulares en Mauritania buscan llegar a Europa desde nuestras costas a través de la ruta atlántica”. En el plano legal, Mauritania tiene una dura ley para luchar contra las mafias y una Ley de Residencia que hace que cualquier inmigrante que no cumpla las normas básicas de convivencia tenga el ingreso prohi</w:t>
      </w:r>
      <w:r>
        <w:rPr>
          <w:rFonts w:ascii="Times New Roman" w:hAnsi="Times New Roman" w:cs="Times New Roman"/>
          <w:sz w:val="24"/>
          <w:szCs w:val="24"/>
        </w:rPr>
        <w:t>bido al país durante diez años.</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España y Mauritania se comprometen a combatir la inmigración ilegal</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Katthary resalta que la llegada masiva de migrantes a Mauritania es resultado de la estrategia híbrida que hay en el Sahel por parte de grupos delictivos organizados en África para lanzar enjambres de migrantes a Canarias en múltiples frentes operativos. Pero Mauritania, un país que dio a Roma a dos emperadores, lucha en el mar y en tierra para evitar que las mafias saquen partido a la posibilidad de explotar las divisiones y los agravios sectarios, étnicos y religiosos entre los migrantes al mezclar transaharianos con subsaharianos y personas procedentes de Pakistán, Siria, Bangladesh y la India.</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Las mafias saben que en la desesperación hay una herramienta poderosa para llevar a cabo una campaña híbrida de ramificacion</w:t>
      </w:r>
      <w:r>
        <w:rPr>
          <w:rFonts w:ascii="Times New Roman" w:hAnsi="Times New Roman" w:cs="Times New Roman"/>
          <w:sz w:val="24"/>
          <w:szCs w:val="24"/>
        </w:rPr>
        <w:t>es estratégicas significativas.</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Para Lemine Katthary, esta instrumentalización de la migración, sumada a una afluencia cada vez mayor de migrantes a través de una combinación de rutas, puede contribuir a aumentar la presión sobre las autoridades de los Estados miembros y tratar de desequilibrarlas, especialmente en términos de recursos desplegables al considerar la geografí</w:t>
      </w:r>
      <w:r>
        <w:rPr>
          <w:rFonts w:ascii="Times New Roman" w:hAnsi="Times New Roman" w:cs="Times New Roman"/>
          <w:sz w:val="24"/>
          <w:szCs w:val="24"/>
        </w:rPr>
        <w:t>a y la mano de obra disponible.</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Esto conduce a mayores complicaciones a la hora de abordar las amenazas híbridas. Los actores hostiles emplean la táctica de generar distracción dentro de la UE, así como fomentar la polarización dentro de las sociedades mediante la difusión de información errónea y desinformación. Esta estrategia tiene como objetivo desorientar a la UE y facilitar el logro de los objetivos de los actore</w:t>
      </w:r>
      <w:r>
        <w:rPr>
          <w:rFonts w:ascii="Times New Roman" w:hAnsi="Times New Roman" w:cs="Times New Roman"/>
          <w:sz w:val="24"/>
          <w:szCs w:val="24"/>
        </w:rPr>
        <w:t>s hostiles.</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Mauritania-Mali: un nuevo punto de conflicto en el avispero del Sahel</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A su juicio, Mauritania atraviesa una etapa muy difícil debido al creciente número de inmigrantes irregulares que llegan desde diversos países africanos. “Mauritania se está convirtiendo en el país de tránsito a través de la ruta atlántica, lo cual es un tema muy grave porque es la prueba de lo que son capaces de hacer las mafias y el crimen organizado en nuestra región, y su capacidad para traer inmigrantes y traficar con ellos; como digo, ya no se trata solamente de inmigrantes africanos, sino que este fenómeno está a</w:t>
      </w:r>
      <w:r>
        <w:rPr>
          <w:rFonts w:ascii="Times New Roman" w:hAnsi="Times New Roman" w:cs="Times New Roman"/>
          <w:sz w:val="24"/>
          <w:szCs w:val="24"/>
        </w:rPr>
        <w:t>dquiriendo nuevas dimensiones”.</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 xml:space="preserve">Agrega que “esto debe hacer saltar todas las alarmas porque nos enfrentamos a un peligro real ante el que debemos actuar rápidamente, aunando todos los esfuerzos posibles para hacer frente a esta nueva realidad antes de que se convierta en un verdadero desastre que amenace </w:t>
      </w:r>
      <w:r w:rsidRPr="00801681">
        <w:rPr>
          <w:rFonts w:ascii="Times New Roman" w:hAnsi="Times New Roman" w:cs="Times New Roman"/>
          <w:sz w:val="24"/>
          <w:szCs w:val="24"/>
        </w:rPr>
        <w:lastRenderedPageBreak/>
        <w:t>la seguridad y la convivencia en Mauritania y, por supuesto, en los países europeos, principalmente en España y, más concretamente, en Canarias, donde se sufrirán las graves consecuencias de este problema si no se actúa a tiempo”.</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El caso supone 4,5 millones de habitantes en un país con 1,5 millones de migrantes dando tumbos por el país y un centro de refugiados de la ONU en la frontera con 170.000 refugiados procedentes de un problema ajeno: Mali. Mauritania, que tiene acuerdos de repatriación de ilegales con Senegal, Mali, Gambia o Costa de Marfil, se enfrenta a un desafío que puede generar riesgos de estabilidad institucional por los problemas de estabilidad que hay en Burkina Faso, Mali, Níger y Camerún, si no se mantiene la sabiduría de saber combinar soluciones de forma eficiente ya que “supone una gran presión sobre los recursos” porque “para que se entienda, es como si a España llegasen de golpe 15 millones de inmi</w:t>
      </w:r>
      <w:r>
        <w:rPr>
          <w:rFonts w:ascii="Times New Roman" w:hAnsi="Times New Roman" w:cs="Times New Roman"/>
          <w:sz w:val="24"/>
          <w:szCs w:val="24"/>
        </w:rPr>
        <w:t>grantes de forma ilegal”.</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“Este es el mayor reto al que se está enfrentando Mauritania, seguido, por supuesto, de la lucha contra otros fenómenos asociados a la inmigración ilegal, como son el tráfico de personas y el tráfico de drogas, lo cual es una amenaza que está alterando la vida de los mauritanos, que estamos siendo testigos de la llegada de nuevas prácticas y nuevos problemas para los que no estamos preparados; ejemplo grave de ello es el tema de la droga: la sociedad mauritana no está acostumbrada al consumo de drogas y es un fenómeno que está proliferando con la llegada de los inmigrantes</w:t>
      </w:r>
      <w:r>
        <w:rPr>
          <w:rFonts w:ascii="Times New Roman" w:hAnsi="Times New Roman" w:cs="Times New Roman"/>
          <w:sz w:val="24"/>
          <w:szCs w:val="24"/>
        </w:rPr>
        <w:t xml:space="preserve"> irregulares”, afirma Khattary.</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El 80% de esos inmigrantes llega a Mauritania con la intención de conseguir el dinero suficiente para intentarlo; podemos afirmar que, ahora mismo, más de un millón de inmigrantes irregulares en Mauritania buscan llegar a Europa desde las costas mauritanas a través de la ruta atlántica. Esto no quiere decir que todos lo consigan, en la mayoría de los casos pasan meses desde que llegan hasta que disponen del dinero para el viaje. “Desgraciadamente son personas que caen en manos de las mafias de la inmigración ilegal y nuestra labor desde el Observatorio Atlas-Sahel pasa por concienciar a sus víctimas potenciales mostrando los horrores de ese viaje letal y la realidad si finalmente consiguen lle</w:t>
      </w:r>
      <w:r>
        <w:rPr>
          <w:rFonts w:ascii="Times New Roman" w:hAnsi="Times New Roman" w:cs="Times New Roman"/>
          <w:sz w:val="24"/>
          <w:szCs w:val="24"/>
        </w:rPr>
        <w:t>gar a Europa”, indica Katthary.</w:t>
      </w:r>
    </w:p>
    <w:p w:rsidR="006A1F56" w:rsidRPr="00801681"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En el país para el que en 2025 el Fondo Monetario Internacional (FMI) pronostica un crecimiento del 15%, uno de los mayores del mundo, el ciudadano medio mauritano también se ha asustado y vive en un estado de miedo y preocupación constante porque se está viendo superado por la nueva realidad a la que se enfrenta; cuando la amenaza comienza a poner en juego los valores sociales, la seguridad y los principios, el miedo a llegar a perder la identidad como sociedad es, quizás, lo que más debería abrir los ojos. Por ello, la puesta en marcha del Observatorio Atlas-Sahel, que preside Lemine Khattary, “es la muestra del estado de conciencia y del creciente interés y preocupación ante el peligro que representa la inmigración ilegal”.</w:t>
      </w:r>
    </w:p>
    <w:p w:rsidR="006A1F56" w:rsidRDefault="006A1F56" w:rsidP="006A1F56">
      <w:pPr>
        <w:spacing w:line="240" w:lineRule="auto"/>
        <w:jc w:val="both"/>
        <w:rPr>
          <w:rFonts w:ascii="Times New Roman" w:hAnsi="Times New Roman" w:cs="Times New Roman"/>
          <w:sz w:val="24"/>
          <w:szCs w:val="24"/>
        </w:rPr>
      </w:pPr>
      <w:r w:rsidRPr="00801681">
        <w:rPr>
          <w:rFonts w:ascii="Times New Roman" w:hAnsi="Times New Roman" w:cs="Times New Roman"/>
          <w:sz w:val="24"/>
          <w:szCs w:val="24"/>
        </w:rPr>
        <w:t>“Este observatorio trabaja para abordar este fenómeno y queremos concienciar a la sociedad civil, a los ciudadanos mauritanos para que nos ayuden a acabar con esas mafias que se dedican al tráfico de personas, y a los propios inmigrantes para que tomen conciencia y pongan en alerta a otros compatriotas de las grandes mentiras con las que les captan las mafias en cuanto a las oportunidades y la vida en Europa”, expresa Lemine Katthary.</w:t>
      </w:r>
    </w:p>
    <w:p w:rsidR="006A1F56" w:rsidRPr="006F352F"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 xml:space="preserve">- </w:t>
      </w:r>
      <w:r w:rsidRPr="006F352F">
        <w:rPr>
          <w:rFonts w:ascii="Times New Roman" w:hAnsi="Times New Roman" w:cs="Times New Roman"/>
          <w:sz w:val="24"/>
          <w:szCs w:val="24"/>
          <w:u w:val="single"/>
        </w:rPr>
        <w:t>El mapa migratorio con destino a Canarias</w:t>
      </w:r>
      <w:r w:rsidR="00203F39">
        <w:rPr>
          <w:rFonts w:ascii="Times New Roman" w:hAnsi="Times New Roman" w:cs="Times New Roman"/>
          <w:sz w:val="24"/>
          <w:szCs w:val="24"/>
        </w:rPr>
        <w:t xml:space="preserve"> (</w:t>
      </w:r>
      <w:r>
        <w:rPr>
          <w:rFonts w:ascii="Times New Roman" w:hAnsi="Times New Roman" w:cs="Times New Roman"/>
          <w:sz w:val="24"/>
          <w:szCs w:val="24"/>
        </w:rPr>
        <w:t xml:space="preserve">La Razón - </w:t>
      </w:r>
      <w:r w:rsidRPr="006F352F">
        <w:rPr>
          <w:rFonts w:ascii="Times New Roman" w:hAnsi="Times New Roman" w:cs="Times New Roman"/>
          <w:b/>
          <w:sz w:val="24"/>
          <w:szCs w:val="24"/>
        </w:rPr>
        <w:t>23/5/25</w:t>
      </w:r>
      <w:r>
        <w:rPr>
          <w:rFonts w:ascii="Times New Roman" w:hAnsi="Times New Roman" w:cs="Times New Roman"/>
          <w:sz w:val="24"/>
          <w:szCs w:val="24"/>
        </w:rPr>
        <w:t>)</w:t>
      </w:r>
    </w:p>
    <w:p w:rsidR="006A1F56" w:rsidRPr="006F352F" w:rsidRDefault="006A1F56" w:rsidP="006A1F56">
      <w:pPr>
        <w:spacing w:line="240" w:lineRule="auto"/>
        <w:jc w:val="both"/>
        <w:rPr>
          <w:rFonts w:ascii="Times New Roman" w:hAnsi="Times New Roman" w:cs="Times New Roman"/>
          <w:sz w:val="24"/>
          <w:szCs w:val="24"/>
        </w:rPr>
      </w:pPr>
      <w:r w:rsidRPr="006F352F">
        <w:rPr>
          <w:rFonts w:ascii="Times New Roman" w:hAnsi="Times New Roman" w:cs="Times New Roman"/>
          <w:sz w:val="24"/>
          <w:szCs w:val="24"/>
        </w:rPr>
        <w:t xml:space="preserve">Los “candidatos”, que es como se conoce en la jerga a quienes buscan una salida a Canarias, son llevados por las mafias a alojamientos ubicados a las afueras de la capital, donde deben </w:t>
      </w:r>
      <w:r w:rsidRPr="006F352F">
        <w:rPr>
          <w:rFonts w:ascii="Times New Roman" w:hAnsi="Times New Roman" w:cs="Times New Roman"/>
          <w:sz w:val="24"/>
          <w:szCs w:val="24"/>
        </w:rPr>
        <w:lastRenderedPageBreak/>
        <w:t>esperar su turno. Luego, poco a poco, los organizadores del viaje empiezan a embarcar personas y víveres. El proceso es lento. La barca que irá a España se encuentra mar adentro, esperando, mientras que embarcaciones más pequeñas sirven para hacer los viajes pertinentes desde</w:t>
      </w:r>
      <w:r>
        <w:rPr>
          <w:rFonts w:ascii="Times New Roman" w:hAnsi="Times New Roman" w:cs="Times New Roman"/>
          <w:sz w:val="24"/>
          <w:szCs w:val="24"/>
        </w:rPr>
        <w:t xml:space="preserve"> la costa hasta el gran cayuco…</w:t>
      </w:r>
    </w:p>
    <w:p w:rsidR="006A1F56" w:rsidRPr="006F352F" w:rsidRDefault="006A1F56" w:rsidP="006A1F56">
      <w:pPr>
        <w:spacing w:line="240" w:lineRule="auto"/>
        <w:jc w:val="both"/>
        <w:rPr>
          <w:rFonts w:ascii="Times New Roman" w:hAnsi="Times New Roman" w:cs="Times New Roman"/>
          <w:sz w:val="24"/>
          <w:szCs w:val="24"/>
        </w:rPr>
      </w:pPr>
      <w:r w:rsidRPr="006F352F">
        <w:rPr>
          <w:rFonts w:ascii="Times New Roman" w:hAnsi="Times New Roman" w:cs="Times New Roman"/>
          <w:sz w:val="24"/>
          <w:szCs w:val="24"/>
        </w:rPr>
        <w:t>Las nacionalidades que se dirigen a Mauritania para saltar a Canarias son muchas. Puede que demasiadas. Bisauguineanos, senegaleses, marfileños, marroquíes, guineanos, gambianos… pero también yemeníes, sirios, pakistaníes, bangladesíes o comoranos. Estos últimos acostumbraban a coger un vuelo a Nuakchot p</w:t>
      </w:r>
      <w:r>
        <w:rPr>
          <w:rFonts w:ascii="Times New Roman" w:hAnsi="Times New Roman" w:cs="Times New Roman"/>
          <w:sz w:val="24"/>
          <w:szCs w:val="24"/>
        </w:rPr>
        <w:t>ara luego dirigirse a la costa.</w:t>
      </w:r>
    </w:p>
    <w:p w:rsidR="006A1F56" w:rsidRPr="006F352F" w:rsidRDefault="006A1F56" w:rsidP="006A1F56">
      <w:pPr>
        <w:spacing w:line="240" w:lineRule="auto"/>
        <w:jc w:val="both"/>
        <w:rPr>
          <w:rFonts w:ascii="Times New Roman" w:hAnsi="Times New Roman" w:cs="Times New Roman"/>
          <w:sz w:val="24"/>
          <w:szCs w:val="24"/>
        </w:rPr>
      </w:pPr>
      <w:r w:rsidRPr="006F352F">
        <w:rPr>
          <w:rFonts w:ascii="Times New Roman" w:hAnsi="Times New Roman" w:cs="Times New Roman"/>
          <w:sz w:val="24"/>
          <w:szCs w:val="24"/>
        </w:rPr>
        <w:t>Aunque las aduanas mauritanas obligan ahora a solicitar un visado antes del viaje, con la intención de limitar la llegada de nacionales de países asiáticos. Pero, según comunican los agentes españoles, la imposición de un visado a los ciudadanos asiáticos no redujo sus llegadas al cero “y actualmente los candidatos asiáticos entran en mauritana por la frontera sur de Rosso. Esta vía es la zona más común de entrada a Mauritania, según relatan los candidatos detenidos, salvo los malienses, los cuales entran atravesando la frontera propia con Mauritania por el desierto, la cual es bastante permeable y de difícil control para Mauritania debido a su extensión y a lo inhóspito de la zona”.</w:t>
      </w:r>
    </w:p>
    <w:p w:rsidR="006A1F56" w:rsidRPr="006F352F"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F352F">
        <w:rPr>
          <w:rFonts w:ascii="Times New Roman" w:hAnsi="Times New Roman" w:cs="Times New Roman"/>
          <w:sz w:val="24"/>
          <w:szCs w:val="24"/>
        </w:rPr>
        <w:t>Hecha la ley, hecha la trampa</w:t>
      </w:r>
      <w:r>
        <w:rPr>
          <w:rFonts w:ascii="Times New Roman" w:hAnsi="Times New Roman" w:cs="Times New Roman"/>
          <w:sz w:val="24"/>
          <w:szCs w:val="24"/>
        </w:rPr>
        <w:t xml:space="preserve">”: </w:t>
      </w:r>
      <w:r w:rsidRPr="006F352F">
        <w:rPr>
          <w:rFonts w:ascii="Times New Roman" w:hAnsi="Times New Roman" w:cs="Times New Roman"/>
          <w:sz w:val="24"/>
          <w:szCs w:val="24"/>
        </w:rPr>
        <w:t>Las mafias siempre buscan formas de bordear la legal</w:t>
      </w:r>
      <w:r>
        <w:rPr>
          <w:rFonts w:ascii="Times New Roman" w:hAnsi="Times New Roman" w:cs="Times New Roman"/>
          <w:sz w:val="24"/>
          <w:szCs w:val="24"/>
        </w:rPr>
        <w:t>idad y explotar sus beneficios.</w:t>
      </w:r>
    </w:p>
    <w:p w:rsidR="006A1F56" w:rsidRPr="006F352F" w:rsidRDefault="006A1F56" w:rsidP="006A1F56">
      <w:pPr>
        <w:spacing w:line="240" w:lineRule="auto"/>
        <w:jc w:val="both"/>
        <w:rPr>
          <w:rFonts w:ascii="Times New Roman" w:hAnsi="Times New Roman" w:cs="Times New Roman"/>
          <w:sz w:val="24"/>
          <w:szCs w:val="24"/>
        </w:rPr>
      </w:pPr>
      <w:r w:rsidRPr="006F352F">
        <w:rPr>
          <w:rFonts w:ascii="Times New Roman" w:hAnsi="Times New Roman" w:cs="Times New Roman"/>
          <w:sz w:val="24"/>
          <w:szCs w:val="24"/>
        </w:rPr>
        <w:t>Según las cifras ofrecidas por la Guardia Civil</w:t>
      </w:r>
      <w:r>
        <w:rPr>
          <w:rFonts w:ascii="Times New Roman" w:hAnsi="Times New Roman" w:cs="Times New Roman"/>
          <w:sz w:val="24"/>
          <w:szCs w:val="24"/>
        </w:rPr>
        <w:t xml:space="preserve"> (española)</w:t>
      </w:r>
      <w:r w:rsidRPr="006F352F">
        <w:rPr>
          <w:rFonts w:ascii="Times New Roman" w:hAnsi="Times New Roman" w:cs="Times New Roman"/>
          <w:sz w:val="24"/>
          <w:szCs w:val="24"/>
        </w:rPr>
        <w:t>, un ciudadano africano que desee embarcarse a Canarias desde Mauritania pagará un máximo de 2.000 euros a quienes organizan el viaje. Los asiáticos pagarán unos 12.000 euros por la totalidad del trayecto, desde su nación de origen hasta España. Es mucho dinero. Dinero que enriquece a sujetos como King</w:t>
      </w:r>
      <w:r>
        <w:rPr>
          <w:rFonts w:ascii="Times New Roman" w:hAnsi="Times New Roman" w:cs="Times New Roman"/>
          <w:sz w:val="24"/>
          <w:szCs w:val="24"/>
        </w:rPr>
        <w:t xml:space="preserve"> (conocido traficante)</w:t>
      </w:r>
      <w:r w:rsidRPr="006F352F">
        <w:rPr>
          <w:rFonts w:ascii="Times New Roman" w:hAnsi="Times New Roman" w:cs="Times New Roman"/>
          <w:sz w:val="24"/>
          <w:szCs w:val="24"/>
        </w:rPr>
        <w:t>. Dinero que pagan para engrosar la estadística de inmigrantes ahogados, desnutridos y perdidos en el Atlántico.</w:t>
      </w:r>
    </w:p>
    <w:p w:rsidR="006A1F56" w:rsidRPr="006F352F" w:rsidRDefault="006A1F56" w:rsidP="006A1F56">
      <w:pPr>
        <w:spacing w:line="240" w:lineRule="auto"/>
        <w:jc w:val="both"/>
        <w:rPr>
          <w:rFonts w:ascii="Times New Roman" w:hAnsi="Times New Roman" w:cs="Times New Roman"/>
          <w:sz w:val="24"/>
          <w:szCs w:val="24"/>
        </w:rPr>
      </w:pPr>
      <w:r w:rsidRPr="006F352F">
        <w:rPr>
          <w:rFonts w:ascii="Times New Roman" w:hAnsi="Times New Roman" w:cs="Times New Roman"/>
          <w:sz w:val="24"/>
          <w:szCs w:val="24"/>
        </w:rPr>
        <w:t>El trabajo no descansa. Hay que entender los motivos. Las causas raíz. Combatir a la inmigración irregular y a las mafias no se limita a la acción. Hace falta conocer que King era dueño de una gasolinera, y que gracias a esa gasolinera proveía de combustible a las embarcaciones con destino a Canarias. Que el conocido traficante fue una vez inmigrante en Europa, hace años, hasta que decidió regresar a su país y comenzar ese negocio tan rentable que conoció por experiencia propia. Que los yemeníes y los sirios escapan</w:t>
      </w:r>
      <w:r>
        <w:rPr>
          <w:rFonts w:ascii="Times New Roman" w:hAnsi="Times New Roman" w:cs="Times New Roman"/>
          <w:sz w:val="24"/>
          <w:szCs w:val="24"/>
        </w:rPr>
        <w:t xml:space="preserve"> de la violencia de sus países.</w:t>
      </w:r>
    </w:p>
    <w:p w:rsidR="006A1F56" w:rsidRPr="006F352F" w:rsidRDefault="006A1F56" w:rsidP="006A1F56">
      <w:pPr>
        <w:spacing w:line="240" w:lineRule="auto"/>
        <w:jc w:val="both"/>
        <w:rPr>
          <w:rFonts w:ascii="Times New Roman" w:hAnsi="Times New Roman" w:cs="Times New Roman"/>
          <w:sz w:val="24"/>
          <w:szCs w:val="24"/>
        </w:rPr>
      </w:pPr>
      <w:r w:rsidRPr="006F352F">
        <w:rPr>
          <w:rFonts w:ascii="Times New Roman" w:hAnsi="Times New Roman" w:cs="Times New Roman"/>
          <w:sz w:val="24"/>
          <w:szCs w:val="24"/>
        </w:rPr>
        <w:t>Que los marroquíes perciben a través de las redes sociales una visión idealizada de España que los anima a asumir el riesgo del viaje. Que los pakistaníes siguen una ruta terrestre hasta Irán, desde donde cruzan a Turquía para embarcar en un avión. Que los senegaleses combinan las rutas terrestres con la ruta marítima para cruzar a Mauritania, dado que hay ocasiones en las que fingen ser pescado</w:t>
      </w:r>
      <w:r>
        <w:rPr>
          <w:rFonts w:ascii="Times New Roman" w:hAnsi="Times New Roman" w:cs="Times New Roman"/>
          <w:sz w:val="24"/>
          <w:szCs w:val="24"/>
        </w:rPr>
        <w:t>res que van a faenar a Nuadibú.</w:t>
      </w:r>
    </w:p>
    <w:p w:rsidR="006A1F56" w:rsidRPr="00801681" w:rsidRDefault="006A1F56" w:rsidP="006A1F56">
      <w:pPr>
        <w:spacing w:line="240" w:lineRule="auto"/>
        <w:jc w:val="both"/>
        <w:rPr>
          <w:rFonts w:ascii="Times New Roman" w:hAnsi="Times New Roman" w:cs="Times New Roman"/>
          <w:sz w:val="24"/>
          <w:szCs w:val="24"/>
        </w:rPr>
      </w:pPr>
      <w:r w:rsidRPr="006F352F">
        <w:rPr>
          <w:rFonts w:ascii="Times New Roman" w:hAnsi="Times New Roman" w:cs="Times New Roman"/>
          <w:sz w:val="24"/>
          <w:szCs w:val="24"/>
        </w:rPr>
        <w:t>Que los comoranos quieren llegar a Francia o Bélgica. Que los yemenís prefieren España, igual que el destino predilecto de los pakistaníes es Alemania. Que Bélgica es el lugar de referencia para los sirios, esencialmente por su afinidad con la cultura musulmana que predomina en el país europeo. El ciudadano promedio debe comprender la avalancha de matices que caracteriza la labor de la Guardia Civil en la costa mauritana. Que no se trata simplemente de poner muros… sino de comprender quiénes, y por qué, quieren saltarlos pese al riesgo que conlleva.</w:t>
      </w:r>
    </w:p>
    <w:p w:rsidR="006A1F56" w:rsidRDefault="006A1F56" w:rsidP="006A1F56">
      <w:pPr>
        <w:spacing w:line="240" w:lineRule="auto"/>
        <w:jc w:val="both"/>
        <w:rPr>
          <w:rFonts w:ascii="Times New Roman" w:hAnsi="Times New Roman" w:cs="Times New Roman"/>
          <w:sz w:val="24"/>
          <w:szCs w:val="24"/>
        </w:rPr>
      </w:pPr>
    </w:p>
    <w:p w:rsidR="006A1F56" w:rsidRPr="000B4ABB"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801681">
        <w:rPr>
          <w:rFonts w:ascii="Times New Roman" w:hAnsi="Times New Roman" w:cs="Times New Roman"/>
          <w:sz w:val="24"/>
          <w:szCs w:val="24"/>
          <w:u w:val="single"/>
        </w:rPr>
        <w:t>Senegal desvela las cifras alarmantes sobre Canarias: salieron 502 cayucos pero solo 64 llegaron a las islas</w:t>
      </w:r>
      <w:r w:rsidR="00203F39">
        <w:rPr>
          <w:rFonts w:ascii="Times New Roman" w:hAnsi="Times New Roman" w:cs="Times New Roman"/>
          <w:sz w:val="24"/>
          <w:szCs w:val="24"/>
        </w:rPr>
        <w:t xml:space="preserve"> (</w:t>
      </w:r>
      <w:r>
        <w:rPr>
          <w:rFonts w:ascii="Times New Roman" w:hAnsi="Times New Roman" w:cs="Times New Roman"/>
          <w:sz w:val="24"/>
          <w:szCs w:val="24"/>
        </w:rPr>
        <w:t xml:space="preserve">Vozpópuli - </w:t>
      </w:r>
      <w:r w:rsidRPr="00801681">
        <w:rPr>
          <w:rFonts w:ascii="Times New Roman" w:hAnsi="Times New Roman" w:cs="Times New Roman"/>
          <w:b/>
          <w:sz w:val="24"/>
          <w:szCs w:val="24"/>
        </w:rPr>
        <w:t>10/1/25</w:t>
      </w:r>
      <w:r>
        <w:rPr>
          <w:rFonts w:ascii="Times New Roman" w:hAnsi="Times New Roman" w:cs="Times New Roman"/>
          <w:sz w:val="24"/>
          <w:szCs w:val="24"/>
        </w:rPr>
        <w:t>)</w:t>
      </w:r>
    </w:p>
    <w:p w:rsidR="006A1F56" w:rsidRPr="000B4ABB" w:rsidRDefault="006A1F56" w:rsidP="006A1F56">
      <w:pPr>
        <w:spacing w:line="240" w:lineRule="auto"/>
        <w:jc w:val="both"/>
        <w:rPr>
          <w:rFonts w:ascii="Times New Roman" w:hAnsi="Times New Roman" w:cs="Times New Roman"/>
          <w:sz w:val="24"/>
          <w:szCs w:val="24"/>
        </w:rPr>
      </w:pPr>
      <w:r w:rsidRPr="000B4ABB">
        <w:rPr>
          <w:rFonts w:ascii="Times New Roman" w:hAnsi="Times New Roman" w:cs="Times New Roman"/>
          <w:sz w:val="24"/>
          <w:szCs w:val="24"/>
        </w:rPr>
        <w:t>El 11,89% de los cayucos salidos de Senegal llegan a las islas, el resto no se sabe dónde están</w:t>
      </w:r>
    </w:p>
    <w:p w:rsidR="006A1F56" w:rsidRPr="000B4ABB" w:rsidRDefault="006A1F56" w:rsidP="006A1F56">
      <w:pPr>
        <w:spacing w:line="240" w:lineRule="auto"/>
        <w:jc w:val="both"/>
        <w:rPr>
          <w:rFonts w:ascii="Times New Roman" w:hAnsi="Times New Roman" w:cs="Times New Roman"/>
          <w:sz w:val="24"/>
          <w:szCs w:val="24"/>
        </w:rPr>
      </w:pPr>
      <w:r w:rsidRPr="000B4ABB">
        <w:rPr>
          <w:rFonts w:ascii="Times New Roman" w:hAnsi="Times New Roman" w:cs="Times New Roman"/>
          <w:sz w:val="24"/>
          <w:szCs w:val="24"/>
        </w:rPr>
        <w:t>Senegal y Mauritania organizan patrullas conjuntas ante el asedio de cayucos con destino a Canarias</w:t>
      </w:r>
    </w:p>
    <w:p w:rsidR="006A1F56" w:rsidRPr="000B4ABB"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B4ABB">
        <w:rPr>
          <w:rFonts w:ascii="Times New Roman" w:hAnsi="Times New Roman" w:cs="Times New Roman"/>
          <w:sz w:val="24"/>
          <w:szCs w:val="24"/>
        </w:rPr>
        <w:t>José Luis Jiménez</w:t>
      </w:r>
      <w:r>
        <w:rPr>
          <w:rFonts w:ascii="Times New Roman" w:hAnsi="Times New Roman" w:cs="Times New Roman"/>
          <w:sz w:val="24"/>
          <w:szCs w:val="24"/>
        </w:rPr>
        <w:t>)</w:t>
      </w:r>
    </w:p>
    <w:p w:rsidR="006A1F56" w:rsidRPr="000B4ABB" w:rsidRDefault="006A1F56" w:rsidP="006A1F56">
      <w:pPr>
        <w:spacing w:line="240" w:lineRule="auto"/>
        <w:jc w:val="both"/>
        <w:rPr>
          <w:rFonts w:ascii="Times New Roman" w:hAnsi="Times New Roman" w:cs="Times New Roman"/>
          <w:sz w:val="24"/>
          <w:szCs w:val="24"/>
        </w:rPr>
      </w:pPr>
      <w:r w:rsidRPr="000B4ABB">
        <w:rPr>
          <w:rFonts w:ascii="Times New Roman" w:hAnsi="Times New Roman" w:cs="Times New Roman"/>
          <w:sz w:val="24"/>
          <w:szCs w:val="24"/>
        </w:rPr>
        <w:t>En los primeros 10 días de 2025, más de 2.500 personas han logrado superar la peligrosa Ruta Atlántica, una de las más mortíferas del mundo. Ante esta alarmante situación, el presidente de Canarias, Fernando Clavijo, envió el pasado lunes una nueva carta al comisario europeo de Asuntos Internos y Migración, Magnus Brunner, para expresar su preocupación por el incremento de llegadas de migrantes en el comienzo del año. En enero de 2024 a Canarias llegaron 7.70</w:t>
      </w:r>
      <w:r>
        <w:rPr>
          <w:rFonts w:ascii="Times New Roman" w:hAnsi="Times New Roman" w:cs="Times New Roman"/>
          <w:sz w:val="24"/>
          <w:szCs w:val="24"/>
        </w:rPr>
        <w:t>0 efectivos de forma irregular.</w:t>
      </w:r>
    </w:p>
    <w:p w:rsidR="006A1F56" w:rsidRPr="000B4ABB" w:rsidRDefault="006A1F56" w:rsidP="006A1F56">
      <w:pPr>
        <w:spacing w:line="240" w:lineRule="auto"/>
        <w:jc w:val="both"/>
        <w:rPr>
          <w:rFonts w:ascii="Times New Roman" w:hAnsi="Times New Roman" w:cs="Times New Roman"/>
          <w:sz w:val="24"/>
          <w:szCs w:val="24"/>
        </w:rPr>
      </w:pPr>
      <w:r w:rsidRPr="000B4ABB">
        <w:rPr>
          <w:rFonts w:ascii="Times New Roman" w:hAnsi="Times New Roman" w:cs="Times New Roman"/>
          <w:sz w:val="24"/>
          <w:szCs w:val="24"/>
        </w:rPr>
        <w:t xml:space="preserve">El ministro del Interior de Senegal, Jean-Baptiste Tine, ha revelado cifras alarmantes: entre enero y octubre de 2024, se registraron 502 salidas de pateras desde Senegal, de las cuales se estima que 64 llegaron a Canarias, transportando a 34.162 migrantes. Esto significa que aproximadamente solo el 11,89% de los cayucos salidos de Senegal llegan a las islas, mientras que 438 cayucos se perdieron en el </w:t>
      </w:r>
      <w:r>
        <w:rPr>
          <w:rFonts w:ascii="Times New Roman" w:hAnsi="Times New Roman" w:cs="Times New Roman"/>
          <w:sz w:val="24"/>
          <w:szCs w:val="24"/>
        </w:rPr>
        <w:t>trayecto o cambiaron de planes.</w:t>
      </w:r>
    </w:p>
    <w:p w:rsidR="006A1F56" w:rsidRPr="000B4ABB" w:rsidRDefault="006A1F56" w:rsidP="006A1F56">
      <w:pPr>
        <w:spacing w:line="240" w:lineRule="auto"/>
        <w:jc w:val="both"/>
        <w:rPr>
          <w:rFonts w:ascii="Times New Roman" w:hAnsi="Times New Roman" w:cs="Times New Roman"/>
          <w:sz w:val="24"/>
          <w:szCs w:val="24"/>
        </w:rPr>
      </w:pPr>
      <w:r w:rsidRPr="000B4ABB">
        <w:rPr>
          <w:rFonts w:ascii="Times New Roman" w:hAnsi="Times New Roman" w:cs="Times New Roman"/>
          <w:sz w:val="24"/>
          <w:szCs w:val="24"/>
        </w:rPr>
        <w:t>En</w:t>
      </w:r>
      <w:r w:rsidR="00203F39">
        <w:rPr>
          <w:rFonts w:ascii="Times New Roman" w:hAnsi="Times New Roman" w:cs="Times New Roman"/>
          <w:sz w:val="24"/>
          <w:szCs w:val="24"/>
        </w:rPr>
        <w:t xml:space="preserve"> su carta, Clavijo subrayó que “</w:t>
      </w:r>
      <w:r w:rsidRPr="000B4ABB">
        <w:rPr>
          <w:rFonts w:ascii="Times New Roman" w:hAnsi="Times New Roman" w:cs="Times New Roman"/>
          <w:sz w:val="24"/>
          <w:szCs w:val="24"/>
        </w:rPr>
        <w:t>tan solo han transcurrido diez días desde que le dirigí una carta en la que le daba cuenta de la terrible situación por la que está pasando este archipiélago con la creciente llegada de inmigrante</w:t>
      </w:r>
      <w:r w:rsidR="00203F39">
        <w:rPr>
          <w:rFonts w:ascii="Times New Roman" w:hAnsi="Times New Roman" w:cs="Times New Roman"/>
          <w:sz w:val="24"/>
          <w:szCs w:val="24"/>
        </w:rPr>
        <w:t>s irregulares a nuestras costas”. Añadió que “</w:t>
      </w:r>
      <w:r w:rsidRPr="000B4ABB">
        <w:rPr>
          <w:rFonts w:ascii="Times New Roman" w:hAnsi="Times New Roman" w:cs="Times New Roman"/>
          <w:sz w:val="24"/>
          <w:szCs w:val="24"/>
        </w:rPr>
        <w:t>en este breve espacio de tiempo, las llegadas a Canarias se han incrementado exponencialmente y las posibilidades de acogida en nuestro territorio, limitadas y con escasos recursos, se</w:t>
      </w:r>
      <w:r w:rsidR="00203F39">
        <w:rPr>
          <w:rFonts w:ascii="Times New Roman" w:hAnsi="Times New Roman" w:cs="Times New Roman"/>
          <w:sz w:val="24"/>
          <w:szCs w:val="24"/>
        </w:rPr>
        <w:t xml:space="preserve"> hacen cada vez más difíciles”</w:t>
      </w:r>
      <w:r>
        <w:rPr>
          <w:rFonts w:ascii="Times New Roman" w:hAnsi="Times New Roman" w:cs="Times New Roman"/>
          <w:sz w:val="24"/>
          <w:szCs w:val="24"/>
        </w:rPr>
        <w:t>.</w:t>
      </w:r>
    </w:p>
    <w:p w:rsidR="006A1F56" w:rsidRPr="000B4ABB" w:rsidRDefault="006A1F56" w:rsidP="006A1F56">
      <w:pPr>
        <w:spacing w:line="240" w:lineRule="auto"/>
        <w:jc w:val="both"/>
        <w:rPr>
          <w:rFonts w:ascii="Times New Roman" w:hAnsi="Times New Roman" w:cs="Times New Roman"/>
          <w:sz w:val="24"/>
          <w:szCs w:val="24"/>
        </w:rPr>
      </w:pPr>
      <w:r w:rsidRPr="000B4ABB">
        <w:rPr>
          <w:rFonts w:ascii="Times New Roman" w:hAnsi="Times New Roman" w:cs="Times New Roman"/>
          <w:sz w:val="24"/>
          <w:szCs w:val="24"/>
        </w:rPr>
        <w:t>El presidente de Canarias aprovechará su encuentro del 21 de enero con Brunner en Estrasburgo para invitarlo a v</w:t>
      </w:r>
      <w:r w:rsidR="00203F39">
        <w:rPr>
          <w:rFonts w:ascii="Times New Roman" w:hAnsi="Times New Roman" w:cs="Times New Roman"/>
          <w:sz w:val="24"/>
          <w:szCs w:val="24"/>
        </w:rPr>
        <w:t>isitar el archipiélago y tener “</w:t>
      </w:r>
      <w:r w:rsidRPr="000B4ABB">
        <w:rPr>
          <w:rFonts w:ascii="Times New Roman" w:hAnsi="Times New Roman" w:cs="Times New Roman"/>
          <w:sz w:val="24"/>
          <w:szCs w:val="24"/>
        </w:rPr>
        <w:t>una vis</w:t>
      </w:r>
      <w:r w:rsidR="00203F39">
        <w:rPr>
          <w:rFonts w:ascii="Times New Roman" w:hAnsi="Times New Roman" w:cs="Times New Roman"/>
          <w:sz w:val="24"/>
          <w:szCs w:val="24"/>
        </w:rPr>
        <w:t>ión real de la situación límite”</w:t>
      </w:r>
      <w:r w:rsidRPr="000B4ABB">
        <w:rPr>
          <w:rFonts w:ascii="Times New Roman" w:hAnsi="Times New Roman" w:cs="Times New Roman"/>
          <w:sz w:val="24"/>
          <w:szCs w:val="24"/>
        </w:rPr>
        <w:t xml:space="preserve"> que viven las islas debi</w:t>
      </w:r>
      <w:r w:rsidR="00203F39">
        <w:rPr>
          <w:rFonts w:ascii="Times New Roman" w:hAnsi="Times New Roman" w:cs="Times New Roman"/>
          <w:sz w:val="24"/>
          <w:szCs w:val="24"/>
        </w:rPr>
        <w:t>do a la crisis migratoria y su “</w:t>
      </w:r>
      <w:r w:rsidRPr="000B4ABB">
        <w:rPr>
          <w:rFonts w:ascii="Times New Roman" w:hAnsi="Times New Roman" w:cs="Times New Roman"/>
          <w:sz w:val="24"/>
          <w:szCs w:val="24"/>
        </w:rPr>
        <w:t>enorme impacto a todos los niveles en un territorio como el nuestro, que ya sufre los condicionantes propios de la ultraperi</w:t>
      </w:r>
      <w:r w:rsidR="00203F39">
        <w:rPr>
          <w:rFonts w:ascii="Times New Roman" w:hAnsi="Times New Roman" w:cs="Times New Roman"/>
          <w:sz w:val="24"/>
          <w:szCs w:val="24"/>
        </w:rPr>
        <w:t>feria”</w:t>
      </w:r>
      <w:r>
        <w:rPr>
          <w:rFonts w:ascii="Times New Roman" w:hAnsi="Times New Roman" w:cs="Times New Roman"/>
          <w:sz w:val="24"/>
          <w:szCs w:val="24"/>
        </w:rPr>
        <w:t>.</w:t>
      </w:r>
    </w:p>
    <w:p w:rsidR="006A1F56" w:rsidRPr="000B4ABB" w:rsidRDefault="006A1F56" w:rsidP="006A1F56">
      <w:pPr>
        <w:spacing w:line="240" w:lineRule="auto"/>
        <w:jc w:val="both"/>
        <w:rPr>
          <w:rFonts w:ascii="Times New Roman" w:hAnsi="Times New Roman" w:cs="Times New Roman"/>
          <w:sz w:val="24"/>
          <w:szCs w:val="24"/>
        </w:rPr>
      </w:pPr>
      <w:r w:rsidRPr="000B4ABB">
        <w:rPr>
          <w:rFonts w:ascii="Times New Roman" w:hAnsi="Times New Roman" w:cs="Times New Roman"/>
          <w:sz w:val="24"/>
          <w:szCs w:val="24"/>
        </w:rPr>
        <w:t>La ofensiva de Clavijo en la UE</w:t>
      </w:r>
    </w:p>
    <w:p w:rsidR="006A1F56" w:rsidRPr="000B4ABB" w:rsidRDefault="006A1F56" w:rsidP="006A1F56">
      <w:pPr>
        <w:spacing w:line="240" w:lineRule="auto"/>
        <w:jc w:val="both"/>
        <w:rPr>
          <w:rFonts w:ascii="Times New Roman" w:hAnsi="Times New Roman" w:cs="Times New Roman"/>
          <w:sz w:val="24"/>
          <w:szCs w:val="24"/>
        </w:rPr>
      </w:pPr>
      <w:r w:rsidRPr="000B4ABB">
        <w:rPr>
          <w:rFonts w:ascii="Times New Roman" w:hAnsi="Times New Roman" w:cs="Times New Roman"/>
          <w:sz w:val="24"/>
          <w:szCs w:val="24"/>
        </w:rPr>
        <w:t>La reunión de Clavijo con Brunner forma parte de una ofensiva emprendida por el presidente desde el comienzo de la legislatura para que la Unión Europea coloque a la Ruta Atlántica entre sus prioridades en política migratoria. Con este objetivo, Clavijo se ha reunido en los últimos meses en Bruselas con la presidenta del Parlamento Europeo, Roberta Metsola, y ha intervenido ante el plenario del Comité de Regiones, además de mantener numerosos encuentros con representantes de grupos del Parlamento Europeo</w:t>
      </w:r>
      <w:r>
        <w:rPr>
          <w:rFonts w:ascii="Times New Roman" w:hAnsi="Times New Roman" w:cs="Times New Roman"/>
          <w:sz w:val="24"/>
          <w:szCs w:val="24"/>
        </w:rPr>
        <w:t xml:space="preserve"> y otros altos cargos de la UE.</w:t>
      </w:r>
    </w:p>
    <w:p w:rsidR="006A1F56" w:rsidRPr="000B4ABB" w:rsidRDefault="006A1F56" w:rsidP="006A1F56">
      <w:pPr>
        <w:spacing w:line="240" w:lineRule="auto"/>
        <w:jc w:val="both"/>
        <w:rPr>
          <w:rFonts w:ascii="Times New Roman" w:hAnsi="Times New Roman" w:cs="Times New Roman"/>
          <w:sz w:val="24"/>
          <w:szCs w:val="24"/>
        </w:rPr>
      </w:pPr>
      <w:r w:rsidRPr="000B4ABB">
        <w:rPr>
          <w:rFonts w:ascii="Times New Roman" w:hAnsi="Times New Roman" w:cs="Times New Roman"/>
          <w:sz w:val="24"/>
          <w:szCs w:val="24"/>
        </w:rPr>
        <w:t>Gracias a las gestiones del Gobierno de Canarias, el entonces vicepresidente de la Comisión Europea, Margaritis Schinás, visitó el archipiélago a mediados de septiembre del año pasado, y en diciembre de 2023, la excomisaria europea de Interior, Ylva Johansson, también lo hizo a petición de Fernando Clavijo. Ahora, con Magnus Brunner al frente, Clavijo espera lograr una mayor implicación de la UE en la gestión de la crisis migratoria que afecta a Canarias.</w:t>
      </w:r>
    </w:p>
    <w:p w:rsidR="006A1F56" w:rsidRPr="000B4ABB" w:rsidRDefault="006A1F56" w:rsidP="006A1F56">
      <w:pPr>
        <w:spacing w:line="240" w:lineRule="auto"/>
        <w:jc w:val="both"/>
        <w:rPr>
          <w:rFonts w:ascii="Times New Roman" w:hAnsi="Times New Roman" w:cs="Times New Roman"/>
          <w:sz w:val="24"/>
          <w:szCs w:val="24"/>
        </w:rPr>
      </w:pPr>
      <w:r w:rsidRPr="000B4ABB">
        <w:rPr>
          <w:rFonts w:ascii="Times New Roman" w:hAnsi="Times New Roman" w:cs="Times New Roman"/>
          <w:sz w:val="24"/>
          <w:szCs w:val="24"/>
        </w:rPr>
        <w:lastRenderedPageBreak/>
        <w:t>El ministro del Interior de Senegal, Jean-Baptiste Tine, presidió esta semana la instalación del Comité Interministerial de Lucha contra las Migraciones Irregulares (CILMI) en Ziguinchor, una zona clave que usan las mafias migratorias. La elección de Ziguinchor no es casualidad. Su posición geográfica, próxima a la costa atlántica y fronteriza con Gambia y Guinea-Bissau, la convierte en un punto neurálgico para los flujos migratorios ir</w:t>
      </w:r>
      <w:r>
        <w:rPr>
          <w:rFonts w:ascii="Times New Roman" w:hAnsi="Times New Roman" w:cs="Times New Roman"/>
          <w:sz w:val="24"/>
          <w:szCs w:val="24"/>
        </w:rPr>
        <w:t>regulares a las islas Canarias.</w:t>
      </w:r>
    </w:p>
    <w:p w:rsidR="006A1F56" w:rsidRPr="000B4ABB" w:rsidRDefault="006A1F56" w:rsidP="006A1F56">
      <w:pPr>
        <w:spacing w:line="240" w:lineRule="auto"/>
        <w:jc w:val="both"/>
        <w:rPr>
          <w:rFonts w:ascii="Times New Roman" w:hAnsi="Times New Roman" w:cs="Times New Roman"/>
          <w:sz w:val="24"/>
          <w:szCs w:val="24"/>
        </w:rPr>
      </w:pPr>
      <w:r w:rsidRPr="000B4ABB">
        <w:rPr>
          <w:rFonts w:ascii="Times New Roman" w:hAnsi="Times New Roman" w:cs="Times New Roman"/>
          <w:sz w:val="24"/>
          <w:szCs w:val="24"/>
        </w:rPr>
        <w:t>Tine reveló cifras alarmantes: entre enero y octubre de 2024, se registraron 502 salidas de pateras desde Senegal, de las cuales se estima que 64 llegaron a Canarias, transportando a 34.162 migrantes. La migración, un fenómeno global complejo, representa un desafío particular para Senegal debido a su dinámica demográfica y económica, lo que ha generado un aumento significat</w:t>
      </w:r>
      <w:r>
        <w:rPr>
          <w:rFonts w:ascii="Times New Roman" w:hAnsi="Times New Roman" w:cs="Times New Roman"/>
          <w:sz w:val="24"/>
          <w:szCs w:val="24"/>
        </w:rPr>
        <w:t>ivo de las salidas irregulares.</w:t>
      </w:r>
    </w:p>
    <w:p w:rsidR="006A1F56" w:rsidRPr="000B4ABB" w:rsidRDefault="006A1F56" w:rsidP="006A1F56">
      <w:pPr>
        <w:spacing w:line="240" w:lineRule="auto"/>
        <w:jc w:val="both"/>
        <w:rPr>
          <w:rFonts w:ascii="Times New Roman" w:hAnsi="Times New Roman" w:cs="Times New Roman"/>
          <w:sz w:val="24"/>
          <w:szCs w:val="24"/>
        </w:rPr>
      </w:pPr>
      <w:r w:rsidRPr="000B4ABB">
        <w:rPr>
          <w:rFonts w:ascii="Times New Roman" w:hAnsi="Times New Roman" w:cs="Times New Roman"/>
          <w:sz w:val="24"/>
          <w:szCs w:val="24"/>
        </w:rPr>
        <w:t>A pesar de las numerosas medidas implementadas para combatir este fenómeno, el ministro lamentó el aumento de las salidas ilegales</w:t>
      </w:r>
      <w:r w:rsidR="00203F39">
        <w:rPr>
          <w:rFonts w:ascii="Times New Roman" w:hAnsi="Times New Roman" w:cs="Times New Roman"/>
          <w:sz w:val="24"/>
          <w:szCs w:val="24"/>
        </w:rPr>
        <w:t xml:space="preserve"> y sus trágicas consecuencias. “</w:t>
      </w:r>
      <w:r w:rsidRPr="000B4ABB">
        <w:rPr>
          <w:rFonts w:ascii="Times New Roman" w:hAnsi="Times New Roman" w:cs="Times New Roman"/>
          <w:sz w:val="24"/>
          <w:szCs w:val="24"/>
        </w:rPr>
        <w:t>Senegal, como país de salida, tránsito y destino, se encuentra en la encrucijada de estas dinámicas migratorias con impactos significativos tanto para los propios migrant</w:t>
      </w:r>
      <w:r w:rsidR="00203F39">
        <w:rPr>
          <w:rFonts w:ascii="Times New Roman" w:hAnsi="Times New Roman" w:cs="Times New Roman"/>
          <w:sz w:val="24"/>
          <w:szCs w:val="24"/>
        </w:rPr>
        <w:t>es como para nuestras políticas”</w:t>
      </w:r>
      <w:r w:rsidRPr="000B4ABB">
        <w:rPr>
          <w:rFonts w:ascii="Times New Roman" w:hAnsi="Times New Roman" w:cs="Times New Roman"/>
          <w:sz w:val="24"/>
          <w:szCs w:val="24"/>
        </w:rPr>
        <w:t>, afirmó Tine. La creación del CILMI en Ziguinchor es una respuesta a esta problemática y demuestra la voluntad del gobierno de abordar de manera integral este desafío.</w:t>
      </w:r>
    </w:p>
    <w:p w:rsidR="006A1F56" w:rsidRPr="002001F2"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001F2">
        <w:rPr>
          <w:rFonts w:ascii="Times New Roman" w:hAnsi="Times New Roman" w:cs="Times New Roman"/>
          <w:sz w:val="24"/>
          <w:szCs w:val="24"/>
          <w:u w:val="single"/>
        </w:rPr>
        <w:t>El rey de Marruecos indul</w:t>
      </w:r>
      <w:r w:rsidR="00203F39">
        <w:rPr>
          <w:rFonts w:ascii="Times New Roman" w:hAnsi="Times New Roman" w:cs="Times New Roman"/>
          <w:sz w:val="24"/>
          <w:szCs w:val="24"/>
          <w:u w:val="single"/>
        </w:rPr>
        <w:t>ta a casi 20.000 delincuentes: “</w:t>
      </w:r>
      <w:r w:rsidRPr="002001F2">
        <w:rPr>
          <w:rFonts w:ascii="Times New Roman" w:hAnsi="Times New Roman" w:cs="Times New Roman"/>
          <w:sz w:val="24"/>
          <w:szCs w:val="24"/>
          <w:u w:val="single"/>
        </w:rPr>
        <w:t>¿Sabéis dónde acabarán?</w:t>
      </w:r>
      <w:r w:rsidR="00203F39">
        <w:rPr>
          <w:rFonts w:ascii="Times New Roman" w:hAnsi="Times New Roman" w:cs="Times New Roman"/>
          <w:sz w:val="24"/>
          <w:szCs w:val="24"/>
        </w:rPr>
        <w:t>”</w:t>
      </w:r>
      <w:r>
        <w:rPr>
          <w:rFonts w:ascii="Times New Roman" w:hAnsi="Times New Roman" w:cs="Times New Roman"/>
          <w:sz w:val="24"/>
          <w:szCs w:val="24"/>
        </w:rPr>
        <w:t xml:space="preserve"> (Fuente: </w:t>
      </w:r>
      <w:r w:rsidRPr="002001F2">
        <w:rPr>
          <w:rFonts w:ascii="Times New Roman" w:hAnsi="Times New Roman" w:cs="Times New Roman"/>
          <w:sz w:val="24"/>
          <w:szCs w:val="24"/>
        </w:rPr>
        <w:t>e-noticies.cat/es</w:t>
      </w:r>
      <w:r>
        <w:rPr>
          <w:rFonts w:ascii="Times New Roman" w:hAnsi="Times New Roman" w:cs="Times New Roman"/>
          <w:sz w:val="24"/>
          <w:szCs w:val="24"/>
        </w:rPr>
        <w:t xml:space="preserve"> - </w:t>
      </w:r>
      <w:r w:rsidRPr="002001F2">
        <w:rPr>
          <w:rFonts w:ascii="Times New Roman" w:hAnsi="Times New Roman" w:cs="Times New Roman"/>
          <w:b/>
          <w:sz w:val="24"/>
          <w:szCs w:val="24"/>
        </w:rPr>
        <w:t>30/7/25</w:t>
      </w:r>
      <w:r>
        <w:rPr>
          <w:rFonts w:ascii="Times New Roman" w:hAnsi="Times New Roman" w:cs="Times New Roman"/>
          <w:sz w:val="24"/>
          <w:szCs w:val="24"/>
        </w:rPr>
        <w:t>)</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Como ya han explicado varios analistas, la inmigración es para Marruecos una herramienta geopolítica</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Marruecos ha vuelto a abrir la puerta de sus cárceles. Con motivo de la Fiesta del Trono, celebrada este 30 de julio, el rey Mohamed VI ha concedido un indulto a 19.673 personas. Esta cifra incluye a 2.415 presos mediante el procedimiento ordinario y a 17.258 exc</w:t>
      </w:r>
      <w:r>
        <w:rPr>
          <w:rFonts w:ascii="Times New Roman" w:hAnsi="Times New Roman" w:cs="Times New Roman"/>
          <w:sz w:val="24"/>
          <w:szCs w:val="24"/>
        </w:rPr>
        <w:t>arcelados de forma excepcional.</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El gesto, calificado por el propio régimen como una “iniciativa humanista”, se presenta como muestra de clemencia real. Sin embargo, la falta de transparencia sobre los perfiles penales de los beneficiarios ha reavivado la inquietud en Europa. Como en otras ocasiones, se teme que parte de estos delincuentes acaben cruzando la frontera por vías de inmigración ilegal.</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Entre el gesto humanitario y el riesgo internacional</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Uno de los primeros en alertar de las consecuencias ha sido el analista político saharaui Taleb Alisalem.</w:t>
      </w:r>
      <w:r w:rsidR="00203F39">
        <w:rPr>
          <w:rFonts w:ascii="Times New Roman" w:hAnsi="Times New Roman" w:cs="Times New Roman"/>
          <w:sz w:val="24"/>
          <w:szCs w:val="24"/>
        </w:rPr>
        <w:t xml:space="preserve"> </w:t>
      </w:r>
      <w:r w:rsidRPr="002001F2">
        <w:rPr>
          <w:rFonts w:ascii="Times New Roman" w:hAnsi="Times New Roman" w:cs="Times New Roman"/>
          <w:sz w:val="24"/>
          <w:szCs w:val="24"/>
        </w:rPr>
        <w:t>“¿Adivinad dónde acabará la mayoría de esos delincuentes?”, preguntaba a través de redes. Su advertencia ciertamente no es infundada. En los últimos seis años, Marruecos ha liberado a más de 37.000 presos, entre ellos 66 condenados por delitos de terrorismo, según reveló el experto en migrac</w:t>
      </w:r>
      <w:r>
        <w:rPr>
          <w:rFonts w:ascii="Times New Roman" w:hAnsi="Times New Roman" w:cs="Times New Roman"/>
          <w:sz w:val="24"/>
          <w:szCs w:val="24"/>
        </w:rPr>
        <w:t>iones y seguridad Rubén Pulido.</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Esta pr</w:t>
      </w:r>
      <w:r w:rsidR="00203F39">
        <w:rPr>
          <w:rFonts w:ascii="Times New Roman" w:hAnsi="Times New Roman" w:cs="Times New Roman"/>
          <w:sz w:val="24"/>
          <w:szCs w:val="24"/>
        </w:rPr>
        <w:t>áctica sistemática de indultos -</w:t>
      </w:r>
      <w:r w:rsidRPr="002001F2">
        <w:rPr>
          <w:rFonts w:ascii="Times New Roman" w:hAnsi="Times New Roman" w:cs="Times New Roman"/>
          <w:sz w:val="24"/>
          <w:szCs w:val="24"/>
        </w:rPr>
        <w:t>ligada a festividades religi</w:t>
      </w:r>
      <w:r w:rsidR="00203F39">
        <w:rPr>
          <w:rFonts w:ascii="Times New Roman" w:hAnsi="Times New Roman" w:cs="Times New Roman"/>
          <w:sz w:val="24"/>
          <w:szCs w:val="24"/>
        </w:rPr>
        <w:t>osas y celebraciones nacionales-</w:t>
      </w:r>
      <w:r w:rsidRPr="002001F2">
        <w:rPr>
          <w:rFonts w:ascii="Times New Roman" w:hAnsi="Times New Roman" w:cs="Times New Roman"/>
          <w:sz w:val="24"/>
          <w:szCs w:val="24"/>
        </w:rPr>
        <w:t xml:space="preserve"> ha permitido la excarcelación de narcos, ladrones, yihadistas y activistas rifeños. Muchos de ellos han aprovechado el indulto para emprender la huida hacia Europa, especialmente a través de rutas ilegales. Según fuentes de FRONTEX a las que hacía referencia Pulido, “algunos de estos hombres reconocen en entrevistas haber salido recientemente de prisión”.</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 xml:space="preserve">En este contexto, el riesgo de que una parte de los 19.673 excarcelados este julio busquen refugio en territorio europeo es elevado. Y el desafío de controlar sus movimientos en la </w:t>
      </w:r>
      <w:r w:rsidRPr="002001F2">
        <w:rPr>
          <w:rFonts w:ascii="Times New Roman" w:hAnsi="Times New Roman" w:cs="Times New Roman"/>
          <w:sz w:val="24"/>
          <w:szCs w:val="24"/>
        </w:rPr>
        <w:lastRenderedPageBreak/>
        <w:t>frontera recae en buena medida sobre las autoridades españolas. Unas autoridades, por cierto, que llevan años denunciando la escasa colaboración efectiva con Rabat en materia migratoria. Pero es que, como también ha explicado Alisalem en otras ocasiones, la inmigración es para Marruec</w:t>
      </w:r>
      <w:r>
        <w:rPr>
          <w:rFonts w:ascii="Times New Roman" w:hAnsi="Times New Roman" w:cs="Times New Roman"/>
          <w:sz w:val="24"/>
          <w:szCs w:val="24"/>
        </w:rPr>
        <w:t>os una herramienta geopolítica.</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España: la primera parada para muchos</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Solo en 2024 llegaron a España más de 64.000 inmigrantes ilegales, de los cuales unos 8.600 eran marroquíes, una cifra que representa el 13,3% del total. En los primeros meses de 2025, otros 871 ciudadanos marroquíes entraron ilegalmente, en su mayoría a través de Canarias.</w:t>
      </w:r>
    </w:p>
    <w:p w:rsidR="006A1F56"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Los datos indican que el año 2024 ya fue excepcional, con casi 10.000 indultados, incluidos más de 4.800 agricultores de cannabis. La tendencia no se frena, y con el indulto masivo de julio de 2025, el régimen alauí suma una nueva oleada.</w:t>
      </w:r>
    </w:p>
    <w:p w:rsidR="006A1F56" w:rsidRPr="002001F2"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B4ABB">
        <w:rPr>
          <w:rFonts w:ascii="Times New Roman" w:hAnsi="Times New Roman" w:cs="Times New Roman"/>
          <w:sz w:val="24"/>
          <w:szCs w:val="24"/>
          <w:u w:val="single"/>
        </w:rPr>
        <w:t>El negocio de la inmigración ilegal: hasta 14.000 euros por llegar a España</w:t>
      </w:r>
      <w:r>
        <w:rPr>
          <w:rFonts w:ascii="Times New Roman" w:hAnsi="Times New Roman" w:cs="Times New Roman"/>
          <w:sz w:val="24"/>
          <w:szCs w:val="24"/>
        </w:rPr>
        <w:t xml:space="preserve"> (Fuente: </w:t>
      </w:r>
      <w:r w:rsidRPr="002001F2">
        <w:rPr>
          <w:rFonts w:ascii="Times New Roman" w:hAnsi="Times New Roman" w:cs="Times New Roman"/>
          <w:sz w:val="24"/>
          <w:szCs w:val="24"/>
        </w:rPr>
        <w:t>e-noticies.cat/es</w:t>
      </w:r>
      <w:r>
        <w:rPr>
          <w:rFonts w:ascii="Times New Roman" w:hAnsi="Times New Roman" w:cs="Times New Roman"/>
          <w:sz w:val="24"/>
          <w:szCs w:val="24"/>
        </w:rPr>
        <w:t xml:space="preserve"> - </w:t>
      </w:r>
      <w:r>
        <w:rPr>
          <w:rFonts w:ascii="Times New Roman" w:hAnsi="Times New Roman" w:cs="Times New Roman"/>
          <w:b/>
          <w:sz w:val="24"/>
          <w:szCs w:val="24"/>
        </w:rPr>
        <w:t>20/8</w:t>
      </w:r>
      <w:r w:rsidRPr="002001F2">
        <w:rPr>
          <w:rFonts w:ascii="Times New Roman" w:hAnsi="Times New Roman" w:cs="Times New Roman"/>
          <w:b/>
          <w:sz w:val="24"/>
          <w:szCs w:val="24"/>
        </w:rPr>
        <w:t>/25</w:t>
      </w:r>
      <w:r>
        <w:rPr>
          <w:rFonts w:ascii="Times New Roman" w:hAnsi="Times New Roman" w:cs="Times New Roman"/>
          <w:sz w:val="24"/>
          <w:szCs w:val="24"/>
        </w:rPr>
        <w:t>)</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Los más beneficiados del drama humanitario de la inmigración son los traficantes de seres humanos</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La presión migratoria en el Mediterráneo occidental se ha intensificado con fuerza en los últimos meses. Solo en las Islas Baleares, en apenas tres días, desembarcaron 659 personas en 39 embarcaciones. Este incremento ha convertido a la ruta argelina en una de las más activas y ha puesto en evidencia las dificultades de Espa</w:t>
      </w:r>
      <w:r>
        <w:rPr>
          <w:rFonts w:ascii="Times New Roman" w:hAnsi="Times New Roman" w:cs="Times New Roman"/>
          <w:sz w:val="24"/>
          <w:szCs w:val="24"/>
        </w:rPr>
        <w:t>ña para controlar la situación.</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 xml:space="preserve">Por el contrario, Italia ha logrado reducir en más de un 60% la entrada de migrantes gracias al denominado Plan Mattei impulsado por Giorgia Meloni. La estrategia italiana combina inversiones en países africanos con acuerdos de cooperación en sectores clave. En España, sin embargo, </w:t>
      </w:r>
      <w:r w:rsidR="00203F39">
        <w:rPr>
          <w:rFonts w:ascii="Times New Roman" w:hAnsi="Times New Roman" w:cs="Times New Roman"/>
          <w:sz w:val="24"/>
          <w:szCs w:val="24"/>
        </w:rPr>
        <w:t>continúa el “efecto colador”</w:t>
      </w:r>
      <w:r w:rsidRPr="002001F2">
        <w:rPr>
          <w:rFonts w:ascii="Times New Roman" w:hAnsi="Times New Roman" w:cs="Times New Roman"/>
          <w:sz w:val="24"/>
          <w:szCs w:val="24"/>
        </w:rPr>
        <w:t>, y eso beneficia mucho a lo</w:t>
      </w:r>
      <w:r>
        <w:rPr>
          <w:rFonts w:ascii="Times New Roman" w:hAnsi="Times New Roman" w:cs="Times New Roman"/>
          <w:sz w:val="24"/>
          <w:szCs w:val="24"/>
        </w:rPr>
        <w:t>s traficantes de seres humanos.</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Tarifas que revelan un negocio millonario</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Tal y como explica L'Alternatiu, las mafias que operan en la ruta hacia Baleares aplican tarifas distintas según el origen de los migrantes. Los procedentes del África subsahariana pagan alrededor de 9.000 euros. En el caso de quienes llegan desde Oriente Medio o Asia Central los precios alcanzan e</w:t>
      </w:r>
      <w:r>
        <w:rPr>
          <w:rFonts w:ascii="Times New Roman" w:hAnsi="Times New Roman" w:cs="Times New Roman"/>
          <w:sz w:val="24"/>
          <w:szCs w:val="24"/>
        </w:rPr>
        <w:t>ntre los 12.000 y 14.000 euros.</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Los ciudadanos argelinos, al encontrarse más cerca de la última etapa del viaje, acceden a pasajes más baratos, en torno a 6.000 euros. Cada embarcación, equipada con motores potentes y tecnología similar a la utilizada por narcotraficantes, se convierte así en un negocio altamente rentable para las organizaciones criminales. Por su parte, el patrón solo recibe 300 euros por arriesgarse en el viaje.</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Los factores políticos que hay detrás</w:t>
      </w:r>
    </w:p>
    <w:p w:rsidR="006A1F56" w:rsidRPr="002001F2"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Uno de los motivos de esta presión desde Argelia está en el giro del Gobierno español en relación con el Sáhara. Al aliarnos de manera cerrada con Marruecos, Argelia ha suspendido de facto las relaciones diplomáticas con España. De este modo, lo que España ha ganado por Marruec</w:t>
      </w:r>
      <w:r>
        <w:rPr>
          <w:rFonts w:ascii="Times New Roman" w:hAnsi="Times New Roman" w:cs="Times New Roman"/>
          <w:sz w:val="24"/>
          <w:szCs w:val="24"/>
        </w:rPr>
        <w:t>os lo pierde ahora por Argelia.</w:t>
      </w:r>
    </w:p>
    <w:p w:rsidR="006A1F56" w:rsidRDefault="006A1F56" w:rsidP="006A1F56">
      <w:pPr>
        <w:spacing w:line="240" w:lineRule="auto"/>
        <w:jc w:val="both"/>
        <w:rPr>
          <w:rFonts w:ascii="Times New Roman" w:hAnsi="Times New Roman" w:cs="Times New Roman"/>
          <w:sz w:val="24"/>
          <w:szCs w:val="24"/>
        </w:rPr>
      </w:pPr>
      <w:r w:rsidRPr="002001F2">
        <w:rPr>
          <w:rFonts w:ascii="Times New Roman" w:hAnsi="Times New Roman" w:cs="Times New Roman"/>
          <w:sz w:val="24"/>
          <w:szCs w:val="24"/>
        </w:rPr>
        <w:t xml:space="preserve">A este escenario se suma la situación interna de Argelia. Como el resto de países de la región, la economía argelina está estancada y la represión política está a la orden del día. En </w:t>
      </w:r>
      <w:r w:rsidRPr="002001F2">
        <w:rPr>
          <w:rFonts w:ascii="Times New Roman" w:hAnsi="Times New Roman" w:cs="Times New Roman"/>
          <w:sz w:val="24"/>
          <w:szCs w:val="24"/>
        </w:rPr>
        <w:lastRenderedPageBreak/>
        <w:t>consecuencia, la dificultad para obtener visados legales dispara la migración irregular. Por otra parte, las regularizaciones masivas que se hacen desde España no ayudan a detener el efecto llamada.</w:t>
      </w:r>
    </w:p>
    <w:p w:rsidR="006A1F56" w:rsidRPr="009506BA" w:rsidRDefault="006A1F56" w:rsidP="006A1F56">
      <w:pPr>
        <w:spacing w:line="240" w:lineRule="auto"/>
        <w:jc w:val="both"/>
        <w:rPr>
          <w:rFonts w:ascii="Times New Roman" w:hAnsi="Times New Roman" w:cs="Times New Roman"/>
          <w:sz w:val="24"/>
          <w:szCs w:val="24"/>
        </w:rPr>
      </w:pPr>
      <w:r w:rsidRPr="009506BA">
        <w:rPr>
          <w:rFonts w:ascii="Times New Roman" w:hAnsi="Times New Roman" w:cs="Times New Roman"/>
          <w:sz w:val="24"/>
          <w:szCs w:val="24"/>
        </w:rPr>
        <w:t xml:space="preserve">- </w:t>
      </w:r>
      <w:r w:rsidRPr="009506BA">
        <w:rPr>
          <w:rFonts w:ascii="Times New Roman" w:hAnsi="Times New Roman" w:cs="Times New Roman"/>
          <w:sz w:val="24"/>
          <w:szCs w:val="24"/>
          <w:u w:val="single"/>
        </w:rPr>
        <w:t>Un informe de la UE alerta de la infiltración de criminales en los cayucos de Argelia</w:t>
      </w:r>
      <w:r w:rsidRPr="009506BA">
        <w:rPr>
          <w:rFonts w:ascii="Times New Roman" w:hAnsi="Times New Roman" w:cs="Times New Roman"/>
          <w:sz w:val="24"/>
          <w:szCs w:val="24"/>
        </w:rPr>
        <w:t xml:space="preserve"> (The Objective - </w:t>
      </w:r>
      <w:r w:rsidRPr="009506BA">
        <w:rPr>
          <w:rFonts w:ascii="Times New Roman" w:hAnsi="Times New Roman" w:cs="Times New Roman"/>
          <w:b/>
          <w:sz w:val="24"/>
          <w:szCs w:val="24"/>
        </w:rPr>
        <w:t>28/8/25</w:t>
      </w:r>
      <w:r w:rsidRPr="009506BA">
        <w:rPr>
          <w:rFonts w:ascii="Times New Roman" w:hAnsi="Times New Roman" w:cs="Times New Roman"/>
          <w:sz w:val="24"/>
          <w:szCs w:val="24"/>
        </w:rPr>
        <w:t>)</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Fron</w:t>
      </w:r>
      <w:r w:rsidR="00203F39">
        <w:rPr>
          <w:rFonts w:ascii="Times New Roman" w:hAnsi="Times New Roman" w:cs="Times New Roman"/>
          <w:sz w:val="24"/>
          <w:szCs w:val="24"/>
        </w:rPr>
        <w:t>tex advierte del riesgo de que “</w:t>
      </w:r>
      <w:r w:rsidRPr="0084205C">
        <w:rPr>
          <w:rFonts w:ascii="Times New Roman" w:hAnsi="Times New Roman" w:cs="Times New Roman"/>
          <w:sz w:val="24"/>
          <w:szCs w:val="24"/>
        </w:rPr>
        <w:t>personas con intenciones potencialmente malicio</w:t>
      </w:r>
      <w:r w:rsidR="00203F39">
        <w:rPr>
          <w:rFonts w:ascii="Times New Roman" w:hAnsi="Times New Roman" w:cs="Times New Roman"/>
          <w:sz w:val="24"/>
          <w:szCs w:val="24"/>
        </w:rPr>
        <w:t>sas se mezclen con inmigrantes”</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(Por Enrique Recio)</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El último informe anual de riesgos de la agencia europea de fronteras (Frontex), el Annual Risk Analysis (ARA) 2025-2026, alerta de la posible infiltración de criminales entre los inmigrantes irregulares que están llegando en cayucos desde Argelia a la península y a las Islas Baleares. Las mafias dedicadas al tráfico de personas «han desarrollado tácticas» para saltarse los controles de las autoridades en los países de origen y garantizar así que las embar</w:t>
      </w:r>
      <w:r w:rsidR="00203F39">
        <w:rPr>
          <w:rFonts w:ascii="Times New Roman" w:hAnsi="Times New Roman" w:cs="Times New Roman"/>
          <w:sz w:val="24"/>
          <w:szCs w:val="24"/>
        </w:rPr>
        <w:t>caciones lleguen a su destino. “</w:t>
      </w:r>
      <w:r w:rsidRPr="0084205C">
        <w:rPr>
          <w:rFonts w:ascii="Times New Roman" w:hAnsi="Times New Roman" w:cs="Times New Roman"/>
          <w:sz w:val="24"/>
          <w:szCs w:val="24"/>
        </w:rPr>
        <w:t>Esto puede permitir que personas con intenciones potencialmente maliciosas se mezclen con migrantes irregulares, entren en la Unión Europea sin ser detectadas y participen potencial</w:t>
      </w:r>
      <w:r w:rsidR="00203F39">
        <w:rPr>
          <w:rFonts w:ascii="Times New Roman" w:hAnsi="Times New Roman" w:cs="Times New Roman"/>
          <w:sz w:val="24"/>
          <w:szCs w:val="24"/>
        </w:rPr>
        <w:t>mente en actividades delictivas”</w:t>
      </w:r>
      <w:r w:rsidRPr="0084205C">
        <w:rPr>
          <w:rFonts w:ascii="Times New Roman" w:hAnsi="Times New Roman" w:cs="Times New Roman"/>
          <w:sz w:val="24"/>
          <w:szCs w:val="24"/>
        </w:rPr>
        <w:t>, advierte este organismo de la UE.</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 xml:space="preserve">Este documento, que analiza los riesgos asociados al control de fronteras exteriores de la UE y que fue publicado a principios del verano, pone el foco en el aumento de los flujos migratorios de la ruta del Mediterráneo Occidental y en cómo estos últimos se han desplazado desde las costas de Marruecos hacia las de Argelia en los dos últimos años. Un cambio en la tendencia migratoria que coincide en el tiempo con los acuerdos bilaterales de España y Marruecos, que se comprometió a endurecer los controles en las vallas de Ceuta y Melilla a cambio del apoyo español al plan de independencia marroquí para el Sáhara Occidental. Y con la que fue su consecuencia inmediata por parte de Argelia: la ruptura del tratado de amistad con el Gobierno de Pedro Sánchez. </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Desde que el país argelino decidiese romper con España, en 2022, los flujos se han disparado en el archipiélago balear. Ese mismo año, la recepción de cayucos marcó su pico histórico, 2.637 personas arribaron a bordo de 176 embarcaciones. Hasta ese ejercicio, las llegadas anuales al archipiélago se situaban en torno a las 500 personas. En 2024, la tendencia siguió al alza y esa cifra se multiplicó por 12. Este año ese dato se quedará muy atrás. La región está afrontando una presión migratoria sin precedentes. Hasta ahora, han llegado a las islas más de 4.700 inmigrantes irregulares, lo que supone un 120% más que el año pasado, y, si se mantiene este ritmo, las previsiones son que a final de año las llegadas sean en torno a 13.000. Unos datos que consolidan la ruta argelina</w:t>
      </w:r>
      <w:r w:rsidR="00203F39">
        <w:rPr>
          <w:rFonts w:ascii="Times New Roman" w:hAnsi="Times New Roman" w:cs="Times New Roman"/>
          <w:sz w:val="24"/>
          <w:szCs w:val="24"/>
        </w:rPr>
        <w:t xml:space="preserve"> como vía de entrada a Europa. “Somos las nueva frontera sur”</w:t>
      </w:r>
      <w:r w:rsidRPr="0084205C">
        <w:rPr>
          <w:rFonts w:ascii="Times New Roman" w:hAnsi="Times New Roman" w:cs="Times New Roman"/>
          <w:sz w:val="24"/>
          <w:szCs w:val="24"/>
        </w:rPr>
        <w:t>, advierten desde el Ejecutivo autonómico</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Más presencia de Frontex</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 xml:space="preserve">Lo cierto es que esta ruta migratoria es la única que crece en todo el país, frente al descenso de los flujos también en Canarias. Un escenario que ha empujado al Gobierno de Marga Prohens a reunirse el próximo mes de septiembre con el comisario europeo de Interior y Migración, Magnus Brunner, para reclamar apoyo operativo terrestre y marítimo de Frontex. La decisión, sin embargo, solo puede partir de la propia Comisión Europea, que negociaría posteriormente con el gobierno estatal el correspondiente convenio de colaboración, señalan </w:t>
      </w:r>
      <w:r w:rsidRPr="0084205C">
        <w:rPr>
          <w:rFonts w:ascii="Times New Roman" w:hAnsi="Times New Roman" w:cs="Times New Roman"/>
          <w:sz w:val="24"/>
          <w:szCs w:val="24"/>
        </w:rPr>
        <w:lastRenderedPageBreak/>
        <w:t>las fuentes consultadas por este periódico. Hasta ahora, la agencia europea de fronteras tiene desplegados efectivos en Canarias, el Atlántico y la Zona del Estrecho.</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En el citado informe, el organismo de la UE señala como los flujos migrat</w:t>
      </w:r>
      <w:r w:rsidR="00DD504A">
        <w:rPr>
          <w:rFonts w:ascii="Times New Roman" w:hAnsi="Times New Roman" w:cs="Times New Roman"/>
          <w:sz w:val="24"/>
          <w:szCs w:val="24"/>
        </w:rPr>
        <w:t>orios a Baleares han fluctuado “</w:t>
      </w:r>
      <w:r w:rsidRPr="0084205C">
        <w:rPr>
          <w:rFonts w:ascii="Times New Roman" w:hAnsi="Times New Roman" w:cs="Times New Roman"/>
          <w:sz w:val="24"/>
          <w:szCs w:val="24"/>
        </w:rPr>
        <w:t>a lo largo del tiempo, con un aumento significativo en 2018, se</w:t>
      </w:r>
      <w:r w:rsidR="00DD504A">
        <w:rPr>
          <w:rFonts w:ascii="Times New Roman" w:hAnsi="Times New Roman" w:cs="Times New Roman"/>
          <w:sz w:val="24"/>
          <w:szCs w:val="24"/>
        </w:rPr>
        <w:t>guido de un descenso hasta 2022”</w:t>
      </w:r>
      <w:r w:rsidRPr="0084205C">
        <w:rPr>
          <w:rFonts w:ascii="Times New Roman" w:hAnsi="Times New Roman" w:cs="Times New Roman"/>
          <w:sz w:val="24"/>
          <w:szCs w:val="24"/>
        </w:rPr>
        <w:t>.</w:t>
      </w:r>
      <w:r w:rsidR="00203F39">
        <w:rPr>
          <w:rFonts w:ascii="Times New Roman" w:hAnsi="Times New Roman" w:cs="Times New Roman"/>
          <w:sz w:val="24"/>
          <w:szCs w:val="24"/>
        </w:rPr>
        <w:t xml:space="preserve"> A partir de ese año y de 2023 “</w:t>
      </w:r>
      <w:r w:rsidRPr="0084205C">
        <w:rPr>
          <w:rFonts w:ascii="Times New Roman" w:hAnsi="Times New Roman" w:cs="Times New Roman"/>
          <w:sz w:val="24"/>
          <w:szCs w:val="24"/>
        </w:rPr>
        <w:t>se registraron ligeros aumentos en las llegadas de migrantes, que se mantuv</w:t>
      </w:r>
      <w:r w:rsidR="00203F39">
        <w:rPr>
          <w:rFonts w:ascii="Times New Roman" w:hAnsi="Times New Roman" w:cs="Times New Roman"/>
          <w:sz w:val="24"/>
          <w:szCs w:val="24"/>
        </w:rPr>
        <w:t>ieron en el mismo nivel en 2024”</w:t>
      </w:r>
      <w:r w:rsidRPr="0084205C">
        <w:rPr>
          <w:rFonts w:ascii="Times New Roman" w:hAnsi="Times New Roman" w:cs="Times New Roman"/>
          <w:sz w:val="24"/>
          <w:szCs w:val="24"/>
        </w:rPr>
        <w:t>. En ese ejercicio llegaron de forma irregular 6.000 personas a las islas, una cifra r</w:t>
      </w:r>
      <w:r w:rsidR="00203F39">
        <w:rPr>
          <w:rFonts w:ascii="Times New Roman" w:hAnsi="Times New Roman" w:cs="Times New Roman"/>
          <w:sz w:val="24"/>
          <w:szCs w:val="24"/>
        </w:rPr>
        <w:t>écord. Además, se ha observado “</w:t>
      </w:r>
      <w:r w:rsidRPr="0084205C">
        <w:rPr>
          <w:rFonts w:ascii="Times New Roman" w:hAnsi="Times New Roman" w:cs="Times New Roman"/>
          <w:sz w:val="24"/>
          <w:szCs w:val="24"/>
        </w:rPr>
        <w:t>un cambio en la composición de los migrantes debido a una disminución significativa de las salidas desde Marruecos y un aumento de las salidas desde Argelia», lo que ha provocado «un aumento repentino de las</w:t>
      </w:r>
      <w:r w:rsidR="00203F39">
        <w:rPr>
          <w:rFonts w:ascii="Times New Roman" w:hAnsi="Times New Roman" w:cs="Times New Roman"/>
          <w:sz w:val="24"/>
          <w:szCs w:val="24"/>
        </w:rPr>
        <w:t xml:space="preserve"> llegadas a las Islas Baleares”</w:t>
      </w:r>
      <w:r w:rsidRPr="0084205C">
        <w:rPr>
          <w:rFonts w:ascii="Times New Roman" w:hAnsi="Times New Roman" w:cs="Times New Roman"/>
          <w:sz w:val="24"/>
          <w:szCs w:val="24"/>
        </w:rPr>
        <w:t>, explican.</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Un millón de euros en lanchas</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De este modo, la agencia de fronteras sostiene que ha habido un desplazamiento de la presión migratoria de las costas marroquíes hacia las argelinas. Prueba de ello, según advierten fuentes policiales, es que entre los inmigrantes que están llegando a cayuco a las Baleares hay ya más subsaharianos que argelinos. Este cambio en las rutas no ha pillado por sorpresa a las mafias, que han perfeccionado sus operaciones para pasar cada vez más inadvertidos entre las autoridades del país vecino y han adquirido embarcaciones capaces de llevar en apenas ocho horas a los migrantes hasta las costas baleares. La Guardia Civil ha desarticulado precisamente esta semana una organización criminal dedicada al tráfico de inmigrantes irregulares entre Argelia y España que contaba con 15 embarcaciones de gran cilindrada.</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El instituto armado ha detenido a 14 personas e investiga a otras ocho en Almería, Sevilla y Alicante por formar parte de esta red criminal, que, según la investigación, llegó a invertir más de un millón de euros para la adquisición y fabricación de embarcaciones de alta velocidad, las denominadas Go Fast. La organización criminal tenía unos roles perfectamente definidos en diferentes facciones, desde patrocinadores hasta colaboradores en el sector náutico. A través de los entramados de empresas, ubicadas en Francia, que utilizaban para canalizar los beneficios, los agentes han descubierto que llegaban a cobrar hasta 7.000 euros por inmigrantes irregular para llevarlos hasta España.</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El reparto de menores inmigrantes</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 xml:space="preserve">El aumento de los flujos migratorios en Baleare ha coincidido, por otro lado, con el inicio del reparto de menores extranjeros no acompañados entre comunidades autónomas tras la aprobación de la norma que hace la distribución obligatoria cuando una región triplica su capacidad de acogida, como ocurre en Canarias, que acoge a más de 5.000 jóvenes cuando tiene capacidad para hacerlo solo con 700. La comunidad autónoma balear, pese a su situación, deberá acoger una cuota de estos menores en las próximas semanas. Sin embargo, desde el Gobierno de Marga Prohens se niegan en rotundo. </w:t>
      </w:r>
    </w:p>
    <w:p w:rsidR="006A1F56"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Por ahora, el Ejecutivo autonómico ha recurrido la norma ante el Tribunal Supremo y ha pedido que se suspenda el reparto de menores extranjeros entre las regiones como medida cautelar, lo que podría afectar al mismo antes incluso de ponerse en marcha. Además, según ha señalado este miércoles la vicepresidenta balear, Antònia Maria Estarellas, la comunidad autónoma pedirá, al igual que Canarias, la situación de contingencia migratoria extraordinaria porque sus centros de acogida están a más del 1.000% de su capacidad. Desde el Ministerio de Infancia y Juventud, sin embargo, ya han adelantado que no cumplen con las condiciones requeridas y amenazan con que la Fiscalía actuará si las regiones no cumplen con la norma.</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lastRenderedPageBreak/>
        <w:t xml:space="preserve">- </w:t>
      </w:r>
      <w:r w:rsidRPr="0084205C">
        <w:rPr>
          <w:rFonts w:ascii="Times New Roman" w:hAnsi="Times New Roman" w:cs="Times New Roman"/>
          <w:sz w:val="24"/>
          <w:szCs w:val="24"/>
          <w:u w:val="single"/>
        </w:rPr>
        <w:t>La Guardia Civ</w:t>
      </w:r>
      <w:r w:rsidR="00203F39">
        <w:rPr>
          <w:rFonts w:ascii="Times New Roman" w:hAnsi="Times New Roman" w:cs="Times New Roman"/>
          <w:sz w:val="24"/>
          <w:szCs w:val="24"/>
          <w:u w:val="single"/>
        </w:rPr>
        <w:t>il, desbordada por el goteo de “nadadores” en Ceuta: “Hay 100 intentos al día”</w:t>
      </w:r>
      <w:r w:rsidRPr="0084205C">
        <w:rPr>
          <w:rFonts w:ascii="Times New Roman" w:hAnsi="Times New Roman" w:cs="Times New Roman"/>
          <w:sz w:val="24"/>
          <w:szCs w:val="24"/>
        </w:rPr>
        <w:t xml:space="preserve"> (The Objective - </w:t>
      </w:r>
      <w:r w:rsidRPr="0084205C">
        <w:rPr>
          <w:rFonts w:ascii="Times New Roman" w:hAnsi="Times New Roman" w:cs="Times New Roman"/>
          <w:b/>
          <w:sz w:val="24"/>
          <w:szCs w:val="24"/>
        </w:rPr>
        <w:t>29/8/25</w:t>
      </w:r>
      <w:r w:rsidRPr="0084205C">
        <w:rPr>
          <w:rFonts w:ascii="Times New Roman" w:hAnsi="Times New Roman" w:cs="Times New Roman"/>
          <w:sz w:val="24"/>
          <w:szCs w:val="24"/>
        </w:rPr>
        <w:t>)</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Los agentes denuncian la falta de embarcaciones adecuadas y el desgaste ante el rescate sistemático de inmigrantes</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(Por Enrique Recio)</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 xml:space="preserve">Los agentes de la Guardia Civil encargados de frenar a los nadadores que cada día intentan cruzar desde Marruecos a las costas de Ceuta están al límite. En la última semana se han contabilizado unos 700 intentos de entrada, según advierten fuentes locales a este diario, lo que se traduce en que cada día, de media, un centenar de personas se lanza al mar para llegar a territorio español. Los inmigrantes, en su mayoría menores, aunque se han registrado las llegadas de adultos, hombres y mujeres, e incluso de discapacitados, aprovechan el viento de levante y una niebla espesa, característica de la zona en verano, para conseguir su propósito agarrados a flotadores caseros. Efectivos de Guardia Civil y del Servicio Marítimo localizan a la mayoría en el agua, tras lo que la Marina marroquí se hace cargo de ellos. </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Los inmigrantes que intentan cruzar a nado a la ciudad autónoma se lanzan desde la playa de Castillejos, en Fnideq (Marruecos), que es el municipio más próximo a Ceuta, en la bahía sur; o tratan de hacerlo desde Belyounech, punto próximo a la localidad ceutí de Benzú, en la bahía norte. Casi siempre lo hacen de noche, para esquivar a las autoridades. Es estas circunstancias, el equipo de operadores de cámaras térmicas de la Guardia Civ</w:t>
      </w:r>
      <w:r w:rsidR="00203F39">
        <w:rPr>
          <w:rFonts w:ascii="Times New Roman" w:hAnsi="Times New Roman" w:cs="Times New Roman"/>
          <w:sz w:val="24"/>
          <w:szCs w:val="24"/>
        </w:rPr>
        <w:t>il y el Servicio Marítimo juega</w:t>
      </w:r>
      <w:r w:rsidRPr="0084205C">
        <w:rPr>
          <w:rFonts w:ascii="Times New Roman" w:hAnsi="Times New Roman" w:cs="Times New Roman"/>
          <w:sz w:val="24"/>
          <w:szCs w:val="24"/>
        </w:rPr>
        <w:t xml:space="preserve"> un papel clave. Estos agentes, encargados de vigilar todo el perímetro fronterizo, la zona de costa y las aguas territoriales, indican a las autoridades marroquíes dónde están los nadadores y después les brindan apoyo. </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Falta de medios en Ceuta</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 xml:space="preserve">El problema, según denuncian fuentes de la Guardia Civil, es que la Comandancia de Ceuta no cuenta ni con los medios ni con las embarcaciones adecuadas para auxiliar a los inmigrantes y en muchas ocasiones los agentes se juegan la vida a la hora de rescatar a las personas en el agua. A la poca visibilidad, se suman las jornadas maratonianas de los agentes entre bahía y bahía, el riesgo de caer al mar o de que surja cualquier otro contratiempo con los nadadores, habida cuenta de que niegan a ser ayudados por temor a ser </w:t>
      </w:r>
      <w:r w:rsidR="00203F39">
        <w:rPr>
          <w:rFonts w:ascii="Times New Roman" w:hAnsi="Times New Roman" w:cs="Times New Roman"/>
          <w:sz w:val="24"/>
          <w:szCs w:val="24"/>
        </w:rPr>
        <w:t>devueltos a su país de origen. “</w:t>
      </w:r>
      <w:r w:rsidRPr="0084205C">
        <w:rPr>
          <w:rFonts w:ascii="Times New Roman" w:hAnsi="Times New Roman" w:cs="Times New Roman"/>
          <w:sz w:val="24"/>
          <w:szCs w:val="24"/>
        </w:rPr>
        <w:t>Sin medios adecuados y completamente desbordados, los guardias civiles arriesgan diariamente sus vidas en condiciones extremas. No queremos felicitaciones de los políticos en las redes sociales, sino accio</w:t>
      </w:r>
      <w:r w:rsidR="00203F39">
        <w:rPr>
          <w:rFonts w:ascii="Times New Roman" w:hAnsi="Times New Roman" w:cs="Times New Roman"/>
          <w:sz w:val="24"/>
          <w:szCs w:val="24"/>
        </w:rPr>
        <w:t>nes que mejoren nuestro trabajo”</w:t>
      </w:r>
      <w:r w:rsidRPr="0084205C">
        <w:rPr>
          <w:rFonts w:ascii="Times New Roman" w:hAnsi="Times New Roman" w:cs="Times New Roman"/>
          <w:sz w:val="24"/>
          <w:szCs w:val="24"/>
        </w:rPr>
        <w:t xml:space="preserve">, critica el secretario general la Asociación Unificada de Guardias Civiles (AUGC) en Ceuta, Rachid Sbihi.  </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 xml:space="preserve">Por ahora, el Ministerio del Interior no ha dispuesto ningún refuerzo de agentes este verano, más allá de los efectivos del Grupo de Respuesta y Seguridad (GRS), los antidisturbios de la Guardia Civil, y se desplazan a la ciudad autónoma en comisión de servicios cada año para reforzar la vigilancia del perímetro fronterizo. Las asociaciones profesionales han pedido al departamento dirigido por Fernando Grande-Marlaska 200 guardias civiles más para completar las plantillas del Servicio Marítimo y de los Grupos Especiales de Actividades Subacuáticas (GEAS). Una petición que no ha sido escuchada por Interior, pese a que, critican, el fenómeno de los nadadores vienen agravándose desde el año pasado. </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 xml:space="preserve">Según el último balance publicado por el Ministerio del Interior, en el último mes han llegado de por vía terrestre a la ciudad autónoma 614 inmigrantes irregulares. La cifra total en lo que </w:t>
      </w:r>
      <w:r w:rsidRPr="0084205C">
        <w:rPr>
          <w:rFonts w:ascii="Times New Roman" w:hAnsi="Times New Roman" w:cs="Times New Roman"/>
          <w:sz w:val="24"/>
          <w:szCs w:val="24"/>
        </w:rPr>
        <w:lastRenderedPageBreak/>
        <w:t>llevamos de año es de 1.721, un 7,2% más que el mismo periodo del año pasado. Esta estadística, sin embargo, no recoge todos los intentos que se producen cada noche de personas interceptadas en el mar en labores que absorben totalmente el trabajo de la Guarida Civil y del Servicio Marítimo. La última entrada masiva de nadadores a Ceuta se produjo a finales de julio, cuando medio centenar de inmigrantes accedió por zonas del Tarajal y Benzú, aprovechando el temporal que azotó la costa.</w:t>
      </w:r>
    </w:p>
    <w:p w:rsidR="006A1F56" w:rsidRPr="0084205C" w:rsidRDefault="00203F39"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“Marruecos no hace lo suficiente”</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 xml:space="preserve">Fuentes de la Guardia Civil, por otro lado, critican que este trabajo de contención no puede recaer solo en la zona española. Si bien la colaboración de las autoridades marroquíes es constante e incluso han abierto una investigación para tratar de desmantelar las organizaciones que animan, sobre todo a través de redes sociales como TikTok, a lanzarse a los jóvenes al mar para llegar a España, distintos agentes </w:t>
      </w:r>
      <w:r w:rsidR="00203F39">
        <w:rPr>
          <w:rFonts w:ascii="Times New Roman" w:hAnsi="Times New Roman" w:cs="Times New Roman"/>
          <w:sz w:val="24"/>
          <w:szCs w:val="24"/>
        </w:rPr>
        <w:t>advierten de que el país alauí “</w:t>
      </w:r>
      <w:r w:rsidRPr="0084205C">
        <w:rPr>
          <w:rFonts w:ascii="Times New Roman" w:hAnsi="Times New Roman" w:cs="Times New Roman"/>
          <w:sz w:val="24"/>
          <w:szCs w:val="24"/>
        </w:rPr>
        <w:t>no hace lo sufic</w:t>
      </w:r>
      <w:r w:rsidR="00203F39">
        <w:rPr>
          <w:rFonts w:ascii="Times New Roman" w:hAnsi="Times New Roman" w:cs="Times New Roman"/>
          <w:sz w:val="24"/>
          <w:szCs w:val="24"/>
        </w:rPr>
        <w:t>iente para frenar este fenómeno”. “</w:t>
      </w:r>
      <w:r w:rsidRPr="0084205C">
        <w:rPr>
          <w:rFonts w:ascii="Times New Roman" w:hAnsi="Times New Roman" w:cs="Times New Roman"/>
          <w:sz w:val="24"/>
          <w:szCs w:val="24"/>
        </w:rPr>
        <w:t>¿Por qué Marruecos no ha invertido dinero en cámaras térmicas para la detección de los nadadores? Sería un gran avance. Al final, Marruecos intenta vender que hace todo lo que puede, pero no es así, no activan todos los medios de que disponen: más embarcaciones, más personal… Si quisiesen ni una sol</w:t>
      </w:r>
      <w:r w:rsidR="00203F39">
        <w:rPr>
          <w:rFonts w:ascii="Times New Roman" w:hAnsi="Times New Roman" w:cs="Times New Roman"/>
          <w:sz w:val="24"/>
          <w:szCs w:val="24"/>
        </w:rPr>
        <w:t>a persona saldría de sus costas”</w:t>
      </w:r>
      <w:r w:rsidRPr="0084205C">
        <w:rPr>
          <w:rFonts w:ascii="Times New Roman" w:hAnsi="Times New Roman" w:cs="Times New Roman"/>
          <w:sz w:val="24"/>
          <w:szCs w:val="24"/>
        </w:rPr>
        <w:t xml:space="preserve">, advierten.  </w:t>
      </w:r>
    </w:p>
    <w:p w:rsidR="006A1F56" w:rsidRPr="0084205C"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Estas mismas fuent</w:t>
      </w:r>
      <w:r w:rsidR="00203F39">
        <w:rPr>
          <w:rFonts w:ascii="Times New Roman" w:hAnsi="Times New Roman" w:cs="Times New Roman"/>
          <w:sz w:val="24"/>
          <w:szCs w:val="24"/>
        </w:rPr>
        <w:t>es explican que al país vecino “</w:t>
      </w:r>
      <w:r w:rsidRPr="0084205C">
        <w:rPr>
          <w:rFonts w:ascii="Times New Roman" w:hAnsi="Times New Roman" w:cs="Times New Roman"/>
          <w:sz w:val="24"/>
          <w:szCs w:val="24"/>
        </w:rPr>
        <w:t xml:space="preserve">le interesa </w:t>
      </w:r>
      <w:r w:rsidR="00203F39">
        <w:rPr>
          <w:rFonts w:ascii="Times New Roman" w:hAnsi="Times New Roman" w:cs="Times New Roman"/>
          <w:sz w:val="24"/>
          <w:szCs w:val="24"/>
        </w:rPr>
        <w:t>mantener esa presión migratoria” para “</w:t>
      </w:r>
      <w:r w:rsidRPr="0084205C">
        <w:rPr>
          <w:rFonts w:ascii="Times New Roman" w:hAnsi="Times New Roman" w:cs="Times New Roman"/>
          <w:sz w:val="24"/>
          <w:szCs w:val="24"/>
        </w:rPr>
        <w:t>tensar la</w:t>
      </w:r>
      <w:r w:rsidR="00203F39">
        <w:rPr>
          <w:rFonts w:ascii="Times New Roman" w:hAnsi="Times New Roman" w:cs="Times New Roman"/>
          <w:sz w:val="24"/>
          <w:szCs w:val="24"/>
        </w:rPr>
        <w:t xml:space="preserve"> cuerda con el Gobierno español”. “</w:t>
      </w:r>
      <w:r w:rsidRPr="0084205C">
        <w:rPr>
          <w:rFonts w:ascii="Times New Roman" w:hAnsi="Times New Roman" w:cs="Times New Roman"/>
          <w:sz w:val="24"/>
          <w:szCs w:val="24"/>
        </w:rPr>
        <w:t>Es una estrategia política, un tira y afloja en el que va ganando Marruecos, habida cuenta de que son cada vez más menores de los que se tiene que hacer cargo la ci</w:t>
      </w:r>
      <w:r w:rsidR="006E75B7">
        <w:rPr>
          <w:rFonts w:ascii="Times New Roman" w:hAnsi="Times New Roman" w:cs="Times New Roman"/>
          <w:sz w:val="24"/>
          <w:szCs w:val="24"/>
        </w:rPr>
        <w:t>udad autónoma”</w:t>
      </w:r>
      <w:r w:rsidRPr="0084205C">
        <w:rPr>
          <w:rFonts w:ascii="Times New Roman" w:hAnsi="Times New Roman" w:cs="Times New Roman"/>
          <w:sz w:val="24"/>
          <w:szCs w:val="24"/>
        </w:rPr>
        <w:t>. Frente a esta posición, sin embargo, otras fuentes insisten en una total colaboración por parte de las fuerzas de seguridad marroquíes, que responde no solo al buen clima de las relaciones entre Madrid y Rabat, sino a la necesidad de acabar con la nefasta imagen internacional que está proyectando el país, del que mayoría de sus jóvenes trata de huir. Hasta ahora, esta peligrosa travesía se ha cobrado la vida de 23 personas, cuyos cadáveres han aparecido en las costas ceutíes.</w:t>
      </w:r>
    </w:p>
    <w:p w:rsidR="006A1F56" w:rsidRDefault="006A1F56" w:rsidP="006A1F56">
      <w:pPr>
        <w:spacing w:line="240" w:lineRule="auto"/>
        <w:jc w:val="both"/>
        <w:rPr>
          <w:rFonts w:ascii="Times New Roman" w:hAnsi="Times New Roman" w:cs="Times New Roman"/>
          <w:sz w:val="24"/>
          <w:szCs w:val="24"/>
        </w:rPr>
      </w:pPr>
      <w:r w:rsidRPr="0084205C">
        <w:rPr>
          <w:rFonts w:ascii="Times New Roman" w:hAnsi="Times New Roman" w:cs="Times New Roman"/>
          <w:sz w:val="24"/>
          <w:szCs w:val="24"/>
        </w:rPr>
        <w:t>La saturación en los centros de la ciudad autónoma han llevado al Gobierno de Ceuta a formalizar este jueves la solicitud de declaración de la situación de contingencia migratoria extraordinaria, en cumplimiento de la nueva ley de extranjería, que dicta que si una región triplica su capacidad de acogida de menores, el resto de comunidades debe responder solidariamente y tutelar a un número de esos adolescentes. Las cuotas se establecen en función de criterios como la población o la renta per cápita. Ceuta da asistencia a 520 niños y niñas extranjeros pese a contar con 27 plazas ordinarias. En el caso de los adultos, la situación también está al límite. El Centro de Estancia Temporal de Inmigrantes (CETI) acoge a 930 personas, una de las cifras más altas que se han registrado en esta instalación.</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 xml:space="preserve">- </w:t>
      </w:r>
      <w:r w:rsidRPr="00627A9A">
        <w:rPr>
          <w:rFonts w:ascii="Times New Roman" w:hAnsi="Times New Roman" w:cs="Times New Roman"/>
          <w:sz w:val="24"/>
          <w:szCs w:val="24"/>
          <w:u w:val="single"/>
        </w:rPr>
        <w:t>Un documento de Interior admite el “asalto continuado” desde Marruecos a las vallas de Ceuta y Melilla</w:t>
      </w:r>
      <w:r w:rsidRPr="00627A9A">
        <w:rPr>
          <w:rFonts w:ascii="Times New Roman" w:hAnsi="Times New Roman" w:cs="Times New Roman"/>
          <w:sz w:val="24"/>
          <w:szCs w:val="24"/>
        </w:rPr>
        <w:t xml:space="preserve"> (Vozpópuli - </w:t>
      </w:r>
      <w:r w:rsidRPr="00627A9A">
        <w:rPr>
          <w:rFonts w:ascii="Times New Roman" w:hAnsi="Times New Roman" w:cs="Times New Roman"/>
          <w:b/>
          <w:sz w:val="24"/>
          <w:szCs w:val="24"/>
        </w:rPr>
        <w:t>2/9/25</w:t>
      </w:r>
      <w:r w:rsidRPr="00627A9A">
        <w:rPr>
          <w:rFonts w:ascii="Times New Roman" w:hAnsi="Times New Roman" w:cs="Times New Roman"/>
          <w:sz w:val="24"/>
          <w:szCs w:val="24"/>
        </w:rPr>
        <w:t>)</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Por este motivo, el departamento de Fernando Grande-Marlaska ha encargado informes técnicos para reforzar su vigilancia</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(Por Beatriz Jiménez Pérez)</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El Ministerio del Interior admite que se está produciendo un “asalto continuado” a las vallas de Ceuta y Melilla, lo que ha llevado al organismos encabezado por Fernando Grande-Marlaska ha encargar informes técnicos de seguimiento para la vigilancia del perímetro fronterizo y, también, de los puestos aduaneros de El Tarajal y Beni-Enzar.</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lastRenderedPageBreak/>
        <w:t>“La constante presión migratoria que se registra en ambas zonas y los intentos continuados de asalto a los vallados perimetrales hacen necesario que las instalaciones se encuentren permanentemente operativas, resultando fundamental asegurar un adecuado nivel de mantenimiento, tanto de las propias instalaciones de obra civil como de los sistemas y equipamientos incorporados a las mismas”, reza el documento de Interior.</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Por este motivo, el organismo de Marlaska ha llevado a cabo la contratación del servicio de asistencia para la supervisión y control del mantenimiento integral de las instalaciones de los perímetros fronterizos de España con Marruecos en las ciudades de Ceuta y de Melilla, así como del mantenimiento integral y limpieza de los puestos fronterizos y recintos aduaneros de El Tarajal, en Ceuta, y de Beni-Enzar, en Melilla.</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Entre los trabajos a realizar, Interior ha encargado informes técnicos para el seguimiento del perímetro fronterizo. “Emisión de informes, estudios técnicos y cualquier otra documentación que, a petición del órgano de contratación, sean necesarios de cara a solventar la problemática o las incidencias que puedan surgir en los perímetros y puestos fronterizos y recintos aduaneros y posibiliten la toma de decisiones”, enumera el contrato.</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 xml:space="preserve">“Por dichas razones, y debido al alto grado de complejidad y diversidad que presentan las instalaciones y al volumen de las contrataciones de servicios de mantenimiento necesarios para su funcionamiento, tanto por su número como por su importe, resulta necesario disponer de una asistencia técnica que realice el seguimiento y control de los servicios contratados en el lugar en el que se prestan, dando continuidad a los trabajos de supervisión que se están realizando en el perímetros fronterizo y ampliando su objeto para actuar de la misma manera sobre los puestos fronterizos y recintos aduaneros reseñados”, rezan los pliegos. </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Llegadas masivas a Canarias</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El Gobierno ya admite en un documento oficial que la llegada masiva de inmigrantes a las Islas Canarias supone un “riesgo para la seguridad”. El Ministerio de Seguridad Social y Migraciones ha encargado a la empresa pública Tragsa los servicios de apoyo la atención de las personas llegadas a las costas en centros de primeras llegadas. Para justificar el refuerzo de estos centros, el organismo de Elma Saiz asegura que el incremento de la llegada de personas a costas españolas genera “situaciones de grave peligro para el orden público”.</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“Desde el verano de 2023 se ha producido un incremento sin precedentes de la llegada de personas a costas españolas, para las que ha sido necesario realizar actuaciones de cara a proveer a estas personas de las necesidades básicas para poder proporcionar un servicio integral de atención. No obstante, hasta la actualidad no ha cesado la llegada de migrantes procedentes de África a nuestras costas, y si bien, ya se cuenta con algunas infraestructuras que permiten atender el flujo migratorio sin que concurra una situación catastrófica o de grave peligro”, rezan los pliegos del contrato.</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Por este motivo, el ministerio de Saiz argumenta que, cualquier retraso en la atención de las personas que entran en nuestras fronteras, puede ser determinante de la aparición de riesgos de diversa naturaleza. “Puede generar situaciones de grave peligro para el orden público derivadas del cierre de los centros existentes por falta de continuidad de los servicios esenciales descritos”, afirman en el escrito.</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 xml:space="preserve">Según Migraciones, en tanto no se produzca una disminución de las llegadas a costas, el mantenimiento y funcionamiento a pleno rendimiento de los centros resulta cada vez más complejo a pesar de que llevan muchos meses funcionando, requieren el establecimiento de </w:t>
      </w:r>
      <w:r w:rsidRPr="00627A9A">
        <w:rPr>
          <w:rFonts w:ascii="Times New Roman" w:hAnsi="Times New Roman" w:cs="Times New Roman"/>
          <w:sz w:val="24"/>
          <w:szCs w:val="24"/>
        </w:rPr>
        <w:lastRenderedPageBreak/>
        <w:t>mecanismos que permitan una continua adaptación y rápida respuesta para cubrir las necesidades de alojamiento, manutención, salubridad, seguridad y mantenimiento de los centros, lo que resulta complicado en atención al elevado número de personas que se aloja en cada uno de ellos.</w:t>
      </w:r>
    </w:p>
    <w:p w:rsidR="006A1F56" w:rsidRPr="00627A9A" w:rsidRDefault="006A1F56" w:rsidP="006A1F56">
      <w:pPr>
        <w:spacing w:line="240" w:lineRule="auto"/>
        <w:jc w:val="both"/>
        <w:rPr>
          <w:rFonts w:ascii="Times New Roman" w:hAnsi="Times New Roman" w:cs="Times New Roman"/>
          <w:sz w:val="24"/>
          <w:szCs w:val="24"/>
        </w:rPr>
      </w:pPr>
      <w:r w:rsidRPr="00627A9A">
        <w:rPr>
          <w:rFonts w:ascii="Times New Roman" w:hAnsi="Times New Roman" w:cs="Times New Roman"/>
          <w:sz w:val="24"/>
          <w:szCs w:val="24"/>
        </w:rPr>
        <w:t>“En este sentido, se considera que la llegada masiva de personas a las Islas Canarias implica una situación de riesgo para la seguridad y el orden público en los términos anteriormente expuestos”, concluyen.</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 xml:space="preserve">- </w:t>
      </w:r>
      <w:r w:rsidR="006E75B7">
        <w:rPr>
          <w:rFonts w:ascii="Times New Roman" w:hAnsi="Times New Roman" w:cs="Times New Roman"/>
          <w:sz w:val="24"/>
          <w:szCs w:val="24"/>
          <w:u w:val="single"/>
        </w:rPr>
        <w:t>El goteo de “nadadores”</w:t>
      </w:r>
      <w:r w:rsidRPr="00293726">
        <w:rPr>
          <w:rFonts w:ascii="Times New Roman" w:hAnsi="Times New Roman" w:cs="Times New Roman"/>
          <w:sz w:val="24"/>
          <w:szCs w:val="24"/>
          <w:u w:val="single"/>
        </w:rPr>
        <w:t xml:space="preserve"> colapsa el centro de inmigrantes de Ceuta y cien duermen en la calle</w:t>
      </w:r>
      <w:r w:rsidRPr="00293726">
        <w:rPr>
          <w:rFonts w:ascii="Times New Roman" w:hAnsi="Times New Roman" w:cs="Times New Roman"/>
          <w:sz w:val="24"/>
          <w:szCs w:val="24"/>
        </w:rPr>
        <w:t xml:space="preserve"> (The Objective - </w:t>
      </w:r>
      <w:r w:rsidRPr="00293726">
        <w:rPr>
          <w:rFonts w:ascii="Times New Roman" w:hAnsi="Times New Roman" w:cs="Times New Roman"/>
          <w:b/>
          <w:sz w:val="24"/>
          <w:szCs w:val="24"/>
        </w:rPr>
        <w:t>3/9/25</w:t>
      </w:r>
      <w:r w:rsidRPr="00293726">
        <w:rPr>
          <w:rFonts w:ascii="Times New Roman" w:hAnsi="Times New Roman" w:cs="Times New Roman"/>
          <w:sz w:val="24"/>
          <w:szCs w:val="24"/>
        </w:rPr>
        <w:t>)</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El CETI acoge a mil personas, cuando tiene capacidad para 500. La ciudad autónoma ha pedido ayuda al Gobierno</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(Por Enrique Recio)</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La realidad migratoria en Ceuta es ya insostenible. El Centro de Estancia Temporal de Inmigrantes (CETI) lleva colapsado desde principios del verano por el goteo diario de personas que han llegado a la ciudad autónoma de forma irregular a través del mar o saltando la valla fronteriza con Marruecos. Hasta hace unas semanas, esta instalación, que, según fuentes locale</w:t>
      </w:r>
      <w:r w:rsidR="006E75B7">
        <w:rPr>
          <w:rFonts w:ascii="Times New Roman" w:hAnsi="Times New Roman" w:cs="Times New Roman"/>
          <w:sz w:val="24"/>
          <w:szCs w:val="24"/>
        </w:rPr>
        <w:t>s, aloja a más de mil personas -</w:t>
      </w:r>
      <w:r w:rsidRPr="00293726">
        <w:rPr>
          <w:rFonts w:ascii="Times New Roman" w:hAnsi="Times New Roman" w:cs="Times New Roman"/>
          <w:sz w:val="24"/>
          <w:szCs w:val="24"/>
        </w:rPr>
        <w:t xml:space="preserve">una de las cifras </w:t>
      </w:r>
      <w:r w:rsidR="006E75B7">
        <w:rPr>
          <w:rFonts w:ascii="Times New Roman" w:hAnsi="Times New Roman" w:cs="Times New Roman"/>
          <w:sz w:val="24"/>
          <w:szCs w:val="24"/>
        </w:rPr>
        <w:t>más altas que se han registrado-</w:t>
      </w:r>
      <w:r w:rsidRPr="00293726">
        <w:rPr>
          <w:rFonts w:ascii="Times New Roman" w:hAnsi="Times New Roman" w:cs="Times New Roman"/>
          <w:sz w:val="24"/>
          <w:szCs w:val="24"/>
        </w:rPr>
        <w:t xml:space="preserve"> cuando tiene una capacidad para medio millar, había podido improvisar la instalación de unas carpas en las zonas comunes. Ahora ya no hay sitio para más inmigrantes, y un centenar de recién llegados pernocta en las puertas del centro entre mantas. Algunos incluso han construido una tienda de campaña con sábanas y cartones, a la espera de una plaza libre.</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Según publican algunos medios locales, el malestar comienza a extenderse entre estos ciudadanos, la mayoría oriundos del país alauí, y amenazan con protestas por no estar alojados en igualdad de condiciones que el resto de inmigrantes. Los CETI son centros del Ministerio de Migraciones concebidos para la primera acogida provisional</w:t>
      </w:r>
      <w:r w:rsidR="006E75B7">
        <w:rPr>
          <w:rFonts w:ascii="Times New Roman" w:hAnsi="Times New Roman" w:cs="Times New Roman"/>
          <w:sz w:val="24"/>
          <w:szCs w:val="24"/>
        </w:rPr>
        <w:t>,</w:t>
      </w:r>
      <w:r w:rsidRPr="00293726">
        <w:rPr>
          <w:rFonts w:ascii="Times New Roman" w:hAnsi="Times New Roman" w:cs="Times New Roman"/>
          <w:sz w:val="24"/>
          <w:szCs w:val="24"/>
        </w:rPr>
        <w:t xml:space="preserve"> y destinados a dar servicios y prestaciones a quienes solicitan protección internacional. El problema, según cuentan las mismas fuentes, es que las derivaciones a otros puntos de la Península que ha ejecutado el citado departamento, con la colaboración del Ministerio del Interior, han sido muy reducidas hasta la fecha y no han podido aliviar la congestión del centro. La última fue el pasado 7 de agosto, cuando se trasladó a 48 residentes del CETI, según contó El Faro de Ceuta. Mientras, las llegadas, si bien no son numerosas, son diarias desde que comenzó la época estival.</w:t>
      </w:r>
    </w:p>
    <w:p w:rsidR="006A1F5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 xml:space="preserve">Según el último balance publicado por el área dirigida por Fernando Grande-Marlaska, en lo que llevamos de año 2.014 personas han accedido por vía terrestre a la ciudad autónoma, un 5,2% más que el año pasado. Desde el Ejecutivo de la ciudad autónoma, las fuentes consultadas por este periódico señalan que han denunciado la situación que hay en el CETI ante la Delegación del Gobierno y el Ministerio de Migraciones, donde </w:t>
      </w:r>
      <w:r w:rsidR="006E75B7">
        <w:rPr>
          <w:rFonts w:ascii="Times New Roman" w:hAnsi="Times New Roman" w:cs="Times New Roman"/>
          <w:sz w:val="24"/>
          <w:szCs w:val="24"/>
        </w:rPr>
        <w:t>les han asegurado que trabajan “</w:t>
      </w:r>
      <w:r w:rsidRPr="00293726">
        <w:rPr>
          <w:rFonts w:ascii="Times New Roman" w:hAnsi="Times New Roman" w:cs="Times New Roman"/>
          <w:sz w:val="24"/>
          <w:szCs w:val="24"/>
        </w:rPr>
        <w:t>para llevar a cabo una salida extraordinaria de adultos con el objetivo de aliviar la sobreocupación de la instalac</w:t>
      </w:r>
      <w:r w:rsidR="006E75B7">
        <w:rPr>
          <w:rFonts w:ascii="Times New Roman" w:hAnsi="Times New Roman" w:cs="Times New Roman"/>
          <w:sz w:val="24"/>
          <w:szCs w:val="24"/>
        </w:rPr>
        <w:t>ión”</w:t>
      </w:r>
      <w:r w:rsidRPr="00293726">
        <w:rPr>
          <w:rFonts w:ascii="Times New Roman" w:hAnsi="Times New Roman" w:cs="Times New Roman"/>
          <w:sz w:val="24"/>
          <w:szCs w:val="24"/>
        </w:rPr>
        <w:t>. En el departamento que dirige Elma Saiz, asegura a e</w:t>
      </w:r>
      <w:r w:rsidR="006E75B7">
        <w:rPr>
          <w:rFonts w:ascii="Times New Roman" w:hAnsi="Times New Roman" w:cs="Times New Roman"/>
          <w:sz w:val="24"/>
          <w:szCs w:val="24"/>
        </w:rPr>
        <w:t>ste periódico una portavoz, se “</w:t>
      </w:r>
      <w:r w:rsidRPr="00293726">
        <w:rPr>
          <w:rFonts w:ascii="Times New Roman" w:hAnsi="Times New Roman" w:cs="Times New Roman"/>
          <w:sz w:val="24"/>
          <w:szCs w:val="24"/>
        </w:rPr>
        <w:t xml:space="preserve">van a agilizar las autorizaciones necesarias para </w:t>
      </w:r>
      <w:r w:rsidR="006E75B7">
        <w:rPr>
          <w:rFonts w:ascii="Times New Roman" w:hAnsi="Times New Roman" w:cs="Times New Roman"/>
          <w:sz w:val="24"/>
          <w:szCs w:val="24"/>
        </w:rPr>
        <w:t>poder incrementar los traslados”. Se harán efectivos “esta misma semana”</w:t>
      </w:r>
      <w:r w:rsidRPr="00293726">
        <w:rPr>
          <w:rFonts w:ascii="Times New Roman" w:hAnsi="Times New Roman" w:cs="Times New Roman"/>
          <w:sz w:val="24"/>
          <w:szCs w:val="24"/>
        </w:rPr>
        <w:t>, sostienen.</w:t>
      </w:r>
    </w:p>
    <w:p w:rsidR="006A1F56" w:rsidRDefault="006A1F56" w:rsidP="006A1F56">
      <w:pPr>
        <w:spacing w:line="240" w:lineRule="auto"/>
        <w:jc w:val="both"/>
        <w:rPr>
          <w:rFonts w:ascii="Times New Roman" w:hAnsi="Times New Roman" w:cs="Times New Roman"/>
          <w:sz w:val="24"/>
          <w:szCs w:val="24"/>
        </w:rPr>
      </w:pPr>
    </w:p>
    <w:p w:rsidR="006A1F56" w:rsidRPr="00293726" w:rsidRDefault="006A1F56" w:rsidP="006A1F56">
      <w:pPr>
        <w:spacing w:line="240" w:lineRule="auto"/>
        <w:jc w:val="both"/>
        <w:rPr>
          <w:rFonts w:ascii="Times New Roman" w:hAnsi="Times New Roman" w:cs="Times New Roman"/>
          <w:sz w:val="24"/>
          <w:szCs w:val="24"/>
        </w:rPr>
      </w:pP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lastRenderedPageBreak/>
        <w:t>Saturación de los centros de menores</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 xml:space="preserve">A este escenario se suma la saturación que hay también en los centros de menores de Ceuta, lo que llevó al Gobierno local a formalizar el pasado jueves la solicitud de declaración de la situación de contingencia migratoria extraordinaria, en cumplimiento de la nueva ley de extranjería, que dicta que si una región triplica su capacidad de acogida de menores, el resto de comunidades debe responder solidariamente y tutelar a un número de esos adolescentes. Las cuotas se establecen en función de criterios como la población o la renta per cápita. Ceuta da asistencia a 520 niños y niñas extranjeros pese a contar con 27 plazas ordinarias. Por ahora, no obstante, no se ha iniciado ningún traslado, advierten fuentes regionales a este periódico. </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 xml:space="preserve">Desde finales de julio, la Guardia Civil dedica grandes esfuerzos a contener a los nadadores que intentan cruzar desde Marruecos a las costas de Ceuta. En las últimas semanas, advierten fuentes del instituto armado, lo han intentado de media al menos un centenar de inmigrantes cada día. Estas personas, en su mayoría menores -aunque se han registrado las llegadas de adultos, hombres y mujeres, e incluso de discapacitados- aprovechan el viento de levante y una niebla espesa, característica de la zona en verano, para conseguir su propósito agarrados a flotadores caseros. Efectivos del Servicio Marítimo y del Grupo de Especial de Actividades Subacuáticas (GEAS) localizan a la mayoría en el agua, tras lo que la Marina marroquí se hace cargo de ellos. </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Uso «partidista» de la inmigración en Ceuta</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 xml:space="preserve">El problema, según denuncian fuentes de la Guardia Civil, es que la Comandancia de Ceuta no cuenta ni con los medios ni con las embarcaciones adecuadas para auxiliar a los inmigrantes y en muchas ocasiones los agentes se juegan la vida a la hora de rescatar a las personas en el agua. A la poca visibilidad se suman las jornadas maratonianas de los agentes entre bahía y bahía, el riesgo de caer al mar o de que surja cualquier otro contratiempo con los nadadores, habida cuenta de que se niegan a ser ayudados por temor a ser devueltos a su país de origen. </w:t>
      </w:r>
    </w:p>
    <w:p w:rsidR="006A1F56" w:rsidRPr="00293726" w:rsidRDefault="006E75B7"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A1F56" w:rsidRPr="00293726">
        <w:rPr>
          <w:rFonts w:ascii="Times New Roman" w:hAnsi="Times New Roman" w:cs="Times New Roman"/>
          <w:sz w:val="24"/>
          <w:szCs w:val="24"/>
        </w:rPr>
        <w:t>Los guardias civiles arriesgan diariamente sus vidas en condiciones extremas. No queremos felicitaciones de los políticos en las redes sociales, sino accio</w:t>
      </w:r>
      <w:r>
        <w:rPr>
          <w:rFonts w:ascii="Times New Roman" w:hAnsi="Times New Roman" w:cs="Times New Roman"/>
          <w:sz w:val="24"/>
          <w:szCs w:val="24"/>
        </w:rPr>
        <w:t>nes que mejoren nuestro trabajo”</w:t>
      </w:r>
      <w:r w:rsidR="006A1F56" w:rsidRPr="00293726">
        <w:rPr>
          <w:rFonts w:ascii="Times New Roman" w:hAnsi="Times New Roman" w:cs="Times New Roman"/>
          <w:sz w:val="24"/>
          <w:szCs w:val="24"/>
        </w:rPr>
        <w:t>, critica el secretario general la Asociación Unificada de Guardias Civiles (AUGC) en Ceuta, Rachid Sbihi. Desde esta organización acusan a los partidos políticos de utilizar las muertes de migrantes que intent</w:t>
      </w:r>
      <w:r>
        <w:rPr>
          <w:rFonts w:ascii="Times New Roman" w:hAnsi="Times New Roman" w:cs="Times New Roman"/>
          <w:sz w:val="24"/>
          <w:szCs w:val="24"/>
        </w:rPr>
        <w:t>an llegar a la ciudad autónoma “</w:t>
      </w:r>
      <w:r w:rsidR="006A1F56" w:rsidRPr="00293726">
        <w:rPr>
          <w:rFonts w:ascii="Times New Roman" w:hAnsi="Times New Roman" w:cs="Times New Roman"/>
          <w:sz w:val="24"/>
          <w:szCs w:val="24"/>
        </w:rPr>
        <w:t>como arma arroj</w:t>
      </w:r>
      <w:r>
        <w:rPr>
          <w:rFonts w:ascii="Times New Roman" w:hAnsi="Times New Roman" w:cs="Times New Roman"/>
          <w:sz w:val="24"/>
          <w:szCs w:val="24"/>
        </w:rPr>
        <w:t>adiza”</w:t>
      </w:r>
      <w:r w:rsidR="006A1F56" w:rsidRPr="00293726">
        <w:rPr>
          <w:rFonts w:ascii="Times New Roman" w:hAnsi="Times New Roman" w:cs="Times New Roman"/>
          <w:sz w:val="24"/>
          <w:szCs w:val="24"/>
        </w:rPr>
        <w:t>. En lo que va de año, el instituto armado ha recuperado los cadáveres de 23 jóvenes ahogados en aguas de la ciudad</w:t>
      </w:r>
      <w:r>
        <w:rPr>
          <w:rFonts w:ascii="Times New Roman" w:hAnsi="Times New Roman" w:cs="Times New Roman"/>
          <w:sz w:val="24"/>
          <w:szCs w:val="24"/>
        </w:rPr>
        <w:t xml:space="preserve"> autónoma. La AUGC califica de “insostenible”</w:t>
      </w:r>
      <w:r w:rsidR="006A1F56" w:rsidRPr="00293726">
        <w:rPr>
          <w:rFonts w:ascii="Times New Roman" w:hAnsi="Times New Roman" w:cs="Times New Roman"/>
          <w:sz w:val="24"/>
          <w:szCs w:val="24"/>
        </w:rPr>
        <w:t xml:space="preserve"> la situación de los agentes en la frontera y ha exigido durante todo el verano sin éxito un refuerzo de 200 nuevos guardias civiles.</w:t>
      </w:r>
    </w:p>
    <w:p w:rsidR="006A1F5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El Ministerio del interior, sin embargo, no ha considerado necesario ese incremento de efectivos, más allá de los efectivos del Grupo de Respuesta y Seguridad (GRS), los antidisturbios de la Guardia Civil, y se desplazan a la ciudad autónoma en comisión de servicios cada año para reforzar la vigilancia del perímetro fronterizo. Las asociaciones profesionales advierten de que el fenómeno de los nadadores viene agravándose desde el año pasado. Los jóvenes se movilizan principalmente a través de las redes sociales, donde dan todo tipo de consejos para realizar la travesía por el agua. Marruecos ha abierto una investigación para tratar de tumbar la organización que anima a cruzar a España.</w:t>
      </w:r>
    </w:p>
    <w:p w:rsidR="006A1F56" w:rsidRDefault="006A1F56" w:rsidP="006A1F56">
      <w:pPr>
        <w:spacing w:line="240" w:lineRule="auto"/>
        <w:jc w:val="both"/>
        <w:rPr>
          <w:rFonts w:ascii="Times New Roman" w:hAnsi="Times New Roman" w:cs="Times New Roman"/>
          <w:b/>
          <w:sz w:val="24"/>
          <w:szCs w:val="24"/>
        </w:rPr>
      </w:pPr>
    </w:p>
    <w:p w:rsidR="006A1F56" w:rsidRPr="00293726" w:rsidRDefault="006A1F56" w:rsidP="006A1F5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“R</w:t>
      </w:r>
      <w:r w:rsidRPr="00293726">
        <w:rPr>
          <w:rFonts w:ascii="Times New Roman" w:hAnsi="Times New Roman" w:cs="Times New Roman"/>
          <w:b/>
          <w:sz w:val="24"/>
          <w:szCs w:val="24"/>
        </w:rPr>
        <w:t>escatistas en acción</w:t>
      </w:r>
      <w:r>
        <w:rPr>
          <w:rFonts w:ascii="Times New Roman" w:hAnsi="Times New Roman" w:cs="Times New Roman"/>
          <w:b/>
          <w:sz w:val="24"/>
          <w:szCs w:val="24"/>
        </w:rPr>
        <w:t>” (¿humanismo mal entendido, o cooperación necesaria?)</w:t>
      </w:r>
      <w:r w:rsidRPr="00293726">
        <w:rPr>
          <w:rFonts w:ascii="Times New Roman" w:hAnsi="Times New Roman" w:cs="Times New Roman"/>
          <w:b/>
          <w:sz w:val="24"/>
          <w:szCs w:val="24"/>
        </w:rPr>
        <w:t xml:space="preserve"> </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 xml:space="preserve">- </w:t>
      </w:r>
      <w:r w:rsidRPr="00293726">
        <w:rPr>
          <w:rFonts w:ascii="Times New Roman" w:hAnsi="Times New Roman" w:cs="Times New Roman"/>
          <w:sz w:val="24"/>
          <w:szCs w:val="24"/>
          <w:u w:val="single"/>
        </w:rPr>
        <w:t>Por qué España rescata pateras a cientos de kilómetros de Canarias</w:t>
      </w:r>
      <w:r w:rsidRPr="00293726">
        <w:rPr>
          <w:rFonts w:ascii="Times New Roman" w:hAnsi="Times New Roman" w:cs="Times New Roman"/>
          <w:sz w:val="24"/>
          <w:szCs w:val="24"/>
        </w:rPr>
        <w:t xml:space="preserve"> (Libertad Digital - </w:t>
      </w:r>
      <w:r w:rsidRPr="00293726">
        <w:rPr>
          <w:rFonts w:ascii="Times New Roman" w:hAnsi="Times New Roman" w:cs="Times New Roman"/>
          <w:b/>
          <w:sz w:val="24"/>
          <w:szCs w:val="24"/>
        </w:rPr>
        <w:t>5/8/25</w:t>
      </w:r>
      <w:r w:rsidRPr="00293726">
        <w:rPr>
          <w:rFonts w:ascii="Times New Roman" w:hAnsi="Times New Roman" w:cs="Times New Roman"/>
          <w:sz w:val="24"/>
          <w:szCs w:val="24"/>
        </w:rPr>
        <w:t>)</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España está obligada a auxiliar a embarcaciones en su zona SAR, incluso en alta mar.</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(Por Victoria Masit)</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El rescate de pateras lejos de Canarias no responde a una decisión política puntual, sino a compromisos internacionales de salvamento marítimo. La normativa vigente obliga al país a actuar en su zona SAR (Search and Rescue), que abarca 1,5 millones de km² y se extiende hasta aguas cercanas a Mauritania y Senegal.</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Cuando una patera o cayuco es detectado en alta mar, aunque se encuentre fuera de las aguas territoriales españolas, España tiene la obligación legal de coordinar el rescate. Así ha ocurrido con el cayuco que transportaba 176 personas, una de ellas fallecida, que ha sido rescatado por la guardamar Polimnia a 476 kilómetros de Gran Canaria; un punto al que los equipos de rescate han tardado en llegar 11 horas de navegación.</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Convenios internacionales que obligan a rescatar</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El marco legal que sustenta las operaciones de rescate en alta mar se apoya en tres grandes convenios internacionales. El primero es el Convenio Internacional sobre Búsqueda y Salvamento Marítimo (SAR) de 1979, que establece zonas de responsabilidad donde cada Estado debe coordinar las operaciones de auxilio. España se adhirió en 1993 y asumió la zona SAR de Canarias, que triplica la superficie terrestre del país y se extiende hasta aguas próximas a Mauritania y Senegal.</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A este se suma el Convenio SOLAS de 1974, que obliga tanto a los Estados como a los capitanes de cualquier buque a prestar socorro inmediato a personas en peligro, sin importar la bandera del barco ni la ubicación exacta en el océano. Finalmente, la Convención de las Naciones Unidas sobre el Derecho del Mar (UNCLOS, 1982) refuerza esta obligación en su artículo 98, al exigir que los Estados organicen servicios permanentes de búsqueda y salvamento y recordando que la alta mar no admite soberanía nacional, pero sí compromisos humanitarios ineludibles.</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Diferencia entre aguas territoriales, ZEE y SAR</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La diferencia entre aguas territoriales, Zona Económica Exclusiva (ZEE) y zona SAR radica en los derechos y obligaciones que asume España en cada área. Las aguas territoriales se extienden hasta 12 millas náuticas (22 km) desde la costa, donde el Estado ejerce plena soberanía, igual que en tierra firme. Más allá se encuentra la ZEE, que llega hasta 200 millas náuticas (370 km) y otorga a España derechos económicos exclusivos sobre los recursos, aunque sin soberanía plena.</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Por último, la zona SAR (Search and Rescue), definida por el Convenio Internacional sobre Búsqueda y Salvamento Marítimo de 1979, no implica jurisdicción territorial, pero sí responsabilidad internacional de rescate, pudiendo superar ampliamente las 200 millas para abarcar las rutas migratorias y comerciales del Atlántico. En este caso, el cayuco rescatado estaba fuera de la ZEE, en alta mar, pero dentro de la zona SAR española. Por eso la intervención era obligatoria.</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lastRenderedPageBreak/>
        <w:t>Cómo se coordina un rescate en alta mar</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El operativo del lunes se desarrolló siguiendo el protocolo internacional de rescate en alta mar. Todo comenzó con el avistamiento del cayuco por el buque francés Beautemps-Beaupré, que alertó al Centro de Coordinación de Salvamento de Las Palmas. Inmediatamente, Salvamento Marítimo activó la operación SAR, asignando la misión a la guardamar Polimnia y pidiendo al navío galo que se mantuviera cerca del cayuco hasta la llegada de los medios españoles. Tras 11 horas de navegación, la Polimnia rescató a los 176 ocupantes del cayuco, mientras que el helicóptero Helimer 202 evacuaba a un migrante en estado crítico al Hospital Doctor Negrín de Las Palmas de Gran Canaria.</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Este modelo de colaboración ilustra la colaboración necesaria entre barcos militares, mercantes y unidades de salvamento para cumplir con los convenios internacionales.</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Un deber legal y humanitario</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Ignorar una embarcación en apuros en la zona SAR supondría violar los compromisos asumidos por España y podría derivar en responsabilidad internacional. Además, según la OIM, la ruta atlántica hacia Canarias es una de las más mortales del mundo, y el rescate coordinado es la única barrera contra naufragios masivos.</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 ¿</w:t>
      </w:r>
      <w:r w:rsidRPr="00293726">
        <w:rPr>
          <w:rFonts w:ascii="Times New Roman" w:hAnsi="Times New Roman" w:cs="Times New Roman"/>
          <w:sz w:val="24"/>
          <w:szCs w:val="24"/>
          <w:u w:val="single"/>
        </w:rPr>
        <w:t>Cuánto cuesta rescatar una patera? El Estado invierte millones cada año en Salvamento Marítimo</w:t>
      </w:r>
      <w:r w:rsidRPr="00293726">
        <w:rPr>
          <w:rFonts w:ascii="Times New Roman" w:hAnsi="Times New Roman" w:cs="Times New Roman"/>
          <w:sz w:val="24"/>
          <w:szCs w:val="24"/>
        </w:rPr>
        <w:t xml:space="preserve"> (Libertad Digital - </w:t>
      </w:r>
      <w:r w:rsidRPr="00293726">
        <w:rPr>
          <w:rFonts w:ascii="Times New Roman" w:hAnsi="Times New Roman" w:cs="Times New Roman"/>
          <w:b/>
          <w:sz w:val="24"/>
          <w:szCs w:val="24"/>
        </w:rPr>
        <w:t>5/8/25</w:t>
      </w:r>
      <w:r w:rsidRPr="00293726">
        <w:rPr>
          <w:rFonts w:ascii="Times New Roman" w:hAnsi="Times New Roman" w:cs="Times New Roman"/>
          <w:sz w:val="24"/>
          <w:szCs w:val="24"/>
        </w:rPr>
        <w:t>)</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El mantenimiento de buques y helicópteros y el aumento de operaciones elevan el gasto, con rescates que superan los 100.000 euros.</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(Por Victoria Masit)</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El rescate de pateras y cayucos en la ruta atlántica hacia Canarias no solo supone un esfuerzo humano y logístico, sino también un desembolso millonario para las arcas públicas. España, a través de la Sociedad de Salvamento y Seguridad Marítima (Sasemar), mantiene operativo un sistema que funciona las 24 horas del día y que debe cubrir una zona de búsqueda y salvamento (SAR) que triplica la superficie terrestre del país, extendiéndose hasta las proximidades de Mauritania y Senegal.</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Cada operación implica barcos, helicópteros, tripulaciones, combustible, mantenimiento, personal sanitario y logística portuaria, y los datos oficiales reflejan que el coste total anual de este servicio se ha convertido en una de las partidas más significativas vinculadas a la gestión de la inmigración irregular por vía marítima.</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Las cuentas anuales de Sasemar entre 2020 y 2023 permiten entender la magnitud de este esfuerzo económico. En esos ejercicios, el patrimonio neto de la entidad rondó los 200 millones de euros y el activo total se mantuvo en torno a los 310 millones, según la documentación oficial remitida por el Ministerio de Transportes y Movilidad Sostenible, del que depende Sasemar.</w:t>
      </w:r>
    </w:p>
    <w:p w:rsidR="006A1F5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La financiación procede en su mayoría de subvenciones del Estado, que sostienen los costes de personal, combustible, mantenimiento y flota aérea. En 2020, la sociedad recibió 190 millones de euros en aportaciones públicas; en 2021, 193,5 millones; en 2022, 192,8 millones; y en 2023, 191 millones.</w:t>
      </w:r>
    </w:p>
    <w:p w:rsidR="006E75B7" w:rsidRPr="00293726" w:rsidRDefault="006E75B7" w:rsidP="006A1F56">
      <w:pPr>
        <w:spacing w:line="240" w:lineRule="auto"/>
        <w:jc w:val="both"/>
        <w:rPr>
          <w:rFonts w:ascii="Times New Roman" w:hAnsi="Times New Roman" w:cs="Times New Roman"/>
          <w:sz w:val="24"/>
          <w:szCs w:val="24"/>
        </w:rPr>
      </w:pP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lastRenderedPageBreak/>
        <w:t>Coste por rescate</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El coste por rescate individual no figura en los documentos oficiales, pero la combinación de datos de flota, contratos aéreos y mantenimiento permite trazar una estimación razonable. Una guardamar como la Polimnia, que protagonizó el último rescate de 176 personas a 476 kilómetros de Gran Canaria, requiere unas 11 horas de navegación de ida y otras tantas de regreso. Por ello, para llegar a puntos de recogida tan lejanos como este; el coste de transporte se encuentra estimado entre unos 20.000 a 25.000 euros en concepto de combustible y costes operativos de tripulación.</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A esto se suma el despliegue aéreo: los helicópteros Helimer, esenciales para evacuaciones médicas urgentes, tienen un coste de operación estimado entre 6.000 y 10.000 euros por hora de vuelo, lo que convierte cualquier intervención completa en un gasto adicional de 10.000 a 15.000 euros. Por ello, un rescate se puede tasar en un coste de, al menos 30.000 euros sin tener en cuenta el dispositivo sanitario que espera la llegada de los inmigrantes en el puerto. Este incluye ambulancias, personal de Cruz Roja, Atención Primaria y derivaciones hospitalarias.</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Mantenimiento</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El mantenimiento de la flota es otro de los grandes capítulos de gasto. Las cuentas anuales detallan las varadas y reparaciones programadas de buques como la Polimnia, cuyo mantenimiento costó 44.501 euros en 2021 y 98.070 euros en 2023. En conjunto, las varadas de buques de Salvamento supusieron 786.662 euros en 2021; 414.348 euros en 2022; y 1,88 millones de euros en 2023.</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Los helicópteros Helimer, además de su elevado coste por hora de vuelo, implican una inversión recurrente en actualización y mantenimiento: solo en 2023 se destinaron 3,5 millones de euros a estas aeronaves, imprescindibles para garantizar la seguridad en operaciones que se realizan a cientos de kilómetros de la costa.</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El nuevo Plan Nacional de Salvamento Marítimo 2025-2027 aprobado en Consejo de Ministros, revela el esfuerzo adicional que el Estado está dispuesto a asumir para modernizar y reforzar la flota ante el aumento de la presión migratoria y los retos medioambientales. El plan prevé 162,7 millones de euros en tres años, de los que 84,6 millones se destinarán a la renovación de embarcaciones y 27 millones a la adquisición de un helicóptero de gran porte.</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Más de cien millones en mejorar la respuesta</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En total, 111,6 millones se concentrarán en medios materiales para mejorar la capacidad de respuesta. Además, el plan incluye la construcción de dos guardamares, dos remolcadores y seis embarcaciones ligeras de acción rápida, la renovación de equipos de comunicaciones y navegación, la incorporación de drones y la creación de un nuevo centro de coordinación en Palma de Mallorca. Todo ello, financiado en parte por el Banco Europeo de Inversiones.</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 xml:space="preserve">Este esfuerzo económico responde a un escenario de presión creciente en la ruta atlántica, que la Organización Internacional para las Migraciones (OIM) identifica como una de las más peligrosas del mundo. En 2023, Salvamento Marítimo realizó más de 1.200 operaciones vinculadas a inmigración irregular en Canarias. Cada intervención requiere movilizar recursos navales y aéreos sobre aguas internacionales, dentro de una zona SAR que no confiere soberanía pero sí responsabilidad internacional de auxilio. Ignorar una embarcación en apuros no solo supondría un incumplimiento humanitario, sino también una vulneración </w:t>
      </w:r>
      <w:r w:rsidRPr="00293726">
        <w:rPr>
          <w:rFonts w:ascii="Times New Roman" w:hAnsi="Times New Roman" w:cs="Times New Roman"/>
          <w:sz w:val="24"/>
          <w:szCs w:val="24"/>
        </w:rPr>
        <w:lastRenderedPageBreak/>
        <w:t>de los convenios internacionales que España ha ratificado, como el SAR de 1979, el SOLAS de 1974 y la Convención de las Naciones Unidas sobre el Derecho del Mar de 1982.</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El impacto económico va más allá del momento del rescate. Una vez los migrantes llegan a puerto, se activa el dispositivo de primera acogida, con atención sanitaria inicial, identificación y tramitación policial, derivación a centros de acogida y, en muchos casos, traslados a la Península. Este proceso supone miles de euros adicionales por cada operación, que se suman al coste de Salvamento Marítimo y que son asumidos principalmente por los ministerios de Interior y de Inclusión, Seguridad Social y Migraciones.</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Decenas de millones al año</w:t>
      </w:r>
    </w:p>
    <w:p w:rsidR="006A1F56" w:rsidRPr="0029372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El coste total anual de gestionar los rescates en la ruta canaria es difícil de calcular con exactitud, pero las cifras disponibles muestran que solo el despliegue de Salvamento Marítimo absorbe decenas de millones de euros. Si se multiplican los más de mil rescates anuales por el coste estimado de entre 30.000 y 40.000 euros por intervención, el impacto presupuestario se eleva a decenas de millones cada año, sin contar la fase posterior de acogida y gestión migratoria.</w:t>
      </w:r>
    </w:p>
    <w:p w:rsidR="006A1F56" w:rsidRDefault="006A1F56" w:rsidP="006A1F56">
      <w:pPr>
        <w:spacing w:line="240" w:lineRule="auto"/>
        <w:jc w:val="both"/>
        <w:rPr>
          <w:rFonts w:ascii="Times New Roman" w:hAnsi="Times New Roman" w:cs="Times New Roman"/>
          <w:sz w:val="24"/>
          <w:szCs w:val="24"/>
        </w:rPr>
      </w:pPr>
      <w:r w:rsidRPr="00293726">
        <w:rPr>
          <w:rFonts w:ascii="Times New Roman" w:hAnsi="Times New Roman" w:cs="Times New Roman"/>
          <w:sz w:val="24"/>
          <w:szCs w:val="24"/>
        </w:rPr>
        <w:t>El Estado se enfrenta así a un doble reto: cumplir con sus obligaciones internacionales y humanitarias, garantizando la seguridad de quienes arriesgan su vida en el Atlántico, y asumir el impacto económico de un servicio que combina alta especialización técnica, despliegue continuo de medios y dependencia absoluta de recursos públicos.</w:t>
      </w:r>
    </w:p>
    <w:p w:rsidR="006A1F56" w:rsidRPr="00DD7CBE" w:rsidRDefault="006A1F56" w:rsidP="006A1F56">
      <w:pPr>
        <w:spacing w:line="240" w:lineRule="auto"/>
        <w:jc w:val="both"/>
        <w:rPr>
          <w:rFonts w:ascii="Times New Roman" w:hAnsi="Times New Roman" w:cs="Times New Roman"/>
          <w:color w:val="FF0000"/>
          <w:sz w:val="24"/>
          <w:szCs w:val="24"/>
        </w:rPr>
      </w:pPr>
      <w:r>
        <w:rPr>
          <w:rFonts w:ascii="Times New Roman" w:hAnsi="Times New Roman" w:cs="Times New Roman"/>
          <w:b/>
          <w:color w:val="FF0000"/>
          <w:sz w:val="24"/>
          <w:szCs w:val="24"/>
        </w:rPr>
        <w:t>Salmo responsorial</w:t>
      </w:r>
      <w:r w:rsidRPr="00DD7CBE">
        <w:rPr>
          <w:rFonts w:ascii="Times New Roman" w:hAnsi="Times New Roman" w:cs="Times New Roman"/>
          <w:color w:val="FF0000"/>
          <w:sz w:val="24"/>
          <w:szCs w:val="24"/>
        </w:rPr>
        <w:t>: La ruta migratoria desde la costa africana a Canarias, denominada vía atlántica, está considerada como una de las más peligrosas del mundo, con miles de fallecidos cada año. En  el año 2024, 46.843 migrantes llegaron por esta ruta a España, según datos oficiales, y 9.757 murieron intentándolo, de acuerdo con la ONG Caminando Fronteras. No puede ser casualidad que aquí pasen cada vez más cosas propias del tercer mundo, con líderes políticos que se comportan como los del tercer mundo y con una respuesta ciudadana olvidadiza e igualmente tercermundista.</w:t>
      </w:r>
    </w:p>
    <w:p w:rsidR="006A1F56" w:rsidRDefault="006A1F56" w:rsidP="006A1F56">
      <w:pPr>
        <w:spacing w:line="240" w:lineRule="auto"/>
        <w:jc w:val="both"/>
        <w:rPr>
          <w:rFonts w:ascii="Times New Roman" w:hAnsi="Times New Roman" w:cs="Times New Roman"/>
          <w:b/>
          <w:sz w:val="24"/>
          <w:szCs w:val="24"/>
        </w:rPr>
      </w:pPr>
      <w:r>
        <w:rPr>
          <w:rFonts w:ascii="Times New Roman" w:hAnsi="Times New Roman" w:cs="Times New Roman"/>
          <w:b/>
          <w:sz w:val="24"/>
          <w:szCs w:val="24"/>
        </w:rPr>
        <w:t>“B</w:t>
      </w:r>
      <w:r w:rsidRPr="00F11038">
        <w:rPr>
          <w:rFonts w:ascii="Times New Roman" w:hAnsi="Times New Roman" w:cs="Times New Roman"/>
          <w:b/>
          <w:sz w:val="24"/>
          <w:szCs w:val="24"/>
        </w:rPr>
        <w:t>razos abiertos”</w:t>
      </w:r>
      <w:r>
        <w:rPr>
          <w:rFonts w:ascii="Times New Roman" w:hAnsi="Times New Roman" w:cs="Times New Roman"/>
          <w:b/>
          <w:sz w:val="24"/>
          <w:szCs w:val="24"/>
        </w:rPr>
        <w:t xml:space="preserve"> (I)</w:t>
      </w:r>
      <w:r w:rsidRPr="00F11038">
        <w:rPr>
          <w:rFonts w:ascii="Times New Roman" w:hAnsi="Times New Roman" w:cs="Times New Roman"/>
          <w:b/>
          <w:sz w:val="24"/>
          <w:szCs w:val="24"/>
        </w:rPr>
        <w:t xml:space="preserve">: </w:t>
      </w:r>
      <w:r>
        <w:rPr>
          <w:rFonts w:ascii="Times New Roman" w:hAnsi="Times New Roman" w:cs="Times New Roman"/>
          <w:b/>
          <w:sz w:val="24"/>
          <w:szCs w:val="24"/>
        </w:rPr>
        <w:t>Los p</w:t>
      </w:r>
      <w:r w:rsidRPr="00F11038">
        <w:rPr>
          <w:rFonts w:ascii="Times New Roman" w:hAnsi="Times New Roman" w:cs="Times New Roman"/>
          <w:b/>
          <w:sz w:val="24"/>
          <w:szCs w:val="24"/>
        </w:rPr>
        <w:t xml:space="preserve">eligros ocultos de una inmigración </w:t>
      </w:r>
      <w:r>
        <w:rPr>
          <w:rFonts w:ascii="Times New Roman" w:hAnsi="Times New Roman" w:cs="Times New Roman"/>
          <w:b/>
          <w:sz w:val="24"/>
          <w:szCs w:val="24"/>
        </w:rPr>
        <w:t>descontrolada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 xml:space="preserve">- </w:t>
      </w:r>
      <w:r w:rsidRPr="00E55847">
        <w:rPr>
          <w:rFonts w:ascii="Times New Roman" w:hAnsi="Times New Roman" w:cs="Times New Roman"/>
          <w:sz w:val="24"/>
          <w:szCs w:val="24"/>
          <w:u w:val="single"/>
        </w:rPr>
        <w:t>Un estudio augura que en 2045 en España habrá más extranjeros que autóctonos</w:t>
      </w:r>
      <w:r w:rsidRPr="00E55847">
        <w:rPr>
          <w:rFonts w:ascii="Times New Roman" w:hAnsi="Times New Roman" w:cs="Times New Roman"/>
          <w:sz w:val="24"/>
          <w:szCs w:val="24"/>
        </w:rPr>
        <w:t xml:space="preserve"> (The Objective - </w:t>
      </w:r>
      <w:r w:rsidRPr="00E55847">
        <w:rPr>
          <w:rFonts w:ascii="Times New Roman" w:hAnsi="Times New Roman" w:cs="Times New Roman"/>
          <w:b/>
          <w:sz w:val="24"/>
          <w:szCs w:val="24"/>
        </w:rPr>
        <w:t>16/5/25</w:t>
      </w:r>
      <w:r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Alejandro Macarrón sostiene que Alicante será la p</w:t>
      </w:r>
      <w:r w:rsidR="006E75B7">
        <w:rPr>
          <w:rFonts w:ascii="Times New Roman" w:hAnsi="Times New Roman" w:cs="Times New Roman"/>
          <w:sz w:val="24"/>
          <w:szCs w:val="24"/>
        </w:rPr>
        <w:t>rimera provincia víctima de la “sustitución”</w:t>
      </w:r>
      <w:r w:rsidRPr="00E55847">
        <w:rPr>
          <w:rFonts w:ascii="Times New Roman" w:hAnsi="Times New Roman" w:cs="Times New Roman"/>
          <w:sz w:val="24"/>
          <w:szCs w:val="24"/>
        </w:rPr>
        <w:t xml:space="preserve"> y Córdoba la última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(Por Marcos Ondarra)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Los flujos migratorios descontrolados y la pérdida de españoles por más muertes que nacimientos están siendo tan intensos que, se si mantienen las pautas del último quinquenio, desde 2035 en adelante los nacionales autóctonos serían minoritarios en algunas provincias, y, desde 2045, en todo el territorio nacional. Esa es la llamativa conclusión a la que ha llegado el prestigioso demógrafo Alejandro Macarrón, responsable de Estudios y Análisis Social de CEU-CEFAS, tras analizar exhaustivamente datos del Instituto Nacional de</w:t>
      </w:r>
      <w:r w:rsidR="006E75B7">
        <w:rPr>
          <w:rFonts w:ascii="Times New Roman" w:hAnsi="Times New Roman" w:cs="Times New Roman"/>
          <w:sz w:val="24"/>
          <w:szCs w:val="24"/>
        </w:rPr>
        <w:t xml:space="preserve"> Estadística (INE) y Eurostat. “</w:t>
      </w:r>
      <w:r w:rsidRPr="00E55847">
        <w:rPr>
          <w:rFonts w:ascii="Times New Roman" w:hAnsi="Times New Roman" w:cs="Times New Roman"/>
          <w:sz w:val="24"/>
          <w:szCs w:val="24"/>
        </w:rPr>
        <w:t>La sustitución no e</w:t>
      </w:r>
      <w:r w:rsidR="006E75B7">
        <w:rPr>
          <w:rFonts w:ascii="Times New Roman" w:hAnsi="Times New Roman" w:cs="Times New Roman"/>
          <w:sz w:val="24"/>
          <w:szCs w:val="24"/>
        </w:rPr>
        <w:t>s un mito de la extrema derecha”</w:t>
      </w:r>
      <w:r w:rsidRPr="00E55847">
        <w:rPr>
          <w:rFonts w:ascii="Times New Roman" w:hAnsi="Times New Roman" w:cs="Times New Roman"/>
          <w:sz w:val="24"/>
          <w:szCs w:val="24"/>
        </w:rPr>
        <w:t>, advierte.</w:t>
      </w:r>
    </w:p>
    <w:p w:rsidR="006A1F56" w:rsidRPr="00E55847" w:rsidRDefault="006E75B7"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La “</w:t>
      </w:r>
      <w:r w:rsidR="006A1F56" w:rsidRPr="00E55847">
        <w:rPr>
          <w:rFonts w:ascii="Times New Roman" w:hAnsi="Times New Roman" w:cs="Times New Roman"/>
          <w:sz w:val="24"/>
          <w:szCs w:val="24"/>
        </w:rPr>
        <w:t>semidesintegració</w:t>
      </w:r>
      <w:r>
        <w:rPr>
          <w:rFonts w:ascii="Times New Roman" w:hAnsi="Times New Roman" w:cs="Times New Roman"/>
          <w:sz w:val="24"/>
          <w:szCs w:val="24"/>
        </w:rPr>
        <w:t>n de la españolidad demográfica”</w:t>
      </w:r>
      <w:r w:rsidR="006A1F56" w:rsidRPr="00E55847">
        <w:rPr>
          <w:rFonts w:ascii="Times New Roman" w:hAnsi="Times New Roman" w:cs="Times New Roman"/>
          <w:sz w:val="24"/>
          <w:szCs w:val="24"/>
        </w:rPr>
        <w:t xml:space="preserve">, en palabras de Macarrón, se produciría en menos de 20 años a nivel nacional, siendo Alicante la primera en registrarla (2035) y Córdoba la última, en 2073, detrás de Badajoz (2069) y Cádiz (2064). Las </w:t>
      </w:r>
      <w:r w:rsidR="006A1F56" w:rsidRPr="00E55847">
        <w:rPr>
          <w:rFonts w:ascii="Times New Roman" w:hAnsi="Times New Roman" w:cs="Times New Roman"/>
          <w:sz w:val="24"/>
          <w:szCs w:val="24"/>
        </w:rPr>
        <w:lastRenderedPageBreak/>
        <w:t>provincias que caerán más rápido (como Barcelona o Gerona) lo harán por recibir más emigración y tener una población más envejecida.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Esta progresiva sustitución se debe a la baja natalidad, al envejecimiento poblacional (mueren más españoles de los que nacen) y a la inmigración descontrolada. Esta tendencia se está cebando en especial con País Vasco y Cataluña, cuyas cuatro provincias tendrán mayoría de inmigrantes para 2039. Madrid experimentaría esta realidad en 2038, dentro de trece años. Siempre, si se mantuviera la dinámica actual.</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Menos españoles</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Pero no hay que esperar tanto. La pérdida de nativos españoles ya es una realidad de un tiempo a esta parte. Sin ir más lejos, la población nacida en España y que tiene una edad de entre 20 y 39 años ha caído en 4,57 millones en tan sólo dos décadas. Si en 2003 había 12.408.592 personas en esa franja de edad vital para la sostenibilidad de un país, en 2024 había 7.837.194, lo que supone una reducción del 36,8%. Es decir, la población joven autóctona se ha reducido</w:t>
      </w:r>
      <w:r w:rsidR="006E75B7">
        <w:rPr>
          <w:rFonts w:ascii="Times New Roman" w:hAnsi="Times New Roman" w:cs="Times New Roman"/>
          <w:sz w:val="24"/>
          <w:szCs w:val="24"/>
        </w:rPr>
        <w:t xml:space="preserve"> a la mitad. Esto se debe a la “caída de la natalidad”</w:t>
      </w:r>
      <w:r w:rsidRPr="00E55847">
        <w:rPr>
          <w:rFonts w:ascii="Times New Roman" w:hAnsi="Times New Roman" w:cs="Times New Roman"/>
          <w:sz w:val="24"/>
          <w:szCs w:val="24"/>
        </w:rPr>
        <w:t>, pero también a la «inmigración y emigración neta», según otro estudio del propio Maca</w:t>
      </w:r>
      <w:r>
        <w:rPr>
          <w:rFonts w:ascii="Times New Roman" w:hAnsi="Times New Roman" w:cs="Times New Roman"/>
          <w:sz w:val="24"/>
          <w:szCs w:val="24"/>
        </w:rPr>
        <w:t>rrón que reprodujo The Objective</w:t>
      </w:r>
      <w:r w:rsidRPr="00E55847">
        <w:rPr>
          <w:rFonts w:ascii="Times New Roman" w:hAnsi="Times New Roman" w:cs="Times New Roman"/>
          <w:sz w:val="24"/>
          <w:szCs w:val="24"/>
        </w:rPr>
        <w:t xml:space="preserve"> en su día.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 xml:space="preserve">No es el único dato demoledor. Desde que Pedro Sánchez es presidente del Gobierno, hay 621.466 españoles menos y 2.703.938 extranjeros más. Si se contaran como inmigrantes a los casi 600.000 hijos de mujeres extranjeras que nacieron entre el 1 de julio de 2018 y el 1 de julio de 2024, el balance sería de 1,2 millones de españoles autóctonos menos y 3,3 millones más de población inmigrante. </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Actualmente, hay 39.761.459 habitantes que nacieron en España y 9.036.416, cifra récord, que nacieron fuera del país. De estos, la mayoría proceden de Marruecos, Colombia y Rumanía. Y se asientan fundamentalmente en Cataluña (1.965.171 de nacidos en el extranjero), Madrid (1.700.699) y Comunidad Valenciana (1.234.610). Esto supone que el 18,5% de los residentes ha nacido en el extranjero, lo que sitúa a España como uno de los países europeos con un porcentaje mayor.</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 xml:space="preserve">Según el demógrafo Alejandro Macarrón, la caída de población nacional se debe, sobre todo, a que murieron 511.000 más personas de las que nacieron. Solo 110.000 emigraron. Esto es, 18.000 españoles al año, una cifra que </w:t>
      </w:r>
      <w:r w:rsidR="006E75B7">
        <w:rPr>
          <w:rFonts w:ascii="Times New Roman" w:hAnsi="Times New Roman" w:cs="Times New Roman"/>
          <w:sz w:val="24"/>
          <w:szCs w:val="24"/>
        </w:rPr>
        <w:t>Macarrón tilda de “muy baja” teniendo en cuenta “</w:t>
      </w:r>
      <w:r w:rsidRPr="00E55847">
        <w:rPr>
          <w:rFonts w:ascii="Times New Roman" w:hAnsi="Times New Roman" w:cs="Times New Roman"/>
          <w:sz w:val="24"/>
          <w:szCs w:val="24"/>
        </w:rPr>
        <w:t>el paro juvenil, los bajos salari</w:t>
      </w:r>
      <w:r w:rsidR="006E75B7">
        <w:rPr>
          <w:rFonts w:ascii="Times New Roman" w:hAnsi="Times New Roman" w:cs="Times New Roman"/>
          <w:sz w:val="24"/>
          <w:szCs w:val="24"/>
        </w:rPr>
        <w:t>os y la carestía de la vivienda”. “</w:t>
      </w:r>
      <w:r w:rsidRPr="00E55847">
        <w:rPr>
          <w:rFonts w:ascii="Times New Roman" w:hAnsi="Times New Roman" w:cs="Times New Roman"/>
          <w:sz w:val="24"/>
          <w:szCs w:val="24"/>
        </w:rPr>
        <w:t xml:space="preserve">Muchos se habrían </w:t>
      </w:r>
      <w:r w:rsidR="006E75B7">
        <w:rPr>
          <w:rFonts w:ascii="Times New Roman" w:hAnsi="Times New Roman" w:cs="Times New Roman"/>
          <w:sz w:val="24"/>
          <w:szCs w:val="24"/>
        </w:rPr>
        <w:t>ido por tener pareja extranjera”</w:t>
      </w:r>
      <w:r w:rsidRPr="00E55847">
        <w:rPr>
          <w:rFonts w:ascii="Times New Roman" w:hAnsi="Times New Roman" w:cs="Times New Roman"/>
          <w:sz w:val="24"/>
          <w:szCs w:val="24"/>
        </w:rPr>
        <w:t>, abunda.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Macarrón alerta de que el sal</w:t>
      </w:r>
      <w:r w:rsidR="006E75B7">
        <w:rPr>
          <w:rFonts w:ascii="Times New Roman" w:hAnsi="Times New Roman" w:cs="Times New Roman"/>
          <w:sz w:val="24"/>
          <w:szCs w:val="24"/>
        </w:rPr>
        <w:t>do migratorio no compensará el “</w:t>
      </w:r>
      <w:r w:rsidRPr="00E55847">
        <w:rPr>
          <w:rFonts w:ascii="Times New Roman" w:hAnsi="Times New Roman" w:cs="Times New Roman"/>
          <w:sz w:val="24"/>
          <w:szCs w:val="24"/>
        </w:rPr>
        <w:t>catastrófico défici</w:t>
      </w:r>
      <w:r w:rsidR="006E75B7">
        <w:rPr>
          <w:rFonts w:ascii="Times New Roman" w:hAnsi="Times New Roman" w:cs="Times New Roman"/>
          <w:sz w:val="24"/>
          <w:szCs w:val="24"/>
        </w:rPr>
        <w:t>t de natalidad de los españoles”: “</w:t>
      </w:r>
      <w:r w:rsidRPr="00E55847">
        <w:rPr>
          <w:rFonts w:ascii="Times New Roman" w:hAnsi="Times New Roman" w:cs="Times New Roman"/>
          <w:sz w:val="24"/>
          <w:szCs w:val="24"/>
        </w:rPr>
        <w:t>No paran el envejecimiento social, solo ralentizan algo su avance. No muchos cubren empleos cualificados. No solucionan la soledad y desierto afectivo por falta de niños y la desestructuración familiar. Y hay riesgos de integración por exceso de inm</w:t>
      </w:r>
      <w:r w:rsidR="006E75B7">
        <w:rPr>
          <w:rFonts w:ascii="Times New Roman" w:hAnsi="Times New Roman" w:cs="Times New Roman"/>
          <w:sz w:val="24"/>
          <w:szCs w:val="24"/>
        </w:rPr>
        <w:t>igración y/o choques culturales”</w:t>
      </w:r>
      <w:r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 xml:space="preserve">- </w:t>
      </w:r>
      <w:r w:rsidRPr="00E55847">
        <w:rPr>
          <w:rFonts w:ascii="Times New Roman" w:hAnsi="Times New Roman" w:cs="Times New Roman"/>
          <w:sz w:val="24"/>
          <w:szCs w:val="24"/>
          <w:u w:val="single"/>
        </w:rPr>
        <w:t>Islamización de España: la población musulmana supera los 2,5 millones y ya hay más de 1.700 mezquitas</w:t>
      </w:r>
      <w:r w:rsidRPr="00E55847">
        <w:rPr>
          <w:rFonts w:ascii="Times New Roman" w:hAnsi="Times New Roman" w:cs="Times New Roman"/>
          <w:sz w:val="24"/>
          <w:szCs w:val="24"/>
        </w:rPr>
        <w:t xml:space="preserve"> (Libertad Digital - </w:t>
      </w:r>
      <w:r w:rsidRPr="00E55847">
        <w:rPr>
          <w:rFonts w:ascii="Times New Roman" w:hAnsi="Times New Roman" w:cs="Times New Roman"/>
          <w:b/>
          <w:sz w:val="24"/>
          <w:szCs w:val="24"/>
        </w:rPr>
        <w:t>16/7/25</w:t>
      </w:r>
      <w:r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Los españoles también conviven con el islamismo más radical. En 2024, hasta 81 personas fueron detenidas por yihadismo, máximo histórico desde 2004.</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(Por Antonio J. Moleón)</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lastRenderedPageBreak/>
        <w:t>Torre Pacheco no es el único foco islamista de España. La nación está presenciando un cambio cultural y religioso cada vez más notorio y acelerado fusionado a la creciente inseguridad en las calles. En estos momentos, la población musulmana en territorio nacional supera los 2,5 millones según el Estudio demográfico de la población musulmana, elaborado por la Unión de Comunidades Islámicas de España (UCIDE) y por el Observatorio Andalusí, y que recoge datos hasta el 1 de enero de 2024.</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Del total de ciudadanos musulmanes residentes en España, 1,3 millones son extranjeros (55%) y algo más de un millón, españoles (45%). De los extranjeros, la mayoría son originarios de Marruecos (879.943), Pakistán (100.496) y Senegal (83.260). En este sentido, el estudio revela que, del millón de musulmanes españoles, la mayoría son nacionalizados, una cifra que sigue creciendo y que ha pasado de 511.690 a finales de 2022 a 570.606 en 2023. Esto se debe a que muchos marroquíes musulmanes consiguen la nacionalidad española. En 2024, España concedió la nacionalidad a 252.000 extranjeros en 2024 y casi 50.000 eran marroquíes.</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También aumenta el número de descendientes -segundas y terceras generaciones-, es decir, hijos, nietos y bisnietos de musulmanes, ya nacidos en España, que pasa de 559.406 a 560.786; y de naturales que se convierten al Islam, que pasa de 28.520 a 29.336.</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Por comunidades autónomas, el mayor número de musulmanes se concentra en Cataluña (660.392), seguida de Andalucía (395.913), Madrid (320.019), Comunidad Valenciana (256.819) y Murcia (140.924). Mientras, las comunidades con menos población musulmana son Cantabria (6.580) y Asturias (9.771).</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Islamismo radical asentado en España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Los españoles también conviven con el islamismo más radical. En 2024, hasta 81 personas fueron detenidas por yihadismo, máximo histórico desde 2004. El último caso que ha salido a la luz es el del imán de Cartagena. Como adelantó Libertad Digital en exclusiva hace unos días, este líder religioso reside en Torre Pacheco, el municipio que está acaparando todos los focos por la inseguridad propiciada por la inmigración. Este imán está vinculado con un grupo ilegal y extremista marroquí.</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Por otro lado, el estudio revela un incremento en la contratación de profesores de religión islámica que pasaron de 144 en el curso 2022-2023 a 243 en el curso 2023-2024, casi un 69% más. También se ha incrementado el número de alumnos de religión islámica que han pasado de 374.779 a 386.070, la mayoría de ellos (102.177) en Cataluña. Hace unos meses conocimos como las comunidades islámicas exigían el menú halal y el hiyab para estos alumnos musulmanes de España.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Mezquitas y minaretes</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En lo que respecta a los centros de culto islámicos, el último informe publicado, correspondiente al año 2023, estima que en España hay 1.712 mezquitas. Sin embargo, UCIDE (Unión de Comunidades Islámicas de España) estima que a principios de 2025 había 1.766 mezquitas en España.</w:t>
      </w:r>
    </w:p>
    <w:p w:rsidR="006A1F56"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Sin ir más lejos, hace unas pocas semanas en Seròs (Lérida), un municipio gobernado por Junts, el partido del fugado de la justicia, Carles Puigdemont, permitió levantar el primer minarete en Cataluña desde la Edad Media. En esta línea, ya hay municipios españoles con más mezquitas que iglesias. Es el caso de Salt, el primer municipio de Cataluña con más centros islámicos que parroquias.</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lastRenderedPageBreak/>
        <w:t xml:space="preserve">- </w:t>
      </w:r>
      <w:r w:rsidRPr="00E55847">
        <w:rPr>
          <w:rFonts w:ascii="Times New Roman" w:hAnsi="Times New Roman" w:cs="Times New Roman"/>
          <w:sz w:val="24"/>
          <w:szCs w:val="24"/>
          <w:u w:val="single"/>
        </w:rPr>
        <w:t>Los españoles conviven con el islamismo más radical: récord de detenciones yihadistas desde hace 20 años</w:t>
      </w:r>
      <w:r w:rsidRPr="00E55847">
        <w:rPr>
          <w:rFonts w:ascii="Times New Roman" w:hAnsi="Times New Roman" w:cs="Times New Roman"/>
          <w:sz w:val="24"/>
          <w:szCs w:val="24"/>
        </w:rPr>
        <w:t xml:space="preserve"> (Libertad Digital - </w:t>
      </w:r>
      <w:r w:rsidRPr="00E55847">
        <w:rPr>
          <w:rFonts w:ascii="Times New Roman" w:hAnsi="Times New Roman" w:cs="Times New Roman"/>
          <w:b/>
          <w:sz w:val="24"/>
          <w:szCs w:val="24"/>
        </w:rPr>
        <w:t>25/8/25</w:t>
      </w:r>
      <w:r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Quedando cuatro meses por delante, 2025 va camino de convertirse en el año con más yihadistas detenidos (95) en la historia de España.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(Por Antonio J. Moleón)</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2025 se ha convertido en el segundo año con más detenciones yihadistas en la historia de España después del 2004, donde 131 personas fueron arrestadas. En lo que va de año -y quedando cuatro meses por delante- 95 personas han sido detenidas en lo que va de año por su supuesta relación con el terrorismo yihadista, de las cuales casi un tercio han sido arrestadas en Cataluña, según los datos del Ministerio del Interior de Fernando Grande-Marlaska, que reflejan también un aumento en el número de menores, con ocho detenidos. 84 personas fueron detenidas en España y 11 en el extranjero en el más del medio centenar de operaciones llevadas a cabo en estos ocho primeros meses del año que elevan a 1.357 el número de arrestados desde el año 2004.</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Las operaciones se han desarrollado en 12 de las 17 comunidades autónomas, además de en la ciudad melillense. También, y en colaboración con otras policías, las fuerzas de seguridad españolas han participado en operaciones contra el terrorismo yihadista en Ecuador, Portugal, Reino Unido, Francia y Bélgica.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Menores y radicalización online</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Han sido ocho los menores detenidos hasta el 24 de agosto. A los especialistas en la lucha contra el terrorismo les preocupa el aumento de los menores radicalizados con los postulados de la yihad. Su número ha crecido desde la pandemia de la covid-19. Porque, además, los contenidos yihadistas han alcanzado a las redes sociales más usadas por los jóvenes, a las que los investigadores prestan especial atención.</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No hay un perfil concreto del menor radicalizado, porque en las diferentes operacione</w:t>
      </w:r>
      <w:r w:rsidR="00DD504A">
        <w:rPr>
          <w:rFonts w:ascii="Times New Roman" w:hAnsi="Times New Roman" w:cs="Times New Roman"/>
          <w:sz w:val="24"/>
          <w:szCs w:val="24"/>
        </w:rPr>
        <w:t xml:space="preserve">s policiales se han encontrado </w:t>
      </w:r>
      <w:r w:rsidRPr="00E55847">
        <w:rPr>
          <w:rFonts w:ascii="Times New Roman" w:hAnsi="Times New Roman" w:cs="Times New Roman"/>
          <w:sz w:val="24"/>
          <w:szCs w:val="24"/>
        </w:rPr>
        <w:t>tanto</w:t>
      </w:r>
      <w:r w:rsidR="00DD504A">
        <w:rPr>
          <w:rFonts w:ascii="Times New Roman" w:hAnsi="Times New Roman" w:cs="Times New Roman"/>
          <w:sz w:val="24"/>
          <w:szCs w:val="24"/>
        </w:rPr>
        <w:t>,</w:t>
      </w:r>
      <w:r w:rsidRPr="00E55847">
        <w:rPr>
          <w:rFonts w:ascii="Times New Roman" w:hAnsi="Times New Roman" w:cs="Times New Roman"/>
          <w:sz w:val="24"/>
          <w:szCs w:val="24"/>
        </w:rPr>
        <w:t xml:space="preserve"> españoles conversos sin injerencia familiar para llegar a esa conversión, como menores procedentes de un entorno muy humilde, o jóvenes de clase media alta. De todos modos, todos ellos saben moverse en internet a niveles que permiten eludir el control paterno.</w:t>
      </w:r>
    </w:p>
    <w:p w:rsidR="006A1F56" w:rsidRPr="00E55847" w:rsidRDefault="006E75B7"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“Academia de la yihad”</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Desde el 1 de enero a la actualidad han sido arrestadas cuatro mujeres. El pasado 30 de mayo la Policía Nacional informaba de la detención en Madrid de dos hermanas de 19 y 21 años por un delito de adoctrinamiento terrorista por la creación de una plataforma virtual que, bajo el pretexto de enseñar religión a otras mujeres musulmanas</w:t>
      </w:r>
      <w:r w:rsidR="006E75B7">
        <w:rPr>
          <w:rFonts w:ascii="Times New Roman" w:hAnsi="Times New Roman" w:cs="Times New Roman"/>
          <w:sz w:val="24"/>
          <w:szCs w:val="24"/>
        </w:rPr>
        <w:t>, funcionaba como si fuera una “academia de la yihad”</w:t>
      </w:r>
      <w:r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Respecto a la nacionalidad de los arrestados en lo que va de años, predominan los españoles, seguidos de los marroquíes, aunque también han sido arrestados sirios, argelinos, pakistaníes, tayikos y libaneses, pero también un ucraniano, un palestino, un belga y un portugués. Algunos de ellos impartían a través de canales cifrados consignas que promovían el asesinato y la decapitación de las personas que fueran en contra de su doctrina.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 xml:space="preserve">Los últimos detenidos en lo que va de año por su vinculación con el terrorismo yihadista lo fueron a mediados de este mes. Se trata de dos marroquíes arrestados por la Policía Nacional </w:t>
      </w:r>
      <w:r w:rsidRPr="00E55847">
        <w:rPr>
          <w:rFonts w:ascii="Times New Roman" w:hAnsi="Times New Roman" w:cs="Times New Roman"/>
          <w:sz w:val="24"/>
          <w:szCs w:val="24"/>
        </w:rPr>
        <w:lastRenderedPageBreak/>
        <w:t>en Lérida. Para uno de ellos, muy radicalizado, el juez de la Audiencia Nacional decretó su ingreso en prisión.</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Este año, con datos actualizados a mediados de este mes, los 95 detenidos hasta ahora han superado las cifras de los dos años anteriores, ya que en todo 2023 fueron capturadas 90 personas por su vinculación con el terrorismo yihadista y en 2024 un total de 89. En cualquier caso, en estos tres últimos años se ha observado un importante incremento de detenidos en relación a los ejercicios anteriores, ya que en 2020 -año de la pandemia- se produjeron 38 arrestos, al año siguiente 40 y en 2022 se detuvo a 51 personas.</w:t>
      </w:r>
    </w:p>
    <w:p w:rsidR="006A1F56" w:rsidRPr="00E55847" w:rsidRDefault="006A1F56" w:rsidP="006A1F56">
      <w:pPr>
        <w:spacing w:line="240" w:lineRule="auto"/>
        <w:jc w:val="both"/>
        <w:rPr>
          <w:rFonts w:ascii="Times New Roman" w:hAnsi="Times New Roman" w:cs="Times New Roman"/>
          <w:b/>
          <w:sz w:val="24"/>
          <w:szCs w:val="24"/>
        </w:rPr>
      </w:pPr>
      <w:r w:rsidRPr="00E55847">
        <w:rPr>
          <w:rFonts w:ascii="Times New Roman" w:hAnsi="Times New Roman" w:cs="Times New Roman"/>
          <w:b/>
          <w:sz w:val="24"/>
          <w:szCs w:val="24"/>
        </w:rPr>
        <w:t xml:space="preserve">“Brazos abiertos” (II): El gobierno de “progreso” (entre la estulticia y el cinismo) </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 xml:space="preserve">- </w:t>
      </w:r>
      <w:r w:rsidRPr="00E55847">
        <w:rPr>
          <w:rFonts w:ascii="Times New Roman" w:hAnsi="Times New Roman" w:cs="Times New Roman"/>
          <w:sz w:val="24"/>
          <w:szCs w:val="24"/>
          <w:u w:val="single"/>
        </w:rPr>
        <w:t>El Gobierno dice que España necesita 3,5 millones más de inmigrantes</w:t>
      </w:r>
      <w:r w:rsidRPr="00E55847">
        <w:rPr>
          <w:rFonts w:ascii="Times New Roman" w:hAnsi="Times New Roman" w:cs="Times New Roman"/>
          <w:sz w:val="24"/>
          <w:szCs w:val="24"/>
        </w:rPr>
        <w:t xml:space="preserve"> (Fuente: e-noticies.cat/es - </w:t>
      </w:r>
      <w:r w:rsidRPr="00E55847">
        <w:rPr>
          <w:rFonts w:ascii="Times New Roman" w:hAnsi="Times New Roman" w:cs="Times New Roman"/>
          <w:b/>
          <w:sz w:val="24"/>
          <w:szCs w:val="24"/>
        </w:rPr>
        <w:t>25/8/25</w:t>
      </w:r>
      <w:r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El llamamiento se produce en medio de una crisis migratoria sin precedentes</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España se encuentra inmersa en una crisis migratoria sin precedentes, con la acumulación de varios años de llegadas incesantes de inmigrantes irregulares. Sin ir más lejos, el año pasado se batió otro récord con la llegada de casi 64.000 ilegales a las costas españolas. El caos se ha trasladado de Canarias a Baleares, donde ha habido un aumento del 77% de llegadas (cien pateras más que el año pasado).</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Pese a la gravedad de la situación, la Secretaría de Estado de Migraciones ha lanzado un claro mensaje proinmigracionista. “España necesitará 3,5 millones de inmigrantes para compensar las jubilaciones que se van a producir en la próxima década”, han tuiteado.</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El organismo estatal se hacía eco de un artículo de El Economista, donde se advierte del problema demog</w:t>
      </w:r>
      <w:r w:rsidR="006E75B7">
        <w:rPr>
          <w:rFonts w:ascii="Times New Roman" w:hAnsi="Times New Roman" w:cs="Times New Roman"/>
          <w:sz w:val="24"/>
          <w:szCs w:val="24"/>
        </w:rPr>
        <w:t>ráfico español. Según apuntan, “</w:t>
      </w:r>
      <w:r w:rsidRPr="00E55847">
        <w:rPr>
          <w:rFonts w:ascii="Times New Roman" w:hAnsi="Times New Roman" w:cs="Times New Roman"/>
          <w:sz w:val="24"/>
          <w:szCs w:val="24"/>
        </w:rPr>
        <w:t>en la próxima década se jubilarán 5,3 millones de trabajadores mientras que solo se incorporarán 1,8 millone</w:t>
      </w:r>
      <w:r w:rsidR="006E75B7">
        <w:rPr>
          <w:rFonts w:ascii="Times New Roman" w:hAnsi="Times New Roman" w:cs="Times New Roman"/>
          <w:sz w:val="24"/>
          <w:szCs w:val="24"/>
        </w:rPr>
        <w:t>s de jóvenes al mercado laboral”. Por eso dicen que “la inmigración será crucial”</w:t>
      </w:r>
      <w:r w:rsidRPr="00E55847">
        <w:rPr>
          <w:rFonts w:ascii="Times New Roman" w:hAnsi="Times New Roman" w:cs="Times New Roman"/>
          <w:sz w:val="24"/>
          <w:szCs w:val="24"/>
        </w:rPr>
        <w:t xml:space="preserve"> para sostener el estado del bienestar.</w:t>
      </w:r>
    </w:p>
    <w:p w:rsidR="006A1F56" w:rsidRPr="00E55847" w:rsidRDefault="006E75B7"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A1F56" w:rsidRPr="00E55847">
        <w:rPr>
          <w:rFonts w:ascii="Times New Roman" w:hAnsi="Times New Roman" w:cs="Times New Roman"/>
          <w:sz w:val="24"/>
          <w:szCs w:val="24"/>
        </w:rPr>
        <w:t>Política crimi</w:t>
      </w:r>
      <w:r>
        <w:rPr>
          <w:rFonts w:ascii="Times New Roman" w:hAnsi="Times New Roman" w:cs="Times New Roman"/>
          <w:sz w:val="24"/>
          <w:szCs w:val="24"/>
        </w:rPr>
        <w:t>nal que arruina a los españoles”</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Pero el mensaje no ha sentado bien a una parte de los españoles que ve con preocupación la situación de la inmigración en España. Santiago Abascal,</w:t>
      </w:r>
      <w:r w:rsidR="006E75B7">
        <w:rPr>
          <w:rFonts w:ascii="Times New Roman" w:hAnsi="Times New Roman" w:cs="Times New Roman"/>
          <w:sz w:val="24"/>
          <w:szCs w:val="24"/>
        </w:rPr>
        <w:t xml:space="preserve"> líder de Vox, ha criticado la “política criminal” del Gobierno “</w:t>
      </w:r>
      <w:r w:rsidRPr="00E55847">
        <w:rPr>
          <w:rFonts w:ascii="Times New Roman" w:hAnsi="Times New Roman" w:cs="Times New Roman"/>
          <w:sz w:val="24"/>
          <w:szCs w:val="24"/>
        </w:rPr>
        <w:t>qu</w:t>
      </w:r>
      <w:r w:rsidR="006E75B7">
        <w:rPr>
          <w:rFonts w:ascii="Times New Roman" w:hAnsi="Times New Roman" w:cs="Times New Roman"/>
          <w:sz w:val="24"/>
          <w:szCs w:val="24"/>
        </w:rPr>
        <w:t>e va a arruinar a los españoles”. En un duro tuit habla de “caos multicultural” que “</w:t>
      </w:r>
      <w:r w:rsidRPr="00E55847">
        <w:rPr>
          <w:rFonts w:ascii="Times New Roman" w:hAnsi="Times New Roman" w:cs="Times New Roman"/>
          <w:sz w:val="24"/>
          <w:szCs w:val="24"/>
        </w:rPr>
        <w:t>solo benef</w:t>
      </w:r>
      <w:r w:rsidR="006E75B7">
        <w:rPr>
          <w:rFonts w:ascii="Times New Roman" w:hAnsi="Times New Roman" w:cs="Times New Roman"/>
          <w:sz w:val="24"/>
          <w:szCs w:val="24"/>
        </w:rPr>
        <w:t>icia a unos pocos privilegiados”</w:t>
      </w:r>
      <w:r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Abascal recoge la indignación de una importante de la población que ve la inmigración ilegal como un problema y no como una solución. De hecho, la polémica publicación de la Secretaría de Estado de Migraciones en X ha provocado muchas reacciones adversas.</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Hay quienes piensan que es una estrategia de las élites económicas para atraer mano de obra barata y bajar los costes empresariales. Otros ponen en cuestión el impacto positivo de la inmigración ilegal masiva, tanto económica como socialmente. Así mismo, se preguntan por qué en lugar de fomentar la inmigración ilegal no se fomenta la natalidad.</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El impacto de la inmigración</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El último recuento del INE (Instituto Nacional de Estadística) ha mostrado un nuevo récord de población en España. El aumento poblacional se asienta exclusivamente en el saldo migratorio positivo. La inmigración no deja de subir mientras la natalidad no deja de bajar.</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lastRenderedPageBreak/>
        <w:t>Varios estudios en Europa han puesto en cuestión el impacto positivo de la inmigración en el estado del bienestar. Según estos estudios, a lo largo de la vida los inmigrantes reciben más prestaciones de lo que aportan a la seguridad social. Esto contradice el relato oficial sobre los supuestos beneficios de la inmigración y alimenta las suspicacias sobre los intereses detrás del modelo proinmigracionista.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España ya ha superado los 49 millones de habitantes y según los pronósticos del Gobierno pronto superaremos los cincuenta mil. En Cataluña ya se habla de los diez millones, pese a las reticencias de una parte cada vez mayor de la población.</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 xml:space="preserve">- </w:t>
      </w:r>
      <w:r w:rsidRPr="00E55847">
        <w:rPr>
          <w:rFonts w:ascii="Times New Roman" w:hAnsi="Times New Roman" w:cs="Times New Roman"/>
          <w:sz w:val="24"/>
          <w:szCs w:val="24"/>
          <w:u w:val="single"/>
        </w:rPr>
        <w:t>Los expertos ven inviable el plan del Gobierno de recibir 3,5 millones de inmigrantes más</w:t>
      </w:r>
      <w:r w:rsidRPr="00E55847">
        <w:rPr>
          <w:rFonts w:ascii="Times New Roman" w:hAnsi="Times New Roman" w:cs="Times New Roman"/>
          <w:sz w:val="24"/>
          <w:szCs w:val="24"/>
        </w:rPr>
        <w:t xml:space="preserve"> (The Objective - </w:t>
      </w:r>
      <w:r w:rsidRPr="00E55847">
        <w:rPr>
          <w:rFonts w:ascii="Times New Roman" w:hAnsi="Times New Roman" w:cs="Times New Roman"/>
          <w:b/>
          <w:sz w:val="24"/>
          <w:szCs w:val="24"/>
        </w:rPr>
        <w:t>26/8/25</w:t>
      </w:r>
      <w:r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El Ministerio de Inclusión y Migraciones sostiene que una llegada masiva de extranjeros compensará las jubilaciones</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(Por Marcos Ondarra)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En la próxima década se jubilarán 5,3 millones de trabajadores, mientras que solo se incorporarán 1,8 millones de jóvenes al mercado laboral. Esas son las predicciones de la Fundación Adecco que el Gobierno de España ha hecho suyas para justificar la llegada de 3,5 millones de inmi</w:t>
      </w:r>
      <w:r w:rsidR="006E75B7">
        <w:rPr>
          <w:rFonts w:ascii="Times New Roman" w:hAnsi="Times New Roman" w:cs="Times New Roman"/>
          <w:sz w:val="24"/>
          <w:szCs w:val="24"/>
        </w:rPr>
        <w:t>grantes más con el objetivo de “compensar las jubilaciones”</w:t>
      </w:r>
      <w:r w:rsidRPr="00E55847">
        <w:rPr>
          <w:rFonts w:ascii="Times New Roman" w:hAnsi="Times New Roman" w:cs="Times New Roman"/>
          <w:sz w:val="24"/>
          <w:szCs w:val="24"/>
        </w:rPr>
        <w:t xml:space="preserve"> y blindar las pensiones. Sin embargo, los expertos consultados por T</w:t>
      </w:r>
      <w:r>
        <w:rPr>
          <w:rFonts w:ascii="Times New Roman" w:hAnsi="Times New Roman" w:cs="Times New Roman"/>
          <w:sz w:val="24"/>
          <w:szCs w:val="24"/>
        </w:rPr>
        <w:t xml:space="preserve">he Objective </w:t>
      </w:r>
      <w:r w:rsidRPr="00E55847">
        <w:rPr>
          <w:rFonts w:ascii="Times New Roman" w:hAnsi="Times New Roman" w:cs="Times New Roman"/>
          <w:sz w:val="24"/>
          <w:szCs w:val="24"/>
        </w:rPr>
        <w:t>ofrecen seis argumentos contra ese planteamiento.</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El primero, y más evidente, es el que tiene que ver con el paro estructural que, de un tiempo a esta parte, asola a España. La Encuesta de Población Activa (EPA) del segundo semestre de 2025 asegura que el número de desempleados es de 2.533.100 personas, con una tasa del paro del 10,29%. Sin embargo, otras estimaciones sugieren que el desempleo real podría oscilar los 4 millones de personas al incluir categorías como demandantes no ocupados (200.532), personas con disposición limitada (372.549) y trabajadores en situación de inactividad laboral, como fijos discontinuos o afectados por ERTE (859.000), según datos de febrero de 2025 del Servicio Público de Empleo (SEPE).</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 xml:space="preserve">Para más inri, muchos de estos parados son extranjeros. Según los datos más recientes, relativos al Instituto Nacional de Estadística, hay 6,6 millones de extranjeros residentes en España. Por su parte, el Ministerio de Inclusión, Seguridad Social y Migraciones indica que hay 2,8 millones de afiliados extranjeros a la Seguridad Social. Calculando la diferencia, aproximadamente 3,8 millones de extranjeros residentes no estarían cotizando a la Seguridad Social, lo que representa cerca del 57,6% del total. Sin embargo, esta cifra incluye a las personas que no están en edad de trabajar (menores, jubilados) o que no forman parte de la población activa (estudiantes). </w:t>
      </w:r>
    </w:p>
    <w:p w:rsidR="006A1F56" w:rsidRPr="00E55847" w:rsidRDefault="006E75B7"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“Un disparate”</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Por lo expuesto, el economista</w:t>
      </w:r>
      <w:r w:rsidR="006E75B7">
        <w:rPr>
          <w:rFonts w:ascii="Times New Roman" w:hAnsi="Times New Roman" w:cs="Times New Roman"/>
          <w:sz w:val="24"/>
          <w:szCs w:val="24"/>
        </w:rPr>
        <w:t xml:space="preserve"> Javier Santacruz sostiene que “</w:t>
      </w:r>
      <w:r w:rsidRPr="00E55847">
        <w:rPr>
          <w:rFonts w:ascii="Times New Roman" w:hAnsi="Times New Roman" w:cs="Times New Roman"/>
          <w:sz w:val="24"/>
          <w:szCs w:val="24"/>
        </w:rPr>
        <w:t>importar masivamente mano de obra extranjera para cubrir jubilaciones es un disparate</w:t>
      </w:r>
      <w:r w:rsidR="006E75B7">
        <w:rPr>
          <w:rFonts w:ascii="Times New Roman" w:hAnsi="Times New Roman" w:cs="Times New Roman"/>
          <w:sz w:val="24"/>
          <w:szCs w:val="24"/>
        </w:rPr>
        <w:t>”: “</w:t>
      </w:r>
      <w:r w:rsidRPr="00E55847">
        <w:rPr>
          <w:rFonts w:ascii="Times New Roman" w:hAnsi="Times New Roman" w:cs="Times New Roman"/>
          <w:sz w:val="24"/>
          <w:szCs w:val="24"/>
        </w:rPr>
        <w:t>No tiene en cuenta los parados actuales y futuros (los que genere la automatización de algunos empleos), el nivel de subempleo existente (la suma de parados oficiales y gente que aunque está trabajando a tiempo parcial quiere encontrar un empleo mejor es superior a 4 millones) ni los inmigrantes en edad de trabajar que</w:t>
      </w:r>
      <w:r w:rsidR="006E75B7">
        <w:rPr>
          <w:rFonts w:ascii="Times New Roman" w:hAnsi="Times New Roman" w:cs="Times New Roman"/>
          <w:sz w:val="24"/>
          <w:szCs w:val="24"/>
        </w:rPr>
        <w:t xml:space="preserve"> no trabajan y cobran subsidios”</w:t>
      </w:r>
      <w:r w:rsidRPr="00E55847">
        <w:rPr>
          <w:rFonts w:ascii="Times New Roman" w:hAnsi="Times New Roman" w:cs="Times New Roman"/>
          <w:sz w:val="24"/>
          <w:szCs w:val="24"/>
        </w:rPr>
        <w:t>.</w:t>
      </w:r>
    </w:p>
    <w:p w:rsidR="006A1F56" w:rsidRPr="00E55847" w:rsidRDefault="006E75B7"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Además, abunda Santacruz, “</w:t>
      </w:r>
      <w:r w:rsidR="006A1F56" w:rsidRPr="00E55847">
        <w:rPr>
          <w:rFonts w:ascii="Times New Roman" w:hAnsi="Times New Roman" w:cs="Times New Roman"/>
          <w:sz w:val="24"/>
          <w:szCs w:val="24"/>
        </w:rPr>
        <w:t>también es un disparate porque no tiene en cuenta tres factores fundamentales: el nivel de cualificación y formación de esos inmigrantes y si encajan o no con los puestos vacantes o futuros; qué productividad tienen; y la probabilidad de que tengan salarios bajos porque su productividad o el sector en el que trabajan no da más de sí y tengan que estar subsidiados ellos mismos o su</w:t>
      </w:r>
      <w:r>
        <w:rPr>
          <w:rFonts w:ascii="Times New Roman" w:hAnsi="Times New Roman" w:cs="Times New Roman"/>
          <w:sz w:val="24"/>
          <w:szCs w:val="24"/>
        </w:rPr>
        <w:t>s familias”</w:t>
      </w:r>
      <w:r w:rsidR="006A1F56"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En este mismo sentido, el demógrafo Al</w:t>
      </w:r>
      <w:r w:rsidR="006E75B7">
        <w:rPr>
          <w:rFonts w:ascii="Times New Roman" w:hAnsi="Times New Roman" w:cs="Times New Roman"/>
          <w:sz w:val="24"/>
          <w:szCs w:val="24"/>
        </w:rPr>
        <w:t>ejandro Macarrón considera que “</w:t>
      </w:r>
      <w:r w:rsidRPr="00E55847">
        <w:rPr>
          <w:rFonts w:ascii="Times New Roman" w:hAnsi="Times New Roman" w:cs="Times New Roman"/>
          <w:sz w:val="24"/>
          <w:szCs w:val="24"/>
        </w:rPr>
        <w:t>con cuatro millones de parados reales (1/3, inmigrantes), sobran más inmigrantes de los q</w:t>
      </w:r>
      <w:r w:rsidR="006E75B7">
        <w:rPr>
          <w:rFonts w:ascii="Times New Roman" w:hAnsi="Times New Roman" w:cs="Times New Roman"/>
          <w:sz w:val="24"/>
          <w:szCs w:val="24"/>
        </w:rPr>
        <w:t>ue faltan”, ya que han llegado “</w:t>
      </w:r>
      <w:r w:rsidRPr="00E55847">
        <w:rPr>
          <w:rFonts w:ascii="Times New Roman" w:hAnsi="Times New Roman" w:cs="Times New Roman"/>
          <w:sz w:val="24"/>
          <w:szCs w:val="24"/>
        </w:rPr>
        <w:t xml:space="preserve">1,8 millones más en los últimos tres años, pese a que, con nuestro Estado de Bienestar, tener varios millones de parados es carísimo, y al daño de este aflujo a la </w:t>
      </w:r>
      <w:r w:rsidR="006E75B7">
        <w:rPr>
          <w:rFonts w:ascii="Times New Roman" w:hAnsi="Times New Roman" w:cs="Times New Roman"/>
          <w:sz w:val="24"/>
          <w:szCs w:val="24"/>
        </w:rPr>
        <w:t>empleabilidad de tantos parados”. “</w:t>
      </w:r>
      <w:r w:rsidRPr="00E55847">
        <w:rPr>
          <w:rFonts w:ascii="Times New Roman" w:hAnsi="Times New Roman" w:cs="Times New Roman"/>
          <w:sz w:val="24"/>
          <w:szCs w:val="24"/>
        </w:rPr>
        <w:t>A partir de 2030-2035, España, por su siberiano invierno demográfico, tendrá que elegir entre más inmigración, jubilaciones aún más t</w:t>
      </w:r>
      <w:r w:rsidR="006E75B7">
        <w:rPr>
          <w:rFonts w:ascii="Times New Roman" w:hAnsi="Times New Roman" w:cs="Times New Roman"/>
          <w:sz w:val="24"/>
          <w:szCs w:val="24"/>
        </w:rPr>
        <w:t>ardías o más vacantes laborales”</w:t>
      </w:r>
      <w:r w:rsidRPr="00E55847">
        <w:rPr>
          <w:rFonts w:ascii="Times New Roman" w:hAnsi="Times New Roman" w:cs="Times New Roman"/>
          <w:sz w:val="24"/>
          <w:szCs w:val="24"/>
        </w:rPr>
        <w:t>, zanja Macarrón.</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Un tercer argumento contra el plan del Gobierno, que se suma al paro estructural y al número de extranjeros desempleados, es el de los españoles que residen actualmente en el extranjero. Según los datos del Padrón de Españoles Residentes en el Extranjero (PERE) del Instituto Nacional de Estadística (INE), a 1 de enero de 2025, 3.045.966 personas con nacionalidad española residían fuera de España.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Déficit de vivienda</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 xml:space="preserve">El siguiente inconveniente es que la llegada de 3,5 millones de inmigrantes en tan poco tiempo tensionaría aún más el mercado inmobiliario. En este sentido, un reciente informe del Departamento de Estudios y Análisis Social de CEU-CEFAS, El problema de la vivienda en España: análisis y propuestas, señalaba la inmigración masiva como una de las principales causas de la </w:t>
      </w:r>
      <w:r w:rsidR="006E75B7">
        <w:rPr>
          <w:rFonts w:ascii="Times New Roman" w:hAnsi="Times New Roman" w:cs="Times New Roman"/>
          <w:sz w:val="24"/>
          <w:szCs w:val="24"/>
        </w:rPr>
        <w:t>crisis de vivienda, junto a la “</w:t>
      </w:r>
      <w:r w:rsidRPr="00E55847">
        <w:rPr>
          <w:rFonts w:ascii="Times New Roman" w:hAnsi="Times New Roman" w:cs="Times New Roman"/>
          <w:sz w:val="24"/>
          <w:szCs w:val="24"/>
        </w:rPr>
        <w:t>obs</w:t>
      </w:r>
      <w:r w:rsidR="006E75B7">
        <w:rPr>
          <w:rFonts w:ascii="Times New Roman" w:hAnsi="Times New Roman" w:cs="Times New Roman"/>
          <w:sz w:val="24"/>
          <w:szCs w:val="24"/>
        </w:rPr>
        <w:t>trucción y lentitud en permisos”, la “fiscalidad muy elevada” o la “desestructuración familiar”</w:t>
      </w:r>
      <w:r w:rsidRPr="00E55847">
        <w:rPr>
          <w:rFonts w:ascii="Times New Roman" w:hAnsi="Times New Roman" w:cs="Times New Roman"/>
          <w:sz w:val="24"/>
          <w:szCs w:val="24"/>
        </w:rPr>
        <w:t>.</w:t>
      </w:r>
    </w:p>
    <w:p w:rsidR="006A1F56" w:rsidRPr="00E55847" w:rsidRDefault="006E75B7"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A1F56" w:rsidRPr="00E55847">
        <w:rPr>
          <w:rFonts w:ascii="Times New Roman" w:hAnsi="Times New Roman" w:cs="Times New Roman"/>
          <w:sz w:val="24"/>
          <w:szCs w:val="24"/>
        </w:rPr>
        <w:t>La principal causa de la crisis de vivienda es la inmigración, hay una demanda desaforada y una oferta que no respond</w:t>
      </w:r>
      <w:r>
        <w:rPr>
          <w:rFonts w:ascii="Times New Roman" w:hAnsi="Times New Roman" w:cs="Times New Roman"/>
          <w:sz w:val="24"/>
          <w:szCs w:val="24"/>
        </w:rPr>
        <w:t>e a las necesidades del mercado”</w:t>
      </w:r>
      <w:r w:rsidR="006A1F56" w:rsidRPr="00E55847">
        <w:rPr>
          <w:rFonts w:ascii="Times New Roman" w:hAnsi="Times New Roman" w:cs="Times New Roman"/>
          <w:sz w:val="24"/>
          <w:szCs w:val="24"/>
        </w:rPr>
        <w:t xml:space="preserve">, coincide el consultor inmobiliario José Luis </w:t>
      </w:r>
      <w:r>
        <w:rPr>
          <w:rFonts w:ascii="Times New Roman" w:hAnsi="Times New Roman" w:cs="Times New Roman"/>
          <w:sz w:val="24"/>
          <w:szCs w:val="24"/>
        </w:rPr>
        <w:t>Ruiz Bartolomé, que señala que “</w:t>
      </w:r>
      <w:r w:rsidR="006A1F56" w:rsidRPr="00E55847">
        <w:rPr>
          <w:rFonts w:ascii="Times New Roman" w:hAnsi="Times New Roman" w:cs="Times New Roman"/>
          <w:sz w:val="24"/>
          <w:szCs w:val="24"/>
        </w:rPr>
        <w:t>hemos apoyado e incentivado la entrada masiva de inmigración en poco tiempo, y esa gente</w:t>
      </w:r>
      <w:r>
        <w:rPr>
          <w:rFonts w:ascii="Times New Roman" w:hAnsi="Times New Roman" w:cs="Times New Roman"/>
          <w:sz w:val="24"/>
          <w:szCs w:val="24"/>
        </w:rPr>
        <w:t xml:space="preserve"> tiene que ocupar algún espacio”</w:t>
      </w:r>
      <w:r w:rsidR="006A1F56" w:rsidRPr="00E55847">
        <w:rPr>
          <w:rFonts w:ascii="Times New Roman" w:hAnsi="Times New Roman" w:cs="Times New Roman"/>
          <w:sz w:val="24"/>
          <w:szCs w:val="24"/>
        </w:rPr>
        <w:t>. En ese tenido, Bartolomé se remite a un informe reciente de la economista Rosa Sa</w:t>
      </w:r>
      <w:r w:rsidR="00872221">
        <w:rPr>
          <w:rFonts w:ascii="Times New Roman" w:hAnsi="Times New Roman" w:cs="Times New Roman"/>
          <w:sz w:val="24"/>
          <w:szCs w:val="24"/>
        </w:rPr>
        <w:t>nchis-Guarner que concluye que “</w:t>
      </w:r>
      <w:r w:rsidR="006A1F56" w:rsidRPr="00E55847">
        <w:rPr>
          <w:rFonts w:ascii="Times New Roman" w:hAnsi="Times New Roman" w:cs="Times New Roman"/>
          <w:sz w:val="24"/>
          <w:szCs w:val="24"/>
        </w:rPr>
        <w:t xml:space="preserve">por cada punto porcentual de aumento de población por inmigración, la vivienda </w:t>
      </w:r>
      <w:r w:rsidR="00872221">
        <w:rPr>
          <w:rFonts w:ascii="Times New Roman" w:hAnsi="Times New Roman" w:cs="Times New Roman"/>
          <w:sz w:val="24"/>
          <w:szCs w:val="24"/>
        </w:rPr>
        <w:t>se encarece 2,5%”</w:t>
      </w:r>
      <w:r w:rsidR="006A1F56"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Tasa de natalidad</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También hay que tener en cuenta que la tasa de natalidad en España es muy baja en comparación con el nivel de reemplazo generacional (aproximadamente 2,1 hijos por mujer para mantener la población estable): el índice de fecundidad en 2024 se mantuvo en 1,12 hijos por mujer, uno de los más bajos de la Unión Europea, solo por encima de Malta (1,08). Por eso cada vez son más las voces que piden políticas de fomento de la natalidad, como el demógrafo Alejandro Macarrón, y no de inmigración masiva.</w:t>
      </w:r>
    </w:p>
    <w:p w:rsidR="006A1F56"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Esta baja tasa de natalidad está relacionada c</w:t>
      </w:r>
      <w:r w:rsidR="006E75B7">
        <w:rPr>
          <w:rFonts w:ascii="Times New Roman" w:hAnsi="Times New Roman" w:cs="Times New Roman"/>
          <w:sz w:val="24"/>
          <w:szCs w:val="24"/>
        </w:rPr>
        <w:t>on la elevada tasa de abortos. “</w:t>
      </w:r>
      <w:r w:rsidRPr="00E55847">
        <w:rPr>
          <w:rFonts w:ascii="Times New Roman" w:hAnsi="Times New Roman" w:cs="Times New Roman"/>
          <w:sz w:val="24"/>
          <w:szCs w:val="24"/>
        </w:rPr>
        <w:t xml:space="preserve">Si en 2024 el número de abortos a mujeres residentes en España hubiera sido como el de 2023 (100.000 y pico), ha habido 940.000 abortos </w:t>
      </w:r>
      <w:r w:rsidR="006E75B7">
        <w:rPr>
          <w:rFonts w:ascii="Times New Roman" w:hAnsi="Times New Roman" w:cs="Times New Roman"/>
          <w:sz w:val="24"/>
          <w:szCs w:val="24"/>
        </w:rPr>
        <w:t>de 2015 a 2024, ambos inclusive”</w:t>
      </w:r>
      <w:r w:rsidR="001D72FF">
        <w:rPr>
          <w:rFonts w:ascii="Times New Roman" w:hAnsi="Times New Roman" w:cs="Times New Roman"/>
          <w:sz w:val="24"/>
          <w:szCs w:val="24"/>
        </w:rPr>
        <w:t>, expone Macarrón, que abunda: “</w:t>
      </w:r>
      <w:r w:rsidRPr="00E55847">
        <w:rPr>
          <w:rFonts w:ascii="Times New Roman" w:hAnsi="Times New Roman" w:cs="Times New Roman"/>
          <w:sz w:val="24"/>
          <w:szCs w:val="24"/>
        </w:rPr>
        <w:t xml:space="preserve">A fecha de hoy, debemos estar ya por los 3 millones de abortos a mujeres residentes en España desde 1986, más </w:t>
      </w:r>
      <w:r w:rsidR="001D72FF">
        <w:rPr>
          <w:rFonts w:ascii="Times New Roman" w:hAnsi="Times New Roman" w:cs="Times New Roman"/>
          <w:sz w:val="24"/>
          <w:szCs w:val="24"/>
        </w:rPr>
        <w:t>unos 60.000 de turismo abortivo”</w:t>
      </w:r>
      <w:r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lastRenderedPageBreak/>
        <w:t>Falta de integración</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El responsable de Estudios y Análisis Social de CEU-CEFAS alerta de que los</w:t>
      </w:r>
      <w:r w:rsidR="001D72FF">
        <w:rPr>
          <w:rFonts w:ascii="Times New Roman" w:hAnsi="Times New Roman" w:cs="Times New Roman"/>
          <w:sz w:val="24"/>
          <w:szCs w:val="24"/>
        </w:rPr>
        <w:t xml:space="preserve"> inmigrantes no compensarán el “</w:t>
      </w:r>
      <w:r w:rsidRPr="00E55847">
        <w:rPr>
          <w:rFonts w:ascii="Times New Roman" w:hAnsi="Times New Roman" w:cs="Times New Roman"/>
          <w:sz w:val="24"/>
          <w:szCs w:val="24"/>
        </w:rPr>
        <w:t>catastrófico déficit de natalidad de los</w:t>
      </w:r>
      <w:r w:rsidR="001D72FF">
        <w:rPr>
          <w:rFonts w:ascii="Times New Roman" w:hAnsi="Times New Roman" w:cs="Times New Roman"/>
          <w:sz w:val="24"/>
          <w:szCs w:val="24"/>
        </w:rPr>
        <w:t xml:space="preserve"> españoles”: “</w:t>
      </w:r>
      <w:r w:rsidRPr="00E55847">
        <w:rPr>
          <w:rFonts w:ascii="Times New Roman" w:hAnsi="Times New Roman" w:cs="Times New Roman"/>
          <w:sz w:val="24"/>
          <w:szCs w:val="24"/>
        </w:rPr>
        <w:t>No paran el envejecimiento social, solo lo ralentizan. No muchos cubren empleos cualificados. No solucionan la soledad y desierto afectivo por falta de niños y la desestructuración familiar. Y hay riesgos de integración por exceso y/o choques</w:t>
      </w:r>
      <w:r w:rsidR="001D72FF">
        <w:rPr>
          <w:rFonts w:ascii="Times New Roman" w:hAnsi="Times New Roman" w:cs="Times New Roman"/>
          <w:sz w:val="24"/>
          <w:szCs w:val="24"/>
        </w:rPr>
        <w:t xml:space="preserve"> culturales”</w:t>
      </w:r>
      <w:r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 xml:space="preserve">En este último sentido, los inmigrantes cometen proporcionalmente </w:t>
      </w:r>
      <w:r w:rsidR="001D72FF">
        <w:rPr>
          <w:rFonts w:ascii="Times New Roman" w:hAnsi="Times New Roman" w:cs="Times New Roman"/>
          <w:sz w:val="24"/>
          <w:szCs w:val="24"/>
        </w:rPr>
        <w:t>más delitos que los españoles. “</w:t>
      </w:r>
      <w:r w:rsidRPr="00E55847">
        <w:rPr>
          <w:rFonts w:ascii="Times New Roman" w:hAnsi="Times New Roman" w:cs="Times New Roman"/>
          <w:sz w:val="24"/>
          <w:szCs w:val="24"/>
        </w:rPr>
        <w:t>La mayor parte de los condenados en 2023 tenía nacionalidad española (72,3%). No obstante, atendiendo a la tasa por cada 1.000 habitantes de 18 y más años, la de los de nacionalidad extranjera (14,6) fue superior en 2,5 veces a la de los</w:t>
      </w:r>
      <w:r w:rsidR="001D72FF">
        <w:rPr>
          <w:rFonts w:ascii="Times New Roman" w:hAnsi="Times New Roman" w:cs="Times New Roman"/>
          <w:sz w:val="24"/>
          <w:szCs w:val="24"/>
        </w:rPr>
        <w:t xml:space="preserve"> de nacionalidad española (5,8)”</w:t>
      </w:r>
      <w:r w:rsidRPr="00E55847">
        <w:rPr>
          <w:rFonts w:ascii="Times New Roman" w:hAnsi="Times New Roman" w:cs="Times New Roman"/>
          <w:sz w:val="24"/>
          <w:szCs w:val="24"/>
        </w:rPr>
        <w:t>, admite el propio INE. No obstante, la proporción es aún mayor en delitos como los feminicidios (3,8) o en violaciones (el triple).</w:t>
      </w:r>
    </w:p>
    <w:p w:rsidR="006A1F56" w:rsidRPr="00AE3A94" w:rsidRDefault="006A1F56" w:rsidP="006A1F56">
      <w:pPr>
        <w:spacing w:line="240" w:lineRule="auto"/>
        <w:jc w:val="both"/>
        <w:rPr>
          <w:rFonts w:ascii="Times New Roman" w:hAnsi="Times New Roman" w:cs="Times New Roman"/>
          <w:b/>
          <w:color w:val="FF0000"/>
          <w:sz w:val="24"/>
          <w:szCs w:val="24"/>
        </w:rPr>
      </w:pPr>
      <w:r w:rsidRPr="00AE3A94">
        <w:rPr>
          <w:rFonts w:ascii="Times New Roman" w:hAnsi="Times New Roman" w:cs="Times New Roman"/>
          <w:b/>
          <w:color w:val="FF0000"/>
          <w:sz w:val="24"/>
          <w:szCs w:val="24"/>
        </w:rPr>
        <w:t>Nota XI: Al fin un político dice la verdad: queremos a los inmigrantes para “limpiar los culos de los abuelos” (falta que otro diga: y para hacer de peones, barrenderos, kellys,  camareros, riders, y putas… vamo</w:t>
      </w:r>
      <w:r w:rsidR="007F42A8">
        <w:rPr>
          <w:rFonts w:ascii="Times New Roman" w:hAnsi="Times New Roman" w:cs="Times New Roman"/>
          <w:b/>
          <w:color w:val="FF0000"/>
          <w:sz w:val="24"/>
          <w:szCs w:val="24"/>
        </w:rPr>
        <w:t>s, para que sean los “esclavos felices” 5.0</w:t>
      </w:r>
      <w:r w:rsidRPr="00AE3A94">
        <w:rPr>
          <w:rFonts w:ascii="Times New Roman" w:hAnsi="Times New Roman" w:cs="Times New Roman"/>
          <w:b/>
          <w:color w:val="FF0000"/>
          <w:sz w:val="24"/>
          <w:szCs w:val="24"/>
        </w:rPr>
        <w:t xml:space="preserve">) </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 xml:space="preserve">- </w:t>
      </w:r>
      <w:r w:rsidRPr="00E55847">
        <w:rPr>
          <w:rFonts w:ascii="Times New Roman" w:hAnsi="Times New Roman" w:cs="Times New Roman"/>
          <w:sz w:val="24"/>
          <w:szCs w:val="24"/>
          <w:u w:val="single"/>
        </w:rPr>
        <w:t>Limpiar culos</w:t>
      </w:r>
      <w:r w:rsidRPr="00E55847">
        <w:rPr>
          <w:rFonts w:ascii="Times New Roman" w:hAnsi="Times New Roman" w:cs="Times New Roman"/>
          <w:sz w:val="24"/>
          <w:szCs w:val="24"/>
        </w:rPr>
        <w:t xml:space="preserve"> (Fuente: Libertad Digital - </w:t>
      </w:r>
      <w:r w:rsidRPr="00E55847">
        <w:rPr>
          <w:rFonts w:ascii="Times New Roman" w:hAnsi="Times New Roman" w:cs="Times New Roman"/>
          <w:b/>
          <w:sz w:val="24"/>
          <w:szCs w:val="24"/>
        </w:rPr>
        <w:t>25/8/25</w:t>
      </w:r>
      <w:r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¿Y cómo es posible que los abuelos nipones lleven el culo tan limpio si en Japón no hay millones de inmigrantes para atender a los ancianos?</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(Por José García Domínguez)</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Un sutil diputado socialdemócrata por Madrid, cierto Víctor Gutiérrez, acaba de deponer que España necesita seguir fomentando la llegada masiva de inmigrantes con el</w:t>
      </w:r>
      <w:r w:rsidR="001D72FF">
        <w:rPr>
          <w:rFonts w:ascii="Times New Roman" w:hAnsi="Times New Roman" w:cs="Times New Roman"/>
          <w:sz w:val="24"/>
          <w:szCs w:val="24"/>
        </w:rPr>
        <w:t xml:space="preserve"> argumento de que alguien debe “</w:t>
      </w:r>
      <w:r w:rsidRPr="00E55847">
        <w:rPr>
          <w:rFonts w:ascii="Times New Roman" w:hAnsi="Times New Roman" w:cs="Times New Roman"/>
          <w:sz w:val="24"/>
          <w:szCs w:val="24"/>
        </w:rPr>
        <w:t>l</w:t>
      </w:r>
      <w:r w:rsidR="001D72FF">
        <w:rPr>
          <w:rFonts w:ascii="Times New Roman" w:hAnsi="Times New Roman" w:cs="Times New Roman"/>
          <w:sz w:val="24"/>
          <w:szCs w:val="24"/>
        </w:rPr>
        <w:t>impiar los culos de los abuelos”</w:t>
      </w:r>
      <w:r w:rsidRPr="00E55847">
        <w:rPr>
          <w:rFonts w:ascii="Times New Roman" w:hAnsi="Times New Roman" w:cs="Times New Roman"/>
          <w:sz w:val="24"/>
          <w:szCs w:val="24"/>
        </w:rPr>
        <w:t>. Una profunda reflexión, esa del tribuno Gutiérrez, que tal vez causaría alguna perplejidad en Japón o Corea del Sur si tal extracto de su pensamiento más profundo llegase a atravesar nuestras fronteras algún día. Lo digo porque Japón y Corea del Sur forman parte ambos del privilegiado grupo de los países más industrializados y ricos del mundo, un estatus que alcanzaron y que mantienen sin necesidad de atraer a inmigrantes.</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De hecho, el censo en esos dos territorios de trabajadores extranjeros no cualificados resulta ser absolutamente testimonial e irrelevante en términos estadísticos. Por cierto, se trata de países con poblaciones locales, al igual que la española autóctona, envejecidas; algo, ese sesgo de las respectivas pirámides demográficas, que no impide que sus abuelos luzcan el culto bien limpio. ¿Y cómo es posible que los abuelos nipones lleven el culo tan limpio si en Japón no hay millones de inmigrantes del Tercer Mundo hacinados en pisos patera y cobrando jornales de miseria para atender a los ancianos?</w:t>
      </w:r>
    </w:p>
    <w:p w:rsidR="006A1F56"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Pues tal hito higiénico se alcanzó allí porque, contra lo que parece creer el socialdemócrata Gutiérrez, el problema de los culos, como tantos otros asuntos vinculados a los trabajos desagradables, se puede resolver de una forma sencillísima y sin necesidad de recurrir a la mano de obra extranjera. ¿Cómo? Pues pagando salarios decentes a las personas encargadas de esas labores. Así de fácil. Hace años, recuerdo haber visto en una capital de provincia una cola kilométrica de españoles que aspiraban a ocupar varias docenas de plazas de basurero ofertadas por la empresa Construcciones y Contratas. ¿Cuál era el secreto? Que pagaban muy bien. No había más misterio. Por lo visto, al socialdemócrata Gutiérrez no se le ha pasado nunca por la cabeza que los trabajadores españoles arriendan su fuerza de trabajo a cambio de dinero. Y que, en consecuencia, el genuino problema son los euros, no los culos.</w:t>
      </w:r>
    </w:p>
    <w:p w:rsidR="006A1F56" w:rsidRPr="00AE3A94" w:rsidRDefault="006A1F56" w:rsidP="006A1F56">
      <w:pPr>
        <w:pStyle w:val="NormalWeb"/>
        <w:shd w:val="clear" w:color="auto" w:fill="FFFFFF"/>
        <w:jc w:val="both"/>
      </w:pPr>
      <w:r w:rsidRPr="00AE3A94">
        <w:lastRenderedPageBreak/>
        <w:t xml:space="preserve">- </w:t>
      </w:r>
      <w:r w:rsidRPr="00AE3A94">
        <w:rPr>
          <w:u w:val="single"/>
        </w:rPr>
        <w:t>Dos de cada tres nuevos repartidores a domicilio son extranjeros</w:t>
      </w:r>
      <w:r w:rsidRPr="00AE3A94">
        <w:t xml:space="preserve"> (The Objective - </w:t>
      </w:r>
      <w:r w:rsidRPr="00AE3A94">
        <w:rPr>
          <w:b/>
        </w:rPr>
        <w:t>30/8/25</w:t>
      </w:r>
      <w:r w:rsidRPr="00AE3A94">
        <w:t>)</w:t>
      </w:r>
    </w:p>
    <w:p w:rsidR="006A1F56" w:rsidRPr="00AE3A94" w:rsidRDefault="006A1F56" w:rsidP="006A1F56">
      <w:pPr>
        <w:pStyle w:val="NormalWeb"/>
        <w:shd w:val="clear" w:color="auto" w:fill="FFFFFF"/>
        <w:jc w:val="both"/>
      </w:pPr>
      <w:r w:rsidRPr="00AE3A94">
        <w:t>El empleo no resulta atractivo para los españoles: solo 5.000 autónomos se dieron de alta en la Seguridad Social en 2024</w:t>
      </w:r>
    </w:p>
    <w:p w:rsidR="006A1F56" w:rsidRPr="00AE3A94" w:rsidRDefault="006A1F56" w:rsidP="006A1F56">
      <w:pPr>
        <w:pStyle w:val="NormalWeb"/>
        <w:shd w:val="clear" w:color="auto" w:fill="FFFFFF"/>
        <w:jc w:val="both"/>
      </w:pPr>
      <w:r w:rsidRPr="00AE3A94">
        <w:t>(Por Diego López-Amor)</w:t>
      </w:r>
    </w:p>
    <w:p w:rsidR="006A1F56" w:rsidRPr="00AE3A94" w:rsidRDefault="006A1F56" w:rsidP="006A1F56">
      <w:pPr>
        <w:pStyle w:val="NormalWeb"/>
        <w:shd w:val="clear" w:color="auto" w:fill="FFFFFF"/>
        <w:jc w:val="both"/>
      </w:pPr>
      <w:r w:rsidRPr="00AE3A94">
        <w:t>El sector de los riders en España tiene un marcado acento extranjero. Dos de cada tres nuevos repartidores a domicilio proceden de fuera. Las altas en la Seguridad Social de estos trabajadores inmigrantes ya duplican a las de los nacionales. De las 16.107 incorporaciones registradas en 2024, 11.077 correspondieron a personas sin pasaporte español.</w:t>
      </w:r>
    </w:p>
    <w:p w:rsidR="006A1F56" w:rsidRPr="00AE3A94" w:rsidRDefault="006A1F56" w:rsidP="006A1F56">
      <w:pPr>
        <w:pStyle w:val="NormalWeb"/>
        <w:shd w:val="clear" w:color="auto" w:fill="FFFFFF"/>
        <w:jc w:val="both"/>
      </w:pPr>
      <w:r w:rsidRPr="00AE3A94">
        <w:t xml:space="preserve">Estos datos figuran en una respuesta de la Tesorería </w:t>
      </w:r>
      <w:r w:rsidR="001D72FF">
        <w:t>General de la Seguridad Social -</w:t>
      </w:r>
      <w:r w:rsidRPr="00AE3A94">
        <w:t>organismo dependiente del Ministerio de Inclusión,</w:t>
      </w:r>
      <w:r w:rsidR="001D72FF">
        <w:t xml:space="preserve"> Seguridad Social y Migraciones-</w:t>
      </w:r>
      <w:r w:rsidRPr="00AE3A94">
        <w:t xml:space="preserve"> a una solicitud de información a través del Portal de Transparencia, a la que ha tenido acceso The Objective. Según la misma fuente, cada mes se registran en torno a 1.200 nuevos repartidores a domicilio, de los cuales más de 800 son de origen extranjero.</w:t>
      </w:r>
    </w:p>
    <w:p w:rsidR="006A1F56" w:rsidRPr="00AE3A94" w:rsidRDefault="006A1F56" w:rsidP="006A1F56">
      <w:pPr>
        <w:pStyle w:val="NormalWeb"/>
        <w:shd w:val="clear" w:color="auto" w:fill="FFFFFF"/>
        <w:jc w:val="both"/>
      </w:pPr>
      <w:r w:rsidRPr="00AE3A94">
        <w:rPr>
          <w:noProof/>
        </w:rPr>
        <w:drawing>
          <wp:inline distT="0" distB="0" distL="0" distR="0" wp14:anchorId="0C1BDBB9" wp14:editId="23C9001B">
            <wp:extent cx="5731510" cy="3150235"/>
            <wp:effectExtent l="0" t="0" r="2540" b="0"/>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4"/>
                    <a:stretch>
                      <a:fillRect/>
                    </a:stretch>
                  </pic:blipFill>
                  <pic:spPr>
                    <a:xfrm>
                      <a:off x="0" y="0"/>
                      <a:ext cx="5731510" cy="3150235"/>
                    </a:xfrm>
                    <a:prstGeom prst="rect">
                      <a:avLst/>
                    </a:prstGeom>
                  </pic:spPr>
                </pic:pic>
              </a:graphicData>
            </a:graphic>
          </wp:inline>
        </w:drawing>
      </w:r>
    </w:p>
    <w:p w:rsidR="006A1F56" w:rsidRPr="00AE3A94" w:rsidRDefault="006A1F56" w:rsidP="006A1F56">
      <w:pPr>
        <w:pStyle w:val="NormalWeb"/>
        <w:shd w:val="clear" w:color="auto" w:fill="FFFFFF"/>
        <w:jc w:val="both"/>
      </w:pPr>
      <w:r w:rsidRPr="00AE3A94">
        <w:t>Se trata de un sector en auge, aunque en los últimos años ha sido sostenido sobre todo por la mano de obra inmigrante. El empleo apenas resulta atractivo para los españoles, al menos desde mediados de 2022, cuando por primera vez las altas de riders extranjeros superaron a las de nacionales. Desde entonces, la tendencia se ha consolidado y el desequilibrio no ha hecho más que crecer, mientras el número de inscripciones en la Seguridad Social continúa al alza.</w:t>
      </w:r>
    </w:p>
    <w:p w:rsidR="006A1F56" w:rsidRPr="00AE3A94" w:rsidRDefault="006A1F56" w:rsidP="006A1F56">
      <w:pPr>
        <w:pStyle w:val="NormalWeb"/>
        <w:shd w:val="clear" w:color="auto" w:fill="FFFFFF"/>
        <w:jc w:val="both"/>
      </w:pPr>
      <w:r w:rsidRPr="00AE3A94">
        <w:t>En la última década, el sector ha pasado de 5.000 a más de 16.000 nuevos repartidores al año. El registro de 2024 triplica al de 2015. Entonces, el 86% de las altas en la Seguridad Social correspondían a autónomos españoles, mientras que los trabajadores extranjeros apenas alcanzaban las 700 inscripciones en la Clasificación Nacional de Actividades Económicas (CNAE).</w:t>
      </w:r>
    </w:p>
    <w:p w:rsidR="006A1F56" w:rsidRPr="00AE3A94" w:rsidRDefault="006A1F56" w:rsidP="006A1F56">
      <w:pPr>
        <w:pStyle w:val="NormalWeb"/>
        <w:shd w:val="clear" w:color="auto" w:fill="FFFFFF"/>
        <w:jc w:val="both"/>
      </w:pPr>
      <w:r w:rsidRPr="00AE3A94">
        <w:lastRenderedPageBreak/>
        <w:t>San Petersburgo, la primera en vetar a riders extranjeros</w:t>
      </w:r>
    </w:p>
    <w:p w:rsidR="006A1F56" w:rsidRPr="00AE3A94" w:rsidRDefault="006A1F56" w:rsidP="006A1F56">
      <w:pPr>
        <w:pStyle w:val="NormalWeb"/>
        <w:shd w:val="clear" w:color="auto" w:fill="FFFFFF"/>
        <w:jc w:val="both"/>
      </w:pPr>
      <w:r w:rsidRPr="00AE3A94">
        <w:t>En Europa, los extranjeros también han pasado a dominar sectores como el delivery o el taxi, aunque no en todos los países esta tendencia es bien recibida. El caso más extremo es el de San Petersburgo, que se ha convertido en la primera gran ciudad europea en plantear un veto expreso a los trabajadores foráneos en dos oficios donde son mayoría: taxistas y repartidores de comida a domicilio.</w:t>
      </w:r>
    </w:p>
    <w:p w:rsidR="006A1F56" w:rsidRPr="00AE3A94" w:rsidRDefault="006A1F56" w:rsidP="006A1F56">
      <w:pPr>
        <w:pStyle w:val="NormalWeb"/>
        <w:shd w:val="clear" w:color="auto" w:fill="FFFFFF"/>
        <w:jc w:val="both"/>
      </w:pPr>
      <w:r w:rsidRPr="00AE3A94">
        <w:t>El consistorio ruso ya ha pospuesto en una ocasión la entrada en vigor de la medida, pero asegura que la prohibición está en fase de aprobación. La decisión, polémica incluso dentro de la política local, amenaza con provocar una fuerte escasez de mano de obra y un aumento de los costes de vida, aunque algunos concejales y empresarios defienden que servirá para priorizar a los trabajadores nacionales. En San Petersburgo, más de la mitad de los riders y el 70% de los taxistas proceden de Asia Central.</w:t>
      </w:r>
    </w:p>
    <w:p w:rsidR="006A1F56" w:rsidRPr="00AE3A94" w:rsidRDefault="006A1F56" w:rsidP="006A1F56">
      <w:pPr>
        <w:pStyle w:val="NormalWeb"/>
        <w:shd w:val="clear" w:color="auto" w:fill="FFFFFF"/>
        <w:jc w:val="both"/>
      </w:pPr>
      <w:r w:rsidRPr="00AE3A94">
        <w:t>La propuesta contrasta con lo que ocurre en países como España, donde el sector del reparto se apoya cada vez más en la inmigración. En Madrid, la mayoría de repartidores proceden de Latinoamérica; en Barcelona, el 70% de los nuevos aspirantes a taxistas son extranjeros, con un fuerte crecimiento de la comunidad pakistaní. Mientras Rusia avanza hacia el cierre de oportunidades laborales para los inmigrantes, en España son precisamente estos trabajadores los que sostienen el crecimiento de un sector en plena expansión.</w:t>
      </w:r>
    </w:p>
    <w:p w:rsidR="006A1F56" w:rsidRPr="00AE3A94" w:rsidRDefault="006A1F56" w:rsidP="006A1F56">
      <w:pPr>
        <w:pStyle w:val="NormalWeb"/>
        <w:shd w:val="clear" w:color="auto" w:fill="FFFFFF"/>
        <w:jc w:val="both"/>
      </w:pPr>
      <w:r w:rsidRPr="00AE3A94">
        <w:t>Glovo amenaza con dejar de operar en España</w:t>
      </w:r>
    </w:p>
    <w:p w:rsidR="006A1F56" w:rsidRPr="00AE3A94" w:rsidRDefault="006A1F56" w:rsidP="006A1F56">
      <w:pPr>
        <w:pStyle w:val="NormalWeb"/>
        <w:shd w:val="clear" w:color="auto" w:fill="FFFFFF"/>
        <w:jc w:val="both"/>
      </w:pPr>
      <w:r w:rsidRPr="00AE3A94">
        <w:t>Delivery Hero, la plataforma alemana propietaria de Glovo, ha puesto en duda la continuidad de la compañía en España por los costes que implicarían las multas impuestas a su modelo laboral y la reclasificación de sus repartidores como empleados por cuenta ajena en lugar de su consideración como trabajadores autónomos.</w:t>
      </w:r>
    </w:p>
    <w:p w:rsidR="006A1F56" w:rsidRPr="00AE3A94" w:rsidRDefault="001D058C" w:rsidP="006A1F56">
      <w:pPr>
        <w:pStyle w:val="NormalWeb"/>
        <w:shd w:val="clear" w:color="auto" w:fill="FFFFFF"/>
        <w:jc w:val="both"/>
      </w:pPr>
      <w:r>
        <w:t>“</w:t>
      </w:r>
      <w:r w:rsidR="006A1F56" w:rsidRPr="00AE3A94">
        <w:t>Con respecto a los riesgos de reclasificación existentes de los repartidores en la filial consolidada del grupo Glovoapp23 España, que pueden exponer a esta filial a cargas sociales adicionales y sanciones, destacamos que, si estos riesgos se materializaran de forma integral, dichos pagos no podrían satisfacerse dentro de sus actividades comerciales operativas sin el apoyo financiero adicional de Delivery Hero. En consecuencia, existe una incertidumbre significativa con respecto a la capacidad de Glovo España para continuar</w:t>
      </w:r>
      <w:r>
        <w:t xml:space="preserve"> como empresa en funcionamiento”</w:t>
      </w:r>
      <w:r w:rsidR="006A1F56" w:rsidRPr="00AE3A94">
        <w:t>, advierte la empresa.</w:t>
      </w:r>
    </w:p>
    <w:p w:rsidR="006A1F56" w:rsidRPr="00AE3A94" w:rsidRDefault="006A1F56" w:rsidP="006A1F56">
      <w:pPr>
        <w:pStyle w:val="NormalWeb"/>
        <w:shd w:val="clear" w:color="auto" w:fill="FFFFFF"/>
        <w:jc w:val="both"/>
      </w:pPr>
      <w:r w:rsidRPr="00AE3A94">
        <w:t>A 31 de julio, la Seguridad Social ha reclamado a Glovo el pago de 450 millones de euros en concepto de multas y cotizaciones sociales por la reclasificación de sus repartidores, a los que la ley rider española exige considerar trabajadores por cuenta ajena y no autónomos.</w:t>
      </w:r>
    </w:p>
    <w:p w:rsidR="006A1F56" w:rsidRPr="00AE3A94" w:rsidRDefault="006A1F56" w:rsidP="006A1F56">
      <w:pPr>
        <w:spacing w:line="240" w:lineRule="auto"/>
        <w:jc w:val="both"/>
        <w:rPr>
          <w:rFonts w:ascii="Times New Roman" w:hAnsi="Times New Roman" w:cs="Times New Roman"/>
          <w:b/>
          <w:color w:val="FF0000"/>
          <w:sz w:val="24"/>
          <w:szCs w:val="24"/>
        </w:rPr>
      </w:pPr>
      <w:r w:rsidRPr="00AE3A94">
        <w:rPr>
          <w:rFonts w:ascii="Times New Roman" w:hAnsi="Times New Roman" w:cs="Times New Roman"/>
          <w:b/>
          <w:color w:val="FF0000"/>
          <w:sz w:val="24"/>
          <w:szCs w:val="24"/>
        </w:rPr>
        <w:t>Nota XII: ¿Qué tipo de inmigración se necesita? (una cualificación mínima exigible)</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 xml:space="preserve">- </w:t>
      </w:r>
      <w:r w:rsidRPr="00E55847">
        <w:rPr>
          <w:rFonts w:ascii="Times New Roman" w:hAnsi="Times New Roman" w:cs="Times New Roman"/>
          <w:sz w:val="24"/>
          <w:szCs w:val="24"/>
          <w:u w:val="single"/>
        </w:rPr>
        <w:t>Inmigrantes con escasa formación</w:t>
      </w:r>
      <w:r w:rsidRPr="00E55847">
        <w:rPr>
          <w:rFonts w:ascii="Times New Roman" w:hAnsi="Times New Roman" w:cs="Times New Roman"/>
          <w:sz w:val="24"/>
          <w:szCs w:val="24"/>
        </w:rPr>
        <w:t xml:space="preserve"> (Editorial - El Economista - </w:t>
      </w:r>
      <w:r w:rsidRPr="00E55847">
        <w:rPr>
          <w:rFonts w:ascii="Times New Roman" w:hAnsi="Times New Roman" w:cs="Times New Roman"/>
          <w:b/>
          <w:sz w:val="24"/>
          <w:szCs w:val="24"/>
        </w:rPr>
        <w:t>25/8/25</w:t>
      </w:r>
      <w:r w:rsidRPr="00E55847">
        <w:rPr>
          <w:rFonts w:ascii="Times New Roman" w:hAnsi="Times New Roman" w:cs="Times New Roman"/>
          <w:sz w:val="24"/>
          <w:szCs w:val="24"/>
        </w:rPr>
        <w:t>)</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Sectores como la distribución son incapaces de cubrir sus vacantes pese al crecimiento de los residentes de origen foráneo</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 xml:space="preserve">España ha batido este verano marca en sus registros de población, al acercarse a los 50 millones de habitantes. En medio del invierno demográfico que vive nuestro país, la inmigración es prácticamente el único motor de este incremento, ya que el colectivo de </w:t>
      </w:r>
      <w:r w:rsidRPr="00E55847">
        <w:rPr>
          <w:rFonts w:ascii="Times New Roman" w:hAnsi="Times New Roman" w:cs="Times New Roman"/>
          <w:sz w:val="24"/>
          <w:szCs w:val="24"/>
        </w:rPr>
        <w:lastRenderedPageBreak/>
        <w:t>residentes de origen extranjero crece en casi 650.000 en el último año. Sin embargo, pese a la llegada de tantas personas en condiciones de trabajar a nuestro mercado laboral, el sector de la dis</w:t>
      </w:r>
      <w:r w:rsidR="001D72FF">
        <w:rPr>
          <w:rFonts w:ascii="Times New Roman" w:hAnsi="Times New Roman" w:cs="Times New Roman"/>
          <w:sz w:val="24"/>
          <w:szCs w:val="24"/>
        </w:rPr>
        <w:t>tribución -</w:t>
      </w:r>
      <w:r w:rsidRPr="00E55847">
        <w:rPr>
          <w:rFonts w:ascii="Times New Roman" w:hAnsi="Times New Roman" w:cs="Times New Roman"/>
          <w:sz w:val="24"/>
          <w:szCs w:val="24"/>
        </w:rPr>
        <w:t>junto a l</w:t>
      </w:r>
      <w:r w:rsidR="001D72FF">
        <w:rPr>
          <w:rFonts w:ascii="Times New Roman" w:hAnsi="Times New Roman" w:cs="Times New Roman"/>
          <w:sz w:val="24"/>
          <w:szCs w:val="24"/>
        </w:rPr>
        <w:t>a construcción y otros análogos-</w:t>
      </w:r>
      <w:r w:rsidRPr="00E55847">
        <w:rPr>
          <w:rFonts w:ascii="Times New Roman" w:hAnsi="Times New Roman" w:cs="Times New Roman"/>
          <w:sz w:val="24"/>
          <w:szCs w:val="24"/>
        </w:rPr>
        <w:t xml:space="preserve"> se estrella contra la imposibilidad de cubrir casi 20.000 vacantes. No debe extrañar, por tanto, que su patronal reclame la implantación de un plan de inmigración, como el que ya está vigente en otros países europeos. Una hoja de ruta de esta clase va mucho más allá de lo que ofrece la reforma del Reglamento de Extranjería que entró en vigor en mayo.</w:t>
      </w:r>
    </w:p>
    <w:p w:rsidR="006A1F56" w:rsidRPr="00E55847" w:rsidRDefault="006A1F56" w:rsidP="006A1F56">
      <w:pPr>
        <w:spacing w:line="240" w:lineRule="auto"/>
        <w:jc w:val="both"/>
        <w:rPr>
          <w:rFonts w:ascii="Times New Roman" w:hAnsi="Times New Roman" w:cs="Times New Roman"/>
          <w:sz w:val="24"/>
          <w:szCs w:val="24"/>
        </w:rPr>
      </w:pPr>
      <w:r w:rsidRPr="00E55847">
        <w:rPr>
          <w:rFonts w:ascii="Times New Roman" w:hAnsi="Times New Roman" w:cs="Times New Roman"/>
          <w:sz w:val="24"/>
          <w:szCs w:val="24"/>
        </w:rPr>
        <w:t>Esta última norma no aborda los problemas que genera la falta de encaje entre las necesidades de las empresas y la cualificación de los trabajadores que recibe del exterior, más allá de fijar unos requisitos mínimos de contratación. Como denuncia el sector de la gran distribución, España sigue así carente de planes de formación reglada, ya sea en origen, o una vez que los recién llegados pisan suelo español. Es más, en los casos en los que sí existen esos itinerarios docentes su disparidad de contenidos y organización entre autonomías es completa. Nadie duda de la necesidad que España presenta de recibir más mano de obra extranjera, pero también tiene que preocuparse de la cualificación mínima que debe exigirle. Si no lo hace, la inmigración creará un problema de dilapidación de ayudas públicas, de desempleo y de integración social ya en el corto plazo.</w:t>
      </w:r>
    </w:p>
    <w:p w:rsidR="006A1F56" w:rsidRPr="008E1713" w:rsidRDefault="006A1F56" w:rsidP="006A1F56">
      <w:pPr>
        <w:spacing w:line="240" w:lineRule="auto"/>
        <w:jc w:val="both"/>
        <w:rPr>
          <w:rFonts w:ascii="Times New Roman" w:hAnsi="Times New Roman" w:cs="Times New Roman"/>
          <w:b/>
          <w:sz w:val="24"/>
          <w:szCs w:val="24"/>
        </w:rPr>
      </w:pPr>
      <w:r>
        <w:rPr>
          <w:rFonts w:ascii="Times New Roman" w:hAnsi="Times New Roman" w:cs="Times New Roman"/>
          <w:b/>
          <w:sz w:val="24"/>
          <w:szCs w:val="24"/>
        </w:rPr>
        <w:t>Ciertas</w:t>
      </w:r>
      <w:r w:rsidRPr="008E1713">
        <w:rPr>
          <w:rFonts w:ascii="Times New Roman" w:hAnsi="Times New Roman" w:cs="Times New Roman"/>
          <w:b/>
          <w:sz w:val="24"/>
          <w:szCs w:val="24"/>
        </w:rPr>
        <w:t xml:space="preserve"> comparaciones odiosas (aunque “políticamente incorrectas”, no demagógicas)</w:t>
      </w:r>
    </w:p>
    <w:p w:rsidR="006A1F56" w:rsidRPr="001D72FF" w:rsidRDefault="006A1F56" w:rsidP="006A1F56">
      <w:pPr>
        <w:spacing w:line="240" w:lineRule="auto"/>
        <w:jc w:val="both"/>
        <w:rPr>
          <w:rFonts w:ascii="Times New Roman" w:hAnsi="Times New Roman" w:cs="Times New Roman"/>
          <w:sz w:val="24"/>
          <w:szCs w:val="24"/>
        </w:rPr>
      </w:pPr>
      <w:r w:rsidRPr="001D72FF">
        <w:rPr>
          <w:rFonts w:ascii="Times New Roman" w:hAnsi="Times New Roman" w:cs="Times New Roman"/>
          <w:sz w:val="24"/>
          <w:szCs w:val="24"/>
        </w:rPr>
        <w:t xml:space="preserve">- El dinero necesario para ayudar a las familias con pacientes de ELA en España varía según el estudio, pero las estimaciones de los costes directos de la enfermedad anuales para un paciente en fase avanzada pueden oscilar entre 40.000 y 150.000 euros, aunque las cifras más citadas son alrededor de los 115.000 euros anuales. Además, se calcula que el presupuesto total necesario para implementar la Ley ELA sería de entre 184 y 230 millones de euros anuales para cubrir los gastos directos. </w:t>
      </w:r>
    </w:p>
    <w:p w:rsidR="006A1F56" w:rsidRPr="001D72FF" w:rsidRDefault="006A1F56" w:rsidP="006A1F56">
      <w:pPr>
        <w:spacing w:line="240" w:lineRule="auto"/>
        <w:jc w:val="both"/>
        <w:rPr>
          <w:rFonts w:ascii="Times New Roman" w:hAnsi="Times New Roman" w:cs="Times New Roman"/>
          <w:sz w:val="24"/>
          <w:szCs w:val="24"/>
        </w:rPr>
      </w:pPr>
      <w:r w:rsidRPr="001D72FF">
        <w:rPr>
          <w:rFonts w:ascii="Times New Roman" w:hAnsi="Times New Roman" w:cs="Times New Roman"/>
          <w:sz w:val="24"/>
          <w:szCs w:val="24"/>
        </w:rPr>
        <w:t>El Gobierno aprobó una subvención de 10 millones de euros para pacientes en fase avanzada, gestionada por ConELA. (Se trata de una subvención directa de 10 millones de euros que será gestionada por el Consorcio Nacional de Entidades de ELA (ConELA) y tendrá vigencia hasta el 31 de diciembre de 2026)</w:t>
      </w:r>
    </w:p>
    <w:p w:rsidR="006A1F56" w:rsidRPr="001D72FF" w:rsidRDefault="006A1F56" w:rsidP="006A1F56">
      <w:pPr>
        <w:spacing w:line="240" w:lineRule="auto"/>
        <w:jc w:val="both"/>
        <w:rPr>
          <w:rFonts w:ascii="Times New Roman" w:hAnsi="Times New Roman" w:cs="Times New Roman"/>
          <w:sz w:val="24"/>
          <w:szCs w:val="24"/>
        </w:rPr>
      </w:pPr>
      <w:r w:rsidRPr="001D72FF">
        <w:rPr>
          <w:rFonts w:ascii="Times New Roman" w:hAnsi="Times New Roman" w:cs="Times New Roman"/>
          <w:sz w:val="24"/>
          <w:szCs w:val="24"/>
        </w:rPr>
        <w:t>- El gasto en prevención de incendios en España se desploma casi un 60% en los últimos 15 años. El Plan anual de prevención y extinción de incendios forestales cuenta con una financiación de 57,6 millones (e incluye 38,4 millones en gastos de personal).</w:t>
      </w:r>
    </w:p>
    <w:p w:rsidR="006A1F56" w:rsidRPr="001D72FF" w:rsidRDefault="006A1F56" w:rsidP="006A1F56">
      <w:pPr>
        <w:spacing w:line="240" w:lineRule="auto"/>
        <w:jc w:val="both"/>
        <w:rPr>
          <w:rFonts w:ascii="Times New Roman" w:hAnsi="Times New Roman" w:cs="Times New Roman"/>
          <w:sz w:val="24"/>
          <w:szCs w:val="24"/>
        </w:rPr>
      </w:pPr>
      <w:r w:rsidRPr="001D72FF">
        <w:rPr>
          <w:rFonts w:ascii="Times New Roman" w:hAnsi="Times New Roman" w:cs="Times New Roman"/>
          <w:sz w:val="24"/>
          <w:szCs w:val="24"/>
        </w:rPr>
        <w:t>Teniendo en cuenta la evolución de la inversión para prevenir incendios a nivel nacional, España ha reducido a más de la mitad esta partida, según adelantó El País (16/8/25), desde el año 2009, cuando se destinaron 364,1 millones de euros, hasta 2022, cuando se invirtieron 175,8 millones de euros, siendo la partida de cuidado de bosques que más recortes ha sufrido en esos 13 años. Y es que, en total, España destinaba 1.742 millones al cuidado y limpieza de los bosques en 2009, mientras que en 2022 esa cifra descendió un 26%, hasta los 1.295 millones de euros.</w:t>
      </w:r>
    </w:p>
    <w:p w:rsidR="006A1F56" w:rsidRPr="001D72FF" w:rsidRDefault="006A1F56" w:rsidP="006A1F56">
      <w:pPr>
        <w:spacing w:line="240" w:lineRule="auto"/>
        <w:jc w:val="both"/>
        <w:rPr>
          <w:rFonts w:ascii="Times New Roman" w:hAnsi="Times New Roman" w:cs="Times New Roman"/>
          <w:sz w:val="24"/>
          <w:szCs w:val="24"/>
        </w:rPr>
      </w:pPr>
      <w:r w:rsidRPr="001D72FF">
        <w:rPr>
          <w:rFonts w:ascii="Times New Roman" w:hAnsi="Times New Roman" w:cs="Times New Roman"/>
          <w:sz w:val="24"/>
          <w:szCs w:val="24"/>
        </w:rPr>
        <w:t>Así, la segunda partida que más recortes ha sufrido también por parte del Estado y de las Comunidades Autónomas es la de la reforestación, aprovechamiento de la madera y conservación de la biodiversidad, unido a la lucha contra plagas, gestión del uso público de los montes o investigación en gestión forestal. A estas partidas se ha pasado de invertir 1.000 millones en el año 2009 a sufrir recortes en el presupuesto de hasta el 26%, ya que en el año 2022 se destinaron 702,8 millones.</w:t>
      </w:r>
    </w:p>
    <w:p w:rsidR="006A1F56" w:rsidRPr="001D72FF" w:rsidRDefault="006A1F56" w:rsidP="006A1F56">
      <w:pPr>
        <w:spacing w:line="240" w:lineRule="auto"/>
        <w:jc w:val="both"/>
        <w:rPr>
          <w:rFonts w:ascii="Times New Roman" w:hAnsi="Times New Roman" w:cs="Times New Roman"/>
          <w:sz w:val="24"/>
          <w:szCs w:val="24"/>
        </w:rPr>
      </w:pPr>
      <w:r w:rsidRPr="001D72FF">
        <w:rPr>
          <w:rFonts w:ascii="Times New Roman" w:hAnsi="Times New Roman" w:cs="Times New Roman"/>
          <w:b/>
          <w:sz w:val="24"/>
          <w:szCs w:val="24"/>
        </w:rPr>
        <w:lastRenderedPageBreak/>
        <w:t>Nota</w:t>
      </w:r>
      <w:r w:rsidRPr="001D72FF">
        <w:rPr>
          <w:rFonts w:ascii="Times New Roman" w:hAnsi="Times New Roman" w:cs="Times New Roman"/>
          <w:sz w:val="24"/>
          <w:szCs w:val="24"/>
        </w:rPr>
        <w:t xml:space="preserve">: Las 358.000 hectáreas arrasadas desde el 8 de agosto han convertido 2025 en el peor año del país, con una superficie total que </w:t>
      </w:r>
      <w:r w:rsidR="007F42A8">
        <w:rPr>
          <w:rFonts w:ascii="Times New Roman" w:hAnsi="Times New Roman" w:cs="Times New Roman"/>
          <w:sz w:val="24"/>
          <w:szCs w:val="24"/>
        </w:rPr>
        <w:t>ya supera las 400.000 hectáreas</w:t>
      </w:r>
      <w:r w:rsidRPr="001D72FF">
        <w:rPr>
          <w:rFonts w:ascii="Times New Roman" w:hAnsi="Times New Roman" w:cs="Times New Roman"/>
          <w:sz w:val="24"/>
          <w:szCs w:val="24"/>
        </w:rPr>
        <w:t xml:space="preserve"> (dato al 25/8/25).</w:t>
      </w:r>
    </w:p>
    <w:p w:rsidR="006A1F56" w:rsidRPr="001D72FF" w:rsidRDefault="006A1F56" w:rsidP="006A1F56">
      <w:pPr>
        <w:spacing w:line="240" w:lineRule="auto"/>
        <w:jc w:val="both"/>
        <w:rPr>
          <w:rFonts w:ascii="Times New Roman" w:hAnsi="Times New Roman" w:cs="Times New Roman"/>
          <w:sz w:val="24"/>
          <w:szCs w:val="24"/>
        </w:rPr>
      </w:pPr>
      <w:r w:rsidRPr="001D72FF">
        <w:rPr>
          <w:rFonts w:ascii="Times New Roman" w:hAnsi="Times New Roman" w:cs="Times New Roman"/>
          <w:sz w:val="24"/>
          <w:szCs w:val="24"/>
        </w:rPr>
        <w:t>- El importe de una beca de estudio en España, específicamente las Becas MEC, varía según el curso y el tipo de ayuda. Incluyen una cuantía fija básica de 300€ (o 350€ para FP de Grado Básico), una cuantía fija por renta familiar de 1.700€, una cuantía fija por cambio de residencia de 2.700€, una cuantía fija por excelencia académica de 50€ a 125€, y una cuantía variable calculada según la renta y la nota. El total depende de la suma de los componentes a los que se tenga derecho. (Fuente: Google - Vista creada con IA)</w:t>
      </w:r>
    </w:p>
    <w:p w:rsidR="006A1F56" w:rsidRPr="001D72FF" w:rsidRDefault="006A1F56" w:rsidP="006A1F56">
      <w:pPr>
        <w:spacing w:line="240" w:lineRule="auto"/>
        <w:jc w:val="both"/>
        <w:rPr>
          <w:rFonts w:ascii="Times New Roman" w:hAnsi="Times New Roman" w:cs="Times New Roman"/>
          <w:sz w:val="24"/>
          <w:szCs w:val="24"/>
        </w:rPr>
      </w:pPr>
      <w:r w:rsidRPr="001D72FF">
        <w:rPr>
          <w:rFonts w:ascii="Times New Roman" w:hAnsi="Times New Roman" w:cs="Times New Roman"/>
          <w:sz w:val="24"/>
          <w:szCs w:val="24"/>
        </w:rPr>
        <w:t>- El 46,5% de los niños y niñas de cero a tres años que residen en España están escolarizados en centros privados, según los datos del curso 2021-2022 de la Estadística de enseñanzas no universitarias del Ministerio de Educación y Formación Profesional. En Madrid, la mensualidad en una escuela 0-3 sin bonificación puede rondar los 500 euros. (Fuente: publico.es - 30/8/23).</w:t>
      </w:r>
    </w:p>
    <w:p w:rsidR="006A1F56" w:rsidRPr="001D72FF" w:rsidRDefault="006A1F56" w:rsidP="006A1F56">
      <w:pPr>
        <w:spacing w:line="240" w:lineRule="auto"/>
        <w:jc w:val="both"/>
        <w:rPr>
          <w:rFonts w:ascii="Times New Roman" w:hAnsi="Times New Roman" w:cs="Times New Roman"/>
          <w:sz w:val="24"/>
          <w:szCs w:val="24"/>
        </w:rPr>
      </w:pPr>
      <w:r w:rsidRPr="001D72FF">
        <w:rPr>
          <w:rFonts w:ascii="Times New Roman" w:hAnsi="Times New Roman" w:cs="Times New Roman"/>
          <w:sz w:val="24"/>
          <w:szCs w:val="24"/>
        </w:rPr>
        <w:t>El ministerio financia 64.000 nuevos puestos estatales para menores de tres años, mientras algunas comunidades apuestan por los conciertos y los cheques para acelerar la gratuidad de la etapa. La brecha social para el acceso es profunda y muy desigual entre autonomías. (Fuente: solidaridadintergeneracional.es - 7/1/25)</w:t>
      </w:r>
    </w:p>
    <w:p w:rsidR="006A1F56" w:rsidRPr="001D72FF" w:rsidRDefault="006A1F56" w:rsidP="006A1F56">
      <w:pPr>
        <w:spacing w:line="240" w:lineRule="auto"/>
        <w:jc w:val="both"/>
        <w:rPr>
          <w:rFonts w:ascii="Times New Roman" w:hAnsi="Times New Roman" w:cs="Times New Roman"/>
          <w:sz w:val="24"/>
          <w:szCs w:val="24"/>
        </w:rPr>
      </w:pPr>
      <w:r w:rsidRPr="001D72FF">
        <w:rPr>
          <w:rFonts w:ascii="Times New Roman" w:hAnsi="Times New Roman" w:cs="Times New Roman"/>
          <w:sz w:val="24"/>
          <w:szCs w:val="24"/>
        </w:rPr>
        <w:t>- El gobierno destinó 1.100 millones de euros a las comunidades autónomas para la atención a la dependencia en noviembre de 2023, y se repartieron más de 783 millones de euros en julio de 2024 para avanzar en la atención a la dependencia. La inversión pública total en atención a la dependencia fue de 10.234 millones de euros en 2022, de los cuales las Comunidades Autónomas financiaron el 74%. Las cuantías de las ayudas varían según el grado de dependencia y si se destinan a residencias, ayuda a domicilio o cuidados familiares, pudiendo ser, por ejemplo, hasta 747,25 € para el Grado III de atención en residencia en 2024. (Fuente: Google - Vista creada con IA)</w:t>
      </w:r>
    </w:p>
    <w:p w:rsidR="006A1F56" w:rsidRDefault="006A1F56" w:rsidP="006A1F56">
      <w:pPr>
        <w:spacing w:line="240" w:lineRule="auto"/>
        <w:jc w:val="both"/>
        <w:rPr>
          <w:rFonts w:ascii="Times New Roman" w:hAnsi="Times New Roman" w:cs="Times New Roman"/>
          <w:sz w:val="24"/>
          <w:szCs w:val="24"/>
        </w:rPr>
      </w:pPr>
      <w:r w:rsidRPr="008E1713">
        <w:rPr>
          <w:rFonts w:ascii="Times New Roman" w:hAnsi="Times New Roman" w:cs="Times New Roman"/>
          <w:sz w:val="24"/>
          <w:szCs w:val="24"/>
        </w:rPr>
        <w:t>Y así podría seguir desgranando otras alternativas de gastos… (más cercanos y provechosos).</w:t>
      </w:r>
    </w:p>
    <w:p w:rsidR="006A1F56" w:rsidRPr="00AE3A94" w:rsidRDefault="006A1F56" w:rsidP="006A1F56">
      <w:pPr>
        <w:spacing w:line="240" w:lineRule="auto"/>
        <w:jc w:val="both"/>
        <w:rPr>
          <w:rFonts w:ascii="Times New Roman" w:hAnsi="Times New Roman" w:cs="Times New Roman"/>
          <w:b/>
          <w:color w:val="FF0000"/>
          <w:sz w:val="24"/>
          <w:szCs w:val="24"/>
        </w:rPr>
      </w:pPr>
      <w:r w:rsidRPr="00AE3A94">
        <w:rPr>
          <w:rFonts w:ascii="Times New Roman" w:hAnsi="Times New Roman" w:cs="Times New Roman"/>
          <w:b/>
          <w:color w:val="FF0000"/>
          <w:sz w:val="24"/>
          <w:szCs w:val="24"/>
        </w:rPr>
        <w:t>Nota XIII: “Por si alguna deuda chica sin querer se me ha olvidado”</w:t>
      </w:r>
    </w:p>
    <w:p w:rsidR="006A1F56"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favor, no hagan caso a mis diatribas de viejo gruñón desde el </w:t>
      </w:r>
      <w:r w:rsidRPr="00647C7A">
        <w:rPr>
          <w:rFonts w:ascii="Times New Roman" w:hAnsi="Times New Roman" w:cs="Times New Roman"/>
          <w:sz w:val="24"/>
          <w:szCs w:val="24"/>
        </w:rPr>
        <w:t>Speakers' Corner</w:t>
      </w:r>
      <w:r>
        <w:rPr>
          <w:rFonts w:ascii="Times New Roman" w:hAnsi="Times New Roman" w:cs="Times New Roman"/>
          <w:sz w:val="24"/>
          <w:szCs w:val="24"/>
        </w:rPr>
        <w:t xml:space="preserve"> (abusivo), lean a “los que saben”, luego, hagan cálculos, y saquen sus propias conclusiones:</w:t>
      </w:r>
    </w:p>
    <w:p w:rsidR="006A1F56" w:rsidRPr="00C07DEE" w:rsidRDefault="006A1F56" w:rsidP="006A1F56">
      <w:pPr>
        <w:pStyle w:val="NormalWeb"/>
        <w:shd w:val="clear" w:color="auto" w:fill="FFFFFF"/>
        <w:jc w:val="both"/>
      </w:pPr>
      <w:r w:rsidRPr="00C07DEE">
        <w:t xml:space="preserve">- </w:t>
      </w:r>
      <w:r w:rsidRPr="00C07DEE">
        <w:rPr>
          <w:u w:val="single"/>
        </w:rPr>
        <w:t xml:space="preserve">El coste de la inmigración supone más de 30.000 millones de euros para el Estado </w:t>
      </w:r>
      <w:r w:rsidRPr="00C07DEE">
        <w:t xml:space="preserve">(La Razón - </w:t>
      </w:r>
      <w:r w:rsidRPr="00C07DEE">
        <w:rPr>
          <w:b/>
        </w:rPr>
        <w:t>10/1/25</w:t>
      </w:r>
      <w:r w:rsidRPr="00C07DEE">
        <w:t>)</w:t>
      </w:r>
    </w:p>
    <w:p w:rsidR="006A1F56" w:rsidRPr="00C07DEE" w:rsidRDefault="006A1F56" w:rsidP="006A1F56">
      <w:pPr>
        <w:pStyle w:val="NormalWeb"/>
        <w:shd w:val="clear" w:color="auto" w:fill="FFFFFF"/>
        <w:jc w:val="both"/>
      </w:pPr>
      <w:r w:rsidRPr="00C07DEE">
        <w:t>La fundación NEOS elabora un informe donde insta a los políticos a un Pacto de Estado por la inmigración y advierte de que el reparto de menas no es la solución sino la repatriación</w:t>
      </w:r>
    </w:p>
    <w:p w:rsidR="006A1F56" w:rsidRPr="00C07DEE" w:rsidRDefault="006A1F56" w:rsidP="006A1F56">
      <w:pPr>
        <w:pStyle w:val="NormalWeb"/>
        <w:shd w:val="clear" w:color="auto" w:fill="FFFFFF"/>
        <w:jc w:val="both"/>
      </w:pPr>
      <w:r w:rsidRPr="00C07DEE">
        <w:t>(Por C. S. Macías)</w:t>
      </w:r>
    </w:p>
    <w:p w:rsidR="006A1F56" w:rsidRPr="00C07DEE" w:rsidRDefault="006A1F56" w:rsidP="006A1F56">
      <w:pPr>
        <w:pStyle w:val="NormalWeb"/>
        <w:shd w:val="clear" w:color="auto" w:fill="FFFFFF"/>
        <w:jc w:val="both"/>
      </w:pPr>
      <w:r w:rsidRPr="00C07DEE">
        <w:t>La fundación NEOS, que preside Mayor Oreja, ha dado a conocer este viernes el informe</w:t>
      </w:r>
      <w:r w:rsidR="001D72FF">
        <w:t xml:space="preserve"> que el grupo de trabajo sobre “Amenazas Globales”</w:t>
      </w:r>
      <w:r w:rsidRPr="00C07DEE">
        <w:t xml:space="preserve"> de la fundación ha realizado sobre la cri</w:t>
      </w:r>
      <w:r w:rsidR="001D72FF">
        <w:t>sis migratoria. Bajo el título “</w:t>
      </w:r>
      <w:r w:rsidRPr="00C07DEE">
        <w:t>inmigración en Espa</w:t>
      </w:r>
      <w:r w:rsidR="001D72FF">
        <w:t>ña: buenismo o eficacia”</w:t>
      </w:r>
      <w:r w:rsidRPr="00C07DEE">
        <w:t xml:space="preserve">, Jorge Soley, Alejandro Macarrón, Luis Zayas, Fernando Rosado y Carlos Beltramo, destacan la importancia de adoptar un enfoque estratégico y responsable hacia la inmigración en España. Ponen su énfasis en la necesidad de llevar a cabo reformas significativas en la legislación de extranjería, asilo y nacionalidad, así como en las políticas de integración, para asegurar el </w:t>
      </w:r>
      <w:r w:rsidRPr="00C07DEE">
        <w:lastRenderedPageBreak/>
        <w:t>bienestar social y la cohesión en la comuni</w:t>
      </w:r>
      <w:r w:rsidR="001D72FF">
        <w:t>dad. También, advierten de que “</w:t>
      </w:r>
      <w:r w:rsidRPr="00C07DEE">
        <w:t>una gestión adecuada de la inmigración es crucial para el futuro de la sociedad de a</w:t>
      </w:r>
      <w:r w:rsidR="001D72FF">
        <w:t>cogida y los inmigrantes mismos”</w:t>
      </w:r>
      <w:r w:rsidRPr="00C07DEE">
        <w:t>.</w:t>
      </w:r>
    </w:p>
    <w:p w:rsidR="006A1F56" w:rsidRPr="00C07DEE" w:rsidRDefault="001D72FF" w:rsidP="006A1F56">
      <w:pPr>
        <w:pStyle w:val="NormalWeb"/>
        <w:shd w:val="clear" w:color="auto" w:fill="FFFFFF"/>
        <w:jc w:val="both"/>
      </w:pPr>
      <w:r>
        <w:t>Se trata de un informe “profundo y riguroso”</w:t>
      </w:r>
      <w:r w:rsidR="006A1F56" w:rsidRPr="00C07DEE">
        <w:t>, según explicó Mayor Oreja, donde todos ellos han abogado por un pacto de Estado en materia de inmigración. El texto será también remitido a los diferentes partidos políticos que siguen sin llegar a un acuerdo sobre la reforma de la Ley de Extranjería mientras el presidente de Canarias, Fernando Clavijo, clama por una solución ante una isla que sigue desbordada por la incesante llegada de cayucos.</w:t>
      </w:r>
    </w:p>
    <w:p w:rsidR="006A1F56" w:rsidRPr="00C07DEE" w:rsidRDefault="001D72FF" w:rsidP="006A1F56">
      <w:pPr>
        <w:pStyle w:val="NormalWeb"/>
        <w:shd w:val="clear" w:color="auto" w:fill="FFFFFF"/>
        <w:jc w:val="both"/>
      </w:pPr>
      <w:r>
        <w:t>“Derecho a no tener que emigrar”</w:t>
      </w:r>
    </w:p>
    <w:p w:rsidR="006A1F56" w:rsidRPr="00C07DEE" w:rsidRDefault="006A1F56" w:rsidP="006A1F56">
      <w:pPr>
        <w:pStyle w:val="NormalWeb"/>
        <w:shd w:val="clear" w:color="auto" w:fill="FFFFFF"/>
        <w:jc w:val="both"/>
      </w:pPr>
      <w:r w:rsidRPr="00C07DEE">
        <w:t>Según explicó Mayor Oreja este informe se atreve a señalar lo que también afirma la Doctrina Social de la Igles</w:t>
      </w:r>
      <w:r w:rsidR="001D72FF">
        <w:t>ia y muchos obispos africanos, “</w:t>
      </w:r>
      <w:r w:rsidRPr="00C07DEE">
        <w:t>el derecho que tienen las personas que viven en otro continente, a</w:t>
      </w:r>
      <w:r w:rsidR="001D72FF">
        <w:t xml:space="preserve"> no tener que emigrar”</w:t>
      </w:r>
      <w:r w:rsidRPr="00C07DEE">
        <w:t>. Al mis</w:t>
      </w:r>
      <w:r w:rsidR="001D72FF">
        <w:t>mo tiempo, ha advertido de que “</w:t>
      </w:r>
      <w:r w:rsidRPr="00C07DEE">
        <w:t>debe haber límites que rijan las políticas de extra</w:t>
      </w:r>
      <w:r w:rsidR="001D72FF">
        <w:t>njería de los países receptores”</w:t>
      </w:r>
      <w:r w:rsidRPr="00C07DEE">
        <w:t xml:space="preserve"> e insta al Gobierno y a los medios de comunicación a actuar desde la defensa de la verdad, por encima de intereses partidistas.</w:t>
      </w:r>
    </w:p>
    <w:p w:rsidR="006A1F56" w:rsidRPr="00C07DEE" w:rsidRDefault="006A1F56" w:rsidP="006A1F56">
      <w:pPr>
        <w:pStyle w:val="NormalWeb"/>
        <w:shd w:val="clear" w:color="auto" w:fill="FFFFFF"/>
        <w:jc w:val="both"/>
      </w:pPr>
      <w:r w:rsidRPr="00C07DEE">
        <w:t>Entre los grandes retos que tiene España, indicó el exministro del Interior, está el de acertar con las polít</w:t>
      </w:r>
      <w:r w:rsidR="001D72FF">
        <w:t>icas migratorias algo que será “clave y decisivo” ya que, el desacierto “puede ser letal”</w:t>
      </w:r>
      <w:r w:rsidRPr="00C07DEE">
        <w:t xml:space="preserve"> para nuestra civilización en Europa y e</w:t>
      </w:r>
      <w:r w:rsidR="001D72FF">
        <w:t>n España “mucho más que en EEUU por la proximidad”</w:t>
      </w:r>
      <w:r w:rsidRPr="00C07DEE">
        <w:t xml:space="preserve"> que tenemos de África, afirmó.</w:t>
      </w:r>
    </w:p>
    <w:p w:rsidR="006A1F56" w:rsidRPr="00C07DEE" w:rsidRDefault="006A1F56" w:rsidP="006A1F56">
      <w:pPr>
        <w:pStyle w:val="NormalWeb"/>
        <w:shd w:val="clear" w:color="auto" w:fill="FFFFFF"/>
        <w:jc w:val="both"/>
      </w:pPr>
      <w:r w:rsidRPr="00C07DEE">
        <w:t>El problema de la inmig</w:t>
      </w:r>
      <w:r w:rsidR="001D72FF">
        <w:t>ración se está abordando desde “posturas muy polarizadas”</w:t>
      </w:r>
      <w:r w:rsidRPr="00C07DEE">
        <w:t xml:space="preserve"> por lo que el informe prese</w:t>
      </w:r>
      <w:r w:rsidR="001D72FF">
        <w:t>ntado por NEOS trata de buscar “los matices”. “</w:t>
      </w:r>
      <w:r w:rsidRPr="00C07DEE">
        <w:t>No queremos quedarnos solo</w:t>
      </w:r>
      <w:r w:rsidR="001D72FF">
        <w:t xml:space="preserve"> ahí sino llegar a conclusiones”</w:t>
      </w:r>
      <w:r w:rsidRPr="00C07DEE">
        <w:t xml:space="preserve"> y esp</w:t>
      </w:r>
      <w:r w:rsidR="001D72FF">
        <w:t>eran que España aprenda de los “errores de nuestros vecinos”</w:t>
      </w:r>
      <w:r w:rsidRPr="00C07DEE">
        <w:t xml:space="preserve"> donde, por ejemplo, en Francia es un fenómeno que no cesa.</w:t>
      </w:r>
    </w:p>
    <w:p w:rsidR="006A1F56" w:rsidRPr="00C07DEE" w:rsidRDefault="006A1F56" w:rsidP="006A1F56">
      <w:pPr>
        <w:pStyle w:val="NormalWeb"/>
        <w:shd w:val="clear" w:color="auto" w:fill="FFFFFF"/>
        <w:jc w:val="both"/>
      </w:pPr>
      <w:r w:rsidRPr="00C07DEE">
        <w:t>Huyen de la visión ext</w:t>
      </w:r>
      <w:r w:rsidR="001D72FF">
        <w:t>endida de que las personas son “fichas intercambiables”</w:t>
      </w:r>
      <w:r w:rsidRPr="00C07DEE">
        <w:t xml:space="preserve"> ya que consideran que cada persona porta en sí una serie de conocimientos, cultura, habilidades, algo que han tenido en cuenta en este análisis. Y es que, ante el debate del reparto de menores extranjeros no acompañados -menas- por las comunidades autónomas avisan de </w:t>
      </w:r>
      <w:r w:rsidR="001D72FF">
        <w:t>que “</w:t>
      </w:r>
      <w:r w:rsidRPr="00C07DEE">
        <w:t>repartir el problema no es solucionarlo, la solución es repatriar a esos menores, que han hecho un recorrido y han pagado a las mafias.</w:t>
      </w:r>
      <w:r w:rsidR="001D72FF">
        <w:t xml:space="preserve"> El efecto llamada es clarísimo”</w:t>
      </w:r>
      <w:r w:rsidRPr="00C07DEE">
        <w:t>.</w:t>
      </w:r>
    </w:p>
    <w:p w:rsidR="006A1F56" w:rsidRPr="00C07DEE" w:rsidRDefault="006A1F56" w:rsidP="006A1F56">
      <w:pPr>
        <w:pStyle w:val="NormalWeb"/>
        <w:shd w:val="clear" w:color="auto" w:fill="FFFFFF"/>
        <w:jc w:val="both"/>
      </w:pPr>
      <w:r w:rsidRPr="00C07DEE">
        <w:t>En muchos países europeos, incluida España, se observa un desorden migratorio debido a su masividad y sus efectos en la sostenibilidad del estado del bienestar y la seguridad pública, donde son persistentes las entradas ilegales y las estancias irregulares de extra</w:t>
      </w:r>
      <w:r w:rsidR="001D72FF">
        <w:t>njeros, por lo que subrayan el “</w:t>
      </w:r>
      <w:r w:rsidRPr="00C07DEE">
        <w:t>abuso del sistema de asilo y el crecimiento de problema</w:t>
      </w:r>
      <w:r w:rsidR="001D72FF">
        <w:t>s de integración socio cultural”</w:t>
      </w:r>
      <w:r w:rsidRPr="00C07DEE">
        <w:t>.</w:t>
      </w:r>
    </w:p>
    <w:p w:rsidR="006A1F56" w:rsidRPr="00C07DEE" w:rsidRDefault="006A1F56" w:rsidP="006A1F56">
      <w:pPr>
        <w:pStyle w:val="NormalWeb"/>
        <w:shd w:val="clear" w:color="auto" w:fill="FFFFFF"/>
        <w:jc w:val="both"/>
      </w:pPr>
      <w:r w:rsidRPr="00C07DEE">
        <w:t>El negocio de la inmigración ilegal</w:t>
      </w:r>
    </w:p>
    <w:p w:rsidR="006A1F56" w:rsidRPr="00C07DEE" w:rsidRDefault="006A1F56" w:rsidP="006A1F56">
      <w:pPr>
        <w:pStyle w:val="NormalWeb"/>
        <w:shd w:val="clear" w:color="auto" w:fill="FFFFFF"/>
        <w:jc w:val="both"/>
      </w:pPr>
      <w:r w:rsidRPr="00C07DEE">
        <w:t>En un momento en el que la inmigración se ha convertido en uno de los principales problemas para los españoles, según reflejan las últimas encuestas del CIS, el informe subraya cómo la población de origen extranjero ascendía el 1 de octubre del año 2024 a 9.193.988 personas, que junto a los más de 2.000.000 de niños nacidos en España de padres extranjeros lo que representa ya más del 22% de la población total. Este increment</w:t>
      </w:r>
      <w:r w:rsidR="001D72FF">
        <w:t>o, apuntan, “</w:t>
      </w:r>
      <w:r w:rsidRPr="00C07DEE">
        <w:t xml:space="preserve">exige una reforma del modelo para adecuar los flujos migratorios a una ratio de absorción e </w:t>
      </w:r>
      <w:r w:rsidRPr="00C07DEE">
        <w:lastRenderedPageBreak/>
        <w:t>integración de las diferentes comunidades llegadas, en particular de aquellas con meno</w:t>
      </w:r>
      <w:r w:rsidR="001D72FF">
        <w:t>s afinidad cultural y religiosa”</w:t>
      </w:r>
      <w:r w:rsidRPr="00C07DEE">
        <w:t>. Por ello inciden en la importancia de abandonar la gestión migratoria pasiva, tolerante con la irregularidad, y el recurso a las regularizaciones extr</w:t>
      </w:r>
      <w:r w:rsidR="001D72FF">
        <w:t>aordinarias, y apostar por una “</w:t>
      </w:r>
      <w:r w:rsidRPr="00C07DEE">
        <w:t>política activa y estratégica que equilibre la inm</w:t>
      </w:r>
      <w:r w:rsidR="001D72FF">
        <w:t>igración regular y seleccionada”</w:t>
      </w:r>
      <w:r w:rsidRPr="00C07DEE">
        <w:t>. Esto, destacan, permi</w:t>
      </w:r>
      <w:r w:rsidR="001D72FF">
        <w:t>tirá “</w:t>
      </w:r>
      <w:r w:rsidRPr="00C07DEE">
        <w:t>asegurar el futuro de la nación y la cohesión de la comunidad política, así como reducir el desempleo a niveles com</w:t>
      </w:r>
      <w:r w:rsidR="001D72FF">
        <w:t>parables con el resto de Europa”</w:t>
      </w:r>
      <w:r w:rsidRPr="00C07DEE">
        <w:t>.</w:t>
      </w:r>
    </w:p>
    <w:p w:rsidR="006A1F56" w:rsidRPr="00C07DEE" w:rsidRDefault="006A1F56" w:rsidP="006A1F56">
      <w:pPr>
        <w:pStyle w:val="NormalWeb"/>
        <w:shd w:val="clear" w:color="auto" w:fill="FFFFFF"/>
        <w:jc w:val="both"/>
      </w:pPr>
      <w:r w:rsidRPr="00C07DEE">
        <w:t>Según refleja en trabajo, el coste de la inmigración para el Estado español se estima en más de 30.000 millones de euros anuales y genera una fuerte presión en los servicios públicos y en el mercado laboral. Además, tratan de desmontar la idea falaz de que la inmigración es vista como el remedio a la baja natalidad de los españoles. Aseguran que, aunque pueda aliviar temporalmente défi</w:t>
      </w:r>
      <w:r w:rsidR="001D72FF">
        <w:t>cits demográficos o laborales, “</w:t>
      </w:r>
      <w:r w:rsidRPr="00C07DEE">
        <w:t>esta solución no aborda el problema de fondo y puede generar deseq</w:t>
      </w:r>
      <w:r w:rsidR="001D72FF">
        <w:t>uilibrios culturales y sociales”</w:t>
      </w:r>
      <w:r w:rsidRPr="00C07DEE">
        <w:t>.</w:t>
      </w:r>
    </w:p>
    <w:p w:rsidR="006A1F56" w:rsidRPr="00C07DEE" w:rsidRDefault="006A1F56" w:rsidP="006A1F56">
      <w:pPr>
        <w:pStyle w:val="NormalWeb"/>
        <w:shd w:val="clear" w:color="auto" w:fill="FFFFFF"/>
        <w:jc w:val="both"/>
      </w:pPr>
      <w:r w:rsidRPr="00C07DEE">
        <w:t>Propuestas</w:t>
      </w:r>
    </w:p>
    <w:p w:rsidR="006A1F56" w:rsidRPr="00C07DEE" w:rsidRDefault="006A1F56" w:rsidP="006A1F56">
      <w:pPr>
        <w:pStyle w:val="NormalWeb"/>
        <w:shd w:val="clear" w:color="auto" w:fill="FFFFFF"/>
        <w:jc w:val="both"/>
      </w:pPr>
      <w:r w:rsidRPr="00C07DEE">
        <w:t xml:space="preserve">Por ello, el Grupo de Trabajo de Amenazas Globales de NEOS apuesta por implementar reformas significativas en la legislación de extranjería, asilo y nacionalidad, así como en las políticas de integración, para garantizar el bienestar social y la cohesión social. Aseguran que no se trata de un dilema simplista sobre inmigración sí o no, </w:t>
      </w:r>
      <w:r w:rsidR="001D72FF">
        <w:t>sino de una “</w:t>
      </w:r>
      <w:r w:rsidRPr="00C07DEE">
        <w:t>ges</w:t>
      </w:r>
      <w:r w:rsidR="001D72FF">
        <w:t>tión adecuada de la inmigración”</w:t>
      </w:r>
      <w:r w:rsidRPr="00C07DEE">
        <w:t>.</w:t>
      </w:r>
    </w:p>
    <w:p w:rsidR="006A1F56" w:rsidRPr="00C07DEE" w:rsidRDefault="006A1F56" w:rsidP="006A1F56">
      <w:pPr>
        <w:pStyle w:val="NormalWeb"/>
        <w:shd w:val="clear" w:color="auto" w:fill="FFFFFF"/>
        <w:jc w:val="both"/>
      </w:pPr>
      <w:r w:rsidRPr="00C07DEE">
        <w:t>Entre las principales medidas por las que apuestan están: Llevar a cabo una inmigración regular y controlada. Para ello rec</w:t>
      </w:r>
      <w:r w:rsidR="001D72FF">
        <w:t>omiendan una política nacional “coherente”</w:t>
      </w:r>
      <w:r w:rsidRPr="00C07DEE">
        <w:t>, eliminando regularizaciones extraordinarias y revisando criterios de arraigo.</w:t>
      </w:r>
    </w:p>
    <w:p w:rsidR="006A1F56" w:rsidRPr="00C07DEE" w:rsidRDefault="006A1F56" w:rsidP="006A1F56">
      <w:pPr>
        <w:pStyle w:val="NormalWeb"/>
        <w:shd w:val="clear" w:color="auto" w:fill="FFFFFF"/>
        <w:jc w:val="both"/>
      </w:pPr>
      <w:r w:rsidRPr="00C07DEE">
        <w:t>Ven necesario aumentar el tiempo de residencia para obtener la nacionalidad, y para ello proponen establecer por ejemplo requisitos de renta para residencias prolongadas y límite a las reunificaciones familiares a niveles sostenibles.</w:t>
      </w:r>
    </w:p>
    <w:p w:rsidR="006A1F56" w:rsidRPr="00C07DEE" w:rsidRDefault="006A1F56" w:rsidP="006A1F56">
      <w:pPr>
        <w:pStyle w:val="NormalWeb"/>
        <w:shd w:val="clear" w:color="auto" w:fill="FFFFFF"/>
        <w:jc w:val="both"/>
      </w:pPr>
      <w:r w:rsidRPr="00C07DEE">
        <w:t>Inciden también en realizar un ajuste de flujos migratorios mediante la reducción de la inmigración neta ajustando los requisitos laborales y ampliando la contratación en origen para cubrir sectores deficitarios.</w:t>
      </w:r>
    </w:p>
    <w:p w:rsidR="006A1F56" w:rsidRPr="00C07DEE" w:rsidRDefault="006A1F56" w:rsidP="006A1F56">
      <w:pPr>
        <w:pStyle w:val="NormalWeb"/>
        <w:shd w:val="clear" w:color="auto" w:fill="FFFFFF"/>
        <w:jc w:val="both"/>
      </w:pPr>
      <w:r w:rsidRPr="00C07DEE">
        <w:t>Otro de los puntos clave que valoran en el informe es dar un apoyo a la integración mediante la creación de un programa nacional de formación educativa y laboral, adaptado a las necesidades del mercado, e incremento del apoyo escolar para jóvenes inmigrantes.</w:t>
      </w:r>
    </w:p>
    <w:p w:rsidR="006A1F56" w:rsidRPr="00C07DEE" w:rsidRDefault="006A1F56" w:rsidP="006A1F56">
      <w:pPr>
        <w:pStyle w:val="NormalWeb"/>
        <w:shd w:val="clear" w:color="auto" w:fill="FFFFFF"/>
        <w:jc w:val="both"/>
      </w:pPr>
      <w:r w:rsidRPr="00C07DEE">
        <w:t>Para prevenir la inmigración ilegal piden que se lleve a cabo un refuerzo de las fronteras mediante acuerdos con los países de origen, control marítimo y lucha contra mafias.</w:t>
      </w:r>
    </w:p>
    <w:p w:rsidR="006A1F56" w:rsidRPr="00C07DEE" w:rsidRDefault="006A1F56" w:rsidP="006A1F56">
      <w:pPr>
        <w:pStyle w:val="NormalWeb"/>
        <w:shd w:val="clear" w:color="auto" w:fill="FFFFFF"/>
        <w:jc w:val="both"/>
      </w:pPr>
      <w:r w:rsidRPr="00C07DEE">
        <w:t>También consideran imprescindible que</w:t>
      </w:r>
      <w:r w:rsidR="001D72FF">
        <w:t xml:space="preserve"> se mejore el sistema de asilo “</w:t>
      </w:r>
      <w:r w:rsidRPr="00C07DEE">
        <w:t>optimizando los procesos para evitar abusos y dar priorida</w:t>
      </w:r>
      <w:r w:rsidR="001D72FF">
        <w:t>d a casos realmente necesitados”</w:t>
      </w:r>
      <w:r w:rsidRPr="00C07DEE">
        <w:t>.</w:t>
      </w:r>
    </w:p>
    <w:p w:rsidR="006A1F56" w:rsidRPr="00C07DEE" w:rsidRDefault="006A1F56" w:rsidP="006A1F56">
      <w:pPr>
        <w:pStyle w:val="NormalWeb"/>
        <w:shd w:val="clear" w:color="auto" w:fill="FFFFFF"/>
        <w:jc w:val="both"/>
      </w:pPr>
      <w:r w:rsidRPr="00C07DEE">
        <w:t>En cuanto al control y depuración de datos de inmigrantes apuesta por implementar las recomendaciones para mejorar los controles de padrón, matrimonios de conveniencia y el fraude en solicitudes de ayudas.</w:t>
      </w:r>
    </w:p>
    <w:p w:rsidR="006A1F56" w:rsidRPr="00C07DEE" w:rsidRDefault="006A1F56" w:rsidP="006A1F56">
      <w:pPr>
        <w:pStyle w:val="NormalWeb"/>
        <w:shd w:val="clear" w:color="auto" w:fill="FFFFFF"/>
        <w:jc w:val="both"/>
      </w:pPr>
      <w:r w:rsidRPr="00C07DEE">
        <w:lastRenderedPageBreak/>
        <w:t xml:space="preserve">Desde NEOS abogan también por una repatriación y </w:t>
      </w:r>
      <w:r w:rsidR="001D72FF" w:rsidRPr="00C07DEE">
        <w:t>expulsión efectiva mediante</w:t>
      </w:r>
      <w:r w:rsidRPr="00C07DEE">
        <w:t xml:space="preserve"> propuestas para extender la capacidad de estancia en centros de internamiento hasta el límite permitido por la normativa europea, reforzar los Tribunales Superiores de Justicia para agilizar los recursos y reformar la ley de extranjería para permitir la expulsión de delincuentes reincidentes o con penas superiores a un año.</w:t>
      </w:r>
    </w:p>
    <w:p w:rsidR="006A1F56" w:rsidRPr="00C07DEE" w:rsidRDefault="006A1F56" w:rsidP="006A1F56">
      <w:pPr>
        <w:pStyle w:val="NormalWeb"/>
        <w:shd w:val="clear" w:color="auto" w:fill="FFFFFF"/>
      </w:pPr>
      <w:r w:rsidRPr="00C07DEE">
        <w:t xml:space="preserve">- </w:t>
      </w:r>
      <w:r w:rsidRPr="00C07DEE">
        <w:rPr>
          <w:u w:val="single"/>
        </w:rPr>
        <w:t>Cada inmigrante no cualificado que llega a España le cuesta al Estado 200.000 euros</w:t>
      </w:r>
      <w:r w:rsidRPr="00C07DEE">
        <w:t xml:space="preserve"> (The Objective - </w:t>
      </w:r>
      <w:r w:rsidRPr="00C07DEE">
        <w:rPr>
          <w:b/>
        </w:rPr>
        <w:t>30/8/28</w:t>
      </w:r>
      <w:r w:rsidRPr="00C07DEE">
        <w:t>)</w:t>
      </w:r>
    </w:p>
    <w:p w:rsidR="006A1F56" w:rsidRPr="00C07DEE" w:rsidRDefault="006A1F56" w:rsidP="006A1F56">
      <w:pPr>
        <w:pStyle w:val="NormalWeb"/>
        <w:shd w:val="clear" w:color="auto" w:fill="FFFFFF"/>
        <w:jc w:val="both"/>
      </w:pPr>
      <w:r w:rsidRPr="00C07DEE">
        <w:t>El economista Fernández-Villaverde desvela un dato que calculó cuando colaboraba con la oficina económica de Zapatero</w:t>
      </w:r>
    </w:p>
    <w:p w:rsidR="006A1F56" w:rsidRPr="00C07DEE" w:rsidRDefault="006A1F56" w:rsidP="006A1F56">
      <w:pPr>
        <w:pStyle w:val="NormalWeb"/>
        <w:shd w:val="clear" w:color="auto" w:fill="FFFFFF"/>
        <w:jc w:val="both"/>
      </w:pPr>
      <w:r w:rsidRPr="00C07DEE">
        <w:t>Cada inmigrante no cualificado que llega a España le cuesta al Estado 200.000 euros</w:t>
      </w:r>
    </w:p>
    <w:p w:rsidR="006A1F56" w:rsidRPr="00C07DEE" w:rsidRDefault="006A1F56" w:rsidP="006A1F56">
      <w:pPr>
        <w:pStyle w:val="NormalWeb"/>
        <w:shd w:val="clear" w:color="auto" w:fill="FFFFFF"/>
        <w:jc w:val="both"/>
      </w:pPr>
      <w:r w:rsidRPr="00C07DEE">
        <w:t>(Por Marcos Ondarra)</w:t>
      </w:r>
    </w:p>
    <w:p w:rsidR="006A1F56" w:rsidRPr="00C07DEE" w:rsidRDefault="006A1F56" w:rsidP="006A1F56">
      <w:pPr>
        <w:pStyle w:val="NormalWeb"/>
        <w:shd w:val="clear" w:color="auto" w:fill="FFFFFF"/>
        <w:jc w:val="both"/>
      </w:pPr>
      <w:r w:rsidRPr="00C07DEE">
        <w:t>El prestigioso economista Jesús Fernández-Villaverde, doctor por la Universidad de Minnesota y catedrático en la de Pennsylvania, acaba de revelar un dato muy significativo: cada inmigrante no cualificado que llega a España supone una pérdida para las arcas del Estado de 200.000 euros a lo largo de toda su vida. Ese es el cálculo que él mismo hizo en 2007, cuando trabajaba como consultor externo para la oficina económica del presidente del Gobierno, en la época en la que José Luis Rodríguez Zapatero dirigía España. Sin embargo, jamás vio la luz porque, según explica, era un tema políticamente muy sensible y había otras cuestiones más urgentes.</w:t>
      </w:r>
    </w:p>
    <w:p w:rsidR="006A1F56" w:rsidRDefault="006A1F56" w:rsidP="006A1F56">
      <w:pPr>
        <w:pStyle w:val="NormalWeb"/>
        <w:shd w:val="clear" w:color="auto" w:fill="FFFFFF"/>
        <w:jc w:val="both"/>
      </w:pPr>
      <w:r w:rsidRPr="00C07DEE">
        <w:t>Fernández-Villaverde ha decidido desvelar ahora en la red social X esta llamativa cifra al calor del debate sobre la sostenibilidad de las pensiones. Según el Gobierno de España, es necesario atraer a 3,5 millones de inmigrantes en la pró</w:t>
      </w:r>
      <w:r w:rsidR="001D72FF">
        <w:t>xima década con el objetivo de “compensar las jubilaciones”</w:t>
      </w:r>
      <w:r w:rsidRPr="00C07DEE">
        <w:t>. Sin embargo, los expertos (principalmente economistas y demógrafos) consideran que el plantea</w:t>
      </w:r>
      <w:r w:rsidR="001D72FF">
        <w:t>miento es un “disparate”</w:t>
      </w:r>
      <w:r w:rsidRPr="00C07DEE">
        <w:t xml:space="preserve"> porque, entre otras cosas, no tiene en cuenta la cualificación del inmigrante. En este sentido,</w:t>
      </w:r>
      <w:r w:rsidR="001D72FF">
        <w:t xml:space="preserve"> Fernández-Villaverde cree que “</w:t>
      </w:r>
      <w:r w:rsidRPr="00C07DEE">
        <w:t>la inmigración no cualificada y el estado</w:t>
      </w:r>
      <w:r w:rsidR="001D72FF">
        <w:t xml:space="preserve"> de bienestar son incompatibles”</w:t>
      </w:r>
      <w:r w:rsidRPr="00C07DEE">
        <w:t>.</w:t>
      </w:r>
    </w:p>
    <w:p w:rsidR="006A1F56" w:rsidRDefault="001D72FF" w:rsidP="006A1F56">
      <w:pPr>
        <w:pStyle w:val="NormalWeb"/>
        <w:shd w:val="clear" w:color="auto" w:fill="FFFFFF"/>
        <w:jc w:val="both"/>
      </w:pPr>
      <w:r>
        <w:t>“</w:t>
      </w:r>
      <w:r w:rsidR="006A1F56" w:rsidRPr="00C07DEE">
        <w:t>Vivimos en un Estado del bienestar basado en la redistribución: el 70% de los individuos en la parte baja de la distribución recibe transferencias netas de las administraciones públicas el grupo entre el 71% y el 90% queda más o menos en cero (según factores individuales como la longevidad o la salud) y solo el 10% superior son contribuyentes netos al sistema. El 99% de los inmigrantes que llegan a España de fuera de la Unión Europea se sitúan en el 90% inferior de renta: prácticamente todos, salvo algunos profesionales de Chile o Arg</w:t>
      </w:r>
      <w:r>
        <w:t>entina y los futbolistas”</w:t>
      </w:r>
      <w:r w:rsidR="006A1F56" w:rsidRPr="00C07DEE">
        <w:t>, ha expuesto el economista en su cuenta personal de X.</w:t>
      </w:r>
    </w:p>
    <w:p w:rsidR="006A1F56" w:rsidRPr="00C07DEE" w:rsidRDefault="006A1F56" w:rsidP="006A1F56">
      <w:pPr>
        <w:pStyle w:val="NormalWeb"/>
        <w:shd w:val="clear" w:color="auto" w:fill="FFFFFF"/>
        <w:jc w:val="both"/>
      </w:pPr>
      <w:r w:rsidRPr="00C07DEE">
        <w:t>Para reforzar su argumento, ha puesto el ejemplo de Dinamarca, un país que, tras estudiar el coste para el Estado de los inmigrantes del Norte de África y de Oriente Medio ha incrementado las expulsiones y recortado la protección de los solicitantes de asilo, convirtiéndose en un referente de una política migratoria estricta.</w:t>
      </w:r>
    </w:p>
    <w:p w:rsidR="006A1F56" w:rsidRPr="00C07DEE" w:rsidRDefault="006A1F56" w:rsidP="006A1F56">
      <w:pPr>
        <w:pStyle w:val="NormalWeb"/>
        <w:shd w:val="clear" w:color="auto" w:fill="FFFFFF"/>
        <w:jc w:val="both"/>
      </w:pPr>
    </w:p>
    <w:p w:rsidR="006A1F56" w:rsidRPr="00C07DEE" w:rsidRDefault="006A1F56" w:rsidP="006A1F56">
      <w:pPr>
        <w:pStyle w:val="NormalWeb"/>
        <w:shd w:val="clear" w:color="auto" w:fill="FFFFFF"/>
        <w:jc w:val="both"/>
      </w:pPr>
    </w:p>
    <w:p w:rsidR="006A1F56" w:rsidRPr="00C07DEE" w:rsidRDefault="006A1F56" w:rsidP="006A1F56">
      <w:pPr>
        <w:pStyle w:val="NormalWeb"/>
        <w:shd w:val="clear" w:color="auto" w:fill="FFFFFF"/>
        <w:jc w:val="both"/>
      </w:pPr>
      <w:r w:rsidRPr="00C07DEE">
        <w:rPr>
          <w:noProof/>
        </w:rPr>
        <w:lastRenderedPageBreak/>
        <w:drawing>
          <wp:inline distT="0" distB="0" distL="0" distR="0" wp14:anchorId="37AE2255" wp14:editId="2E67ED33">
            <wp:extent cx="5689600" cy="2368550"/>
            <wp:effectExtent l="0" t="0" r="6350" b="0"/>
            <wp:docPr id="204" name="Imagen 204"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5687080" cy="2367501"/>
                    </a:xfrm>
                    <a:prstGeom prst="rect">
                      <a:avLst/>
                    </a:prstGeom>
                    <a:noFill/>
                    <a:ln>
                      <a:noFill/>
                    </a:ln>
                  </pic:spPr>
                </pic:pic>
              </a:graphicData>
            </a:graphic>
          </wp:inline>
        </w:drawing>
      </w:r>
    </w:p>
    <w:p w:rsidR="006A1F56" w:rsidRPr="00C07DEE" w:rsidRDefault="006A1F56" w:rsidP="006A1F56">
      <w:pPr>
        <w:pStyle w:val="NormalWeb"/>
        <w:shd w:val="clear" w:color="auto" w:fill="FFFFFF"/>
        <w:jc w:val="both"/>
      </w:pPr>
      <w:r w:rsidRPr="00C07DEE">
        <w:t xml:space="preserve">Por lo expuesto, Fernández-Villaverde es partidario de reducir el flujo migratorio y de que se vuelvan entre 3 y 4 millones de inmigrantes, así </w:t>
      </w:r>
      <w:r w:rsidR="001D72FF">
        <w:t>como de recortar en pensiones. “</w:t>
      </w:r>
      <w:r w:rsidRPr="00C07DEE">
        <w:t>Sí, el bienestar de los mayores en España ahora mismo caería pero el de las generaciones jóvenes subiría. Pero es que yo estoy a favor de que el bienestar de los mayores en España caiga. Por ejemplo, quiero cortar las pensiones (de manera progresiva) al menos un 10%-15%. Ya sé que esto no lo habrá usted escuchado nunca de nadie (sí, quiero REDUCIR el bienestar de los mayores), pero alguien tiene que ser el adulto en la habitación y de</w:t>
      </w:r>
      <w:r w:rsidR="001D72FF">
        <w:t>cirle a los españoles la verdad”</w:t>
      </w:r>
      <w:r w:rsidRPr="00C07DEE">
        <w:t>, expone.</w:t>
      </w:r>
    </w:p>
    <w:p w:rsidR="006A1F56" w:rsidRPr="00C07DEE" w:rsidRDefault="006A1F56" w:rsidP="006A1F56">
      <w:pPr>
        <w:pStyle w:val="NormalWeb"/>
        <w:shd w:val="clear" w:color="auto" w:fill="FFFFFF"/>
        <w:jc w:val="both"/>
      </w:pPr>
      <w:r w:rsidRPr="00C07DEE">
        <w:t>Pese a que el dato jamás vio la luz, Fernández-Villaverde ha querido dejar claro en todo momento que David Taguas, quien dirigía entonces la oficina económica del presidente del Gobierno, no interfirió jamás en su trabajo. De hecho, ese cálculo -que jamás se materializó en un informe- no se publicó porque en 2007 la inmigración no era un asunto crucial como lo es en 2025, y no merecía la pena asumir el esfuerzo de entrar en una materia que no iba a tener efecto real sobre las políticas del Gobierno, según indican fuentes conocedoras de la situación.</w:t>
      </w:r>
    </w:p>
    <w:p w:rsidR="006A1F56" w:rsidRPr="00C07DEE" w:rsidRDefault="006A1F56" w:rsidP="006A1F56">
      <w:pPr>
        <w:pStyle w:val="NormalWeb"/>
        <w:shd w:val="clear" w:color="auto" w:fill="FFFFFF"/>
        <w:jc w:val="both"/>
      </w:pPr>
      <w:r w:rsidRPr="00C07DEE">
        <w:t>30.000 millones al año</w:t>
      </w:r>
    </w:p>
    <w:p w:rsidR="006A1F56" w:rsidRPr="00C07DEE" w:rsidRDefault="006A1F56" w:rsidP="006A1F56">
      <w:pPr>
        <w:pStyle w:val="NormalWeb"/>
        <w:shd w:val="clear" w:color="auto" w:fill="FFFFFF"/>
        <w:jc w:val="both"/>
      </w:pPr>
      <w:r w:rsidRPr="00C07DEE">
        <w:t>El dato ofrecido ahora por Fernández-Villaverde va en consonancia con el reciente estudio Inmigración en España: buenismo o eficacia, publicado el pasado mes de enero por NEOS, la fundación que lidera Jaime Mayor Oreja, y elaborado por expertos como Luis Zayas, Jorge Soley, Alejandro Macarrón, Fernando Rosado y Carlos Beltramo. Según estos, el exceso de inmigración en España tiene un coste para las arcas públicas de al menos 30.000 millones de euros al año, amén de que genera una fuerte presión en los servicios públicos y en el mercado laboral, sobre todo en el actual contexto de elevado desempleo.</w:t>
      </w:r>
    </w:p>
    <w:p w:rsidR="006A1F56" w:rsidRPr="00C07DEE" w:rsidRDefault="006A1F56" w:rsidP="006A1F56">
      <w:pPr>
        <w:pStyle w:val="NormalWeb"/>
        <w:shd w:val="clear" w:color="auto" w:fill="FFFFFF"/>
        <w:jc w:val="both"/>
      </w:pPr>
      <w:r w:rsidRPr="00C07DEE">
        <w:t xml:space="preserve">El estudio concluía que el coste de la inmigración es de decenas de miles </w:t>
      </w:r>
      <w:r w:rsidR="001D72FF">
        <w:t>de millones de euros porque la “</w:t>
      </w:r>
      <w:r w:rsidRPr="00C07DEE">
        <w:t>inmigración debería ser esencialmente solo la que se precise para cubr</w:t>
      </w:r>
      <w:r w:rsidR="001D72FF">
        <w:t>ir huecos en el mercado laboral”</w:t>
      </w:r>
      <w:r w:rsidRPr="00C07DEE">
        <w:t>, pero actualmente hay 1,4 millones de nacidos en el extra</w:t>
      </w:r>
      <w:r w:rsidR="001D72FF">
        <w:t>njero en paro. A estos se suma “</w:t>
      </w:r>
      <w:r w:rsidRPr="00C07DEE">
        <w:t xml:space="preserve">el efecto de sus familiares dependientes </w:t>
      </w:r>
      <w:r w:rsidR="001D72FF">
        <w:t>residentes en España inactivos -</w:t>
      </w:r>
      <w:r w:rsidRPr="00C07DEE">
        <w:t>hijos s</w:t>
      </w:r>
      <w:r w:rsidR="001D72FF">
        <w:t>uyos y cónyuges, principalmente-</w:t>
      </w:r>
      <w:r w:rsidRPr="00C07DEE">
        <w:t xml:space="preserve"> con los que conviven, lo cual daría en torno a dos millones de inmigrantes que vivirían de prestaciones</w:t>
      </w:r>
      <w:r w:rsidR="00872221">
        <w:t xml:space="preserve"> económicas directas del Estado”</w:t>
      </w:r>
      <w:r w:rsidRPr="00C07DEE">
        <w:t>.</w:t>
      </w:r>
    </w:p>
    <w:p w:rsidR="006A1F56" w:rsidRPr="005B745D" w:rsidRDefault="006A1F56" w:rsidP="006A1F56">
      <w:pPr>
        <w:spacing w:line="240" w:lineRule="auto"/>
        <w:jc w:val="both"/>
        <w:rPr>
          <w:rFonts w:ascii="Times New Roman" w:hAnsi="Times New Roman" w:cs="Times New Roman"/>
          <w:color w:val="FF0000"/>
          <w:sz w:val="24"/>
          <w:szCs w:val="24"/>
        </w:rPr>
      </w:pPr>
      <w:r w:rsidRPr="005B745D">
        <w:rPr>
          <w:rFonts w:ascii="Times New Roman" w:hAnsi="Times New Roman" w:cs="Times New Roman"/>
          <w:b/>
          <w:color w:val="FF0000"/>
          <w:sz w:val="24"/>
          <w:szCs w:val="24"/>
        </w:rPr>
        <w:lastRenderedPageBreak/>
        <w:t xml:space="preserve">Nota XIV: Welcome refugees… Brazos abiertos… Papeles para todos... ¿and then? </w:t>
      </w:r>
    </w:p>
    <w:p w:rsidR="006A1F56"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Reconozco que este Apartado ha sido más extenso que los anteriores, y eso que el relato sobre el “antes de antes” del drama de la inmigración ilegal, lo he dejado para la bibliografía.</w:t>
      </w:r>
    </w:p>
    <w:p w:rsidR="006A1F56"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Pero, con las disculpas del caso, considero que es un tema fundamental, desde el punto de vista cultural, religioso, social, político, económico, y de seguridad, que está afectando, y más afectará, el devenir de España (en particular) y</w:t>
      </w:r>
      <w:r w:rsidR="007F42A8">
        <w:rPr>
          <w:rFonts w:ascii="Times New Roman" w:hAnsi="Times New Roman" w:cs="Times New Roman"/>
          <w:sz w:val="24"/>
          <w:szCs w:val="24"/>
        </w:rPr>
        <w:t xml:space="preserve"> de</w:t>
      </w:r>
      <w:r>
        <w:rPr>
          <w:rFonts w:ascii="Times New Roman" w:hAnsi="Times New Roman" w:cs="Times New Roman"/>
          <w:sz w:val="24"/>
          <w:szCs w:val="24"/>
        </w:rPr>
        <w:t xml:space="preserve"> Europa (en general), inmediato y futuro.</w:t>
      </w:r>
    </w:p>
    <w:p w:rsidR="006A1F56"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Después de todo lo leído (con el debido perdón), dejo al criterio del (paciente) lector, dar respuesta a las siguientes cuestiones: ¿Puede continuar España con su política de “w</w:t>
      </w:r>
      <w:r w:rsidRPr="00435976">
        <w:rPr>
          <w:rFonts w:ascii="Times New Roman" w:hAnsi="Times New Roman" w:cs="Times New Roman"/>
          <w:sz w:val="24"/>
          <w:szCs w:val="24"/>
        </w:rPr>
        <w:t>elcome refugees</w:t>
      </w:r>
      <w:r>
        <w:rPr>
          <w:rFonts w:ascii="Times New Roman" w:hAnsi="Times New Roman" w:cs="Times New Roman"/>
          <w:sz w:val="24"/>
          <w:szCs w:val="24"/>
        </w:rPr>
        <w:t>”?</w:t>
      </w:r>
      <w:r w:rsidRPr="00435976">
        <w:rPr>
          <w:rFonts w:ascii="Times New Roman" w:hAnsi="Times New Roman" w:cs="Times New Roman"/>
          <w:sz w:val="24"/>
          <w:szCs w:val="24"/>
        </w:rPr>
        <w:t xml:space="preserve">… </w:t>
      </w:r>
      <w:r>
        <w:rPr>
          <w:rFonts w:ascii="Times New Roman" w:hAnsi="Times New Roman" w:cs="Times New Roman"/>
          <w:sz w:val="24"/>
          <w:szCs w:val="24"/>
        </w:rPr>
        <w:t>¿Puede continuar España con su política de “b</w:t>
      </w:r>
      <w:r w:rsidRPr="00435976">
        <w:rPr>
          <w:rFonts w:ascii="Times New Roman" w:hAnsi="Times New Roman" w:cs="Times New Roman"/>
          <w:sz w:val="24"/>
          <w:szCs w:val="24"/>
        </w:rPr>
        <w:t>razos abiertos</w:t>
      </w:r>
      <w:r>
        <w:rPr>
          <w:rFonts w:ascii="Times New Roman" w:hAnsi="Times New Roman" w:cs="Times New Roman"/>
          <w:sz w:val="24"/>
          <w:szCs w:val="24"/>
        </w:rPr>
        <w:t>”?</w:t>
      </w:r>
      <w:r w:rsidRPr="00435976">
        <w:rPr>
          <w:rFonts w:ascii="Times New Roman" w:hAnsi="Times New Roman" w:cs="Times New Roman"/>
          <w:sz w:val="24"/>
          <w:szCs w:val="24"/>
        </w:rPr>
        <w:t xml:space="preserve">… </w:t>
      </w:r>
      <w:r>
        <w:rPr>
          <w:rFonts w:ascii="Times New Roman" w:hAnsi="Times New Roman" w:cs="Times New Roman"/>
          <w:sz w:val="24"/>
          <w:szCs w:val="24"/>
        </w:rPr>
        <w:t>¿Puede continuar España con su política de “p</w:t>
      </w:r>
      <w:r w:rsidRPr="00435976">
        <w:rPr>
          <w:rFonts w:ascii="Times New Roman" w:hAnsi="Times New Roman" w:cs="Times New Roman"/>
          <w:sz w:val="24"/>
          <w:szCs w:val="24"/>
        </w:rPr>
        <w:t>apeles para todos</w:t>
      </w:r>
      <w:r>
        <w:rPr>
          <w:rFonts w:ascii="Times New Roman" w:hAnsi="Times New Roman" w:cs="Times New Roman"/>
          <w:sz w:val="24"/>
          <w:szCs w:val="24"/>
        </w:rPr>
        <w:t xml:space="preserve">”?... Ustedes mismos </w:t>
      </w:r>
    </w:p>
    <w:p w:rsidR="006A1F56" w:rsidRDefault="006A1F56" w:rsidP="006A1F56">
      <w:pPr>
        <w:spacing w:line="240" w:lineRule="auto"/>
        <w:jc w:val="both"/>
        <w:rPr>
          <w:rFonts w:ascii="Times New Roman" w:hAnsi="Times New Roman" w:cs="Times New Roman"/>
          <w:sz w:val="24"/>
          <w:szCs w:val="24"/>
        </w:rPr>
      </w:pPr>
      <w:r>
        <w:rPr>
          <w:rFonts w:ascii="Times New Roman" w:hAnsi="Times New Roman" w:cs="Times New Roman"/>
          <w:sz w:val="24"/>
          <w:szCs w:val="24"/>
        </w:rPr>
        <w:t>Por mi parte, reitero mi propuesta (inicial):</w:t>
      </w:r>
      <w:bookmarkStart w:id="0" w:name="_GoBack"/>
      <w:bookmarkEnd w:id="0"/>
    </w:p>
    <w:p w:rsidR="006A1F56" w:rsidRPr="00435976" w:rsidRDefault="006A1F56" w:rsidP="006A1F56">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Estricto control de la inmigración ilegal (devolución en caliente, al lugar de salida)</w:t>
      </w:r>
    </w:p>
    <w:p w:rsidR="006A1F56" w:rsidRDefault="006A1F56" w:rsidP="006A1F56">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Los menores no acompañados serán considerados como inmigración ilegal</w:t>
      </w:r>
    </w:p>
    <w:p w:rsidR="006A1F56" w:rsidRDefault="006A1F56" w:rsidP="006A1F56">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Las solicitudes de asilo no se tramitarán en el territorio nacional</w:t>
      </w:r>
    </w:p>
    <w:p w:rsidR="006A1F56" w:rsidRDefault="006A1F56" w:rsidP="006A1F56">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No se tramitarán las solicitudes de reagrupamiento familiar</w:t>
      </w:r>
    </w:p>
    <w:p w:rsidR="006A1F56" w:rsidRDefault="006A1F56" w:rsidP="006A1F56">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Todos los inmigrantes se deberán comprometer a adoptar los usos y costumbres nacionales (no pudiendo solicitar ningún tipo trato especial, o preferente)</w:t>
      </w:r>
    </w:p>
    <w:p w:rsidR="006A1F56" w:rsidRDefault="006A1F56" w:rsidP="006A1F56">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Deportación inmediata de los inmigrantes condenados por delitos graves</w:t>
      </w:r>
    </w:p>
    <w:p w:rsidR="006A1F56" w:rsidRDefault="006A1F56" w:rsidP="006A1F56">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Las autoridades marítimas no permitirán el atraque de los buques de las ONG que rescaten inmigrantes ilegales en alta mar</w:t>
      </w:r>
    </w:p>
    <w:p w:rsidR="006A1F56" w:rsidRDefault="006A1F56" w:rsidP="006A1F56">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Las autoridades marítimas no saldrán al recate de navíos no registrados en alta mar</w:t>
      </w:r>
    </w:p>
    <w:p w:rsidR="006A1F56" w:rsidRDefault="006A1F56" w:rsidP="006A1F56">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Se enviará a prisión al capitán y tripulación (sin opción de libertad bajo fianza, o deportación) del navío que llegue a la costa con inmigrantes ilegales</w:t>
      </w:r>
    </w:p>
    <w:p w:rsidR="006A1F56" w:rsidRDefault="006A1F56" w:rsidP="006A1F56">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Se destruirá todo tipo de embarcación que llegue a la costa con inmigrantes ilegales</w:t>
      </w:r>
    </w:p>
    <w:p w:rsidR="006A1F56" w:rsidRDefault="006A1F56" w:rsidP="006A1F56">
      <w:pPr>
        <w:pStyle w:val="Prrafodelista"/>
        <w:numPr>
          <w:ilvl w:val="0"/>
          <w:numId w:val="2"/>
        </w:numPr>
        <w:spacing w:line="240" w:lineRule="auto"/>
        <w:jc w:val="both"/>
        <w:rPr>
          <w:rFonts w:ascii="Times New Roman" w:hAnsi="Times New Roman" w:cs="Times New Roman"/>
          <w:color w:val="000000"/>
          <w:sz w:val="24"/>
          <w:szCs w:val="24"/>
          <w:shd w:val="clear" w:color="auto" w:fill="FFFFFF"/>
        </w:rPr>
      </w:pPr>
      <w:r w:rsidRPr="00EE0A24">
        <w:rPr>
          <w:rFonts w:ascii="Times New Roman" w:hAnsi="Times New Roman" w:cs="Times New Roman"/>
          <w:b/>
          <w:color w:val="000000"/>
          <w:sz w:val="24"/>
          <w:szCs w:val="24"/>
          <w:shd w:val="clear" w:color="auto" w:fill="FFFFFF"/>
        </w:rPr>
        <w:t>Extra</w:t>
      </w:r>
      <w:r>
        <w:rPr>
          <w:rFonts w:ascii="Times New Roman" w:hAnsi="Times New Roman" w:cs="Times New Roman"/>
          <w:color w:val="000000"/>
          <w:sz w:val="24"/>
          <w:szCs w:val="24"/>
          <w:shd w:val="clear" w:color="auto" w:fill="FFFFFF"/>
        </w:rPr>
        <w:t xml:space="preserve">. </w:t>
      </w:r>
      <w:r w:rsidRPr="001109AC">
        <w:rPr>
          <w:rFonts w:ascii="Times New Roman" w:hAnsi="Times New Roman" w:cs="Times New Roman"/>
          <w:color w:val="000000"/>
          <w:sz w:val="24"/>
          <w:szCs w:val="24"/>
          <w:shd w:val="clear" w:color="auto" w:fill="FFFFFF"/>
        </w:rPr>
        <w:t>Con respecto a la inmigración desde países hispanoamericanos: exig</w:t>
      </w:r>
      <w:r>
        <w:rPr>
          <w:rFonts w:ascii="Times New Roman" w:hAnsi="Times New Roman" w:cs="Times New Roman"/>
          <w:color w:val="000000"/>
          <w:sz w:val="24"/>
          <w:szCs w:val="24"/>
          <w:shd w:val="clear" w:color="auto" w:fill="FFFFFF"/>
        </w:rPr>
        <w:t>ir visado; extremar los controles para que ningún visitante pueda exceder el plazo establecido, sin la autorización correspondiente;</w:t>
      </w:r>
      <w:r w:rsidRPr="001109AC">
        <w:rPr>
          <w:rFonts w:ascii="Times New Roman" w:hAnsi="Times New Roman" w:cs="Times New Roman"/>
          <w:color w:val="000000"/>
          <w:sz w:val="24"/>
          <w:szCs w:val="24"/>
          <w:shd w:val="clear" w:color="auto" w:fill="FFFFFF"/>
        </w:rPr>
        <w:t xml:space="preserve"> eliminar la opción que permite a nietos de españoles </w:t>
      </w:r>
      <w:r>
        <w:rPr>
          <w:rFonts w:ascii="Times New Roman" w:hAnsi="Times New Roman" w:cs="Times New Roman"/>
          <w:color w:val="000000"/>
          <w:sz w:val="24"/>
          <w:szCs w:val="24"/>
          <w:shd w:val="clear" w:color="auto" w:fill="FFFFFF"/>
        </w:rPr>
        <w:t xml:space="preserve">obtener la ciudadanía de origen; intentar eliminar del Tratado de </w:t>
      </w:r>
      <w:r w:rsidRPr="00EE0A24">
        <w:rPr>
          <w:rFonts w:ascii="Times New Roman" w:hAnsi="Times New Roman" w:cs="Times New Roman"/>
          <w:color w:val="000000"/>
          <w:sz w:val="24"/>
          <w:szCs w:val="24"/>
          <w:shd w:val="clear" w:color="auto" w:fill="FFFFFF"/>
        </w:rPr>
        <w:t xml:space="preserve"> Schengen</w:t>
      </w:r>
      <w:r>
        <w:rPr>
          <w:rFonts w:ascii="Times New Roman" w:hAnsi="Times New Roman" w:cs="Times New Roman"/>
          <w:color w:val="000000"/>
          <w:sz w:val="24"/>
          <w:szCs w:val="24"/>
          <w:shd w:val="clear" w:color="auto" w:fill="FFFFFF"/>
        </w:rPr>
        <w:t xml:space="preserve"> a los que optaron por la nacionalidad italiana, por un procedimiento similar.</w:t>
      </w:r>
      <w:r w:rsidRPr="001109AC">
        <w:rPr>
          <w:rFonts w:ascii="Times New Roman" w:hAnsi="Times New Roman" w:cs="Times New Roman"/>
          <w:color w:val="000000"/>
          <w:sz w:val="24"/>
          <w:szCs w:val="24"/>
          <w:shd w:val="clear" w:color="auto" w:fill="FFFFFF"/>
        </w:rPr>
        <w:t xml:space="preserve">  </w:t>
      </w:r>
    </w:p>
    <w:p w:rsidR="001B5F85" w:rsidRPr="005326AC" w:rsidRDefault="001B5F85" w:rsidP="007D171D">
      <w:pPr>
        <w:spacing w:line="240" w:lineRule="auto"/>
        <w:jc w:val="both"/>
        <w:rPr>
          <w:rFonts w:ascii="Times New Roman" w:hAnsi="Times New Roman" w:cs="Times New Roman"/>
          <w:b/>
          <w:color w:val="000000"/>
          <w:sz w:val="24"/>
          <w:szCs w:val="24"/>
          <w:shd w:val="clear" w:color="auto" w:fill="FFFFFF"/>
        </w:rPr>
      </w:pPr>
      <w:r w:rsidRPr="001B5F85">
        <w:rPr>
          <w:rFonts w:ascii="Times New Roman" w:hAnsi="Times New Roman" w:cs="Times New Roman"/>
          <w:b/>
          <w:color w:val="000000"/>
          <w:sz w:val="24"/>
          <w:szCs w:val="24"/>
          <w:shd w:val="clear" w:color="auto" w:fill="FFFFFF"/>
        </w:rPr>
        <w:t>El final de la escapada</w:t>
      </w:r>
      <w:r w:rsidR="005326AC">
        <w:rPr>
          <w:rFonts w:ascii="Times New Roman" w:hAnsi="Times New Roman" w:cs="Times New Roman"/>
          <w:b/>
          <w:color w:val="000000"/>
          <w:sz w:val="24"/>
          <w:szCs w:val="24"/>
          <w:shd w:val="clear" w:color="auto" w:fill="FFFFFF"/>
        </w:rPr>
        <w:t xml:space="preserve">: </w:t>
      </w:r>
      <w:r w:rsidR="00DA7F01">
        <w:rPr>
          <w:rFonts w:ascii="Times New Roman" w:hAnsi="Times New Roman" w:cs="Times New Roman"/>
          <w:b/>
          <w:sz w:val="24"/>
          <w:szCs w:val="24"/>
        </w:rPr>
        <w:t>s</w:t>
      </w:r>
      <w:r w:rsidRPr="001B5F85">
        <w:rPr>
          <w:rFonts w:ascii="Times New Roman" w:hAnsi="Times New Roman" w:cs="Times New Roman"/>
          <w:b/>
          <w:sz w:val="24"/>
          <w:szCs w:val="24"/>
        </w:rPr>
        <w:t xml:space="preserve">e pongan como se pongan, </w:t>
      </w:r>
      <w:r w:rsidR="002257B8">
        <w:rPr>
          <w:rFonts w:ascii="Times New Roman" w:hAnsi="Times New Roman" w:cs="Times New Roman"/>
          <w:b/>
          <w:sz w:val="24"/>
          <w:szCs w:val="24"/>
        </w:rPr>
        <w:t>“</w:t>
      </w:r>
      <w:r w:rsidRPr="001B5F85">
        <w:rPr>
          <w:rFonts w:ascii="Times New Roman" w:hAnsi="Times New Roman" w:cs="Times New Roman"/>
          <w:b/>
          <w:sz w:val="24"/>
          <w:szCs w:val="24"/>
        </w:rPr>
        <w:t>la única verdad es la realidad</w:t>
      </w:r>
      <w:r w:rsidR="002257B8">
        <w:rPr>
          <w:rFonts w:ascii="Times New Roman" w:hAnsi="Times New Roman" w:cs="Times New Roman"/>
          <w:b/>
          <w:sz w:val="24"/>
          <w:szCs w:val="24"/>
        </w:rPr>
        <w:t>”</w:t>
      </w:r>
    </w:p>
    <w:p w:rsidR="006F654A" w:rsidRDefault="005326AC" w:rsidP="006F654A">
      <w:pPr>
        <w:spacing w:line="240" w:lineRule="auto"/>
        <w:jc w:val="both"/>
        <w:rPr>
          <w:rFonts w:ascii="Times New Roman" w:hAnsi="Times New Roman" w:cs="Times New Roman"/>
          <w:b/>
          <w:color w:val="000000"/>
          <w:sz w:val="24"/>
          <w:szCs w:val="24"/>
          <w:shd w:val="clear" w:color="auto" w:fill="FFFFFF"/>
        </w:rPr>
      </w:pPr>
      <w:r>
        <w:rPr>
          <w:rFonts w:ascii="Times New Roman" w:hAnsi="Times New Roman" w:cs="Times New Roman"/>
          <w:b/>
          <w:color w:val="000000"/>
          <w:sz w:val="24"/>
          <w:szCs w:val="24"/>
          <w:shd w:val="clear" w:color="auto" w:fill="FFFFFF"/>
        </w:rPr>
        <w:t>(“El que quiera entender que entienda”)</w:t>
      </w:r>
    </w:p>
    <w:p w:rsidR="006F654A" w:rsidRPr="005326AC" w:rsidRDefault="006F654A" w:rsidP="007D171D">
      <w:pPr>
        <w:spacing w:line="240" w:lineRule="auto"/>
        <w:jc w:val="both"/>
        <w:rPr>
          <w:rFonts w:ascii="Times New Roman" w:hAnsi="Times New Roman" w:cs="Times New Roman"/>
          <w:b/>
          <w:color w:val="000000"/>
          <w:sz w:val="24"/>
          <w:szCs w:val="24"/>
          <w:shd w:val="clear" w:color="auto" w:fill="FFFFFF"/>
        </w:rPr>
      </w:pPr>
      <w:r w:rsidRPr="006F654A">
        <w:rPr>
          <w:rFonts w:ascii="Times New Roman" w:hAnsi="Times New Roman" w:cs="Times New Roman"/>
          <w:b/>
          <w:sz w:val="24"/>
          <w:szCs w:val="24"/>
        </w:rPr>
        <w:t>Aunque la economía española parece mostrar gran dinamismo y potencial, tal y como revelan las cifras más gruesas y superficiales de la economía (PIB y empleo), lo cierto es que cuando se escarba un poco se encuentran las miserias: una productividad estancada, un PIB per cápita que apenas crece, unos salarios reales que llevan décadas estancados y una desigualdad de renta que está entre las más altas de Europa, según el coeficiente de Gini</w:t>
      </w:r>
      <w:r>
        <w:rPr>
          <w:rFonts w:ascii="Times New Roman" w:hAnsi="Times New Roman" w:cs="Times New Roman"/>
          <w:b/>
          <w:sz w:val="24"/>
          <w:szCs w:val="24"/>
        </w:rPr>
        <w:t>.</w:t>
      </w:r>
    </w:p>
    <w:p w:rsidR="001B5F85" w:rsidRPr="005326AC" w:rsidRDefault="001B5F85" w:rsidP="007D171D">
      <w:pPr>
        <w:spacing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El modelo económico basado en el despilfarro, el endeudamiento</w:t>
      </w:r>
      <w:r w:rsidR="00DD504A" w:rsidRPr="005326AC">
        <w:rPr>
          <w:rFonts w:ascii="Times New Roman" w:hAnsi="Times New Roman" w:cs="Times New Roman"/>
          <w:b/>
          <w:sz w:val="24"/>
          <w:szCs w:val="24"/>
        </w:rPr>
        <w:t>,</w:t>
      </w:r>
      <w:r w:rsidRPr="005326AC">
        <w:rPr>
          <w:rFonts w:ascii="Times New Roman" w:hAnsi="Times New Roman" w:cs="Times New Roman"/>
          <w:b/>
          <w:sz w:val="24"/>
          <w:szCs w:val="24"/>
        </w:rPr>
        <w:t xml:space="preserve"> y la cronificación del déficit está agotado.</w:t>
      </w:r>
    </w:p>
    <w:p w:rsidR="001B5F85" w:rsidRPr="005326AC" w:rsidRDefault="001B5F85" w:rsidP="007D171D">
      <w:pPr>
        <w:spacing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España lleva años viviendo por encima de sus posibilidades</w:t>
      </w:r>
      <w:r w:rsidR="00DD504A" w:rsidRPr="005326AC">
        <w:rPr>
          <w:rFonts w:ascii="Times New Roman" w:hAnsi="Times New Roman" w:cs="Times New Roman"/>
          <w:b/>
          <w:sz w:val="24"/>
          <w:szCs w:val="24"/>
        </w:rPr>
        <w:t>, por lo que el Estado de B</w:t>
      </w:r>
      <w:r w:rsidR="00B84E6D" w:rsidRPr="005326AC">
        <w:rPr>
          <w:rFonts w:ascii="Times New Roman" w:hAnsi="Times New Roman" w:cs="Times New Roman"/>
          <w:b/>
          <w:sz w:val="24"/>
          <w:szCs w:val="24"/>
        </w:rPr>
        <w:t>ienestar actual, ya no es financieramente viable.</w:t>
      </w:r>
    </w:p>
    <w:p w:rsidR="00B84E6D" w:rsidRPr="005326AC" w:rsidRDefault="00B84E6D" w:rsidP="007D171D">
      <w:pPr>
        <w:spacing w:line="240" w:lineRule="auto"/>
        <w:jc w:val="both"/>
        <w:rPr>
          <w:rFonts w:ascii="Times New Roman" w:hAnsi="Times New Roman" w:cs="Times New Roman"/>
          <w:b/>
          <w:sz w:val="24"/>
          <w:szCs w:val="24"/>
        </w:rPr>
      </w:pPr>
      <w:r w:rsidRPr="005326AC">
        <w:rPr>
          <w:rFonts w:ascii="Times New Roman" w:hAnsi="Times New Roman" w:cs="Times New Roman"/>
          <w:b/>
          <w:sz w:val="24"/>
          <w:szCs w:val="24"/>
        </w:rPr>
        <w:lastRenderedPageBreak/>
        <w:t>España está obligada a aplicar dolorosos recortes, por ejemplo, en materia de prestaciones sociales.</w:t>
      </w:r>
    </w:p>
    <w:p w:rsidR="00B84E6D" w:rsidRPr="005326AC" w:rsidRDefault="00B84E6D" w:rsidP="007D171D">
      <w:pPr>
        <w:spacing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Si se quiere salvar el barco, el barco en el que están (estamos) los españoles</w:t>
      </w:r>
      <w:r w:rsidR="0003580B" w:rsidRPr="005326AC">
        <w:rPr>
          <w:rFonts w:ascii="Times New Roman" w:hAnsi="Times New Roman" w:cs="Times New Roman"/>
          <w:b/>
          <w:sz w:val="24"/>
          <w:szCs w:val="24"/>
        </w:rPr>
        <w:t>,</w:t>
      </w:r>
      <w:r w:rsidRPr="005326AC">
        <w:rPr>
          <w:rFonts w:ascii="Times New Roman" w:hAnsi="Times New Roman" w:cs="Times New Roman"/>
          <w:b/>
          <w:sz w:val="24"/>
          <w:szCs w:val="24"/>
        </w:rPr>
        <w:t xml:space="preserve"> y que están sus</w:t>
      </w:r>
      <w:r w:rsidR="002257B8">
        <w:rPr>
          <w:rFonts w:ascii="Times New Roman" w:hAnsi="Times New Roman" w:cs="Times New Roman"/>
          <w:b/>
          <w:sz w:val="24"/>
          <w:szCs w:val="24"/>
        </w:rPr>
        <w:t xml:space="preserve"> (nuestros)</w:t>
      </w:r>
      <w:r w:rsidRPr="005326AC">
        <w:rPr>
          <w:rFonts w:ascii="Times New Roman" w:hAnsi="Times New Roman" w:cs="Times New Roman"/>
          <w:b/>
          <w:sz w:val="24"/>
          <w:szCs w:val="24"/>
        </w:rPr>
        <w:t xml:space="preserve"> hijos, se debe actuar sin demora, en un momento en que los gobernantes parecen limitados a gestionar inercias.</w:t>
      </w:r>
    </w:p>
    <w:p w:rsidR="00B84E6D" w:rsidRPr="005326AC" w:rsidRDefault="00B84E6D" w:rsidP="007D171D">
      <w:pPr>
        <w:spacing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 xml:space="preserve">En su paso por la “argentinización” frustrante, la “venezuelización” narcotraficante, la “islamización” polarizante, y la </w:t>
      </w:r>
      <w:r w:rsidR="00513478">
        <w:rPr>
          <w:rFonts w:ascii="Times New Roman" w:hAnsi="Times New Roman" w:cs="Times New Roman"/>
          <w:b/>
          <w:sz w:val="24"/>
          <w:szCs w:val="24"/>
        </w:rPr>
        <w:t>“</w:t>
      </w:r>
      <w:r w:rsidRPr="005326AC">
        <w:rPr>
          <w:rFonts w:ascii="Times New Roman" w:hAnsi="Times New Roman" w:cs="Times New Roman"/>
          <w:b/>
          <w:sz w:val="24"/>
          <w:szCs w:val="24"/>
        </w:rPr>
        <w:t>corrup</w:t>
      </w:r>
      <w:r w:rsidR="002257B8">
        <w:rPr>
          <w:rFonts w:ascii="Times New Roman" w:hAnsi="Times New Roman" w:cs="Times New Roman"/>
          <w:b/>
          <w:sz w:val="24"/>
          <w:szCs w:val="24"/>
        </w:rPr>
        <w:t>ción</w:t>
      </w:r>
      <w:r w:rsidR="00513478">
        <w:rPr>
          <w:rFonts w:ascii="Times New Roman" w:hAnsi="Times New Roman" w:cs="Times New Roman"/>
          <w:b/>
          <w:sz w:val="24"/>
          <w:szCs w:val="24"/>
        </w:rPr>
        <w:t>”</w:t>
      </w:r>
      <w:r w:rsidR="002257B8">
        <w:rPr>
          <w:rFonts w:ascii="Times New Roman" w:hAnsi="Times New Roman" w:cs="Times New Roman"/>
          <w:b/>
          <w:sz w:val="24"/>
          <w:szCs w:val="24"/>
        </w:rPr>
        <w:t xml:space="preserve"> galopante</w:t>
      </w:r>
      <w:r w:rsidRPr="005326AC">
        <w:rPr>
          <w:rFonts w:ascii="Times New Roman" w:hAnsi="Times New Roman" w:cs="Times New Roman"/>
          <w:b/>
          <w:sz w:val="24"/>
          <w:szCs w:val="24"/>
        </w:rPr>
        <w:t>, España se ha transformado en un país en el que la miseria sigue extendiéndose insoslayablemente, año tras año.</w:t>
      </w:r>
    </w:p>
    <w:p w:rsidR="00874474" w:rsidRPr="005326AC" w:rsidRDefault="00874474" w:rsidP="007D171D">
      <w:pPr>
        <w:spacing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Mientras, en el “paraíso del progreso” (ese desierto cultural donde pocos piensan, y la mayoría rebuzna)</w:t>
      </w:r>
      <w:r w:rsidR="00920137" w:rsidRPr="005326AC">
        <w:rPr>
          <w:rFonts w:ascii="Times New Roman" w:hAnsi="Times New Roman" w:cs="Times New Roman"/>
          <w:b/>
          <w:sz w:val="24"/>
          <w:szCs w:val="24"/>
        </w:rPr>
        <w:t>, se extiende el</w:t>
      </w:r>
      <w:r w:rsidRPr="005326AC">
        <w:rPr>
          <w:rFonts w:ascii="Times New Roman" w:hAnsi="Times New Roman" w:cs="Times New Roman"/>
          <w:b/>
          <w:sz w:val="24"/>
          <w:szCs w:val="24"/>
        </w:rPr>
        <w:t xml:space="preserve"> “club de los inocentes”, siempre al servicio del socialcomunismo patrio, pero disfrazados de pacifismo, ecologismo, feminismo, salario mínimo, </w:t>
      </w:r>
      <w:r w:rsidR="00920137" w:rsidRPr="005326AC">
        <w:rPr>
          <w:rFonts w:ascii="Times New Roman" w:hAnsi="Times New Roman" w:cs="Times New Roman"/>
          <w:b/>
          <w:sz w:val="24"/>
          <w:szCs w:val="24"/>
        </w:rPr>
        <w:t xml:space="preserve">defensa de los </w:t>
      </w:r>
      <w:r w:rsidRPr="005326AC">
        <w:rPr>
          <w:rFonts w:ascii="Times New Roman" w:hAnsi="Times New Roman" w:cs="Times New Roman"/>
          <w:b/>
          <w:sz w:val="24"/>
          <w:szCs w:val="24"/>
        </w:rPr>
        <w:t>okupas,</w:t>
      </w:r>
      <w:r w:rsidR="002257B8">
        <w:rPr>
          <w:rFonts w:ascii="Times New Roman" w:hAnsi="Times New Roman" w:cs="Times New Roman"/>
          <w:b/>
          <w:sz w:val="24"/>
          <w:szCs w:val="24"/>
        </w:rPr>
        <w:t xml:space="preserve"> brazos abiertos, papeles para todos,</w:t>
      </w:r>
      <w:r w:rsidRPr="005326AC">
        <w:rPr>
          <w:rFonts w:ascii="Times New Roman" w:hAnsi="Times New Roman" w:cs="Times New Roman"/>
          <w:b/>
          <w:sz w:val="24"/>
          <w:szCs w:val="24"/>
        </w:rPr>
        <w:t xml:space="preserve"> o lo último en materia de vagancia, y lo que haga falta</w:t>
      </w:r>
      <w:r w:rsidR="00920137" w:rsidRPr="005326AC">
        <w:rPr>
          <w:rFonts w:ascii="Times New Roman" w:hAnsi="Times New Roman" w:cs="Times New Roman"/>
          <w:b/>
          <w:sz w:val="24"/>
          <w:szCs w:val="24"/>
        </w:rPr>
        <w:t>,</w:t>
      </w:r>
      <w:r w:rsidR="00B84E6D" w:rsidRPr="005326AC">
        <w:rPr>
          <w:rFonts w:ascii="Times New Roman" w:hAnsi="Times New Roman" w:cs="Times New Roman"/>
          <w:b/>
          <w:sz w:val="24"/>
          <w:szCs w:val="24"/>
        </w:rPr>
        <w:t xml:space="preserve"> para </w:t>
      </w:r>
      <w:r w:rsidRPr="005326AC">
        <w:rPr>
          <w:rFonts w:ascii="Times New Roman" w:hAnsi="Times New Roman" w:cs="Times New Roman"/>
          <w:b/>
          <w:sz w:val="24"/>
          <w:szCs w:val="24"/>
        </w:rPr>
        <w:t xml:space="preserve">seguir “arreando a la manada”. </w:t>
      </w:r>
    </w:p>
    <w:p w:rsidR="000B6DCB" w:rsidRPr="005326AC" w:rsidRDefault="00D1413F" w:rsidP="007D171D">
      <w:pPr>
        <w:spacing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 xml:space="preserve">En tanto, los integrantes de </w:t>
      </w:r>
      <w:r w:rsidR="000B6DCB" w:rsidRPr="005326AC">
        <w:rPr>
          <w:rFonts w:ascii="Times New Roman" w:hAnsi="Times New Roman" w:cs="Times New Roman"/>
          <w:b/>
          <w:sz w:val="24"/>
          <w:szCs w:val="24"/>
        </w:rPr>
        <w:t>la “sociedad de los conformes”, se comportan</w:t>
      </w:r>
      <w:r w:rsidR="00190633" w:rsidRPr="005326AC">
        <w:rPr>
          <w:rFonts w:ascii="Times New Roman" w:hAnsi="Times New Roman" w:cs="Times New Roman"/>
          <w:b/>
          <w:sz w:val="24"/>
          <w:szCs w:val="24"/>
        </w:rPr>
        <w:t xml:space="preserve"> como súbditos dóciles, demostrando su “vocación” socialcomunista, mientras se consumen, y languidecen, ante el verdadero dominio espiritual del poder que los esclaviza.</w:t>
      </w:r>
    </w:p>
    <w:p w:rsidR="007D171D" w:rsidRPr="005326AC" w:rsidRDefault="007D171D" w:rsidP="007D171D">
      <w:pPr>
        <w:spacing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Aunque ese sea el lado lamentable de la historia (en mi opinión), sigo insistiendo en mostrar a los lectores, una serie de datos (más larga de lo deseado, pero menos exhaustiva de lo debido), sin alarmismo, con la lógica inescapable de los acontecimientos, para ver si “despiertan”, “toman conciencia”, “reflexionan”, “reaccionan”, “se echan a la calle”, inician una “rebelión fiscal”, exigen “votar” (por necesidad y urgencia), y deciden “botar” (por higiene democrática), a tanto traidor, inmoral, corrupto,</w:t>
      </w:r>
      <w:r w:rsidR="001B5F85" w:rsidRPr="005326AC">
        <w:rPr>
          <w:rFonts w:ascii="Times New Roman" w:hAnsi="Times New Roman" w:cs="Times New Roman"/>
          <w:b/>
          <w:sz w:val="24"/>
          <w:szCs w:val="24"/>
        </w:rPr>
        <w:t xml:space="preserve"> mafioso, ladrón, incompetente, </w:t>
      </w:r>
      <w:r w:rsidRPr="005326AC">
        <w:rPr>
          <w:rFonts w:ascii="Times New Roman" w:hAnsi="Times New Roman" w:cs="Times New Roman"/>
          <w:b/>
          <w:sz w:val="24"/>
          <w:szCs w:val="24"/>
        </w:rPr>
        <w:t xml:space="preserve">ignorante, mediocre, vulgar, putero, o drogadicto, que “pasta del presupuesto” (donde se “evaporan” los 228 días de trabajo de los contribuyentes, saqueados por estos mangantes). </w:t>
      </w:r>
    </w:p>
    <w:p w:rsidR="007D171D" w:rsidRPr="005326AC" w:rsidRDefault="004D71E4" w:rsidP="007D171D">
      <w:pPr>
        <w:spacing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Mientras dura la espera, p</w:t>
      </w:r>
      <w:r w:rsidR="007D171D" w:rsidRPr="005326AC">
        <w:rPr>
          <w:rFonts w:ascii="Times New Roman" w:hAnsi="Times New Roman" w:cs="Times New Roman"/>
          <w:b/>
          <w:sz w:val="24"/>
          <w:szCs w:val="24"/>
        </w:rPr>
        <w:t>ermitan que manifieste mi sorpresa, alarma, consternación, decepción, y tristeza, por la falta de reacción del pueblo español, ante tanta indecencia, soberbia, degeneración del sistema, desviación del poder, carencia de escrúpulos,  crimen organizado, apropiación indebida, atropello, sectarismo, fractura, postureo, honestidad falsa, mentira sistemática, excusas delirantes, fanatismo militante, manipulación, e intoxicación, y me atribuya el derecho de actuar como un “tábano social” (socrático), para decirles que: he leído sobre esclavos más rebeldes, eunucos más decididos, momias egipcias más proactivas,</w:t>
      </w:r>
      <w:r w:rsidR="009C5CD4" w:rsidRPr="005326AC">
        <w:rPr>
          <w:rFonts w:ascii="Times New Roman" w:hAnsi="Times New Roman" w:cs="Times New Roman"/>
          <w:b/>
          <w:sz w:val="24"/>
          <w:szCs w:val="24"/>
        </w:rPr>
        <w:t xml:space="preserve"> piedras pómez más sensibles, </w:t>
      </w:r>
      <w:r w:rsidR="007D171D" w:rsidRPr="005326AC">
        <w:rPr>
          <w:rFonts w:ascii="Times New Roman" w:hAnsi="Times New Roman" w:cs="Times New Roman"/>
          <w:b/>
          <w:sz w:val="24"/>
          <w:szCs w:val="24"/>
        </w:rPr>
        <w:t>corderos más val</w:t>
      </w:r>
      <w:r w:rsidR="002257B8">
        <w:rPr>
          <w:rFonts w:ascii="Times New Roman" w:hAnsi="Times New Roman" w:cs="Times New Roman"/>
          <w:b/>
          <w:sz w:val="24"/>
          <w:szCs w:val="24"/>
        </w:rPr>
        <w:t>erosos, koalas más agresivos, y</w:t>
      </w:r>
      <w:r w:rsidR="009C5CD4" w:rsidRPr="005326AC">
        <w:rPr>
          <w:rFonts w:ascii="Times New Roman" w:hAnsi="Times New Roman" w:cs="Times New Roman"/>
          <w:b/>
          <w:sz w:val="24"/>
          <w:szCs w:val="24"/>
        </w:rPr>
        <w:t xml:space="preserve"> focas menos aplaudidoras.</w:t>
      </w:r>
    </w:p>
    <w:p w:rsidR="00AF0578" w:rsidRPr="005326AC" w:rsidRDefault="00AF0578" w:rsidP="00AF0578">
      <w:pPr>
        <w:spacing w:line="240" w:lineRule="auto"/>
        <w:jc w:val="both"/>
        <w:rPr>
          <w:rFonts w:ascii="Times New Roman" w:hAnsi="Times New Roman" w:cs="Times New Roman"/>
          <w:b/>
          <w:sz w:val="24"/>
          <w:szCs w:val="24"/>
          <w:shd w:val="clear" w:color="auto" w:fill="FFFFFF"/>
        </w:rPr>
      </w:pPr>
      <w:r w:rsidRPr="005326AC">
        <w:rPr>
          <w:rFonts w:ascii="Times New Roman" w:hAnsi="Times New Roman" w:cs="Times New Roman"/>
          <w:b/>
          <w:sz w:val="24"/>
          <w:szCs w:val="24"/>
          <w:shd w:val="clear" w:color="auto" w:fill="FFFFFF"/>
        </w:rPr>
        <w:t>Hago mis propuestas a sabiendas que, ni los dirigentes, ni los dirigidos españoles, van a estar por la labor. Lo hago para cumplir con mi conciencia, lo hago para que nadie pue</w:t>
      </w:r>
      <w:r w:rsidR="00DD3A91" w:rsidRPr="005326AC">
        <w:rPr>
          <w:rFonts w:ascii="Times New Roman" w:hAnsi="Times New Roman" w:cs="Times New Roman"/>
          <w:b/>
          <w:sz w:val="24"/>
          <w:szCs w:val="24"/>
          <w:shd w:val="clear" w:color="auto" w:fill="FFFFFF"/>
        </w:rPr>
        <w:t>da decir que lo sabía y lo callé, p</w:t>
      </w:r>
      <w:r w:rsidRPr="005326AC">
        <w:rPr>
          <w:rFonts w:ascii="Times New Roman" w:hAnsi="Times New Roman" w:cs="Times New Roman"/>
          <w:b/>
          <w:sz w:val="24"/>
          <w:szCs w:val="24"/>
          <w:shd w:val="clear" w:color="auto" w:fill="FFFFFF"/>
        </w:rPr>
        <w:t>ara que nadie pueda decir que no fueron advertidos a tiempo. En definitiva, lo hag</w:t>
      </w:r>
      <w:r w:rsidR="00DD3A91" w:rsidRPr="005326AC">
        <w:rPr>
          <w:rFonts w:ascii="Times New Roman" w:hAnsi="Times New Roman" w:cs="Times New Roman"/>
          <w:b/>
          <w:sz w:val="24"/>
          <w:szCs w:val="24"/>
          <w:shd w:val="clear" w:color="auto" w:fill="FFFFFF"/>
        </w:rPr>
        <w:t>o “en el nombre del nieto” (para que no esté condenado,</w:t>
      </w:r>
      <w:r w:rsidR="002257B8">
        <w:rPr>
          <w:rFonts w:ascii="Times New Roman" w:hAnsi="Times New Roman" w:cs="Times New Roman"/>
          <w:b/>
          <w:sz w:val="24"/>
          <w:szCs w:val="24"/>
          <w:shd w:val="clear" w:color="auto" w:fill="FFFFFF"/>
        </w:rPr>
        <w:t xml:space="preserve"> a ser más pobre</w:t>
      </w:r>
      <w:r w:rsidRPr="005326AC">
        <w:rPr>
          <w:rFonts w:ascii="Times New Roman" w:hAnsi="Times New Roman" w:cs="Times New Roman"/>
          <w:b/>
          <w:sz w:val="24"/>
          <w:szCs w:val="24"/>
          <w:shd w:val="clear" w:color="auto" w:fill="FFFFFF"/>
        </w:rPr>
        <w:t xml:space="preserve"> que sus padres</w:t>
      </w:r>
      <w:r w:rsidR="007F0DC3" w:rsidRPr="005326AC">
        <w:rPr>
          <w:rFonts w:ascii="Times New Roman" w:hAnsi="Times New Roman" w:cs="Times New Roman"/>
          <w:b/>
          <w:sz w:val="24"/>
          <w:szCs w:val="24"/>
          <w:shd w:val="clear" w:color="auto" w:fill="FFFFFF"/>
        </w:rPr>
        <w:t>;</w:t>
      </w:r>
      <w:r w:rsidR="00DD3A91" w:rsidRPr="005326AC">
        <w:rPr>
          <w:rFonts w:ascii="Times New Roman" w:hAnsi="Times New Roman" w:cs="Times New Roman"/>
          <w:b/>
          <w:sz w:val="24"/>
          <w:szCs w:val="24"/>
          <w:shd w:val="clear" w:color="auto" w:fill="FFFFFF"/>
        </w:rPr>
        <w:t xml:space="preserve"> para que no le roben el futuro).</w:t>
      </w:r>
      <w:r w:rsidRPr="005326AC">
        <w:rPr>
          <w:rFonts w:ascii="Times New Roman" w:hAnsi="Times New Roman" w:cs="Times New Roman"/>
          <w:b/>
          <w:sz w:val="24"/>
          <w:szCs w:val="24"/>
          <w:shd w:val="clear" w:color="auto" w:fill="FFFFFF"/>
        </w:rPr>
        <w:t xml:space="preserve">   </w:t>
      </w:r>
    </w:p>
    <w:p w:rsidR="00AF0578" w:rsidRPr="005326AC" w:rsidRDefault="00DD3A91" w:rsidP="007D171D">
      <w:pPr>
        <w:spacing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Hago mis propuestas a sabiendas</w:t>
      </w:r>
      <w:r w:rsidR="00920137" w:rsidRPr="005326AC">
        <w:rPr>
          <w:rFonts w:ascii="Times New Roman" w:hAnsi="Times New Roman" w:cs="Times New Roman"/>
          <w:b/>
          <w:sz w:val="24"/>
          <w:szCs w:val="24"/>
        </w:rPr>
        <w:t xml:space="preserve"> que puede</w:t>
      </w:r>
      <w:r w:rsidR="00C36C08" w:rsidRPr="005326AC">
        <w:rPr>
          <w:rFonts w:ascii="Times New Roman" w:hAnsi="Times New Roman" w:cs="Times New Roman"/>
          <w:b/>
          <w:sz w:val="24"/>
          <w:szCs w:val="24"/>
        </w:rPr>
        <w:t>n</w:t>
      </w:r>
      <w:r w:rsidR="007F0DC3" w:rsidRPr="005326AC">
        <w:rPr>
          <w:rFonts w:ascii="Times New Roman" w:hAnsi="Times New Roman" w:cs="Times New Roman"/>
          <w:b/>
          <w:sz w:val="24"/>
          <w:szCs w:val="24"/>
        </w:rPr>
        <w:t xml:space="preserve"> ser (casi seguro) un brindis al sol, un canto a los pájaros, un mensaje lanzado al mar en una botella, un discurso inútil desde el speakers’ corner… mientras, los más tolerantes, pueden considerarlo un legado insólito. </w:t>
      </w:r>
    </w:p>
    <w:p w:rsidR="00190633" w:rsidRPr="005326AC" w:rsidRDefault="003B15A3" w:rsidP="007D171D">
      <w:pPr>
        <w:spacing w:line="240" w:lineRule="auto"/>
        <w:jc w:val="both"/>
        <w:rPr>
          <w:rFonts w:ascii="Times New Roman" w:hAnsi="Times New Roman" w:cs="Times New Roman"/>
          <w:b/>
          <w:sz w:val="24"/>
          <w:szCs w:val="24"/>
        </w:rPr>
      </w:pPr>
      <w:r w:rsidRPr="005326AC">
        <w:rPr>
          <w:rFonts w:ascii="Times New Roman" w:hAnsi="Times New Roman" w:cs="Times New Roman"/>
          <w:b/>
          <w:sz w:val="24"/>
          <w:szCs w:val="24"/>
        </w:rPr>
        <w:lastRenderedPageBreak/>
        <w:t>Hago mis propuestas, s</w:t>
      </w:r>
      <w:r w:rsidR="00190633" w:rsidRPr="005326AC">
        <w:rPr>
          <w:rFonts w:ascii="Times New Roman" w:hAnsi="Times New Roman" w:cs="Times New Roman"/>
          <w:b/>
          <w:sz w:val="24"/>
          <w:szCs w:val="24"/>
        </w:rPr>
        <w:t>in pretensiones, ni esperanzas… sabiendo que gobernantes y gobernados mienten por triplicado, en una malsana relación, tortuosa y sucia, de complicidad</w:t>
      </w:r>
      <w:r w:rsidRPr="005326AC">
        <w:rPr>
          <w:rFonts w:ascii="Times New Roman" w:hAnsi="Times New Roman" w:cs="Times New Roman"/>
          <w:b/>
          <w:sz w:val="24"/>
          <w:szCs w:val="24"/>
        </w:rPr>
        <w:t xml:space="preserve"> vital</w:t>
      </w:r>
      <w:r w:rsidR="00190633" w:rsidRPr="005326AC">
        <w:rPr>
          <w:rFonts w:ascii="Times New Roman" w:hAnsi="Times New Roman" w:cs="Times New Roman"/>
          <w:b/>
          <w:sz w:val="24"/>
          <w:szCs w:val="24"/>
        </w:rPr>
        <w:t xml:space="preserve"> fingida</w:t>
      </w:r>
      <w:r w:rsidRPr="005326AC">
        <w:rPr>
          <w:rFonts w:ascii="Times New Roman" w:hAnsi="Times New Roman" w:cs="Times New Roman"/>
          <w:b/>
          <w:sz w:val="24"/>
          <w:szCs w:val="24"/>
        </w:rPr>
        <w:t>, como culmen de la destrucción moral del individuo que, ni vive, ni construye, ni conserva, solo obedece y sobrevive.</w:t>
      </w:r>
    </w:p>
    <w:p w:rsidR="00190633" w:rsidRPr="00F20BA4" w:rsidRDefault="00FB4E30" w:rsidP="00971613">
      <w:pPr>
        <w:spacing w:line="240" w:lineRule="auto"/>
        <w:jc w:val="both"/>
        <w:rPr>
          <w:rFonts w:ascii="Times New Roman" w:hAnsi="Times New Roman" w:cs="Times New Roman"/>
          <w:spacing w:val="-1"/>
          <w:sz w:val="24"/>
          <w:szCs w:val="24"/>
          <w:shd w:val="clear" w:color="auto" w:fill="FFFFFF"/>
        </w:rPr>
      </w:pPr>
      <w:r w:rsidRPr="005326AC">
        <w:rPr>
          <w:rFonts w:ascii="Times New Roman" w:hAnsi="Times New Roman" w:cs="Times New Roman"/>
          <w:b/>
          <w:sz w:val="24"/>
          <w:szCs w:val="24"/>
        </w:rPr>
        <w:t>Vaya por delante que he sido, e intento seguir siendo, muy respetuoso con los “usos y costumbres” del país anfitrión. Por ello, me cuido mucho de hacer críticas (que puedan considerarse petulantes, hirientes, irrespetuosas, o irreverentes), sobre temas políticos, sociales, o económicos, directamente vinculados con la vida de los españoles. Pero creo que en esta situación límite que está viviendo el Reino de España, todos y cada uno de sus habitantes, debe tomar conciencia, hacer el análisis crítico pertinente, y actuar. Ya no vale ponerse de perfil, ser ciego voluntario, negar la evidencia, dejar que se encarguen otros, confiar en la providencia, o en las instituciones europeas. Las democracias mueren en la oscuridad. Hay que actuar antes de que sea demasiado tarde.</w:t>
      </w:r>
      <w:r w:rsidR="00BF4576" w:rsidRPr="005326AC">
        <w:rPr>
          <w:rFonts w:ascii="Times New Roman" w:hAnsi="Times New Roman" w:cs="Times New Roman"/>
          <w:b/>
          <w:color w:val="FF0000"/>
          <w:spacing w:val="-1"/>
          <w:sz w:val="24"/>
          <w:szCs w:val="24"/>
          <w:shd w:val="clear" w:color="auto" w:fill="FFFFFF"/>
        </w:rPr>
        <w:t xml:space="preserve"> </w:t>
      </w:r>
      <w:r w:rsidR="00BF4576" w:rsidRPr="00F20BA4">
        <w:rPr>
          <w:rFonts w:ascii="Times New Roman" w:hAnsi="Times New Roman" w:cs="Times New Roman"/>
          <w:spacing w:val="-1"/>
          <w:sz w:val="24"/>
          <w:szCs w:val="24"/>
          <w:shd w:val="clear" w:color="auto" w:fill="FFFFFF"/>
        </w:rPr>
        <w:t>(Párrafo correspondiente a un Paper anterior: “España solicita su ingreso en el Mercosur (y ya de paso, al Grupo de Puebla) - España, más cerca de América Latina que de Europa”, publicado el 15/1/25)</w:t>
      </w:r>
      <w:r w:rsidR="00190633" w:rsidRPr="00F20BA4">
        <w:rPr>
          <w:rFonts w:ascii="Times New Roman" w:hAnsi="Times New Roman" w:cs="Times New Roman"/>
          <w:spacing w:val="-1"/>
          <w:sz w:val="24"/>
          <w:szCs w:val="24"/>
          <w:shd w:val="clear" w:color="auto" w:fill="FFFFFF"/>
        </w:rPr>
        <w:t>.</w:t>
      </w:r>
    </w:p>
    <w:p w:rsidR="00971613" w:rsidRPr="00F20BA4" w:rsidRDefault="00971613" w:rsidP="004D71E4">
      <w:pPr>
        <w:spacing w:line="240" w:lineRule="auto"/>
        <w:jc w:val="both"/>
        <w:rPr>
          <w:rFonts w:ascii="Times New Roman" w:hAnsi="Times New Roman" w:cs="Times New Roman"/>
          <w:spacing w:val="-1"/>
          <w:sz w:val="24"/>
          <w:szCs w:val="24"/>
          <w:shd w:val="clear" w:color="auto" w:fill="FFFFFF"/>
        </w:rPr>
      </w:pPr>
      <w:r w:rsidRPr="00F20BA4">
        <w:rPr>
          <w:rFonts w:ascii="Times New Roman" w:hAnsi="Times New Roman" w:cs="Times New Roman"/>
          <w:spacing w:val="-1"/>
          <w:sz w:val="24"/>
          <w:szCs w:val="24"/>
          <w:shd w:val="clear" w:color="auto" w:fill="FFFFFF"/>
        </w:rPr>
        <w:t>Al final del Paper citado</w:t>
      </w:r>
      <w:r w:rsidR="006F654A" w:rsidRPr="00F20BA4">
        <w:rPr>
          <w:rFonts w:ascii="Times New Roman" w:hAnsi="Times New Roman" w:cs="Times New Roman"/>
          <w:spacing w:val="-1"/>
          <w:sz w:val="24"/>
          <w:szCs w:val="24"/>
          <w:shd w:val="clear" w:color="auto" w:fill="FFFFFF"/>
        </w:rPr>
        <w:t xml:space="preserve"> (15/1/25)</w:t>
      </w:r>
      <w:r w:rsidRPr="00F20BA4">
        <w:rPr>
          <w:rFonts w:ascii="Times New Roman" w:hAnsi="Times New Roman" w:cs="Times New Roman"/>
          <w:spacing w:val="-1"/>
          <w:sz w:val="24"/>
          <w:szCs w:val="24"/>
          <w:shd w:val="clear" w:color="auto" w:fill="FFFFFF"/>
        </w:rPr>
        <w:t>, dejaba algunas</w:t>
      </w:r>
      <w:r w:rsidR="001D058C" w:rsidRPr="00F20BA4">
        <w:rPr>
          <w:rFonts w:ascii="Times New Roman" w:hAnsi="Times New Roman" w:cs="Times New Roman"/>
          <w:spacing w:val="-1"/>
          <w:sz w:val="24"/>
          <w:szCs w:val="24"/>
          <w:shd w:val="clear" w:color="auto" w:fill="FFFFFF"/>
        </w:rPr>
        <w:t xml:space="preserve"> pregunta</w:t>
      </w:r>
      <w:r w:rsidR="005326AC" w:rsidRPr="00F20BA4">
        <w:rPr>
          <w:rFonts w:ascii="Times New Roman" w:hAnsi="Times New Roman" w:cs="Times New Roman"/>
          <w:spacing w:val="-1"/>
          <w:sz w:val="24"/>
          <w:szCs w:val="24"/>
          <w:shd w:val="clear" w:color="auto" w:fill="FFFFFF"/>
        </w:rPr>
        <w:t>s:</w:t>
      </w:r>
    </w:p>
    <w:p w:rsidR="00971613" w:rsidRDefault="00971613" w:rsidP="00971613">
      <w:pPr>
        <w:autoSpaceDE w:val="0"/>
        <w:autoSpaceDN w:val="0"/>
        <w:adjustRightInd w:val="0"/>
        <w:spacing w:after="0"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¿Hasta cuándo aguantará la tolerancia de los españoles esta realidad sin precedentes?</w:t>
      </w:r>
    </w:p>
    <w:p w:rsidR="005326AC" w:rsidRPr="005326AC" w:rsidRDefault="005326AC" w:rsidP="00971613">
      <w:pPr>
        <w:autoSpaceDE w:val="0"/>
        <w:autoSpaceDN w:val="0"/>
        <w:adjustRightInd w:val="0"/>
        <w:spacing w:after="0" w:line="240" w:lineRule="auto"/>
        <w:jc w:val="both"/>
        <w:rPr>
          <w:rFonts w:ascii="Times New Roman" w:hAnsi="Times New Roman" w:cs="Times New Roman"/>
          <w:b/>
          <w:sz w:val="24"/>
          <w:szCs w:val="24"/>
        </w:rPr>
      </w:pPr>
    </w:p>
    <w:p w:rsidR="00971613" w:rsidRDefault="00971613" w:rsidP="00971613">
      <w:pPr>
        <w:autoSpaceDE w:val="0"/>
        <w:autoSpaceDN w:val="0"/>
        <w:adjustRightInd w:val="0"/>
        <w:spacing w:after="0"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¿Cuánta distracción es indispensable para soportar tan mínima previsibilidad?</w:t>
      </w:r>
    </w:p>
    <w:p w:rsidR="005326AC" w:rsidRPr="005326AC" w:rsidRDefault="005326AC" w:rsidP="00971613">
      <w:pPr>
        <w:autoSpaceDE w:val="0"/>
        <w:autoSpaceDN w:val="0"/>
        <w:adjustRightInd w:val="0"/>
        <w:spacing w:after="0" w:line="240" w:lineRule="auto"/>
        <w:jc w:val="both"/>
        <w:rPr>
          <w:rFonts w:ascii="Times New Roman" w:hAnsi="Times New Roman" w:cs="Times New Roman"/>
          <w:b/>
          <w:sz w:val="24"/>
          <w:szCs w:val="24"/>
        </w:rPr>
      </w:pPr>
    </w:p>
    <w:p w:rsidR="00971613" w:rsidRDefault="00971613" w:rsidP="00971613">
      <w:pPr>
        <w:autoSpaceDE w:val="0"/>
        <w:autoSpaceDN w:val="0"/>
        <w:adjustRightInd w:val="0"/>
        <w:spacing w:after="0"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¿Cuánta complacencia es imprescindible para aceptar tanta imparable degradación?</w:t>
      </w:r>
    </w:p>
    <w:p w:rsidR="005326AC" w:rsidRPr="005326AC" w:rsidRDefault="005326AC" w:rsidP="00971613">
      <w:pPr>
        <w:autoSpaceDE w:val="0"/>
        <w:autoSpaceDN w:val="0"/>
        <w:adjustRightInd w:val="0"/>
        <w:spacing w:after="0" w:line="240" w:lineRule="auto"/>
        <w:jc w:val="both"/>
        <w:rPr>
          <w:rFonts w:ascii="Times New Roman" w:hAnsi="Times New Roman" w:cs="Times New Roman"/>
          <w:b/>
          <w:sz w:val="24"/>
          <w:szCs w:val="24"/>
        </w:rPr>
      </w:pPr>
    </w:p>
    <w:p w:rsidR="00971613" w:rsidRDefault="00971613" w:rsidP="00971613">
      <w:pPr>
        <w:autoSpaceDE w:val="0"/>
        <w:autoSpaceDN w:val="0"/>
        <w:adjustRightInd w:val="0"/>
        <w:spacing w:after="0"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¿Cuánto sectarismo es necesario para tolerar tanto despotismo iletrado y corrupción?</w:t>
      </w:r>
    </w:p>
    <w:p w:rsidR="005326AC" w:rsidRPr="005326AC" w:rsidRDefault="005326AC" w:rsidP="00971613">
      <w:pPr>
        <w:autoSpaceDE w:val="0"/>
        <w:autoSpaceDN w:val="0"/>
        <w:adjustRightInd w:val="0"/>
        <w:spacing w:after="0" w:line="240" w:lineRule="auto"/>
        <w:jc w:val="both"/>
        <w:rPr>
          <w:rFonts w:ascii="Times New Roman" w:hAnsi="Times New Roman" w:cs="Times New Roman"/>
          <w:b/>
          <w:sz w:val="24"/>
          <w:szCs w:val="24"/>
        </w:rPr>
      </w:pPr>
    </w:p>
    <w:p w:rsidR="00971613" w:rsidRDefault="00971613" w:rsidP="00971613">
      <w:pPr>
        <w:autoSpaceDE w:val="0"/>
        <w:autoSpaceDN w:val="0"/>
        <w:adjustRightInd w:val="0"/>
        <w:spacing w:after="0"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¿Cuántos lodos necesitan ver los ciudadanos para preguntarse de dónde salieron los polvos?</w:t>
      </w:r>
    </w:p>
    <w:p w:rsidR="005326AC" w:rsidRPr="005326AC" w:rsidRDefault="005326AC" w:rsidP="00971613">
      <w:pPr>
        <w:autoSpaceDE w:val="0"/>
        <w:autoSpaceDN w:val="0"/>
        <w:adjustRightInd w:val="0"/>
        <w:spacing w:after="0" w:line="240" w:lineRule="auto"/>
        <w:jc w:val="both"/>
        <w:rPr>
          <w:rFonts w:ascii="Times New Roman" w:hAnsi="Times New Roman" w:cs="Times New Roman"/>
          <w:b/>
          <w:sz w:val="24"/>
          <w:szCs w:val="24"/>
        </w:rPr>
      </w:pPr>
    </w:p>
    <w:p w:rsidR="00971613" w:rsidRDefault="00971613" w:rsidP="00971613">
      <w:pPr>
        <w:autoSpaceDE w:val="0"/>
        <w:autoSpaceDN w:val="0"/>
        <w:adjustRightInd w:val="0"/>
        <w:spacing w:after="0"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¿Hasta cuándo la superioridad moral de la izquierda podrá sobrevivir a tal vertido tóxico?</w:t>
      </w:r>
    </w:p>
    <w:p w:rsidR="005326AC" w:rsidRPr="005326AC" w:rsidRDefault="005326AC" w:rsidP="00971613">
      <w:pPr>
        <w:autoSpaceDE w:val="0"/>
        <w:autoSpaceDN w:val="0"/>
        <w:adjustRightInd w:val="0"/>
        <w:spacing w:after="0" w:line="240" w:lineRule="auto"/>
        <w:jc w:val="both"/>
        <w:rPr>
          <w:rFonts w:ascii="Times New Roman" w:hAnsi="Times New Roman" w:cs="Times New Roman"/>
          <w:b/>
          <w:sz w:val="24"/>
          <w:szCs w:val="24"/>
        </w:rPr>
      </w:pPr>
    </w:p>
    <w:p w:rsidR="00971613" w:rsidRDefault="00971613" w:rsidP="00971613">
      <w:pPr>
        <w:autoSpaceDE w:val="0"/>
        <w:autoSpaceDN w:val="0"/>
        <w:adjustRightInd w:val="0"/>
        <w:spacing w:after="0"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¿Qué fracción, o despojo, del territorio español, quedará para representar a sus ciudadanos?</w:t>
      </w:r>
    </w:p>
    <w:p w:rsidR="005326AC" w:rsidRPr="005326AC" w:rsidRDefault="005326AC" w:rsidP="00971613">
      <w:pPr>
        <w:autoSpaceDE w:val="0"/>
        <w:autoSpaceDN w:val="0"/>
        <w:adjustRightInd w:val="0"/>
        <w:spacing w:after="0" w:line="240" w:lineRule="auto"/>
        <w:jc w:val="both"/>
        <w:rPr>
          <w:rFonts w:ascii="Times New Roman" w:hAnsi="Times New Roman" w:cs="Times New Roman"/>
          <w:b/>
          <w:sz w:val="24"/>
          <w:szCs w:val="24"/>
        </w:rPr>
      </w:pPr>
    </w:p>
    <w:p w:rsidR="00971613" w:rsidRDefault="00971613" w:rsidP="00971613">
      <w:pPr>
        <w:autoSpaceDE w:val="0"/>
        <w:autoSpaceDN w:val="0"/>
        <w:adjustRightInd w:val="0"/>
        <w:spacing w:after="0"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¿Cuántos frutos podridos del árbol de la mentira necesitan en el suelo para hachar el tronco?</w:t>
      </w:r>
    </w:p>
    <w:p w:rsidR="005326AC" w:rsidRPr="005326AC" w:rsidRDefault="005326AC" w:rsidP="00971613">
      <w:pPr>
        <w:autoSpaceDE w:val="0"/>
        <w:autoSpaceDN w:val="0"/>
        <w:adjustRightInd w:val="0"/>
        <w:spacing w:after="0" w:line="240" w:lineRule="auto"/>
        <w:jc w:val="both"/>
        <w:rPr>
          <w:rFonts w:ascii="Times New Roman" w:hAnsi="Times New Roman" w:cs="Times New Roman"/>
          <w:b/>
          <w:sz w:val="24"/>
          <w:szCs w:val="24"/>
        </w:rPr>
      </w:pPr>
    </w:p>
    <w:p w:rsidR="00971613" w:rsidRDefault="00971613" w:rsidP="00971613">
      <w:pPr>
        <w:autoSpaceDE w:val="0"/>
        <w:autoSpaceDN w:val="0"/>
        <w:adjustRightInd w:val="0"/>
        <w:spacing w:after="0"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¿Hasta dónde debe llegar el aquelarre del nepotismo (family &amp; friends) para que digan basta?</w:t>
      </w:r>
    </w:p>
    <w:p w:rsidR="005326AC" w:rsidRPr="005326AC" w:rsidRDefault="005326AC" w:rsidP="00971613">
      <w:pPr>
        <w:autoSpaceDE w:val="0"/>
        <w:autoSpaceDN w:val="0"/>
        <w:adjustRightInd w:val="0"/>
        <w:spacing w:after="0" w:line="240" w:lineRule="auto"/>
        <w:jc w:val="both"/>
        <w:rPr>
          <w:rFonts w:ascii="Times New Roman" w:hAnsi="Times New Roman" w:cs="Times New Roman"/>
          <w:b/>
          <w:sz w:val="24"/>
          <w:szCs w:val="24"/>
        </w:rPr>
      </w:pPr>
    </w:p>
    <w:p w:rsidR="001D058C" w:rsidRDefault="00971613" w:rsidP="001D058C">
      <w:pPr>
        <w:autoSpaceDE w:val="0"/>
        <w:autoSpaceDN w:val="0"/>
        <w:adjustRightInd w:val="0"/>
        <w:spacing w:after="0"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¿Cuántas pruebas más, de lacerante decadencia, necesitan los ciudadanos para despertar?</w:t>
      </w:r>
    </w:p>
    <w:p w:rsidR="005326AC" w:rsidRDefault="005326AC" w:rsidP="001D058C">
      <w:pPr>
        <w:autoSpaceDE w:val="0"/>
        <w:autoSpaceDN w:val="0"/>
        <w:adjustRightInd w:val="0"/>
        <w:spacing w:after="0" w:line="240" w:lineRule="auto"/>
        <w:jc w:val="both"/>
        <w:rPr>
          <w:rFonts w:ascii="Times New Roman" w:hAnsi="Times New Roman" w:cs="Times New Roman"/>
          <w:b/>
          <w:sz w:val="24"/>
          <w:szCs w:val="24"/>
        </w:rPr>
      </w:pPr>
    </w:p>
    <w:p w:rsidR="005326AC" w:rsidRPr="00F20BA4" w:rsidRDefault="005326AC" w:rsidP="001D058C">
      <w:pPr>
        <w:autoSpaceDE w:val="0"/>
        <w:autoSpaceDN w:val="0"/>
        <w:adjustRightInd w:val="0"/>
        <w:spacing w:after="0" w:line="240" w:lineRule="auto"/>
        <w:jc w:val="both"/>
        <w:rPr>
          <w:rFonts w:ascii="Times New Roman" w:hAnsi="Times New Roman" w:cs="Times New Roman"/>
          <w:sz w:val="24"/>
          <w:szCs w:val="24"/>
        </w:rPr>
      </w:pPr>
      <w:r w:rsidRPr="00F20BA4">
        <w:rPr>
          <w:rFonts w:ascii="Times New Roman" w:hAnsi="Times New Roman" w:cs="Times New Roman"/>
          <w:sz w:val="24"/>
          <w:szCs w:val="24"/>
        </w:rPr>
        <w:t>Estas preguntas, un año después de realizadas… siguen</w:t>
      </w:r>
      <w:r w:rsidR="00DA7F01" w:rsidRPr="00F20BA4">
        <w:rPr>
          <w:rFonts w:ascii="Times New Roman" w:hAnsi="Times New Roman" w:cs="Times New Roman"/>
          <w:sz w:val="24"/>
          <w:szCs w:val="24"/>
        </w:rPr>
        <w:t xml:space="preserve"> aún</w:t>
      </w:r>
      <w:r w:rsidRPr="00F20BA4">
        <w:rPr>
          <w:rFonts w:ascii="Times New Roman" w:hAnsi="Times New Roman" w:cs="Times New Roman"/>
          <w:sz w:val="24"/>
          <w:szCs w:val="24"/>
        </w:rPr>
        <w:t xml:space="preserve"> sin respuesta.</w:t>
      </w:r>
    </w:p>
    <w:p w:rsidR="005326AC" w:rsidRDefault="005326AC" w:rsidP="001D058C">
      <w:pPr>
        <w:autoSpaceDE w:val="0"/>
        <w:autoSpaceDN w:val="0"/>
        <w:adjustRightInd w:val="0"/>
        <w:spacing w:after="0" w:line="240" w:lineRule="auto"/>
        <w:jc w:val="both"/>
        <w:rPr>
          <w:rFonts w:ascii="Times New Roman" w:hAnsi="Times New Roman" w:cs="Times New Roman"/>
          <w:b/>
          <w:sz w:val="24"/>
          <w:szCs w:val="24"/>
          <w:shd w:val="clear" w:color="auto" w:fill="FFFFFF"/>
        </w:rPr>
      </w:pPr>
    </w:p>
    <w:p w:rsidR="005326AC" w:rsidRDefault="005326AC" w:rsidP="005326AC">
      <w:pPr>
        <w:spacing w:line="240" w:lineRule="auto"/>
        <w:jc w:val="both"/>
        <w:rPr>
          <w:rFonts w:ascii="Times New Roman" w:hAnsi="Times New Roman" w:cs="Times New Roman"/>
          <w:b/>
          <w:sz w:val="24"/>
          <w:szCs w:val="24"/>
        </w:rPr>
      </w:pPr>
      <w:r w:rsidRPr="005326AC">
        <w:rPr>
          <w:rFonts w:ascii="Times New Roman" w:hAnsi="Times New Roman" w:cs="Times New Roman"/>
          <w:b/>
          <w:sz w:val="24"/>
          <w:szCs w:val="24"/>
        </w:rPr>
        <w:t>“Cuanto más se aleja una sociedad de la verdad, más odiará a quienes la dicen”, George Orwell.</w:t>
      </w:r>
    </w:p>
    <w:p w:rsidR="007D171D" w:rsidRDefault="004D71E4" w:rsidP="001D058C">
      <w:pPr>
        <w:autoSpaceDE w:val="0"/>
        <w:autoSpaceDN w:val="0"/>
        <w:adjustRightInd w:val="0"/>
        <w:spacing w:after="0"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lastRenderedPageBreak/>
        <w:t xml:space="preserve">- </w:t>
      </w:r>
      <w:r w:rsidRPr="004D71E4">
        <w:rPr>
          <w:rFonts w:ascii="Times New Roman" w:hAnsi="Times New Roman" w:cs="Times New Roman"/>
          <w:b/>
          <w:sz w:val="24"/>
          <w:szCs w:val="24"/>
          <w:shd w:val="clear" w:color="auto" w:fill="FFFFFF"/>
        </w:rPr>
        <w:t>Conclusión</w:t>
      </w:r>
      <w:r w:rsidR="007D171D" w:rsidRPr="004D71E4">
        <w:rPr>
          <w:rFonts w:ascii="Times New Roman" w:hAnsi="Times New Roman" w:cs="Times New Roman"/>
          <w:b/>
          <w:sz w:val="24"/>
          <w:szCs w:val="24"/>
          <w:shd w:val="clear" w:color="auto" w:fill="FFFFFF"/>
        </w:rPr>
        <w:t>: “En el nombre del nieto”</w:t>
      </w:r>
    </w:p>
    <w:p w:rsidR="001D058C" w:rsidRPr="008E2FDD" w:rsidRDefault="001D058C" w:rsidP="001D058C">
      <w:pPr>
        <w:autoSpaceDE w:val="0"/>
        <w:autoSpaceDN w:val="0"/>
        <w:adjustRightInd w:val="0"/>
        <w:spacing w:after="0" w:line="240" w:lineRule="auto"/>
        <w:jc w:val="both"/>
        <w:rPr>
          <w:rFonts w:ascii="Times New Roman" w:hAnsi="Times New Roman" w:cs="Times New Roman"/>
          <w:sz w:val="24"/>
          <w:szCs w:val="24"/>
        </w:rPr>
      </w:pPr>
    </w:p>
    <w:p w:rsidR="00AF0578" w:rsidRPr="004D71E4" w:rsidRDefault="00AF0578" w:rsidP="004D71E4">
      <w:pPr>
        <w:spacing w:line="240" w:lineRule="auto"/>
        <w:jc w:val="both"/>
        <w:rPr>
          <w:rFonts w:ascii="Times New Roman" w:hAnsi="Times New Roman" w:cs="Times New Roman"/>
          <w:b/>
          <w:sz w:val="24"/>
          <w:szCs w:val="24"/>
          <w:shd w:val="clear" w:color="auto" w:fill="FFFFFF"/>
        </w:rPr>
      </w:pPr>
      <w:r w:rsidRPr="0007611B">
        <w:rPr>
          <w:rFonts w:ascii="Times New Roman" w:hAnsi="Times New Roman" w:cs="Times New Roman"/>
          <w:noProof/>
          <w:sz w:val="24"/>
          <w:szCs w:val="24"/>
          <w:lang w:eastAsia="es-ES"/>
        </w:rPr>
        <w:drawing>
          <wp:inline distT="0" distB="0" distL="0" distR="0" wp14:anchorId="5832EE1E" wp14:editId="34E5C72C">
            <wp:extent cx="5588000" cy="2794000"/>
            <wp:effectExtent l="0" t="0" r="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6"/>
                    <a:stretch>
                      <a:fillRect/>
                    </a:stretch>
                  </pic:blipFill>
                  <pic:spPr>
                    <a:xfrm>
                      <a:off x="0" y="0"/>
                      <a:ext cx="5591718" cy="2795859"/>
                    </a:xfrm>
                    <a:prstGeom prst="rect">
                      <a:avLst/>
                    </a:prstGeom>
                  </pic:spPr>
                </pic:pic>
              </a:graphicData>
            </a:graphic>
          </wp:inline>
        </w:drawing>
      </w:r>
    </w:p>
    <w:p w:rsidR="007D171D" w:rsidRDefault="007D171D" w:rsidP="007D171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Coda para los jóvenes (y no tan jóvenes) españoles: </w:t>
      </w:r>
      <w:r w:rsidRPr="00BE65CB">
        <w:rPr>
          <w:rFonts w:ascii="Times New Roman" w:hAnsi="Times New Roman" w:cs="Times New Roman"/>
          <w:b/>
          <w:sz w:val="24"/>
          <w:szCs w:val="24"/>
        </w:rPr>
        <w:t xml:space="preserve">¿Cómo qué esto no va con ustedes? </w:t>
      </w:r>
    </w:p>
    <w:p w:rsidR="007D171D" w:rsidRPr="00912724" w:rsidRDefault="007D171D" w:rsidP="007D171D">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ustedes se entretienen (anestesian, intoxican, idiotizan)  con Tik Tok…</w:t>
      </w:r>
    </w:p>
    <w:p w:rsidR="007D171D" w:rsidRDefault="007D171D" w:rsidP="007D171D">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ustedes permanecen en un estado de candidez militante, unanimismo providencial, humanismo ingenuo, ecologismo radical, feminismo extremo, solidarismo tercemundista, multiculturalismo miope,</w:t>
      </w:r>
      <w:r w:rsidR="00F20BA4">
        <w:rPr>
          <w:rFonts w:ascii="Times New Roman" w:hAnsi="Times New Roman" w:cs="Times New Roman"/>
          <w:sz w:val="24"/>
          <w:szCs w:val="24"/>
        </w:rPr>
        <w:t xml:space="preserve"> integración imposible,</w:t>
      </w:r>
      <w:r>
        <w:rPr>
          <w:rFonts w:ascii="Times New Roman" w:hAnsi="Times New Roman" w:cs="Times New Roman"/>
          <w:sz w:val="24"/>
          <w:szCs w:val="24"/>
        </w:rPr>
        <w:t xml:space="preserve"> multilateralismo suicida, cargando con el fardo de vuestra existencia individual a la deriva, en un estado de renuncia soportable, resignados, apáticos, como órganos en lenta descomposición… </w:t>
      </w:r>
    </w:p>
    <w:p w:rsidR="007D171D" w:rsidRDefault="007D171D" w:rsidP="007D171D">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ustedes permanecen silentes ante los experimentos ideológicos de uno</w:t>
      </w:r>
      <w:r w:rsidR="00920137">
        <w:rPr>
          <w:rFonts w:ascii="Times New Roman" w:hAnsi="Times New Roman" w:cs="Times New Roman"/>
          <w:sz w:val="24"/>
          <w:szCs w:val="24"/>
        </w:rPr>
        <w:t>s</w:t>
      </w:r>
      <w:r>
        <w:rPr>
          <w:rFonts w:ascii="Times New Roman" w:hAnsi="Times New Roman" w:cs="Times New Roman"/>
          <w:sz w:val="24"/>
          <w:szCs w:val="24"/>
        </w:rPr>
        <w:t xml:space="preserve"> políticos (de plastilina) que han hecho de la mentira no solo un recurso ocasional, sino su negocio fundamental, que ha</w:t>
      </w:r>
      <w:r w:rsidR="00F20BA4">
        <w:rPr>
          <w:rFonts w:ascii="Times New Roman" w:hAnsi="Times New Roman" w:cs="Times New Roman"/>
          <w:sz w:val="24"/>
          <w:szCs w:val="24"/>
        </w:rPr>
        <w:t>n</w:t>
      </w:r>
      <w:r>
        <w:rPr>
          <w:rFonts w:ascii="Times New Roman" w:hAnsi="Times New Roman" w:cs="Times New Roman"/>
          <w:sz w:val="24"/>
          <w:szCs w:val="24"/>
        </w:rPr>
        <w:t xml:space="preserve"> hecho del oportunismo su modo de vida. Donde no hay programa, no hay gestión, no hay beneficio social tangible, solo falsos relatos…</w:t>
      </w:r>
    </w:p>
    <w:p w:rsidR="007D171D" w:rsidRDefault="007D171D" w:rsidP="007D171D">
      <w:pPr>
        <w:spacing w:line="240" w:lineRule="auto"/>
        <w:jc w:val="both"/>
        <w:rPr>
          <w:rFonts w:ascii="Times New Roman" w:hAnsi="Times New Roman" w:cs="Times New Roman"/>
          <w:sz w:val="24"/>
          <w:szCs w:val="24"/>
        </w:rPr>
      </w:pPr>
      <w:r>
        <w:rPr>
          <w:rFonts w:ascii="Times New Roman" w:hAnsi="Times New Roman" w:cs="Times New Roman"/>
          <w:sz w:val="24"/>
          <w:szCs w:val="24"/>
        </w:rPr>
        <w:t>La pregunta es por qué estas mentiras prosperan. La respuesta está en los ciudadanos (especialmente, los más jóvenes), en la “sociedad de los conformes”, donde la emotividad desplaza a la razón.</w:t>
      </w:r>
    </w:p>
    <w:p w:rsidR="007D171D" w:rsidRDefault="007D171D" w:rsidP="007D171D">
      <w:pPr>
        <w:spacing w:line="240" w:lineRule="auto"/>
        <w:jc w:val="both"/>
        <w:rPr>
          <w:rFonts w:ascii="Times New Roman" w:hAnsi="Times New Roman" w:cs="Times New Roman"/>
          <w:sz w:val="24"/>
          <w:szCs w:val="24"/>
        </w:rPr>
      </w:pPr>
      <w:r>
        <w:rPr>
          <w:rFonts w:ascii="Times New Roman" w:hAnsi="Times New Roman" w:cs="Times New Roman"/>
          <w:sz w:val="24"/>
          <w:szCs w:val="24"/>
        </w:rPr>
        <w:t>La siguiente pregunta es si será esto, “solo” un caso (más) de “imbecilidad progresista” de la ciudadanía (especialmente, de los más jóvenes), que entre tantos “memes”, no sabe ir más allá de los 140 caracteres, o superar la abulia del tecleo frenético de su móvil.</w:t>
      </w:r>
    </w:p>
    <w:p w:rsidR="007D171D" w:rsidRDefault="007D171D" w:rsidP="007D171D">
      <w:pPr>
        <w:spacing w:line="240" w:lineRule="auto"/>
        <w:jc w:val="both"/>
        <w:rPr>
          <w:rFonts w:ascii="Times New Roman" w:hAnsi="Times New Roman" w:cs="Times New Roman"/>
          <w:sz w:val="24"/>
          <w:szCs w:val="24"/>
        </w:rPr>
      </w:pPr>
      <w:r>
        <w:rPr>
          <w:rFonts w:ascii="Times New Roman" w:hAnsi="Times New Roman" w:cs="Times New Roman"/>
          <w:sz w:val="24"/>
          <w:szCs w:val="24"/>
        </w:rPr>
        <w:t>¿Se conforman con “estar conectados”? ¿Hacerse “selfies” estúpidos, que envían a otros imbéciles? ¿No pueden ir más lejos? ¿Les parece “imprudente” pensar en el futuro?... Preguntas difíciles y ninguna respuesta.</w:t>
      </w:r>
    </w:p>
    <w:p w:rsidR="007D171D" w:rsidRPr="00EF023D" w:rsidRDefault="007D171D" w:rsidP="007D171D">
      <w:pPr>
        <w:spacing w:line="240" w:lineRule="auto"/>
        <w:jc w:val="both"/>
        <w:rPr>
          <w:rFonts w:ascii="Times New Roman" w:hAnsi="Times New Roman" w:cs="Times New Roman"/>
          <w:b/>
          <w:sz w:val="24"/>
          <w:szCs w:val="24"/>
        </w:rPr>
      </w:pPr>
      <w:r w:rsidRPr="00EF023D">
        <w:rPr>
          <w:rFonts w:ascii="Times New Roman" w:hAnsi="Times New Roman" w:cs="Times New Roman"/>
          <w:b/>
          <w:sz w:val="24"/>
          <w:szCs w:val="24"/>
        </w:rPr>
        <w:t>Si todavía piensan que esto no va con ustedes… pasen y lean:</w:t>
      </w:r>
    </w:p>
    <w:p w:rsidR="007D171D" w:rsidRPr="00BD6B3D" w:rsidRDefault="007D171D" w:rsidP="007D171D">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En el último informe del Consejo de la Juventud Española (CJE) publicado en agosto de 2025 (Observatorio de Emancipac</w:t>
      </w:r>
      <w:r>
        <w:rPr>
          <w:rFonts w:ascii="Times New Roman" w:hAnsi="Times New Roman" w:cs="Times New Roman"/>
          <w:sz w:val="24"/>
          <w:szCs w:val="24"/>
        </w:rPr>
        <w:t xml:space="preserve">ión), se destaca que, </w:t>
      </w:r>
      <w:r w:rsidRPr="00BD6B3D">
        <w:rPr>
          <w:rFonts w:ascii="Times New Roman" w:hAnsi="Times New Roman" w:cs="Times New Roman"/>
          <w:sz w:val="24"/>
          <w:szCs w:val="24"/>
        </w:rPr>
        <w:t xml:space="preserve">la población joven sigue siendo el segundo grupo de edad con mayor riesgo de pobreza y exclusión social (solo por detrás de la infancia). En concreto, uno de cada tres jóvenes se encontraba en esta situación a finales de </w:t>
      </w:r>
      <w:r w:rsidRPr="00BD6B3D">
        <w:rPr>
          <w:rFonts w:ascii="Times New Roman" w:hAnsi="Times New Roman" w:cs="Times New Roman"/>
          <w:sz w:val="24"/>
          <w:szCs w:val="24"/>
        </w:rPr>
        <w:lastRenderedPageBreak/>
        <w:t>año. Y, entre los que contaban con un empleo, la proporción se situó en el 18,8%, una cifra que supera en casi 5 puntos porcentuales la registrada en 2009.</w:t>
      </w:r>
    </w:p>
    <w:p w:rsidR="007D171D" w:rsidRPr="00BD6B3D" w:rsidRDefault="007D171D" w:rsidP="007D171D">
      <w:pPr>
        <w:spacing w:line="240" w:lineRule="auto"/>
        <w:jc w:val="both"/>
        <w:rPr>
          <w:rFonts w:ascii="Times New Roman" w:hAnsi="Times New Roman" w:cs="Times New Roman"/>
          <w:sz w:val="24"/>
          <w:szCs w:val="24"/>
        </w:rPr>
      </w:pPr>
      <w:r w:rsidRPr="00BD6B3D">
        <w:t xml:space="preserve">- </w:t>
      </w:r>
      <w:r w:rsidRPr="00BD6B3D">
        <w:rPr>
          <w:rFonts w:ascii="Times New Roman" w:hAnsi="Times New Roman" w:cs="Times New Roman"/>
          <w:sz w:val="24"/>
          <w:szCs w:val="24"/>
        </w:rPr>
        <w:t>Los jóvenes españoles no se pueden ir de casa: obligados a dedicar el 92% de su sueldo a pagar el alquiler si quieren independizarse solos</w:t>
      </w:r>
      <w:r w:rsidRPr="00BD6B3D">
        <w:t xml:space="preserve">. </w:t>
      </w:r>
      <w:r w:rsidRPr="00BD6B3D">
        <w:rPr>
          <w:rFonts w:ascii="Times New Roman" w:hAnsi="Times New Roman" w:cs="Times New Roman"/>
          <w:sz w:val="24"/>
          <w:szCs w:val="24"/>
        </w:rPr>
        <w:t>Tendrían que destinar 14 años de salario íntegro para poder acceder a una vivienda en propiedad.</w:t>
      </w:r>
    </w:p>
    <w:p w:rsidR="007D171D" w:rsidRPr="00BD6B3D" w:rsidRDefault="007D171D" w:rsidP="007D171D">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Un trabajador necesita más de 45 años de media para comprar un piso sin sobrepasar el umbral de esfuerzo recomendado. Los empleados con peores condiciones del sector de la hostelería, comercio o agricultura, deben destinar casi el 100% de su salario para pagar un alquiler básico, según un estudio de la UGT</w:t>
      </w:r>
      <w:r>
        <w:rPr>
          <w:rFonts w:ascii="Times New Roman" w:hAnsi="Times New Roman" w:cs="Times New Roman"/>
          <w:sz w:val="24"/>
          <w:szCs w:val="24"/>
        </w:rPr>
        <w:t>.</w:t>
      </w:r>
    </w:p>
    <w:p w:rsidR="007D171D" w:rsidRPr="00BD6B3D" w:rsidRDefault="007D171D" w:rsidP="007D171D">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A pesar de que el salario mediano de la juventud asalariada creció un 11% interanual (hasta los 14.046,52 euros anuales) durante el segundo semestre de 2024 y que la tasa de paro descendió hasta el 19,1%, los jóvenes españoles siguen sin poder irse de casa hasta bien entrada la madurez. Pero ya no es una cuestión de edad, sino económica.</w:t>
      </w:r>
    </w:p>
    <w:p w:rsidR="007D171D" w:rsidRPr="00BD6B3D" w:rsidRDefault="007D171D" w:rsidP="007D171D">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La mayoría de los jóvenes que viven emancipados en España viven de alquiler (57,9%), reduciéndose el número de personas que se independizan solas y aumentando las que comparten piso, dado que aunque ambas opciones son costosas, la primera supone invertir casi la totalidad del salario en el pago de una vivienda que ni siquiera es de su propiedad.</w:t>
      </w:r>
    </w:p>
    <w:p w:rsidR="007D171D" w:rsidRPr="00BD6B3D" w:rsidRDefault="007D171D" w:rsidP="007D171D">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Así llegamos a la que es la peor tasa de emancipación en un segundo semestre desde 2006. Entre julio y diciembre del año pasado tan solo el 15,2% de las personas jóvenes pudieron salir del hogar familiar para iniciar una nueva vida, 102.203 menos que un año antes, un porcentaje que se sitúa casi 11 puntos por debajo del máximo registrado antes de la Gran Recesión de 2008 y cerca de 3,5 puntos por debajo del nivel prepandemia.</w:t>
      </w:r>
    </w:p>
    <w:p w:rsidR="007D171D" w:rsidRPr="00BD6B3D" w:rsidRDefault="007D171D" w:rsidP="007D171D">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Según datos de Eurostat, España es el cuarto país de la Unión Europea en el que los jóvenes tardan más en abandonar el hogar de sus padres. La edad media es de 30,4 años, solo por detrás de Croacia, que se sitúa en cabeza con una media de 31,8 años, Eslovaquia (31,0 años) y Grecia (30,6 años). En el lado opuesto, los jóvenes que más pronto se independizan de sus hogares familiares se encuentran en Finlandia, con una media de 21,4 años. Entre las medias más bajas, menores de 23 años, también están Suecia y Dinamarca (ambos con 21,8 años), y Estonia (22,8 años).</w:t>
      </w:r>
    </w:p>
    <w:p w:rsidR="007D171D" w:rsidRPr="00BD6B3D" w:rsidRDefault="007D171D" w:rsidP="007D171D">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Un informe de Comisiones Obreras (CCOO) revela que los jóvenes españoles ganan en 2025 un 20% menos que sus padres cuando tenían su edad. El 43% de las personas jóvenes reconoce haber trabajado sin contrato, quedándose sin protección legal frente a accidentes laborales y sin cotizar para su futura pensión, lo que les perjudicará gravemente en el futuro ya que, para la Seguridad Social, es como si no hubieran trabajado. Esta mala praxis repercute directamente en el hecho de que España prácticamente duplique la tasa de paro juvenil de Europa (14,7%), porcentaje que en nuestro país se dispara hasta el 24% y nos sitúa solo por detrás de Estonia y Rumanía, según datos recopilados por Eurostat.</w:t>
      </w:r>
    </w:p>
    <w:p w:rsidR="007D171D" w:rsidRPr="00BD6B3D" w:rsidRDefault="007D171D" w:rsidP="007D171D">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Según el informe Jóvenes sin filtros, publicado por la Unión Sindical Obrera (USO), el paro juvenil se sitúa en el 19,9 %, casi el doble que la media nacional. Entre quienes tienen estudios superiores, el desempleo ha crecido en el último año más de dos puntos, hasta el 31,3 %. El 40,4 % de los menores de 24 años con empleo tienen contratos temporales -frente al 14,4 % de media en la UE- y el 26,9 % trabaja a tiempo parcial.</w:t>
      </w:r>
    </w:p>
    <w:p w:rsidR="007D171D" w:rsidRPr="00BD6B3D" w:rsidRDefault="007D171D" w:rsidP="007D171D">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Las mujeres jóvenes soportan una temporalidad del 46 % (frente al 38,1 % de los hombres) y una brecha salarial del 13,2 %. En 2024, el paro femenino joven creció un 13,75 %, </w:t>
      </w:r>
      <w:r w:rsidRPr="00BD6B3D">
        <w:rPr>
          <w:rFonts w:ascii="Times New Roman" w:hAnsi="Times New Roman" w:cs="Times New Roman"/>
          <w:sz w:val="24"/>
          <w:szCs w:val="24"/>
        </w:rPr>
        <w:lastRenderedPageBreak/>
        <w:t>mientras que el masculino bajó un 1,85 %. Un marco legal que limita la flexibilidad y aumenta el riesgo para las empresas a la hora de contratar agrava esta desigualdad.</w:t>
      </w:r>
    </w:p>
    <w:p w:rsidR="00980726" w:rsidRDefault="007D171D" w:rsidP="007D171D">
      <w:pPr>
        <w:spacing w:line="240" w:lineRule="auto"/>
        <w:jc w:val="both"/>
        <w:rPr>
          <w:rFonts w:ascii="Times New Roman" w:hAnsi="Times New Roman" w:cs="Times New Roman"/>
          <w:sz w:val="24"/>
          <w:szCs w:val="24"/>
        </w:rPr>
      </w:pPr>
      <w:r w:rsidRPr="00BD6B3D">
        <w:rPr>
          <w:rFonts w:ascii="Times New Roman" w:hAnsi="Times New Roman" w:cs="Times New Roman"/>
          <w:sz w:val="24"/>
          <w:szCs w:val="24"/>
        </w:rPr>
        <w:t xml:space="preserve">- Los jóvenes que ni trabajan ni buscan un empleo crecen más de un 10% desde 2021 (El Economista - </w:t>
      </w:r>
      <w:r w:rsidRPr="00BD6B3D">
        <w:rPr>
          <w:rFonts w:ascii="Times New Roman" w:hAnsi="Times New Roman" w:cs="Times New Roman"/>
          <w:b/>
          <w:sz w:val="24"/>
          <w:szCs w:val="24"/>
        </w:rPr>
        <w:t>4/9/25</w:t>
      </w:r>
      <w:r w:rsidRPr="00BD6B3D">
        <w:rPr>
          <w:rFonts w:ascii="Times New Roman" w:hAnsi="Times New Roman" w:cs="Times New Roman"/>
          <w:sz w:val="24"/>
          <w:szCs w:val="24"/>
        </w:rPr>
        <w:t xml:space="preserve">).  En España hay algo más de 17 millones de personas que ni trabajan ni están buscando activamente un nuevo empleo. Estas integran la población inactiva, que ha crecido en los últimos años impulsada por el incremento de las jubilaciones. Si bien, los datos recopilados por el INE ponen de manifiesto que esta cifra también crece del lado de los jóvenes, entre los que el número de inactivos ha aumentado más de un 10% en los últimos cuatro años. De acuerdo con los datos del segundo trimestre del año, hay cerca de 3,5 millones de jóvenes con edades comprendidas entre los 16 y los 30 años que se encuentran en esta situación, por motivos diversos. </w:t>
      </w:r>
    </w:p>
    <w:p w:rsidR="007D171D" w:rsidRPr="00912724" w:rsidRDefault="007D171D" w:rsidP="007D171D">
      <w:pPr>
        <w:spacing w:line="240" w:lineRule="auto"/>
        <w:jc w:val="both"/>
        <w:rPr>
          <w:rFonts w:ascii="Times New Roman" w:hAnsi="Times New Roman" w:cs="Times New Roman"/>
          <w:sz w:val="24"/>
          <w:szCs w:val="24"/>
        </w:rPr>
      </w:pPr>
      <w:r w:rsidRPr="00912724">
        <w:rPr>
          <w:rFonts w:ascii="Times New Roman" w:hAnsi="Times New Roman" w:cs="Times New Roman"/>
          <w:sz w:val="24"/>
          <w:szCs w:val="24"/>
        </w:rPr>
        <w:t xml:space="preserve">- El Instituto Juan de Mariana ha publicado un informe demoledor sobre la creciente brecha económica entre jóvenes y mayores en España (Libertad Digital - </w:t>
      </w:r>
      <w:r w:rsidRPr="00014382">
        <w:rPr>
          <w:rFonts w:ascii="Times New Roman" w:hAnsi="Times New Roman" w:cs="Times New Roman"/>
          <w:b/>
          <w:sz w:val="24"/>
          <w:szCs w:val="24"/>
        </w:rPr>
        <w:t>18/9/25</w:t>
      </w:r>
      <w:r w:rsidRPr="00912724">
        <w:rPr>
          <w:rFonts w:ascii="Times New Roman" w:hAnsi="Times New Roman" w:cs="Times New Roman"/>
          <w:sz w:val="24"/>
          <w:szCs w:val="24"/>
        </w:rPr>
        <w:t>). Los datos revelan un panorama preocupante: en apenas dos décadas, los menores de 35 años han pasado de concentrar el 7,5 % de la riqueza nacional a apenas un 2 %, mientras que los mayores de 75 han incrementado su cuota del 8 % al 20 %. La riqueza mediana de quienes nacieron en los años 80 es casi un 50 % inferior a la de los nacidos en los años 60, lo que confirma que el ascensor social se ha frenado para las nuevas generaciones.</w:t>
      </w:r>
    </w:p>
    <w:p w:rsidR="007D171D" w:rsidRPr="00912724" w:rsidRDefault="007D171D" w:rsidP="007D171D">
      <w:pPr>
        <w:spacing w:line="240" w:lineRule="auto"/>
        <w:jc w:val="both"/>
        <w:rPr>
          <w:rFonts w:ascii="Times New Roman" w:hAnsi="Times New Roman" w:cs="Times New Roman"/>
          <w:sz w:val="24"/>
          <w:szCs w:val="24"/>
        </w:rPr>
      </w:pPr>
      <w:r w:rsidRPr="00912724">
        <w:rPr>
          <w:rFonts w:ascii="Times New Roman" w:hAnsi="Times New Roman" w:cs="Times New Roman"/>
          <w:sz w:val="24"/>
          <w:szCs w:val="24"/>
        </w:rPr>
        <w:t>- El deterioro también se refleja en la renta. Entre 2008 y 2024, los ingresos reales de los trabajadores de 18 a 29 años han caído un 3 %, frente al incremento del 18 % registrado entre los mayores de 65. De hecho, las nuevas pensiones de jubilación ya superan el sueldo medio de los menores de 35 años (1.760 euros frente a 1.670). En términos de consumo, solo los mayores de 65 han logrado aumentar su gasto real desde 2006, con una subida del 5 %, mientras que los menores de 30 lo han reducido en un 36 %.</w:t>
      </w:r>
    </w:p>
    <w:p w:rsidR="007D171D" w:rsidRPr="00912724" w:rsidRDefault="007D171D" w:rsidP="007D171D">
      <w:pPr>
        <w:spacing w:line="240" w:lineRule="auto"/>
        <w:jc w:val="both"/>
        <w:rPr>
          <w:rFonts w:ascii="Times New Roman" w:hAnsi="Times New Roman" w:cs="Times New Roman"/>
          <w:sz w:val="24"/>
          <w:szCs w:val="24"/>
        </w:rPr>
      </w:pPr>
      <w:r w:rsidRPr="00912724">
        <w:rPr>
          <w:rFonts w:ascii="Times New Roman" w:hAnsi="Times New Roman" w:cs="Times New Roman"/>
          <w:sz w:val="24"/>
          <w:szCs w:val="24"/>
        </w:rPr>
        <w:t>La vivienda es otro de los grandes frentes. El 81 % de los nacidos entre 1945 y 1965 eran propietarios a los 42 años; hoy, menos de la mitad de los nacidos después de 1985 lo son y apenas un 20 % de los menores de 35 tiene hipoteca. Esta dificultad para acceder a la propiedad se combina con la mayor tasa de paro juvenil de toda Europa: un 26,5 %, cuatro veces más que en Alemania y más de diez puntos por encima de la media comunitaria.</w:t>
      </w:r>
    </w:p>
    <w:p w:rsidR="007D171D" w:rsidRPr="00912724" w:rsidRDefault="007D171D" w:rsidP="007D171D">
      <w:pPr>
        <w:spacing w:line="240" w:lineRule="auto"/>
        <w:jc w:val="both"/>
        <w:rPr>
          <w:rFonts w:ascii="Times New Roman" w:hAnsi="Times New Roman" w:cs="Times New Roman"/>
          <w:sz w:val="24"/>
          <w:szCs w:val="24"/>
        </w:rPr>
      </w:pPr>
      <w:r w:rsidRPr="00912724">
        <w:rPr>
          <w:rFonts w:ascii="Times New Roman" w:hAnsi="Times New Roman" w:cs="Times New Roman"/>
          <w:sz w:val="24"/>
          <w:szCs w:val="24"/>
        </w:rPr>
        <w:t>- En 2006 cerca del 58% de los jóvenes (16-29 años) tenían una casa en propiedad. Ahora la cifra ha caído hasta el 30%.</w:t>
      </w:r>
    </w:p>
    <w:p w:rsidR="007D171D" w:rsidRPr="00912724" w:rsidRDefault="007D171D" w:rsidP="007D171D">
      <w:pPr>
        <w:spacing w:line="240" w:lineRule="auto"/>
        <w:jc w:val="both"/>
        <w:rPr>
          <w:rFonts w:ascii="Times New Roman" w:hAnsi="Times New Roman" w:cs="Times New Roman"/>
          <w:sz w:val="24"/>
          <w:szCs w:val="24"/>
        </w:rPr>
      </w:pPr>
      <w:r w:rsidRPr="00912724">
        <w:rPr>
          <w:rFonts w:ascii="Times New Roman" w:hAnsi="Times New Roman" w:cs="Times New Roman"/>
          <w:sz w:val="24"/>
          <w:szCs w:val="24"/>
        </w:rPr>
        <w:t>- Están “condenados” (por la economía disruptiva) a ser más pobres que sus padres.</w:t>
      </w:r>
    </w:p>
    <w:p w:rsidR="007D171D" w:rsidRDefault="007D171D" w:rsidP="007D171D">
      <w:pPr>
        <w:spacing w:line="240" w:lineRule="auto"/>
        <w:jc w:val="both"/>
        <w:rPr>
          <w:rFonts w:ascii="Times New Roman" w:hAnsi="Times New Roman" w:cs="Times New Roman"/>
          <w:sz w:val="24"/>
          <w:szCs w:val="24"/>
        </w:rPr>
      </w:pPr>
      <w:r w:rsidRPr="00912724">
        <w:rPr>
          <w:rFonts w:ascii="Times New Roman" w:hAnsi="Times New Roman" w:cs="Times New Roman"/>
          <w:sz w:val="24"/>
          <w:szCs w:val="24"/>
        </w:rPr>
        <w:t>- Hasta no hace mucho, ser “mileurista” era un estigma social, ahora, hay que dar gracias a Dios (¿o a Sánchez?), si consiguen ser un “rider” (falsamente, autónomo), de Glovo o Deliveroo, pedaleando, con un chip en el culo, todo el día, por los mismos 1.000 euros</w:t>
      </w:r>
      <w:r>
        <w:rPr>
          <w:rFonts w:ascii="Times New Roman" w:hAnsi="Times New Roman" w:cs="Times New Roman"/>
          <w:sz w:val="24"/>
          <w:szCs w:val="24"/>
        </w:rPr>
        <w:t>,</w:t>
      </w:r>
      <w:r w:rsidRPr="00912724">
        <w:rPr>
          <w:rFonts w:ascii="Times New Roman" w:hAnsi="Times New Roman" w:cs="Times New Roman"/>
          <w:sz w:val="24"/>
          <w:szCs w:val="24"/>
        </w:rPr>
        <w:t xml:space="preserve"> que antes depreciaban.</w:t>
      </w:r>
    </w:p>
    <w:p w:rsidR="00FC7698" w:rsidRPr="00EF023D" w:rsidRDefault="00FC7698" w:rsidP="007D171D">
      <w:pPr>
        <w:spacing w:line="240" w:lineRule="auto"/>
        <w:jc w:val="both"/>
        <w:rPr>
          <w:rFonts w:ascii="Times New Roman" w:hAnsi="Times New Roman" w:cs="Times New Roman"/>
          <w:b/>
          <w:sz w:val="24"/>
          <w:szCs w:val="24"/>
        </w:rPr>
      </w:pPr>
      <w:r w:rsidRPr="00EF023D">
        <w:rPr>
          <w:rFonts w:ascii="Times New Roman" w:hAnsi="Times New Roman" w:cs="Times New Roman"/>
          <w:b/>
          <w:sz w:val="24"/>
          <w:szCs w:val="24"/>
        </w:rPr>
        <w:t>Algunos “picotazos” más, para ver si “despiertan” (aunque resulte doloroso)</w:t>
      </w:r>
      <w:r w:rsidR="00CE4249" w:rsidRPr="00EF023D">
        <w:rPr>
          <w:rFonts w:ascii="Times New Roman" w:hAnsi="Times New Roman" w:cs="Times New Roman"/>
          <w:b/>
          <w:sz w:val="24"/>
          <w:szCs w:val="24"/>
        </w:rPr>
        <w:t>:</w:t>
      </w:r>
      <w:r w:rsidRPr="00EF023D">
        <w:rPr>
          <w:rFonts w:ascii="Times New Roman" w:hAnsi="Times New Roman" w:cs="Times New Roman"/>
          <w:b/>
          <w:sz w:val="24"/>
          <w:szCs w:val="24"/>
        </w:rPr>
        <w:t xml:space="preserve"> </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Los jóvenes españoles no se pueden ir de casa: obligados a dedicar el 92% de su sueldo a pagar el alquiler si quieren independizarse solos</w:t>
      </w:r>
      <w:r w:rsidRPr="00CE4249">
        <w:rPr>
          <w:rFonts w:ascii="Times New Roman" w:hAnsi="Times New Roman" w:cs="Times New Roman"/>
          <w:sz w:val="24"/>
          <w:szCs w:val="24"/>
        </w:rPr>
        <w:t xml:space="preserve"> (El Economista - </w:t>
      </w:r>
      <w:r w:rsidRPr="00CE4249">
        <w:rPr>
          <w:rFonts w:ascii="Times New Roman" w:hAnsi="Times New Roman" w:cs="Times New Roman"/>
          <w:b/>
          <w:sz w:val="24"/>
          <w:szCs w:val="24"/>
        </w:rPr>
        <w:t>12/8/25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Tendrían que destinar 14 años de salario íntegro para poder acceder a una vivienda en propiedad.</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La emancipación juvenil no avanza: solo el 15% logra irse de casa</w:t>
      </w:r>
      <w:r w:rsidRPr="00CE4249">
        <w:rPr>
          <w:rFonts w:ascii="Times New Roman" w:hAnsi="Times New Roman" w:cs="Times New Roman"/>
          <w:sz w:val="24"/>
          <w:szCs w:val="24"/>
        </w:rPr>
        <w:t xml:space="preserve"> (Vozpópuli - </w:t>
      </w:r>
      <w:r w:rsidRPr="00CE4249">
        <w:rPr>
          <w:rFonts w:ascii="Times New Roman" w:hAnsi="Times New Roman" w:cs="Times New Roman"/>
          <w:b/>
          <w:sz w:val="24"/>
          <w:szCs w:val="24"/>
        </w:rPr>
        <w:t>12/8/25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lastRenderedPageBreak/>
        <w:t>Los jóvenes españoles tienen que destinar más del 90% de su salario para emanciparse en solitario.</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Un estudio confirma que los jóvenes españoles ganan en 2025 un 20% menos que sus padres cuando tenían su edad</w:t>
      </w:r>
      <w:r w:rsidRPr="00CE4249">
        <w:rPr>
          <w:rFonts w:ascii="Times New Roman" w:hAnsi="Times New Roman" w:cs="Times New Roman"/>
          <w:sz w:val="24"/>
          <w:szCs w:val="24"/>
        </w:rPr>
        <w:t xml:space="preserve"> (El Economista - </w:t>
      </w:r>
      <w:r w:rsidRPr="00CE4249">
        <w:rPr>
          <w:rFonts w:ascii="Times New Roman" w:hAnsi="Times New Roman" w:cs="Times New Roman"/>
          <w:b/>
          <w:sz w:val="24"/>
          <w:szCs w:val="24"/>
        </w:rPr>
        <w:t>13/8/25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Tres de cada cuatro admite que se ha visto obligado a trabajar sin contrato para tener ingresos.</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Las reformas de Sánchez y Díaz dejan más paro juvenil: uno de cada tres con estudios sin empleo y alquiler inasumible</w:t>
      </w:r>
      <w:r w:rsidRPr="00CE4249">
        <w:rPr>
          <w:rFonts w:ascii="Times New Roman" w:hAnsi="Times New Roman" w:cs="Times New Roman"/>
          <w:sz w:val="24"/>
          <w:szCs w:val="24"/>
        </w:rPr>
        <w:t xml:space="preserve"> (Libertad Digital - </w:t>
      </w:r>
      <w:r w:rsidRPr="00CE4249">
        <w:rPr>
          <w:rFonts w:ascii="Times New Roman" w:hAnsi="Times New Roman" w:cs="Times New Roman"/>
          <w:b/>
          <w:sz w:val="24"/>
          <w:szCs w:val="24"/>
        </w:rPr>
        <w:t>14/8/25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USO admite que la reforma laboral y las nuevas leyes no han acabado con la precariedad: el paro juvenil y el coste de la vivienda siguen disparados.</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El 36% de los menores de 30 años está sobrecualificado para realizar su trabajo</w:t>
      </w:r>
      <w:r w:rsidRPr="00CE4249">
        <w:rPr>
          <w:rFonts w:ascii="Times New Roman" w:hAnsi="Times New Roman" w:cs="Times New Roman"/>
          <w:sz w:val="24"/>
          <w:szCs w:val="24"/>
        </w:rPr>
        <w:t xml:space="preserve"> (El Economista - </w:t>
      </w:r>
      <w:r w:rsidRPr="00CE4249">
        <w:rPr>
          <w:rFonts w:ascii="Times New Roman" w:hAnsi="Times New Roman" w:cs="Times New Roman"/>
          <w:b/>
          <w:sz w:val="24"/>
          <w:szCs w:val="24"/>
        </w:rPr>
        <w:t>18/8/25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Cuatro de cada diez trabajaron a tiempo parcial por no encontrar a tiempo completo</w:t>
      </w:r>
      <w:r w:rsidR="00A336CC"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La situación financiera de los españoles no ha mejorado nada durante el Gobierno de Sánchez</w:t>
      </w:r>
      <w:r w:rsidRPr="00CE4249">
        <w:rPr>
          <w:rFonts w:ascii="Times New Roman" w:hAnsi="Times New Roman" w:cs="Times New Roman"/>
          <w:sz w:val="24"/>
          <w:szCs w:val="24"/>
        </w:rPr>
        <w:t xml:space="preserve"> (Vozpópuli - </w:t>
      </w:r>
      <w:r w:rsidRPr="00CE4249">
        <w:rPr>
          <w:rFonts w:ascii="Times New Roman" w:hAnsi="Times New Roman" w:cs="Times New Roman"/>
          <w:b/>
          <w:sz w:val="24"/>
          <w:szCs w:val="24"/>
        </w:rPr>
        <w:t>24/8/25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En 2022 estaba en el mismo nivel que en 2018, según la estadística de satisfacción de la Comisión Europea</w:t>
      </w:r>
      <w:r w:rsidR="00A336CC"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El SEPE lo deja claro: España sigue siendo un país de camareros, peones y limpiadores</w:t>
      </w:r>
      <w:r w:rsidRPr="00CE4249">
        <w:rPr>
          <w:rFonts w:ascii="Times New Roman" w:hAnsi="Times New Roman" w:cs="Times New Roman"/>
          <w:sz w:val="24"/>
          <w:szCs w:val="24"/>
        </w:rPr>
        <w:t xml:space="preserve"> (El Economista - </w:t>
      </w:r>
      <w:r w:rsidRPr="00CE4249">
        <w:rPr>
          <w:rFonts w:ascii="Times New Roman" w:hAnsi="Times New Roman" w:cs="Times New Roman"/>
          <w:b/>
          <w:sz w:val="24"/>
          <w:szCs w:val="24"/>
        </w:rPr>
        <w:t>4/9/25</w:t>
      </w:r>
      <w:r w:rsidRPr="00CE4249">
        <w:rPr>
          <w:rFonts w:ascii="Times New Roman" w:hAnsi="Times New Roman" w:cs="Times New Roman"/>
          <w:sz w:val="24"/>
          <w:szCs w:val="24"/>
        </w:rPr>
        <w:t>)</w:t>
      </w:r>
    </w:p>
    <w:p w:rsidR="00FC7698" w:rsidRPr="00CE4249" w:rsidRDefault="00A336CC"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Las profesiones de “alto valor añadido”</w:t>
      </w:r>
      <w:r w:rsidR="00FC7698" w:rsidRPr="00CE4249">
        <w:rPr>
          <w:rFonts w:ascii="Times New Roman" w:hAnsi="Times New Roman" w:cs="Times New Roman"/>
          <w:sz w:val="24"/>
          <w:szCs w:val="24"/>
        </w:rPr>
        <w:t xml:space="preserve"> no están entre las que más buscan las empresas</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30.000 euros para que los jóvenes alquilen con opción a comp</w:t>
      </w:r>
      <w:r w:rsidR="00A336CC" w:rsidRPr="00CE4249">
        <w:rPr>
          <w:rFonts w:ascii="Times New Roman" w:hAnsi="Times New Roman" w:cs="Times New Roman"/>
          <w:sz w:val="24"/>
          <w:szCs w:val="24"/>
          <w:u w:val="single"/>
        </w:rPr>
        <w:t>ra: la ayuda “estrella”</w:t>
      </w:r>
      <w:r w:rsidRPr="00CE4249">
        <w:rPr>
          <w:rFonts w:ascii="Times New Roman" w:hAnsi="Times New Roman" w:cs="Times New Roman"/>
          <w:sz w:val="24"/>
          <w:szCs w:val="24"/>
          <w:u w:val="single"/>
        </w:rPr>
        <w:t xml:space="preserve"> del Gobierno no llegará a casi nadie</w:t>
      </w:r>
      <w:r w:rsidRPr="00CE4249">
        <w:rPr>
          <w:rFonts w:ascii="Times New Roman" w:hAnsi="Times New Roman" w:cs="Times New Roman"/>
          <w:sz w:val="24"/>
          <w:szCs w:val="24"/>
        </w:rPr>
        <w:t xml:space="preserve"> (El Economista - </w:t>
      </w:r>
      <w:r w:rsidRPr="00CE4249">
        <w:rPr>
          <w:rFonts w:ascii="Times New Roman" w:hAnsi="Times New Roman" w:cs="Times New Roman"/>
          <w:b/>
          <w:sz w:val="24"/>
          <w:szCs w:val="24"/>
        </w:rPr>
        <w:t>16/9/25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Solo afectará a las viviendas protegidas para arrendamiento con opción a compra</w:t>
      </w:r>
      <w:r w:rsidR="00A336CC" w:rsidRPr="00CE4249">
        <w:rPr>
          <w:rFonts w:ascii="Times New Roman" w:hAnsi="Times New Roman" w:cs="Times New Roman"/>
          <w:sz w:val="24"/>
          <w:szCs w:val="24"/>
        </w:rPr>
        <w:t xml:space="preserve">. </w:t>
      </w:r>
      <w:r w:rsidRPr="00CE4249">
        <w:rPr>
          <w:rFonts w:ascii="Times New Roman" w:hAnsi="Times New Roman" w:cs="Times New Roman"/>
          <w:sz w:val="24"/>
          <w:szCs w:val="24"/>
        </w:rPr>
        <w:t>Apenas hubo 33 calificaciones definitivas de este tipo en 2024 y ninguna en 2025 ni 2023</w:t>
      </w:r>
      <w:r w:rsidR="00A336CC" w:rsidRPr="00CE4249">
        <w:rPr>
          <w:rFonts w:ascii="Times New Roman" w:hAnsi="Times New Roman" w:cs="Times New Roman"/>
          <w:sz w:val="24"/>
          <w:szCs w:val="24"/>
        </w:rPr>
        <w:t>.</w:t>
      </w:r>
      <w:r w:rsidRPr="00CE4249">
        <w:rPr>
          <w:rFonts w:ascii="Times New Roman" w:hAnsi="Times New Roman" w:cs="Times New Roman"/>
          <w:sz w:val="24"/>
          <w:szCs w:val="24"/>
        </w:rPr>
        <w:t xml:space="preserve"> </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España aún tiene que recortar un 61% su nivel de subempleo para poder mirar a Europa</w:t>
      </w:r>
      <w:r w:rsidRPr="00CE4249">
        <w:rPr>
          <w:rFonts w:ascii="Times New Roman" w:hAnsi="Times New Roman" w:cs="Times New Roman"/>
          <w:sz w:val="24"/>
          <w:szCs w:val="24"/>
        </w:rPr>
        <w:t xml:space="preserve"> (El Economista - </w:t>
      </w:r>
      <w:r w:rsidRPr="00CE4249">
        <w:rPr>
          <w:rFonts w:ascii="Times New Roman" w:hAnsi="Times New Roman" w:cs="Times New Roman"/>
          <w:b/>
          <w:sz w:val="24"/>
          <w:szCs w:val="24"/>
        </w:rPr>
        <w:t>1/10/25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La precariedad de los ocupados a tiempo parcial es la más alta de la zona euro</w:t>
      </w:r>
      <w:r w:rsidR="00A336CC" w:rsidRPr="00CE4249">
        <w:rPr>
          <w:rFonts w:ascii="Times New Roman" w:hAnsi="Times New Roman" w:cs="Times New Roman"/>
          <w:sz w:val="24"/>
          <w:szCs w:val="24"/>
        </w:rPr>
        <w:t xml:space="preserve">.  </w:t>
      </w:r>
      <w:r w:rsidRPr="00CE4249">
        <w:rPr>
          <w:rFonts w:ascii="Times New Roman" w:hAnsi="Times New Roman" w:cs="Times New Roman"/>
          <w:sz w:val="24"/>
          <w:szCs w:val="24"/>
        </w:rPr>
        <w:t>Eurostat cifra los subempleados en 1,18 millones mientras el INE los eleva a 1,7 millones</w:t>
      </w:r>
      <w:r w:rsidR="00A336CC"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El PIB per cápita en España es un 25% inferior a la media del euro: 10.000 euros menos por habitante</w:t>
      </w:r>
      <w:r w:rsidRPr="00CE4249">
        <w:rPr>
          <w:rFonts w:ascii="Times New Roman" w:hAnsi="Times New Roman" w:cs="Times New Roman"/>
          <w:sz w:val="24"/>
          <w:szCs w:val="24"/>
        </w:rPr>
        <w:t xml:space="preserve"> (Vozpópuli - </w:t>
      </w:r>
      <w:r w:rsidRPr="00CE4249">
        <w:rPr>
          <w:rFonts w:ascii="Times New Roman" w:hAnsi="Times New Roman" w:cs="Times New Roman"/>
          <w:b/>
          <w:sz w:val="24"/>
          <w:szCs w:val="24"/>
        </w:rPr>
        <w:t>4/10/25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En España el PIB per cápita se sitúa en los 32.630 euros, frente a los 43.310 de la eurozona, según Eurostat</w:t>
      </w:r>
      <w:r w:rsidR="00A336CC"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España necesitó un millón y medio de contratos en septiembre para crear solo 31.462 empleos</w:t>
      </w:r>
      <w:r w:rsidRPr="00CE4249">
        <w:rPr>
          <w:rFonts w:ascii="Times New Roman" w:hAnsi="Times New Roman" w:cs="Times New Roman"/>
          <w:sz w:val="24"/>
          <w:szCs w:val="24"/>
        </w:rPr>
        <w:t xml:space="preserve"> (The Objective - </w:t>
      </w:r>
      <w:r w:rsidRPr="00CE4249">
        <w:rPr>
          <w:rFonts w:ascii="Times New Roman" w:hAnsi="Times New Roman" w:cs="Times New Roman"/>
          <w:b/>
          <w:sz w:val="24"/>
          <w:szCs w:val="24"/>
        </w:rPr>
        <w:t>5/10/25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El sindicato USO se pregunta cómo es posible que si aumenta la contratación no disminuya más el paro</w:t>
      </w:r>
      <w:r w:rsidR="00A336CC"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lastRenderedPageBreak/>
        <w:t xml:space="preserve">- </w:t>
      </w:r>
      <w:r w:rsidRPr="00CE4249">
        <w:rPr>
          <w:rFonts w:ascii="Times New Roman" w:hAnsi="Times New Roman" w:cs="Times New Roman"/>
          <w:sz w:val="24"/>
          <w:szCs w:val="24"/>
          <w:u w:val="single"/>
        </w:rPr>
        <w:t>Indisciplina en las aulas: la OCDE vincula los problemas en</w:t>
      </w:r>
      <w:r w:rsidR="00A336CC" w:rsidRPr="00CE4249">
        <w:rPr>
          <w:rFonts w:ascii="Times New Roman" w:hAnsi="Times New Roman" w:cs="Times New Roman"/>
          <w:sz w:val="24"/>
          <w:szCs w:val="24"/>
          <w:u w:val="single"/>
        </w:rPr>
        <w:t xml:space="preserve"> los colegios españoles con la “diversidad”</w:t>
      </w:r>
      <w:r w:rsidRPr="00CE4249">
        <w:rPr>
          <w:rFonts w:ascii="Times New Roman" w:hAnsi="Times New Roman" w:cs="Times New Roman"/>
          <w:sz w:val="24"/>
          <w:szCs w:val="24"/>
          <w:u w:val="single"/>
        </w:rPr>
        <w:t xml:space="preserve"> de sus alumnos</w:t>
      </w:r>
      <w:r w:rsidRPr="00CE4249">
        <w:rPr>
          <w:rFonts w:ascii="Times New Roman" w:hAnsi="Times New Roman" w:cs="Times New Roman"/>
          <w:sz w:val="24"/>
          <w:szCs w:val="24"/>
        </w:rPr>
        <w:t xml:space="preserve"> (El Español - </w:t>
      </w:r>
      <w:r w:rsidRPr="00CE4249">
        <w:rPr>
          <w:rFonts w:ascii="Times New Roman" w:hAnsi="Times New Roman" w:cs="Times New Roman"/>
          <w:b/>
          <w:sz w:val="24"/>
          <w:szCs w:val="24"/>
        </w:rPr>
        <w:t>7/10/25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Los docentes dedican un 20% de su tiempo a mantener el orden en las clases de Primaria y un 18% en Secundaria.</w:t>
      </w:r>
      <w:r w:rsidR="00A336CC" w:rsidRPr="00CE4249">
        <w:rPr>
          <w:rFonts w:ascii="Times New Roman" w:hAnsi="Times New Roman" w:cs="Times New Roman"/>
          <w:sz w:val="24"/>
          <w:szCs w:val="24"/>
        </w:rPr>
        <w:t xml:space="preserve"> </w:t>
      </w:r>
      <w:r w:rsidRPr="00CE4249">
        <w:rPr>
          <w:rFonts w:ascii="Times New Roman" w:hAnsi="Times New Roman" w:cs="Times New Roman"/>
          <w:sz w:val="24"/>
          <w:szCs w:val="24"/>
        </w:rPr>
        <w:t>La diversidad es un fenómeno que está transformando la convivencia escolar y sitúa a España como uno de los países con mayores problemas de disciplina de la Unión Europea</w:t>
      </w:r>
      <w:r w:rsidR="00A336CC"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Hacienda bate récord al recaudar más de 200.000 millones en solo ocho meses</w:t>
      </w:r>
      <w:r w:rsidRPr="00CE4249">
        <w:rPr>
          <w:rFonts w:ascii="Times New Roman" w:hAnsi="Times New Roman" w:cs="Times New Roman"/>
          <w:sz w:val="24"/>
          <w:szCs w:val="24"/>
        </w:rPr>
        <w:t xml:space="preserve"> (El Economista - 7/10/25)</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El crecimiento económico, combinado con las alzas fiscales desde enero, explica el resultado</w:t>
      </w:r>
      <w:r w:rsidR="00A336CC" w:rsidRPr="00CE4249">
        <w:rPr>
          <w:rFonts w:ascii="Times New Roman" w:hAnsi="Times New Roman" w:cs="Times New Roman"/>
          <w:sz w:val="24"/>
          <w:szCs w:val="24"/>
        </w:rPr>
        <w:t xml:space="preserve">.  </w:t>
      </w:r>
      <w:r w:rsidRPr="00CE4249">
        <w:rPr>
          <w:rFonts w:ascii="Times New Roman" w:hAnsi="Times New Roman" w:cs="Times New Roman"/>
          <w:sz w:val="24"/>
          <w:szCs w:val="24"/>
        </w:rPr>
        <w:t>Los ingresos ya crecen a una tasa que rebasa en un 57% el avance esperado para todo 2025</w:t>
      </w:r>
      <w:r w:rsidR="00A336CC"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Más de 1,5 millones de trabajadores faltan cada día a su puesto, el 20% sin baja médica</w:t>
      </w:r>
      <w:r w:rsidRPr="00CE4249">
        <w:rPr>
          <w:rFonts w:ascii="Times New Roman" w:hAnsi="Times New Roman" w:cs="Times New Roman"/>
          <w:sz w:val="24"/>
          <w:szCs w:val="24"/>
        </w:rPr>
        <w:t xml:space="preserve"> (Expansión - </w:t>
      </w:r>
      <w:r w:rsidRPr="00CE4249">
        <w:rPr>
          <w:rFonts w:ascii="Times New Roman" w:hAnsi="Times New Roman" w:cs="Times New Roman"/>
          <w:b/>
          <w:sz w:val="24"/>
          <w:szCs w:val="24"/>
        </w:rPr>
        <w:t>8/10/25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Los expertos avisan de la pérdida de producción y el impacto negativo para el crecim</w:t>
      </w:r>
      <w:r w:rsidR="00A336CC" w:rsidRPr="00CE4249">
        <w:rPr>
          <w:rFonts w:ascii="Times New Roman" w:hAnsi="Times New Roman" w:cs="Times New Roman"/>
          <w:sz w:val="24"/>
          <w:szCs w:val="24"/>
        </w:rPr>
        <w:t xml:space="preserve">iento. </w:t>
      </w:r>
      <w:r w:rsidRPr="00CE4249">
        <w:rPr>
          <w:rFonts w:ascii="Times New Roman" w:hAnsi="Times New Roman" w:cs="Times New Roman"/>
          <w:sz w:val="24"/>
          <w:szCs w:val="24"/>
        </w:rPr>
        <w:t>El coste agregado del absentismo asciende a 45.000 millones de euros anuales, según un estudio de la Fundación Civismo. España lidera la tasa de absentismo entre las grandes economías europeas.</w:t>
      </w:r>
    </w:p>
    <w:p w:rsidR="00A336CC" w:rsidRPr="00CE4249" w:rsidRDefault="00A336CC" w:rsidP="00A336CC">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España se sitúa a la cabeza en absentismo laboral en la UE</w:t>
      </w:r>
      <w:r w:rsidRPr="00CE4249">
        <w:rPr>
          <w:rFonts w:ascii="Times New Roman" w:hAnsi="Times New Roman" w:cs="Times New Roman"/>
          <w:sz w:val="24"/>
          <w:szCs w:val="24"/>
        </w:rPr>
        <w:t xml:space="preserve"> (Libertad Digital - </w:t>
      </w:r>
      <w:r w:rsidRPr="00CE4249">
        <w:rPr>
          <w:rFonts w:ascii="Times New Roman" w:hAnsi="Times New Roman" w:cs="Times New Roman"/>
          <w:b/>
          <w:sz w:val="24"/>
          <w:szCs w:val="24"/>
        </w:rPr>
        <w:t>8/10/25</w:t>
      </w:r>
      <w:r w:rsidRPr="00CE4249">
        <w:rPr>
          <w:rFonts w:ascii="Times New Roman" w:hAnsi="Times New Roman" w:cs="Times New Roman"/>
          <w:sz w:val="24"/>
          <w:szCs w:val="24"/>
        </w:rPr>
        <w:t>)</w:t>
      </w:r>
    </w:p>
    <w:p w:rsidR="00A336CC" w:rsidRPr="00CE4249" w:rsidRDefault="00A336CC" w:rsidP="00A336CC">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En términos macroeconómicos, el impacto del absentismo supera los 45.000 millones de euros al año.</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La precariedad no suelta al empleo joven: apenas un 31% trabaja con un contrato fijo a jornada completa</w:t>
      </w:r>
      <w:r w:rsidRPr="00CE4249">
        <w:rPr>
          <w:rFonts w:ascii="Times New Roman" w:hAnsi="Times New Roman" w:cs="Times New Roman"/>
          <w:sz w:val="24"/>
          <w:szCs w:val="24"/>
        </w:rPr>
        <w:t xml:space="preserve"> (El Economista - </w:t>
      </w:r>
      <w:r w:rsidRPr="00CE4249">
        <w:rPr>
          <w:rFonts w:ascii="Times New Roman" w:hAnsi="Times New Roman" w:cs="Times New Roman"/>
          <w:b/>
          <w:sz w:val="24"/>
          <w:szCs w:val="24"/>
        </w:rPr>
        <w:t>8/10/25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Supone menos de la mitad que en el resto de trabajadores</w:t>
      </w:r>
      <w:r w:rsidR="00A336CC" w:rsidRPr="00CE4249">
        <w:rPr>
          <w:rFonts w:ascii="Times New Roman" w:hAnsi="Times New Roman" w:cs="Times New Roman"/>
          <w:sz w:val="24"/>
          <w:szCs w:val="24"/>
        </w:rPr>
        <w:t xml:space="preserve">. </w:t>
      </w:r>
      <w:r w:rsidRPr="00CE4249">
        <w:rPr>
          <w:rFonts w:ascii="Times New Roman" w:hAnsi="Times New Roman" w:cs="Times New Roman"/>
          <w:sz w:val="24"/>
          <w:szCs w:val="24"/>
        </w:rPr>
        <w:t>El empleo que más ha crecido es el fijo discontinuo, cuyo</w:t>
      </w:r>
      <w:r w:rsidR="00A336CC" w:rsidRPr="00CE4249">
        <w:rPr>
          <w:rFonts w:ascii="Times New Roman" w:hAnsi="Times New Roman" w:cs="Times New Roman"/>
          <w:sz w:val="24"/>
          <w:szCs w:val="24"/>
        </w:rPr>
        <w:t xml:space="preserve"> peso se multiplica por cinco. </w:t>
      </w:r>
      <w:r w:rsidRPr="00CE4249">
        <w:rPr>
          <w:rFonts w:ascii="Times New Roman" w:hAnsi="Times New Roman" w:cs="Times New Roman"/>
          <w:sz w:val="24"/>
          <w:szCs w:val="24"/>
        </w:rPr>
        <w:t>España aún tiene que recortar un 61% su nivel de subempleo para poder mirar a Europa</w:t>
      </w:r>
      <w:r w:rsidR="00A336CC"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España invierte cinco veces menos que Europa en viviendas de protección social</w:t>
      </w:r>
      <w:r w:rsidRPr="00CE4249">
        <w:rPr>
          <w:rFonts w:ascii="Times New Roman" w:hAnsi="Times New Roman" w:cs="Times New Roman"/>
          <w:sz w:val="24"/>
          <w:szCs w:val="24"/>
        </w:rPr>
        <w:t xml:space="preserve"> (El Economista - </w:t>
      </w:r>
      <w:r w:rsidRPr="00CE4249">
        <w:rPr>
          <w:rFonts w:ascii="Times New Roman" w:hAnsi="Times New Roman" w:cs="Times New Roman"/>
          <w:b/>
          <w:sz w:val="24"/>
          <w:szCs w:val="24"/>
        </w:rPr>
        <w:t>8/10/25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El gasto promedio por habitante es de 34 euros fren</w:t>
      </w:r>
      <w:r w:rsidR="00A336CC" w:rsidRPr="00CE4249">
        <w:rPr>
          <w:rFonts w:ascii="Times New Roman" w:hAnsi="Times New Roman" w:cs="Times New Roman"/>
          <w:sz w:val="24"/>
          <w:szCs w:val="24"/>
        </w:rPr>
        <w:t xml:space="preserve">te a 161 euros de media europea. </w:t>
      </w:r>
      <w:r w:rsidRPr="00CE4249">
        <w:rPr>
          <w:rFonts w:ascii="Times New Roman" w:hAnsi="Times New Roman" w:cs="Times New Roman"/>
          <w:sz w:val="24"/>
          <w:szCs w:val="24"/>
        </w:rPr>
        <w:t>Países como Irlanda y Francia alcanzan cifras de 335 eur</w:t>
      </w:r>
      <w:r w:rsidR="00A336CC" w:rsidRPr="00CE4249">
        <w:rPr>
          <w:rFonts w:ascii="Times New Roman" w:hAnsi="Times New Roman" w:cs="Times New Roman"/>
          <w:sz w:val="24"/>
          <w:szCs w:val="24"/>
        </w:rPr>
        <w:t xml:space="preserve">os y 274 euros, respectivamente. </w:t>
      </w:r>
      <w:r w:rsidRPr="00CE4249">
        <w:rPr>
          <w:rFonts w:ascii="Times New Roman" w:hAnsi="Times New Roman" w:cs="Times New Roman"/>
          <w:sz w:val="24"/>
          <w:szCs w:val="24"/>
        </w:rPr>
        <w:t>La partida destinada a esta materia en España equivale al 0,23% del PIB</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El desastre de la educación en España: desde la generación EGB la brecha con Europa se ha triplicado</w:t>
      </w:r>
      <w:r w:rsidRPr="00CE4249">
        <w:rPr>
          <w:rFonts w:ascii="Times New Roman" w:hAnsi="Times New Roman" w:cs="Times New Roman"/>
          <w:sz w:val="24"/>
          <w:szCs w:val="24"/>
        </w:rPr>
        <w:t xml:space="preserve"> (El Economista - </w:t>
      </w:r>
      <w:r w:rsidRPr="00CE4249">
        <w:rPr>
          <w:rFonts w:ascii="Times New Roman" w:hAnsi="Times New Roman" w:cs="Times New Roman"/>
          <w:b/>
          <w:sz w:val="24"/>
          <w:szCs w:val="24"/>
        </w:rPr>
        <w:t>10/10/25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España está entre los cinco países de la OCDE que menos ha mejorado</w:t>
      </w:r>
      <w:r w:rsidR="00A336CC" w:rsidRPr="00CE4249">
        <w:rPr>
          <w:rFonts w:ascii="Times New Roman" w:hAnsi="Times New Roman" w:cs="Times New Roman"/>
          <w:sz w:val="24"/>
          <w:szCs w:val="24"/>
        </w:rPr>
        <w:t xml:space="preserve">. </w:t>
      </w:r>
      <w:r w:rsidRPr="00CE4249">
        <w:rPr>
          <w:rFonts w:ascii="Times New Roman" w:hAnsi="Times New Roman" w:cs="Times New Roman"/>
          <w:sz w:val="24"/>
          <w:szCs w:val="24"/>
        </w:rPr>
        <w:t xml:space="preserve">Durante la EGB, la brecha con Europa era muy inferior pese a </w:t>
      </w:r>
      <w:r w:rsidR="00A336CC" w:rsidRPr="00CE4249">
        <w:rPr>
          <w:rFonts w:ascii="Times New Roman" w:hAnsi="Times New Roman" w:cs="Times New Roman"/>
          <w:sz w:val="24"/>
          <w:szCs w:val="24"/>
        </w:rPr>
        <w:t xml:space="preserve">las limitaciones. </w:t>
      </w:r>
      <w:r w:rsidRPr="00CE4249">
        <w:rPr>
          <w:rFonts w:ascii="Times New Roman" w:hAnsi="Times New Roman" w:cs="Times New Roman"/>
          <w:sz w:val="24"/>
          <w:szCs w:val="24"/>
        </w:rPr>
        <w:t>Antes se hacía más con menos: hoy con mucha educación estamos más lejos</w:t>
      </w:r>
      <w:r w:rsidR="00A336CC"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Seis de cada diez jóvenes españoles gastan más de lo que ingresan</w:t>
      </w:r>
      <w:r w:rsidRPr="00CE4249">
        <w:rPr>
          <w:rFonts w:ascii="Times New Roman" w:hAnsi="Times New Roman" w:cs="Times New Roman"/>
          <w:sz w:val="24"/>
          <w:szCs w:val="24"/>
        </w:rPr>
        <w:t xml:space="preserve"> (The Objective - </w:t>
      </w:r>
      <w:r w:rsidRPr="00CE4249">
        <w:rPr>
          <w:rFonts w:ascii="Times New Roman" w:hAnsi="Times New Roman" w:cs="Times New Roman"/>
          <w:b/>
          <w:sz w:val="24"/>
          <w:szCs w:val="24"/>
        </w:rPr>
        <w:t>13/10/25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La Generación Z se consolida como el grupo más vulnerable desde el punto de vista financiero. El 64% de los jóvenes españoles entre 15 y 27 años dice gastar más dinero del que puede permitirse, influido por la presión social en redes y la facilidad de las compras online. </w:t>
      </w:r>
      <w:r w:rsidRPr="00CE4249">
        <w:rPr>
          <w:rFonts w:ascii="Times New Roman" w:hAnsi="Times New Roman" w:cs="Times New Roman"/>
          <w:sz w:val="24"/>
          <w:szCs w:val="24"/>
        </w:rPr>
        <w:lastRenderedPageBreak/>
        <w:t>En comparación, el 51% de los millennials admite comportamientos similares, frente a solo un 17% de los boomers y la Generación Silenciosa, según el Informe Europeo de Pagos de Consumidores de Intrum.</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A años luz por la vivienda: la brecha de riqueza entre baby boomers y jóvenes se multiplica por siete en 20 años</w:t>
      </w:r>
      <w:r w:rsidRPr="00CE4249">
        <w:rPr>
          <w:rFonts w:ascii="Times New Roman" w:hAnsi="Times New Roman" w:cs="Times New Roman"/>
          <w:sz w:val="24"/>
          <w:szCs w:val="24"/>
        </w:rPr>
        <w:t xml:space="preserve"> (El Economista - </w:t>
      </w:r>
      <w:r w:rsidRPr="00CE4249">
        <w:rPr>
          <w:rFonts w:ascii="Times New Roman" w:hAnsi="Times New Roman" w:cs="Times New Roman"/>
          <w:b/>
          <w:sz w:val="24"/>
          <w:szCs w:val="24"/>
        </w:rPr>
        <w:t>16/10/25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Ha pasado de ser de 50.000 euros e</w:t>
      </w:r>
      <w:r w:rsidR="00A336CC" w:rsidRPr="00CE4249">
        <w:rPr>
          <w:rFonts w:ascii="Times New Roman" w:hAnsi="Times New Roman" w:cs="Times New Roman"/>
          <w:sz w:val="24"/>
          <w:szCs w:val="24"/>
        </w:rPr>
        <w:t xml:space="preserve">n 2002 a más de 360.000 en 2022. </w:t>
      </w:r>
      <w:r w:rsidRPr="00CE4249">
        <w:rPr>
          <w:rFonts w:ascii="Times New Roman" w:hAnsi="Times New Roman" w:cs="Times New Roman"/>
          <w:sz w:val="24"/>
          <w:szCs w:val="24"/>
        </w:rPr>
        <w:t>Los baby boomers acumulan más riqueza neta que las generaciones posteriores</w:t>
      </w:r>
      <w:r w:rsidR="00A336CC" w:rsidRPr="00CE4249">
        <w:rPr>
          <w:rFonts w:ascii="Times New Roman" w:hAnsi="Times New Roman" w:cs="Times New Roman"/>
          <w:sz w:val="24"/>
          <w:szCs w:val="24"/>
        </w:rPr>
        <w:t xml:space="preserve">. </w:t>
      </w:r>
      <w:r w:rsidRPr="00CE4249">
        <w:rPr>
          <w:rFonts w:ascii="Times New Roman" w:hAnsi="Times New Roman" w:cs="Times New Roman"/>
          <w:sz w:val="24"/>
          <w:szCs w:val="24"/>
        </w:rPr>
        <w:t>Existe un cambio de patrón generalizado en la tenencia de vivienda en propiedad</w:t>
      </w:r>
      <w:r w:rsidR="00A336CC"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Los trabajadores necesitan más de una vida laboral para comprar una casa en seis comunidades</w:t>
      </w:r>
      <w:r w:rsidRPr="00CE4249">
        <w:rPr>
          <w:rFonts w:ascii="Times New Roman" w:hAnsi="Times New Roman" w:cs="Times New Roman"/>
          <w:sz w:val="24"/>
          <w:szCs w:val="24"/>
        </w:rPr>
        <w:t xml:space="preserve"> (El País - </w:t>
      </w:r>
      <w:r w:rsidRPr="00CE4249">
        <w:rPr>
          <w:rFonts w:ascii="Times New Roman" w:hAnsi="Times New Roman" w:cs="Times New Roman"/>
          <w:b/>
          <w:sz w:val="24"/>
          <w:szCs w:val="24"/>
        </w:rPr>
        <w:t>17/10/25</w:t>
      </w:r>
      <w:r w:rsidRPr="00CE4249">
        <w:rPr>
          <w:rFonts w:ascii="Times New Roman" w:hAnsi="Times New Roman" w:cs="Times New Roman"/>
          <w:sz w:val="24"/>
          <w:szCs w:val="24"/>
        </w:rPr>
        <w:t>)</w:t>
      </w:r>
    </w:p>
    <w:p w:rsidR="00FC7698" w:rsidRPr="00CE4249" w:rsidRDefault="00FC7698" w:rsidP="00FC7698">
      <w:pPr>
        <w:spacing w:line="240" w:lineRule="auto"/>
        <w:jc w:val="both"/>
        <w:rPr>
          <w:rFonts w:ascii="Times New Roman" w:hAnsi="Times New Roman" w:cs="Times New Roman"/>
          <w:sz w:val="24"/>
          <w:szCs w:val="24"/>
        </w:rPr>
      </w:pPr>
      <w:r w:rsidRPr="00CE4249">
        <w:rPr>
          <w:rFonts w:ascii="Times New Roman" w:hAnsi="Times New Roman" w:cs="Times New Roman"/>
          <w:sz w:val="24"/>
          <w:szCs w:val="24"/>
        </w:rPr>
        <w:t>Hay quienes pasan media vida pagando una casa, y hay quienes necesitarían vivir dos veces para poder costearla. En España, tener vivienda propia se ha convertido en un auténtico quebradero de cabeza porque, en muchos casos, ni un trabajo estable es suficiente para sufragarla. En seis comunidades autónomas, un trabajador medio necesitaría más de 38 años de sueldo para adquirir un inmueble propio en solitario sin sobrepasar los límites de esfuerzo financiero recomendados, más que toda una carrera laboral completa.</w:t>
      </w:r>
    </w:p>
    <w:p w:rsidR="00FC7698" w:rsidRPr="00CE4249" w:rsidRDefault="00FC7698" w:rsidP="00FC7698">
      <w:pPr>
        <w:spacing w:before="100" w:beforeAutospacing="1" w:after="100" w:afterAutospacing="1" w:line="240" w:lineRule="auto"/>
        <w:jc w:val="both"/>
        <w:rPr>
          <w:rFonts w:ascii="Times New Roman" w:hAnsi="Times New Roman" w:cs="Times New Roman"/>
          <w:sz w:val="24"/>
          <w:szCs w:val="24"/>
        </w:rPr>
      </w:pPr>
      <w:r w:rsidRPr="00CE4249">
        <w:rPr>
          <w:rFonts w:ascii="Times New Roman" w:hAnsi="Times New Roman" w:cs="Times New Roman"/>
          <w:sz w:val="24"/>
          <w:szCs w:val="24"/>
        </w:rPr>
        <w:t xml:space="preserve">- </w:t>
      </w:r>
      <w:r w:rsidRPr="00CE4249">
        <w:rPr>
          <w:rFonts w:ascii="Times New Roman" w:hAnsi="Times New Roman" w:cs="Times New Roman"/>
          <w:sz w:val="24"/>
          <w:szCs w:val="24"/>
          <w:u w:val="single"/>
        </w:rPr>
        <w:t>Crece la brecha generacional: el patrimonio de los jóvenes españoles cae un 75% desde 2002</w:t>
      </w:r>
      <w:r w:rsidRPr="00CE4249">
        <w:rPr>
          <w:rFonts w:ascii="Times New Roman" w:hAnsi="Times New Roman" w:cs="Times New Roman"/>
          <w:sz w:val="24"/>
          <w:szCs w:val="24"/>
        </w:rPr>
        <w:t xml:space="preserve"> (The Objective - </w:t>
      </w:r>
      <w:r w:rsidRPr="00CE4249">
        <w:rPr>
          <w:rFonts w:ascii="Times New Roman" w:hAnsi="Times New Roman" w:cs="Times New Roman"/>
          <w:b/>
          <w:sz w:val="24"/>
          <w:szCs w:val="24"/>
        </w:rPr>
        <w:t>20/10/25</w:t>
      </w:r>
      <w:r w:rsidRPr="00CE4249">
        <w:rPr>
          <w:rFonts w:ascii="Times New Roman" w:hAnsi="Times New Roman" w:cs="Times New Roman"/>
          <w:sz w:val="24"/>
          <w:szCs w:val="24"/>
        </w:rPr>
        <w:t>)</w:t>
      </w:r>
    </w:p>
    <w:p w:rsidR="00FC7698" w:rsidRPr="00CE4249" w:rsidRDefault="00FC7698" w:rsidP="00A336CC">
      <w:pPr>
        <w:spacing w:before="100" w:beforeAutospacing="1" w:after="100" w:afterAutospacing="1" w:line="240" w:lineRule="auto"/>
        <w:jc w:val="both"/>
        <w:rPr>
          <w:rFonts w:ascii="Times New Roman" w:hAnsi="Times New Roman" w:cs="Times New Roman"/>
          <w:sz w:val="24"/>
          <w:szCs w:val="24"/>
        </w:rPr>
      </w:pPr>
      <w:r w:rsidRPr="00CE4249">
        <w:rPr>
          <w:rFonts w:ascii="Times New Roman" w:hAnsi="Times New Roman" w:cs="Times New Roman"/>
          <w:sz w:val="24"/>
          <w:szCs w:val="24"/>
        </w:rPr>
        <w:t>El patrimonio de los jóvenes españoles se ha desplomado en las dos últimas décadas. La riqueza bruta de los hogares cuyo cabeza de familia tiene menos de 35 años se ha reducido un 75% desde 2002, mientras que el grupo de entre 35 y 44 años acumula un 15% menos que hace veinte años. Según el estudio Radiografía de la evolución del patrimonio de los hogares españoles: la dificultad del ahorro para las nuevas generaciones, elaborado por el Observatorio del Ahorro de la Fundación Mutualidad, los mayores de 65 años han mantenido niveles de patrimonio estables, pero los menores de 35 sufren caídas continuas desde la crisis de 2008, sin lograr recuperarse y profundizando su deterioro económico.</w:t>
      </w:r>
    </w:p>
    <w:p w:rsidR="007D171D" w:rsidRPr="00BE65CB" w:rsidRDefault="00A56429" w:rsidP="007D171D">
      <w:pPr>
        <w:spacing w:line="240" w:lineRule="auto"/>
        <w:jc w:val="both"/>
        <w:rPr>
          <w:rFonts w:ascii="Times New Roman" w:hAnsi="Times New Roman" w:cs="Times New Roman"/>
          <w:b/>
          <w:sz w:val="24"/>
          <w:szCs w:val="24"/>
        </w:rPr>
      </w:pPr>
      <w:r>
        <w:rPr>
          <w:rFonts w:ascii="Times New Roman" w:hAnsi="Times New Roman" w:cs="Times New Roman"/>
          <w:b/>
          <w:sz w:val="24"/>
          <w:szCs w:val="24"/>
        </w:rPr>
        <w:t>Así y todo…</w:t>
      </w:r>
      <w:r w:rsidR="007D171D">
        <w:rPr>
          <w:rFonts w:ascii="Times New Roman" w:hAnsi="Times New Roman" w:cs="Times New Roman"/>
          <w:b/>
          <w:sz w:val="24"/>
          <w:szCs w:val="24"/>
        </w:rPr>
        <w:t xml:space="preserve"> </w:t>
      </w:r>
      <w:r>
        <w:rPr>
          <w:rFonts w:ascii="Times New Roman" w:hAnsi="Times New Roman" w:cs="Times New Roman"/>
          <w:b/>
          <w:sz w:val="24"/>
          <w:szCs w:val="24"/>
        </w:rPr>
        <w:t>¿</w:t>
      </w:r>
      <w:r w:rsidR="007D171D">
        <w:rPr>
          <w:rFonts w:ascii="Times New Roman" w:hAnsi="Times New Roman" w:cs="Times New Roman"/>
          <w:b/>
          <w:sz w:val="24"/>
          <w:szCs w:val="24"/>
        </w:rPr>
        <w:t>siguen pensando,</w:t>
      </w:r>
      <w:r w:rsidR="007D171D" w:rsidRPr="00BE65CB">
        <w:rPr>
          <w:rFonts w:ascii="Times New Roman" w:hAnsi="Times New Roman" w:cs="Times New Roman"/>
          <w:b/>
          <w:sz w:val="24"/>
          <w:szCs w:val="24"/>
        </w:rPr>
        <w:t xml:space="preserve"> qué esto no va con ustedes? </w:t>
      </w:r>
    </w:p>
    <w:p w:rsidR="007D171D" w:rsidRPr="00E27E69" w:rsidRDefault="007D171D" w:rsidP="007D171D">
      <w:pPr>
        <w:spacing w:line="240" w:lineRule="auto"/>
        <w:jc w:val="both"/>
        <w:rPr>
          <w:rFonts w:ascii="Times New Roman" w:hAnsi="Times New Roman" w:cs="Times New Roman"/>
          <w:sz w:val="24"/>
          <w:szCs w:val="24"/>
        </w:rPr>
      </w:pPr>
      <w:r w:rsidRPr="00E27E69">
        <w:rPr>
          <w:rFonts w:ascii="Times New Roman" w:hAnsi="Times New Roman" w:cs="Times New Roman"/>
          <w:sz w:val="24"/>
          <w:szCs w:val="24"/>
        </w:rPr>
        <w:t>Tú, que curras, como falso autónomo en la economía disruptiva. Que pagas IVA, IRPF, IBI, peajes y hasta el impuesto por respirar ideológicamente incorrecto. Tú, que no puedes saltarte una tasa municipal sin que te crujan. Tú, que ves cómo quienes insultan a España reciben contratos públicos para impartir talleres de “masculinidad descolonial” entre clase de Ética y recreo.  Tú, que no puedes estudiar en español en toda España. Tú, que tienes que aceptar que se impartan clases de “matemáticas  con perspectivas de género”. Tú, que tienes que creer que los gallos “violan” a las gallinas, o que las gallinas se sienten “tristes” cuando les quitan los huevos. Tú, que te tienes que tragar la campaña “Por huevos” para una “masculinidad más libre y más feminista”, o la operación “Hoy f*llas seguro” “dirigida</w:t>
      </w:r>
      <w:r>
        <w:rPr>
          <w:rFonts w:ascii="Times New Roman" w:hAnsi="Times New Roman" w:cs="Times New Roman"/>
          <w:sz w:val="24"/>
          <w:szCs w:val="24"/>
        </w:rPr>
        <w:t xml:space="preserve"> especialmente a hombres GBHSH”. Tú, que tienes que aceptar que e</w:t>
      </w:r>
      <w:r w:rsidRPr="00857909">
        <w:rPr>
          <w:rFonts w:ascii="Times New Roman" w:hAnsi="Times New Roman" w:cs="Times New Roman"/>
          <w:sz w:val="24"/>
          <w:szCs w:val="24"/>
        </w:rPr>
        <w:t>l</w:t>
      </w:r>
      <w:r>
        <w:rPr>
          <w:rFonts w:ascii="Times New Roman" w:hAnsi="Times New Roman" w:cs="Times New Roman"/>
          <w:sz w:val="24"/>
          <w:szCs w:val="24"/>
        </w:rPr>
        <w:t xml:space="preserve"> Gobierno se rinda ante el islam en Ceuta, prohibiendo</w:t>
      </w:r>
      <w:r w:rsidRPr="00857909">
        <w:rPr>
          <w:rFonts w:ascii="Times New Roman" w:hAnsi="Times New Roman" w:cs="Times New Roman"/>
          <w:sz w:val="24"/>
          <w:szCs w:val="24"/>
        </w:rPr>
        <w:t xml:space="preserve"> el </w:t>
      </w:r>
      <w:r>
        <w:rPr>
          <w:rFonts w:ascii="Times New Roman" w:hAnsi="Times New Roman" w:cs="Times New Roman"/>
          <w:sz w:val="24"/>
          <w:szCs w:val="24"/>
        </w:rPr>
        <w:t>cerdo en los colegios públicos, donde</w:t>
      </w:r>
      <w:r w:rsidRPr="00857909">
        <w:rPr>
          <w:rFonts w:ascii="Times New Roman" w:hAnsi="Times New Roman" w:cs="Times New Roman"/>
          <w:sz w:val="24"/>
          <w:szCs w:val="24"/>
        </w:rPr>
        <w:t xml:space="preserve"> solo se servirá carne halal</w:t>
      </w:r>
      <w:r>
        <w:rPr>
          <w:rFonts w:ascii="Times New Roman" w:hAnsi="Times New Roman" w:cs="Times New Roman"/>
          <w:sz w:val="24"/>
          <w:szCs w:val="24"/>
        </w:rPr>
        <w:t>…</w:t>
      </w:r>
      <w:r w:rsidRPr="00E27E69">
        <w:rPr>
          <w:rFonts w:ascii="Times New Roman" w:hAnsi="Times New Roman" w:cs="Times New Roman"/>
          <w:sz w:val="24"/>
          <w:szCs w:val="24"/>
        </w:rPr>
        <w:t xml:space="preserve"> </w:t>
      </w:r>
    </w:p>
    <w:p w:rsidR="007D171D" w:rsidRPr="00E27E69" w:rsidRDefault="007D171D" w:rsidP="007D171D">
      <w:pPr>
        <w:spacing w:line="240" w:lineRule="auto"/>
        <w:jc w:val="both"/>
        <w:rPr>
          <w:rFonts w:ascii="Times New Roman" w:hAnsi="Times New Roman" w:cs="Times New Roman"/>
          <w:sz w:val="24"/>
          <w:szCs w:val="24"/>
        </w:rPr>
      </w:pPr>
      <w:r w:rsidRPr="00E27E69">
        <w:rPr>
          <w:rFonts w:ascii="Times New Roman" w:hAnsi="Times New Roman" w:cs="Times New Roman"/>
          <w:sz w:val="24"/>
          <w:szCs w:val="24"/>
        </w:rPr>
        <w:t>Tú, que aún -quizá por inercia, por ceguera voluntaria, o por ignorancia supina- esperas que algún día alguien gobierne para ti</w:t>
      </w:r>
      <w:r w:rsidR="00780D2B">
        <w:rPr>
          <w:rFonts w:ascii="Times New Roman" w:hAnsi="Times New Roman" w:cs="Times New Roman"/>
          <w:sz w:val="24"/>
          <w:szCs w:val="24"/>
        </w:rPr>
        <w:t>,</w:t>
      </w:r>
      <w:r w:rsidRPr="00E27E69">
        <w:rPr>
          <w:rFonts w:ascii="Times New Roman" w:hAnsi="Times New Roman" w:cs="Times New Roman"/>
          <w:sz w:val="24"/>
          <w:szCs w:val="24"/>
        </w:rPr>
        <w:t xml:space="preserve"> y no contra ti…</w:t>
      </w:r>
    </w:p>
    <w:p w:rsidR="007D171D" w:rsidRPr="00E27E69" w:rsidRDefault="007D171D" w:rsidP="007D171D">
      <w:pPr>
        <w:spacing w:line="240" w:lineRule="auto"/>
        <w:jc w:val="both"/>
        <w:rPr>
          <w:rFonts w:ascii="Times New Roman" w:hAnsi="Times New Roman" w:cs="Times New Roman"/>
          <w:sz w:val="24"/>
          <w:szCs w:val="24"/>
        </w:rPr>
      </w:pPr>
      <w:r w:rsidRPr="00E27E69">
        <w:rPr>
          <w:rFonts w:ascii="Times New Roman" w:hAnsi="Times New Roman" w:cs="Times New Roman"/>
          <w:sz w:val="24"/>
          <w:szCs w:val="24"/>
        </w:rPr>
        <w:t>Tú, que mereces algo más que un Gobierno que administre relatos, que confunda el orden con la pose</w:t>
      </w:r>
      <w:r w:rsidR="00780D2B">
        <w:rPr>
          <w:rFonts w:ascii="Times New Roman" w:hAnsi="Times New Roman" w:cs="Times New Roman"/>
          <w:sz w:val="24"/>
          <w:szCs w:val="24"/>
        </w:rPr>
        <w:t>,</w:t>
      </w:r>
      <w:r w:rsidRPr="00E27E69">
        <w:rPr>
          <w:rFonts w:ascii="Times New Roman" w:hAnsi="Times New Roman" w:cs="Times New Roman"/>
          <w:sz w:val="24"/>
          <w:szCs w:val="24"/>
        </w:rPr>
        <w:t xml:space="preserve"> y la justicia con el trending topic…</w:t>
      </w:r>
    </w:p>
    <w:p w:rsidR="007D171D" w:rsidRPr="00E27E69" w:rsidRDefault="007D171D" w:rsidP="007D171D">
      <w:pPr>
        <w:spacing w:line="240" w:lineRule="auto"/>
        <w:jc w:val="both"/>
        <w:rPr>
          <w:rFonts w:ascii="Times New Roman" w:hAnsi="Times New Roman" w:cs="Times New Roman"/>
          <w:sz w:val="24"/>
          <w:szCs w:val="24"/>
        </w:rPr>
      </w:pPr>
      <w:r w:rsidRPr="00E27E69">
        <w:rPr>
          <w:rFonts w:ascii="Times New Roman" w:hAnsi="Times New Roman" w:cs="Times New Roman"/>
          <w:sz w:val="24"/>
          <w:szCs w:val="24"/>
        </w:rPr>
        <w:lastRenderedPageBreak/>
        <w:t>Tú. Siempre tú… si alguna vez, despiertas (cosa que resulta muy dura</w:t>
      </w:r>
      <w:r>
        <w:rPr>
          <w:rFonts w:ascii="Times New Roman" w:hAnsi="Times New Roman" w:cs="Times New Roman"/>
          <w:sz w:val="24"/>
          <w:szCs w:val="24"/>
        </w:rPr>
        <w:t xml:space="preserve">, y bastante improbable), y te hagas la pregunta: </w:t>
      </w:r>
      <w:r w:rsidRPr="00E27E69">
        <w:rPr>
          <w:rFonts w:ascii="Times New Roman" w:hAnsi="Times New Roman" w:cs="Times New Roman"/>
          <w:sz w:val="24"/>
          <w:szCs w:val="24"/>
        </w:rPr>
        <w:t>¿Quién paga la fiesta?... Ya lo sabes.</w:t>
      </w:r>
    </w:p>
    <w:p w:rsidR="00A336CC" w:rsidRDefault="00F5453E" w:rsidP="007D171D">
      <w:pPr>
        <w:spacing w:line="240" w:lineRule="auto"/>
        <w:jc w:val="both"/>
        <w:rPr>
          <w:rFonts w:ascii="Times New Roman" w:hAnsi="Times New Roman" w:cs="Times New Roman"/>
          <w:sz w:val="24"/>
          <w:szCs w:val="24"/>
        </w:rPr>
      </w:pPr>
      <w:r>
        <w:rPr>
          <w:rFonts w:ascii="Times New Roman" w:hAnsi="Times New Roman" w:cs="Times New Roman"/>
          <w:b/>
          <w:sz w:val="24"/>
          <w:szCs w:val="24"/>
        </w:rPr>
        <w:t>La consagración de la paradoja</w:t>
      </w:r>
      <w:r w:rsidR="007D171D" w:rsidRPr="00E27E69">
        <w:rPr>
          <w:rFonts w:ascii="Times New Roman" w:hAnsi="Times New Roman" w:cs="Times New Roman"/>
          <w:sz w:val="24"/>
          <w:szCs w:val="24"/>
        </w:rPr>
        <w:t>: Entre melindrerías y vergonzoso parloteo (¿o peloteo?) de los progresistas… la sociedad</w:t>
      </w:r>
      <w:r w:rsidR="007D171D">
        <w:rPr>
          <w:rFonts w:ascii="Times New Roman" w:hAnsi="Times New Roman" w:cs="Times New Roman"/>
          <w:sz w:val="24"/>
          <w:szCs w:val="24"/>
        </w:rPr>
        <w:t xml:space="preserve"> española</w:t>
      </w:r>
      <w:r w:rsidR="007D171D" w:rsidRPr="00E27E69">
        <w:rPr>
          <w:rFonts w:ascii="Times New Roman" w:hAnsi="Times New Roman" w:cs="Times New Roman"/>
          <w:sz w:val="24"/>
          <w:szCs w:val="24"/>
        </w:rPr>
        <w:t xml:space="preserve"> se ha vuelto incapaz de oponerse a la decadencia de las costumbres (un Estado de Bienestar, que se encargue de suministrar la “sopa boba”, desde la cuna a la tumba). No desean rendirse a la evidencia, prefieren arrastrarse (entre “excesos</w:t>
      </w:r>
      <w:r w:rsidR="000B6DCB">
        <w:rPr>
          <w:rFonts w:ascii="Times New Roman" w:hAnsi="Times New Roman" w:cs="Times New Roman"/>
          <w:sz w:val="24"/>
          <w:szCs w:val="24"/>
        </w:rPr>
        <w:t>,</w:t>
      </w:r>
      <w:r w:rsidR="007D171D" w:rsidRPr="00E27E69">
        <w:rPr>
          <w:rFonts w:ascii="Times New Roman" w:hAnsi="Times New Roman" w:cs="Times New Roman"/>
          <w:sz w:val="24"/>
          <w:szCs w:val="24"/>
        </w:rPr>
        <w:t xml:space="preserve"> y parrandas” complacientes), en un permanente grado de </w:t>
      </w:r>
      <w:r w:rsidR="000B6DCB">
        <w:rPr>
          <w:rFonts w:ascii="Times New Roman" w:hAnsi="Times New Roman" w:cs="Times New Roman"/>
          <w:sz w:val="24"/>
          <w:szCs w:val="24"/>
        </w:rPr>
        <w:t>“</w:t>
      </w:r>
      <w:r w:rsidR="007D171D" w:rsidRPr="00E27E69">
        <w:rPr>
          <w:rFonts w:ascii="Times New Roman" w:hAnsi="Times New Roman" w:cs="Times New Roman"/>
          <w:sz w:val="24"/>
          <w:szCs w:val="24"/>
        </w:rPr>
        <w:t>descomposición repugnante</w:t>
      </w:r>
      <w:r w:rsidR="000B6DCB">
        <w:rPr>
          <w:rFonts w:ascii="Times New Roman" w:hAnsi="Times New Roman" w:cs="Times New Roman"/>
          <w:sz w:val="24"/>
          <w:szCs w:val="24"/>
        </w:rPr>
        <w:t>”</w:t>
      </w:r>
      <w:r w:rsidR="007D171D" w:rsidRPr="00E27E69">
        <w:rPr>
          <w:rFonts w:ascii="Times New Roman" w:hAnsi="Times New Roman" w:cs="Times New Roman"/>
          <w:sz w:val="24"/>
          <w:szCs w:val="24"/>
        </w:rPr>
        <w:t xml:space="preserve">. </w:t>
      </w:r>
    </w:p>
    <w:p w:rsidR="00F5453E" w:rsidRDefault="00F5453E" w:rsidP="007D171D">
      <w:pPr>
        <w:spacing w:line="240" w:lineRule="auto"/>
        <w:jc w:val="both"/>
        <w:rPr>
          <w:rFonts w:ascii="Times New Roman" w:hAnsi="Times New Roman" w:cs="Times New Roman"/>
          <w:sz w:val="24"/>
          <w:szCs w:val="24"/>
        </w:rPr>
      </w:pPr>
      <w:r>
        <w:rPr>
          <w:rFonts w:ascii="Times New Roman" w:hAnsi="Times New Roman" w:cs="Times New Roman"/>
          <w:sz w:val="24"/>
          <w:szCs w:val="24"/>
        </w:rPr>
        <w:t>Modorra social, desgana colectiva, inanidad como fórmula de reacción. ¿Inercia, cobardía, pereza? ¿Desconexión de la realidad, instabilidad emocional</w:t>
      </w:r>
      <w:r w:rsidR="000B6DCB">
        <w:rPr>
          <w:rFonts w:ascii="Times New Roman" w:hAnsi="Times New Roman" w:cs="Times New Roman"/>
          <w:sz w:val="24"/>
          <w:szCs w:val="24"/>
        </w:rPr>
        <w:t>,</w:t>
      </w:r>
      <w:r>
        <w:rPr>
          <w:rFonts w:ascii="Times New Roman" w:hAnsi="Times New Roman" w:cs="Times New Roman"/>
          <w:sz w:val="24"/>
          <w:szCs w:val="24"/>
        </w:rPr>
        <w:t xml:space="preserve"> o baja estima? ¿Un proceso de sumisión química?</w:t>
      </w:r>
    </w:p>
    <w:p w:rsidR="007D171D" w:rsidRDefault="007D171D" w:rsidP="007D171D">
      <w:pPr>
        <w:spacing w:line="240" w:lineRule="auto"/>
        <w:jc w:val="both"/>
        <w:rPr>
          <w:rFonts w:ascii="Times New Roman" w:hAnsi="Times New Roman" w:cs="Times New Roman"/>
          <w:sz w:val="24"/>
          <w:szCs w:val="24"/>
        </w:rPr>
      </w:pPr>
      <w:r w:rsidRPr="006B1369">
        <w:rPr>
          <w:rFonts w:ascii="Times New Roman" w:hAnsi="Times New Roman" w:cs="Times New Roman"/>
          <w:b/>
          <w:sz w:val="24"/>
          <w:szCs w:val="24"/>
        </w:rPr>
        <w:t>Para salir del “pudridero”</w:t>
      </w:r>
      <w:r>
        <w:rPr>
          <w:rFonts w:ascii="Times New Roman" w:hAnsi="Times New Roman" w:cs="Times New Roman"/>
          <w:sz w:val="24"/>
          <w:szCs w:val="24"/>
        </w:rPr>
        <w:t xml:space="preserve">: España necesita, de un modo u otro (antes que se lo imponga la Comisión Europea, el Banco Central Europeo, o los “mercados”), resolver sus problemas de </w:t>
      </w:r>
      <w:r w:rsidRPr="00C31DD4">
        <w:rPr>
          <w:rFonts w:ascii="Times New Roman" w:hAnsi="Times New Roman" w:cs="Times New Roman"/>
          <w:sz w:val="24"/>
          <w:szCs w:val="24"/>
        </w:rPr>
        <w:t>baja productividad,</w:t>
      </w:r>
      <w:r>
        <w:rPr>
          <w:rFonts w:ascii="Times New Roman" w:hAnsi="Times New Roman" w:cs="Times New Roman"/>
          <w:sz w:val="24"/>
          <w:szCs w:val="24"/>
        </w:rPr>
        <w:t xml:space="preserve"> débil inversión, inseguridad jurídica, vulnerabilidad fiscal, rigidez del mercado laboral, </w:t>
      </w:r>
      <w:r w:rsidRPr="00C31DD4">
        <w:rPr>
          <w:rFonts w:ascii="Times New Roman" w:hAnsi="Times New Roman" w:cs="Times New Roman"/>
          <w:sz w:val="24"/>
          <w:szCs w:val="24"/>
        </w:rPr>
        <w:t>elevada tasa de paro juvenil, dualidad laboral, d</w:t>
      </w:r>
      <w:r>
        <w:rPr>
          <w:rFonts w:ascii="Times New Roman" w:hAnsi="Times New Roman" w:cs="Times New Roman"/>
          <w:sz w:val="24"/>
          <w:szCs w:val="24"/>
        </w:rPr>
        <w:t>éficit público estructural,</w:t>
      </w:r>
      <w:r w:rsidRPr="00C31DD4">
        <w:rPr>
          <w:rFonts w:ascii="Times New Roman" w:hAnsi="Times New Roman" w:cs="Times New Roman"/>
          <w:sz w:val="24"/>
          <w:szCs w:val="24"/>
        </w:rPr>
        <w:t xml:space="preserve"> escaso acceso a la vivien</w:t>
      </w:r>
      <w:r>
        <w:rPr>
          <w:rFonts w:ascii="Times New Roman" w:hAnsi="Times New Roman" w:cs="Times New Roman"/>
          <w:sz w:val="24"/>
          <w:szCs w:val="24"/>
        </w:rPr>
        <w:t xml:space="preserve">da para jóvenes y clases medias, exceso de </w:t>
      </w:r>
      <w:r w:rsidRPr="00C31DD4">
        <w:rPr>
          <w:rFonts w:ascii="Times New Roman" w:hAnsi="Times New Roman" w:cs="Times New Roman"/>
          <w:sz w:val="24"/>
          <w:szCs w:val="24"/>
        </w:rPr>
        <w:t>gas</w:t>
      </w:r>
      <w:r>
        <w:rPr>
          <w:rFonts w:ascii="Times New Roman" w:hAnsi="Times New Roman" w:cs="Times New Roman"/>
          <w:sz w:val="24"/>
          <w:szCs w:val="24"/>
        </w:rPr>
        <w:t xml:space="preserve">to público,  </w:t>
      </w:r>
      <w:r w:rsidRPr="00C31DD4">
        <w:rPr>
          <w:rFonts w:ascii="Times New Roman" w:hAnsi="Times New Roman" w:cs="Times New Roman"/>
          <w:sz w:val="24"/>
          <w:szCs w:val="24"/>
        </w:rPr>
        <w:t>numerosos sectores intervenidos, regulación asfixi</w:t>
      </w:r>
      <w:r>
        <w:rPr>
          <w:rFonts w:ascii="Times New Roman" w:hAnsi="Times New Roman" w:cs="Times New Roman"/>
          <w:sz w:val="24"/>
          <w:szCs w:val="24"/>
        </w:rPr>
        <w:t>ante</w:t>
      </w:r>
      <w:r w:rsidRPr="00C31DD4">
        <w:rPr>
          <w:rFonts w:ascii="Times New Roman" w:hAnsi="Times New Roman" w:cs="Times New Roman"/>
          <w:sz w:val="24"/>
          <w:szCs w:val="24"/>
        </w:rPr>
        <w:t>, muy pocas empresas líderes en los sectores m</w:t>
      </w:r>
      <w:r>
        <w:rPr>
          <w:rFonts w:ascii="Times New Roman" w:hAnsi="Times New Roman" w:cs="Times New Roman"/>
          <w:sz w:val="24"/>
          <w:szCs w:val="24"/>
        </w:rPr>
        <w:t>ás productivos e innovadores, e inmigración descontrolada.</w:t>
      </w:r>
    </w:p>
    <w:p w:rsidR="007D171D" w:rsidRDefault="007D171D" w:rsidP="007D171D">
      <w:pPr>
        <w:spacing w:line="240" w:lineRule="auto"/>
        <w:jc w:val="both"/>
        <w:rPr>
          <w:rFonts w:ascii="Times New Roman" w:hAnsi="Times New Roman" w:cs="Times New Roman"/>
          <w:sz w:val="24"/>
          <w:szCs w:val="24"/>
        </w:rPr>
      </w:pPr>
      <w:r w:rsidRPr="00C31DD4">
        <w:rPr>
          <w:rFonts w:ascii="Times New Roman" w:hAnsi="Times New Roman" w:cs="Times New Roman"/>
          <w:sz w:val="24"/>
          <w:szCs w:val="24"/>
        </w:rPr>
        <w:t>Las reformas estructurales profundas s</w:t>
      </w:r>
      <w:r>
        <w:rPr>
          <w:rFonts w:ascii="Times New Roman" w:hAnsi="Times New Roman" w:cs="Times New Roman"/>
          <w:sz w:val="24"/>
          <w:szCs w:val="24"/>
        </w:rPr>
        <w:t xml:space="preserve">on imprescindibles para </w:t>
      </w:r>
      <w:r w:rsidRPr="00C31DD4">
        <w:rPr>
          <w:rFonts w:ascii="Times New Roman" w:hAnsi="Times New Roman" w:cs="Times New Roman"/>
          <w:sz w:val="24"/>
          <w:szCs w:val="24"/>
        </w:rPr>
        <w:t>atraer de nue</w:t>
      </w:r>
      <w:r>
        <w:rPr>
          <w:rFonts w:ascii="Times New Roman" w:hAnsi="Times New Roman" w:cs="Times New Roman"/>
          <w:sz w:val="24"/>
          <w:szCs w:val="24"/>
        </w:rPr>
        <w:t>vo inversión productiva, aumentar</w:t>
      </w:r>
      <w:r w:rsidRPr="00C31DD4">
        <w:rPr>
          <w:rFonts w:ascii="Times New Roman" w:hAnsi="Times New Roman" w:cs="Times New Roman"/>
          <w:sz w:val="24"/>
          <w:szCs w:val="24"/>
        </w:rPr>
        <w:t xml:space="preserve"> el poder adquisitivo de los agentes económicos</w:t>
      </w:r>
      <w:r>
        <w:rPr>
          <w:rFonts w:ascii="Times New Roman" w:hAnsi="Times New Roman" w:cs="Times New Roman"/>
          <w:sz w:val="24"/>
          <w:szCs w:val="24"/>
        </w:rPr>
        <w:t xml:space="preserve">, agilizar el mercado laboral, </w:t>
      </w:r>
      <w:r w:rsidRPr="00C31DD4">
        <w:rPr>
          <w:rFonts w:ascii="Times New Roman" w:hAnsi="Times New Roman" w:cs="Times New Roman"/>
          <w:sz w:val="24"/>
          <w:szCs w:val="24"/>
        </w:rPr>
        <w:t>mejorar la productividad y competitividad de la economía.</w:t>
      </w:r>
    </w:p>
    <w:p w:rsidR="001C1302" w:rsidRDefault="007D171D" w:rsidP="001C1302">
      <w:pPr>
        <w:pStyle w:val="NormalWeb"/>
        <w:shd w:val="clear" w:color="auto" w:fill="FFFFFF"/>
        <w:spacing w:before="0" w:beforeAutospacing="0" w:after="0" w:afterAutospacing="0"/>
        <w:jc w:val="both"/>
        <w:textAlignment w:val="baseline"/>
      </w:pPr>
      <w:r>
        <w:t xml:space="preserve">Cambiar </w:t>
      </w:r>
      <w:r w:rsidRPr="000732B0">
        <w:t>el sistema tributario, de la Seguridad Social y del sistema de pensiones, que garantice su sostenibilidad</w:t>
      </w:r>
      <w:r>
        <w:t xml:space="preserve">, </w:t>
      </w:r>
      <w:r w:rsidRPr="000732B0">
        <w:rPr>
          <w:rStyle w:val="Textoennegrita"/>
          <w:rFonts w:eastAsiaTheme="majorEastAsia"/>
          <w:b w:val="0"/>
          <w:bdr w:val="none" w:sz="0" w:space="0" w:color="auto" w:frame="1"/>
        </w:rPr>
        <w:t>ajustar el gasto público a lo necesario</w:t>
      </w:r>
      <w:r w:rsidRPr="000732B0">
        <w:t> y conseguir equilibrar el presupuesto e incluso alcanzar superávit para reducir la deuda en valores absolutos, ya que dichos niveles de endeudamiento son insostenibles sin el respaldo del BCE</w:t>
      </w:r>
      <w:r>
        <w:t xml:space="preserve">, </w:t>
      </w:r>
      <w:r w:rsidRPr="000732B0">
        <w:rPr>
          <w:rStyle w:val="Textoennegrita"/>
          <w:rFonts w:eastAsiaTheme="majorEastAsia"/>
          <w:b w:val="0"/>
          <w:bdr w:val="none" w:sz="0" w:space="0" w:color="auto" w:frame="1"/>
        </w:rPr>
        <w:t>invertir en infraestructuras </w:t>
      </w:r>
      <w:r>
        <w:t xml:space="preserve">para salir </w:t>
      </w:r>
      <w:r w:rsidRPr="000732B0">
        <w:t>del caos de funcionamiento actual,</w:t>
      </w:r>
      <w:r>
        <w:t xml:space="preserve"> modernizar la administración pública, e </w:t>
      </w:r>
      <w:r w:rsidRPr="000732B0">
        <w:t>ir a un presupuesto de base cero en el que se replantee l</w:t>
      </w:r>
      <w:r>
        <w:t>a necesidad de cada gasto (eliminando</w:t>
      </w:r>
      <w:r w:rsidRPr="000732B0">
        <w:t xml:space="preserve"> los innecesar</w:t>
      </w:r>
      <w:r>
        <w:t xml:space="preserve">ios, manteniendo los esenciales, y reforzando las inversiones imprescindibles), </w:t>
      </w:r>
      <w:r w:rsidRPr="000732B0">
        <w:rPr>
          <w:rStyle w:val="Textoennegrita"/>
          <w:rFonts w:eastAsiaTheme="majorEastAsia"/>
          <w:b w:val="0"/>
          <w:bdr w:val="none" w:sz="0" w:space="0" w:color="auto" w:frame="1"/>
        </w:rPr>
        <w:t>garantizar una verdadera unidad de mercado</w:t>
      </w:r>
      <w:r w:rsidRPr="000732B0">
        <w:t> que impulse la eficiencia</w:t>
      </w:r>
      <w:r>
        <w:t xml:space="preserve">, </w:t>
      </w:r>
      <w:r w:rsidRPr="003010D3">
        <w:rPr>
          <w:rStyle w:val="Textoennegrita"/>
          <w:rFonts w:eastAsiaTheme="majorEastAsia"/>
          <w:b w:val="0"/>
          <w:bdr w:val="none" w:sz="0" w:space="0" w:color="auto" w:frame="1"/>
        </w:rPr>
        <w:t>competitiva</w:t>
      </w:r>
      <w:r>
        <w:rPr>
          <w:rStyle w:val="Textoennegrita"/>
          <w:rFonts w:eastAsiaTheme="majorEastAsia"/>
          <w:b w:val="0"/>
          <w:bdr w:val="none" w:sz="0" w:space="0" w:color="auto" w:frame="1"/>
        </w:rPr>
        <w:t>,</w:t>
      </w:r>
      <w:r w:rsidRPr="003010D3">
        <w:rPr>
          <w:rStyle w:val="Textoennegrita"/>
          <w:rFonts w:eastAsiaTheme="majorEastAsia"/>
          <w:b w:val="0"/>
          <w:bdr w:val="none" w:sz="0" w:space="0" w:color="auto" w:frame="1"/>
        </w:rPr>
        <w:t> </w:t>
      </w:r>
      <w:r>
        <w:t xml:space="preserve">y aumente el </w:t>
      </w:r>
      <w:r w:rsidRPr="003010D3">
        <w:t>crecimiento potencial</w:t>
      </w:r>
      <w:r>
        <w:t xml:space="preserve"> de la economía</w:t>
      </w:r>
      <w:r w:rsidRPr="003010D3">
        <w:t xml:space="preserve"> en el largo plazo</w:t>
      </w:r>
      <w:r w:rsidR="001C1302">
        <w:t>…</w:t>
      </w:r>
    </w:p>
    <w:p w:rsidR="001C1302" w:rsidRPr="001C1302" w:rsidRDefault="001C1302" w:rsidP="001C1302">
      <w:pPr>
        <w:pStyle w:val="NormalWeb"/>
        <w:shd w:val="clear" w:color="auto" w:fill="FFFFFF"/>
        <w:spacing w:before="0" w:beforeAutospacing="0" w:after="0" w:afterAutospacing="0"/>
        <w:jc w:val="both"/>
        <w:textAlignment w:val="baseline"/>
      </w:pPr>
    </w:p>
    <w:p w:rsidR="001C1302" w:rsidRDefault="007D171D" w:rsidP="006B4E82">
      <w:pPr>
        <w:spacing w:line="240" w:lineRule="auto"/>
        <w:jc w:val="both"/>
        <w:rPr>
          <w:rFonts w:ascii="Times New Roman" w:hAnsi="Times New Roman" w:cs="Times New Roman"/>
          <w:b/>
          <w:sz w:val="24"/>
          <w:szCs w:val="24"/>
          <w:shd w:val="clear" w:color="auto" w:fill="FFFFFF"/>
        </w:rPr>
      </w:pPr>
      <w:r w:rsidRPr="00D53533">
        <w:rPr>
          <w:rFonts w:ascii="Times New Roman" w:hAnsi="Times New Roman" w:cs="Times New Roman"/>
          <w:b/>
          <w:sz w:val="24"/>
          <w:szCs w:val="24"/>
          <w:shd w:val="clear" w:color="auto" w:fill="FFFFFF"/>
        </w:rPr>
        <w:t>Los desafíos están diagnosticados. Lo que falta es la necesaria determinación para aborda</w:t>
      </w:r>
      <w:r>
        <w:rPr>
          <w:rFonts w:ascii="Times New Roman" w:hAnsi="Times New Roman" w:cs="Times New Roman"/>
          <w:b/>
          <w:sz w:val="24"/>
          <w:szCs w:val="24"/>
          <w:shd w:val="clear" w:color="auto" w:fill="FFFFFF"/>
        </w:rPr>
        <w:t>r</w:t>
      </w:r>
      <w:r w:rsidRPr="00D53533">
        <w:rPr>
          <w:rFonts w:ascii="Times New Roman" w:hAnsi="Times New Roman" w:cs="Times New Roman"/>
          <w:b/>
          <w:sz w:val="24"/>
          <w:szCs w:val="24"/>
          <w:shd w:val="clear" w:color="auto" w:fill="FFFFFF"/>
        </w:rPr>
        <w:t>los. Este puede ser el momento, antes que sea demasiado tarde</w:t>
      </w:r>
      <w:r>
        <w:rPr>
          <w:rFonts w:ascii="Times New Roman" w:hAnsi="Times New Roman" w:cs="Times New Roman"/>
          <w:b/>
          <w:sz w:val="24"/>
          <w:szCs w:val="24"/>
          <w:shd w:val="clear" w:color="auto" w:fill="FFFFFF"/>
        </w:rPr>
        <w:t xml:space="preserve">. </w:t>
      </w:r>
    </w:p>
    <w:p w:rsidR="005B3020" w:rsidRDefault="005B3020" w:rsidP="005B3020">
      <w:pPr>
        <w:jc w:val="both"/>
        <w:rPr>
          <w:rFonts w:ascii="Times New Roman" w:hAnsi="Times New Roman" w:cs="Times New Roman"/>
          <w:b/>
          <w:sz w:val="24"/>
          <w:szCs w:val="24"/>
        </w:rPr>
      </w:pPr>
      <w:r>
        <w:rPr>
          <w:rFonts w:ascii="Times New Roman" w:hAnsi="Times New Roman" w:cs="Times New Roman"/>
          <w:b/>
          <w:sz w:val="24"/>
          <w:szCs w:val="24"/>
        </w:rPr>
        <w:t>La economía del malestar, y los juegos del hambre (en la “sociedad de los conformes”)</w:t>
      </w:r>
    </w:p>
    <w:p w:rsidR="005B3020" w:rsidRPr="00E9098D" w:rsidRDefault="005B3020" w:rsidP="005B3020">
      <w:pPr>
        <w:spacing w:line="240" w:lineRule="auto"/>
        <w:jc w:val="both"/>
        <w:rPr>
          <w:rFonts w:ascii="Times New Roman" w:hAnsi="Times New Roman" w:cs="Times New Roman"/>
          <w:sz w:val="24"/>
          <w:szCs w:val="24"/>
        </w:rPr>
      </w:pPr>
      <w:r w:rsidRPr="00E9098D">
        <w:rPr>
          <w:rFonts w:ascii="Times New Roman" w:hAnsi="Times New Roman" w:cs="Times New Roman"/>
          <w:sz w:val="24"/>
          <w:szCs w:val="24"/>
        </w:rPr>
        <w:t>Desde el año 1998 vengo batallando por viej</w:t>
      </w:r>
      <w:r w:rsidR="00B458AC">
        <w:rPr>
          <w:rFonts w:ascii="Times New Roman" w:hAnsi="Times New Roman" w:cs="Times New Roman"/>
          <w:sz w:val="24"/>
          <w:szCs w:val="24"/>
        </w:rPr>
        <w:t>as y queridas causas perdidas, y</w:t>
      </w:r>
      <w:r w:rsidRPr="00E9098D">
        <w:rPr>
          <w:rFonts w:ascii="Times New Roman" w:hAnsi="Times New Roman" w:cs="Times New Roman"/>
          <w:sz w:val="24"/>
          <w:szCs w:val="24"/>
        </w:rPr>
        <w:t xml:space="preserve"> ahora, al final de la partida (Enero 2026), quiero entregar un último esfuerzo (merecido) a España, como tierra de acogida, tras 26 años de observación reservada, que a algunos resultará insignificante, a otros poco sorprendente, </w:t>
      </w:r>
      <w:r w:rsidR="00B458AC">
        <w:rPr>
          <w:rFonts w:ascii="Times New Roman" w:hAnsi="Times New Roman" w:cs="Times New Roman"/>
          <w:sz w:val="24"/>
          <w:szCs w:val="24"/>
        </w:rPr>
        <w:t xml:space="preserve">y </w:t>
      </w:r>
      <w:r w:rsidRPr="00E9098D">
        <w:rPr>
          <w:rFonts w:ascii="Times New Roman" w:hAnsi="Times New Roman" w:cs="Times New Roman"/>
          <w:sz w:val="24"/>
          <w:szCs w:val="24"/>
        </w:rPr>
        <w:t>a las “partes interesadas” inconveniente, cuando no, impertinente, viniendo de un comentarista poco autorizado.</w:t>
      </w:r>
    </w:p>
    <w:p w:rsidR="005B3020" w:rsidRPr="00E9098D" w:rsidRDefault="005B3020" w:rsidP="005B3020">
      <w:pPr>
        <w:spacing w:line="240" w:lineRule="auto"/>
        <w:jc w:val="both"/>
        <w:rPr>
          <w:rFonts w:ascii="Times New Roman" w:hAnsi="Times New Roman" w:cs="Times New Roman"/>
          <w:sz w:val="24"/>
          <w:szCs w:val="24"/>
        </w:rPr>
      </w:pPr>
      <w:r w:rsidRPr="00E9098D">
        <w:rPr>
          <w:rFonts w:ascii="Times New Roman" w:hAnsi="Times New Roman" w:cs="Times New Roman"/>
          <w:sz w:val="24"/>
          <w:szCs w:val="24"/>
        </w:rPr>
        <w:t>Puede que se queden estremecidos, irritados, ofendidos, con deseos de decir: ¡Pero bueno! ¿A qué viene ese maldito estrépito? ¿Por qué viene un hombre tan desagradable a interrumpir nuestra alegría ininterrumpida, nuestra siesta eterna, nuestro paseo tan placentero, nuestras bocanadas de satisfacción?</w:t>
      </w:r>
    </w:p>
    <w:p w:rsidR="005B3020" w:rsidRPr="00E9098D" w:rsidRDefault="005B3020" w:rsidP="005B3020">
      <w:pPr>
        <w:spacing w:line="240" w:lineRule="auto"/>
        <w:jc w:val="both"/>
        <w:rPr>
          <w:rFonts w:ascii="Times New Roman" w:hAnsi="Times New Roman" w:cs="Times New Roman"/>
          <w:sz w:val="24"/>
          <w:szCs w:val="24"/>
        </w:rPr>
      </w:pPr>
      <w:r w:rsidRPr="00E9098D">
        <w:rPr>
          <w:rFonts w:ascii="Times New Roman" w:hAnsi="Times New Roman" w:cs="Times New Roman"/>
          <w:sz w:val="24"/>
          <w:szCs w:val="24"/>
        </w:rPr>
        <w:lastRenderedPageBreak/>
        <w:t>Y sigan con su discurso (conformista): Puede que algunas</w:t>
      </w:r>
      <w:r w:rsidR="000069AD">
        <w:rPr>
          <w:rFonts w:ascii="Times New Roman" w:hAnsi="Times New Roman" w:cs="Times New Roman"/>
          <w:sz w:val="24"/>
          <w:szCs w:val="24"/>
        </w:rPr>
        <w:t xml:space="preserve"> cosas</w:t>
      </w:r>
      <w:r w:rsidRPr="00E9098D">
        <w:rPr>
          <w:rFonts w:ascii="Times New Roman" w:hAnsi="Times New Roman" w:cs="Times New Roman"/>
          <w:sz w:val="24"/>
          <w:szCs w:val="24"/>
        </w:rPr>
        <w:t xml:space="preserve"> vayan mal (supongamos, por ejemplo), pues bien, mientras tengamos un Estado de Bienestar que nos respalde, el gobierno de progreso nos ayudará a vencer las adversidades.</w:t>
      </w:r>
    </w:p>
    <w:p w:rsidR="005B3020" w:rsidRPr="00E9098D" w:rsidRDefault="005B3020" w:rsidP="005B3020">
      <w:pPr>
        <w:spacing w:line="240" w:lineRule="auto"/>
        <w:jc w:val="both"/>
        <w:rPr>
          <w:rFonts w:ascii="Times New Roman" w:hAnsi="Times New Roman" w:cs="Times New Roman"/>
          <w:sz w:val="24"/>
          <w:szCs w:val="24"/>
        </w:rPr>
      </w:pPr>
      <w:r w:rsidRPr="00E9098D">
        <w:rPr>
          <w:rFonts w:ascii="Times New Roman" w:hAnsi="Times New Roman" w:cs="Times New Roman"/>
          <w:sz w:val="24"/>
          <w:szCs w:val="24"/>
        </w:rPr>
        <w:t>Sin embargo, todo eso (lo dicho por los españoles “conformes”</w:t>
      </w:r>
      <w:r w:rsidR="00B458AC">
        <w:rPr>
          <w:rFonts w:ascii="Times New Roman" w:hAnsi="Times New Roman" w:cs="Times New Roman"/>
          <w:sz w:val="24"/>
          <w:szCs w:val="24"/>
        </w:rPr>
        <w:t>)</w:t>
      </w:r>
      <w:r w:rsidRPr="00E9098D">
        <w:rPr>
          <w:rFonts w:ascii="Times New Roman" w:hAnsi="Times New Roman" w:cs="Times New Roman"/>
          <w:sz w:val="24"/>
          <w:szCs w:val="24"/>
        </w:rPr>
        <w:t>, es un síntoma de debilidad.</w:t>
      </w:r>
    </w:p>
    <w:p w:rsidR="005B3020" w:rsidRPr="00E9098D" w:rsidRDefault="005B3020" w:rsidP="005B3020">
      <w:pPr>
        <w:spacing w:line="240" w:lineRule="auto"/>
        <w:jc w:val="both"/>
        <w:rPr>
          <w:rFonts w:ascii="Times New Roman" w:hAnsi="Times New Roman" w:cs="Times New Roman"/>
          <w:sz w:val="24"/>
          <w:szCs w:val="24"/>
        </w:rPr>
      </w:pPr>
      <w:r w:rsidRPr="00E9098D">
        <w:rPr>
          <w:rFonts w:ascii="Times New Roman" w:hAnsi="Times New Roman" w:cs="Times New Roman"/>
          <w:sz w:val="24"/>
          <w:szCs w:val="24"/>
        </w:rPr>
        <w:t>Sin duda</w:t>
      </w:r>
      <w:r w:rsidR="009579D6">
        <w:rPr>
          <w:rFonts w:ascii="Times New Roman" w:hAnsi="Times New Roman" w:cs="Times New Roman"/>
          <w:sz w:val="24"/>
          <w:szCs w:val="24"/>
        </w:rPr>
        <w:t>,</w:t>
      </w:r>
      <w:r w:rsidRPr="00E9098D">
        <w:rPr>
          <w:rFonts w:ascii="Times New Roman" w:hAnsi="Times New Roman" w:cs="Times New Roman"/>
          <w:sz w:val="24"/>
          <w:szCs w:val="24"/>
        </w:rPr>
        <w:t xml:space="preserve"> esto no funciona. Estoy completamente seguro. Me he interesado por muchas cosas durante mi residencia en España, y cuando se sie</w:t>
      </w:r>
      <w:r w:rsidR="00B458AC">
        <w:rPr>
          <w:rFonts w:ascii="Times New Roman" w:hAnsi="Times New Roman" w:cs="Times New Roman"/>
          <w:sz w:val="24"/>
          <w:szCs w:val="24"/>
        </w:rPr>
        <w:t>n</w:t>
      </w:r>
      <w:r w:rsidRPr="00E9098D">
        <w:rPr>
          <w:rFonts w:ascii="Times New Roman" w:hAnsi="Times New Roman" w:cs="Times New Roman"/>
          <w:sz w:val="24"/>
          <w:szCs w:val="24"/>
        </w:rPr>
        <w:t>te interés hacia las cosas, no se tarda mucho en comprenderlas.</w:t>
      </w:r>
      <w:r w:rsidR="009579D6">
        <w:rPr>
          <w:rFonts w:ascii="Times New Roman" w:hAnsi="Times New Roman" w:cs="Times New Roman"/>
          <w:sz w:val="24"/>
          <w:szCs w:val="24"/>
        </w:rPr>
        <w:t xml:space="preserve"> </w:t>
      </w:r>
      <w:r w:rsidRPr="00E9098D">
        <w:rPr>
          <w:rFonts w:ascii="Times New Roman" w:hAnsi="Times New Roman" w:cs="Times New Roman"/>
          <w:sz w:val="24"/>
          <w:szCs w:val="24"/>
        </w:rPr>
        <w:t>Es preciso designar las cosas con entereza y por su verdadero nombre. Eso fortifica y eleva la vida. La maldad, que se puede colegir de mi juicio (“propuestas de reforma”), es el espíritu de la crítica, y la crítica es el origen del progreso y las luces de la civilización. Es preciso juzgar. Para eso nos ha dado la naturaleza el cerebro.</w:t>
      </w:r>
    </w:p>
    <w:p w:rsidR="005B3020" w:rsidRPr="00E9098D" w:rsidRDefault="005B3020" w:rsidP="005B3020">
      <w:pPr>
        <w:spacing w:line="240" w:lineRule="auto"/>
        <w:jc w:val="both"/>
        <w:rPr>
          <w:rFonts w:ascii="Times New Roman" w:hAnsi="Times New Roman" w:cs="Times New Roman"/>
          <w:sz w:val="24"/>
          <w:szCs w:val="24"/>
        </w:rPr>
      </w:pPr>
      <w:r w:rsidRPr="00E9098D">
        <w:rPr>
          <w:rFonts w:ascii="Times New Roman" w:hAnsi="Times New Roman" w:cs="Times New Roman"/>
          <w:sz w:val="24"/>
          <w:szCs w:val="24"/>
        </w:rPr>
        <w:t>Aunque no lo quieran ver, nos enfrentamos a una sentencia de muerte a la clase media española: exigua, maltratada, abandonada y expoliada, que solo existe para pagar (la fi</w:t>
      </w:r>
      <w:r w:rsidR="000069AD">
        <w:rPr>
          <w:rFonts w:ascii="Times New Roman" w:hAnsi="Times New Roman" w:cs="Times New Roman"/>
          <w:sz w:val="24"/>
          <w:szCs w:val="24"/>
        </w:rPr>
        <w:t>esta, de los “apropiadores de rentas</w:t>
      </w:r>
      <w:r w:rsidRPr="00E9098D">
        <w:rPr>
          <w:rFonts w:ascii="Times New Roman" w:hAnsi="Times New Roman" w:cs="Times New Roman"/>
          <w:sz w:val="24"/>
          <w:szCs w:val="24"/>
        </w:rPr>
        <w:t>”).</w:t>
      </w:r>
      <w:r w:rsidR="009579D6">
        <w:rPr>
          <w:rFonts w:ascii="Times New Roman" w:hAnsi="Times New Roman" w:cs="Times New Roman"/>
          <w:sz w:val="24"/>
          <w:szCs w:val="24"/>
        </w:rPr>
        <w:t xml:space="preserve"> </w:t>
      </w:r>
      <w:r w:rsidR="00B458AC">
        <w:rPr>
          <w:rFonts w:ascii="Times New Roman" w:hAnsi="Times New Roman" w:cs="Times New Roman"/>
          <w:sz w:val="24"/>
          <w:szCs w:val="24"/>
        </w:rPr>
        <w:t>De seguir así, l</w:t>
      </w:r>
      <w:r w:rsidRPr="00E9098D">
        <w:rPr>
          <w:rFonts w:ascii="Times New Roman" w:hAnsi="Times New Roman" w:cs="Times New Roman"/>
          <w:sz w:val="24"/>
          <w:szCs w:val="24"/>
        </w:rPr>
        <w:t>legará un día en que habrán arrebatado todos los sueños a los españoles, hasta que no anhelen más que cobrar una renta mínima vital como culmen de la destrucción moral del hombre que</w:t>
      </w:r>
      <w:r w:rsidR="00E9098D" w:rsidRPr="00E9098D">
        <w:rPr>
          <w:rFonts w:ascii="Times New Roman" w:hAnsi="Times New Roman" w:cs="Times New Roman"/>
          <w:sz w:val="24"/>
          <w:szCs w:val="24"/>
        </w:rPr>
        <w:t>,</w:t>
      </w:r>
      <w:r w:rsidRPr="00E9098D">
        <w:rPr>
          <w:rFonts w:ascii="Times New Roman" w:hAnsi="Times New Roman" w:cs="Times New Roman"/>
          <w:sz w:val="24"/>
          <w:szCs w:val="24"/>
        </w:rPr>
        <w:t xml:space="preserve"> ni vive, ni construye, ni conserva, solo obedece y sobrevive.</w:t>
      </w:r>
    </w:p>
    <w:p w:rsidR="00780D2B" w:rsidRDefault="009579D6" w:rsidP="005B3020">
      <w:pPr>
        <w:spacing w:line="240" w:lineRule="auto"/>
        <w:jc w:val="both"/>
        <w:rPr>
          <w:rFonts w:ascii="Times New Roman" w:hAnsi="Times New Roman" w:cs="Times New Roman"/>
          <w:sz w:val="24"/>
          <w:szCs w:val="24"/>
        </w:rPr>
      </w:pPr>
      <w:r w:rsidRPr="009579D6">
        <w:rPr>
          <w:rFonts w:ascii="Times New Roman" w:hAnsi="Times New Roman" w:cs="Times New Roman"/>
          <w:sz w:val="24"/>
          <w:szCs w:val="24"/>
        </w:rPr>
        <w:t>El retroceso de España no es casual. Responde a un patrón claro: el avance del intervencionismo. El Estado ha crecido en tamaño y gasto, ha multiplicado las regulaciones y ha mostrado una creciente tendencia a sustituir las decisiones individuales por la imposición política. El resultado es una economía cada vez menos competitiva, más rígida y con menor capacidad de generar riqueza sostenida.</w:t>
      </w:r>
      <w:r w:rsidR="00780D2B">
        <w:rPr>
          <w:rFonts w:ascii="Times New Roman" w:hAnsi="Times New Roman" w:cs="Times New Roman"/>
          <w:sz w:val="24"/>
          <w:szCs w:val="24"/>
        </w:rPr>
        <w:t xml:space="preserve"> </w:t>
      </w:r>
    </w:p>
    <w:p w:rsidR="009579D6" w:rsidRDefault="009579D6" w:rsidP="005B3020">
      <w:pPr>
        <w:spacing w:line="240" w:lineRule="auto"/>
        <w:jc w:val="both"/>
        <w:rPr>
          <w:rFonts w:ascii="Times New Roman" w:hAnsi="Times New Roman" w:cs="Times New Roman"/>
          <w:sz w:val="24"/>
          <w:szCs w:val="24"/>
        </w:rPr>
      </w:pPr>
      <w:r w:rsidRPr="00E9098D">
        <w:rPr>
          <w:rFonts w:ascii="Times New Roman" w:hAnsi="Times New Roman" w:cs="Times New Roman"/>
          <w:sz w:val="24"/>
          <w:szCs w:val="24"/>
        </w:rPr>
        <w:t>Un país como muchos Glovo, Deliveroo, Uber, Airbnb, contratos preca</w:t>
      </w:r>
      <w:r>
        <w:rPr>
          <w:rFonts w:ascii="Times New Roman" w:hAnsi="Times New Roman" w:cs="Times New Roman"/>
          <w:sz w:val="24"/>
          <w:szCs w:val="24"/>
        </w:rPr>
        <w:t xml:space="preserve">rios, sin vivienda, seguridad, unidad nacional, e </w:t>
      </w:r>
      <w:r w:rsidRPr="00E9098D">
        <w:rPr>
          <w:rFonts w:ascii="Times New Roman" w:hAnsi="Times New Roman" w:cs="Times New Roman"/>
          <w:sz w:val="24"/>
          <w:szCs w:val="24"/>
        </w:rPr>
        <w:t>identidad cultural, no puede ser un país, no es un lugar donde se pueda defender el bien común, al no haber nada en común.</w:t>
      </w:r>
    </w:p>
    <w:p w:rsidR="00CE4249" w:rsidRDefault="00CE4249" w:rsidP="005B3020">
      <w:pPr>
        <w:spacing w:line="240" w:lineRule="auto"/>
        <w:jc w:val="both"/>
        <w:rPr>
          <w:rFonts w:ascii="Times New Roman" w:hAnsi="Times New Roman" w:cs="Times New Roman"/>
          <w:b/>
          <w:sz w:val="24"/>
          <w:szCs w:val="24"/>
        </w:rPr>
      </w:pPr>
      <w:r w:rsidRPr="00CE4249">
        <w:rPr>
          <w:rFonts w:ascii="Times New Roman" w:hAnsi="Times New Roman" w:cs="Times New Roman"/>
          <w:b/>
          <w:sz w:val="24"/>
          <w:szCs w:val="24"/>
        </w:rPr>
        <w:t>Mientras los gobernantes “tocan la lira”, los ciudadanos españoles están en un estado de psicosis colectiva: ¡Rodeados de estupidez!</w:t>
      </w:r>
      <w:r>
        <w:rPr>
          <w:rFonts w:ascii="Times New Roman" w:hAnsi="Times New Roman" w:cs="Times New Roman"/>
          <w:b/>
          <w:sz w:val="24"/>
          <w:szCs w:val="24"/>
        </w:rPr>
        <w:t xml:space="preserve"> (verdades alternativas, a</w:t>
      </w:r>
      <w:r w:rsidRPr="00CE4249">
        <w:rPr>
          <w:rFonts w:ascii="Times New Roman" w:hAnsi="Times New Roman" w:cs="Times New Roman"/>
          <w:b/>
          <w:sz w:val="24"/>
          <w:szCs w:val="24"/>
        </w:rPr>
        <w:t xml:space="preserve"> base de mentiras repetitivas). ¡Se necesitará mucha valentía</w:t>
      </w:r>
      <w:r>
        <w:rPr>
          <w:rFonts w:ascii="Times New Roman" w:hAnsi="Times New Roman" w:cs="Times New Roman"/>
          <w:b/>
          <w:sz w:val="24"/>
          <w:szCs w:val="24"/>
        </w:rPr>
        <w:t>,</w:t>
      </w:r>
      <w:r w:rsidRPr="00CE4249">
        <w:rPr>
          <w:rFonts w:ascii="Times New Roman" w:hAnsi="Times New Roman" w:cs="Times New Roman"/>
          <w:b/>
          <w:sz w:val="24"/>
          <w:szCs w:val="24"/>
        </w:rPr>
        <w:t xml:space="preserve"> para salir de esta pandemia de idiotas! </w:t>
      </w:r>
    </w:p>
    <w:p w:rsidR="00780D2B" w:rsidRPr="00780D2B" w:rsidRDefault="00780D2B" w:rsidP="005B3020">
      <w:pPr>
        <w:spacing w:line="240" w:lineRule="auto"/>
        <w:jc w:val="both"/>
        <w:rPr>
          <w:rFonts w:ascii="Times New Roman" w:hAnsi="Times New Roman" w:cs="Times New Roman"/>
          <w:color w:val="FF0000"/>
          <w:sz w:val="24"/>
          <w:szCs w:val="24"/>
        </w:rPr>
      </w:pPr>
      <w:r w:rsidRPr="00AF0875">
        <w:rPr>
          <w:rFonts w:ascii="Times New Roman" w:hAnsi="Times New Roman" w:cs="Times New Roman"/>
          <w:b/>
          <w:color w:val="000000"/>
          <w:sz w:val="24"/>
          <w:szCs w:val="24"/>
          <w:shd w:val="clear" w:color="auto" w:fill="FFFFFF"/>
        </w:rPr>
        <w:t>Un proverbio judío sostiene que, con las mentiras puede llegarse muy lejos, pero</w:t>
      </w:r>
      <w:r w:rsidRPr="00AF0875">
        <w:rPr>
          <w:rFonts w:ascii="Times New Roman" w:hAnsi="Times New Roman" w:cs="Times New Roman"/>
          <w:color w:val="000000"/>
          <w:sz w:val="24"/>
          <w:szCs w:val="24"/>
          <w:shd w:val="clear" w:color="auto" w:fill="FFFFFF"/>
        </w:rPr>
        <w:t> </w:t>
      </w:r>
      <w:r w:rsidRPr="00AF0875">
        <w:rPr>
          <w:rStyle w:val="Textoennegrita"/>
          <w:rFonts w:ascii="Times New Roman" w:hAnsi="Times New Roman" w:cs="Times New Roman"/>
          <w:color w:val="000000"/>
          <w:sz w:val="24"/>
          <w:szCs w:val="24"/>
          <w:shd w:val="clear" w:color="auto" w:fill="FFFFFF"/>
        </w:rPr>
        <w:t>sin esperanza alguna de volver</w:t>
      </w:r>
      <w:r>
        <w:rPr>
          <w:rStyle w:val="Textoennegrita"/>
          <w:rFonts w:ascii="Times New Roman" w:hAnsi="Times New Roman" w:cs="Times New Roman"/>
          <w:color w:val="000000"/>
          <w:sz w:val="24"/>
          <w:szCs w:val="24"/>
          <w:shd w:val="clear" w:color="auto" w:fill="FFFFFF"/>
        </w:rPr>
        <w:t xml:space="preserve">. ¿Está los españoles, en </w:t>
      </w:r>
      <w:r w:rsidRPr="00AF0875">
        <w:rPr>
          <w:rStyle w:val="Textoennegrita"/>
          <w:rFonts w:ascii="Times New Roman" w:hAnsi="Times New Roman" w:cs="Times New Roman"/>
          <w:color w:val="000000"/>
          <w:sz w:val="24"/>
          <w:szCs w:val="24"/>
          <w:shd w:val="clear" w:color="auto" w:fill="FFFFFF"/>
        </w:rPr>
        <w:t>esa situación? That is the question…</w:t>
      </w:r>
    </w:p>
    <w:p w:rsidR="005B3020" w:rsidRPr="009579D6" w:rsidRDefault="00E9098D" w:rsidP="005B3020">
      <w:pPr>
        <w:spacing w:line="240" w:lineRule="auto"/>
        <w:jc w:val="both"/>
        <w:rPr>
          <w:rFonts w:ascii="Times New Roman" w:hAnsi="Times New Roman" w:cs="Times New Roman"/>
          <w:b/>
          <w:sz w:val="24"/>
          <w:szCs w:val="24"/>
        </w:rPr>
      </w:pPr>
      <w:r w:rsidRPr="009579D6">
        <w:rPr>
          <w:rFonts w:ascii="Times New Roman" w:hAnsi="Times New Roman" w:cs="Times New Roman"/>
          <w:b/>
          <w:sz w:val="24"/>
          <w:szCs w:val="24"/>
        </w:rPr>
        <w:t>Después de todo lo dicho, frente al manifiesto de</w:t>
      </w:r>
      <w:r w:rsidR="004E17A3">
        <w:rPr>
          <w:rFonts w:ascii="Times New Roman" w:hAnsi="Times New Roman" w:cs="Times New Roman"/>
          <w:b/>
          <w:sz w:val="24"/>
          <w:szCs w:val="24"/>
        </w:rPr>
        <w:t>sinterés del poder institucional</w:t>
      </w:r>
      <w:r w:rsidR="00EF023D">
        <w:rPr>
          <w:rFonts w:ascii="Times New Roman" w:hAnsi="Times New Roman" w:cs="Times New Roman"/>
          <w:b/>
          <w:sz w:val="24"/>
          <w:szCs w:val="24"/>
        </w:rPr>
        <w:t xml:space="preserve"> (político) y fáctico (</w:t>
      </w:r>
      <w:r w:rsidR="004E17A3">
        <w:rPr>
          <w:rFonts w:ascii="Times New Roman" w:hAnsi="Times New Roman" w:cs="Times New Roman"/>
          <w:b/>
          <w:sz w:val="24"/>
          <w:szCs w:val="24"/>
        </w:rPr>
        <w:t>empresarios, sindicalistas</w:t>
      </w:r>
      <w:r w:rsidRPr="009579D6">
        <w:rPr>
          <w:rFonts w:ascii="Times New Roman" w:hAnsi="Times New Roman" w:cs="Times New Roman"/>
          <w:b/>
          <w:sz w:val="24"/>
          <w:szCs w:val="24"/>
        </w:rPr>
        <w:t>,</w:t>
      </w:r>
      <w:r w:rsidR="00EF023D">
        <w:rPr>
          <w:rFonts w:ascii="Times New Roman" w:hAnsi="Times New Roman" w:cs="Times New Roman"/>
          <w:b/>
          <w:sz w:val="24"/>
          <w:szCs w:val="24"/>
        </w:rPr>
        <w:t xml:space="preserve"> </w:t>
      </w:r>
      <w:r w:rsidR="004E17A3">
        <w:rPr>
          <w:rFonts w:ascii="Times New Roman" w:hAnsi="Times New Roman" w:cs="Times New Roman"/>
          <w:b/>
          <w:sz w:val="24"/>
          <w:szCs w:val="24"/>
        </w:rPr>
        <w:t>funcionarios</w:t>
      </w:r>
      <w:r w:rsidR="00780D2B">
        <w:rPr>
          <w:rFonts w:ascii="Times New Roman" w:hAnsi="Times New Roman" w:cs="Times New Roman"/>
          <w:b/>
          <w:sz w:val="24"/>
          <w:szCs w:val="24"/>
        </w:rPr>
        <w:t>, académicos, periodistas</w:t>
      </w:r>
      <w:r w:rsidRPr="009579D6">
        <w:rPr>
          <w:rFonts w:ascii="Times New Roman" w:hAnsi="Times New Roman" w:cs="Times New Roman"/>
          <w:b/>
          <w:sz w:val="24"/>
          <w:szCs w:val="24"/>
        </w:rPr>
        <w:t>), y ante la apatía (pasividad, indiferencia, despreocupación, inmovilidad, pasmo) del pueblo español, n</w:t>
      </w:r>
      <w:r w:rsidR="005B3020" w:rsidRPr="009579D6">
        <w:rPr>
          <w:rFonts w:ascii="Times New Roman" w:hAnsi="Times New Roman" w:cs="Times New Roman"/>
          <w:b/>
          <w:sz w:val="24"/>
          <w:szCs w:val="24"/>
        </w:rPr>
        <w:t>o espero milagros, sino reacciones.</w:t>
      </w:r>
    </w:p>
    <w:p w:rsidR="00CB2162" w:rsidRDefault="00CB2162" w:rsidP="005B3020">
      <w:pPr>
        <w:spacing w:line="240" w:lineRule="auto"/>
        <w:jc w:val="both"/>
        <w:rPr>
          <w:rFonts w:ascii="Times New Roman" w:hAnsi="Times New Roman" w:cs="Times New Roman"/>
          <w:b/>
          <w:sz w:val="24"/>
          <w:szCs w:val="24"/>
        </w:rPr>
      </w:pPr>
      <w:r w:rsidRPr="009579D6">
        <w:rPr>
          <w:rFonts w:ascii="Times New Roman" w:hAnsi="Times New Roman" w:cs="Times New Roman"/>
          <w:b/>
          <w:sz w:val="24"/>
          <w:szCs w:val="24"/>
        </w:rPr>
        <w:t xml:space="preserve">A la hora del balance final, los gobernados (contribuyentes), tendrán mayor culpa, que los gobernantes (apropiadores de rentas), por no haber controlado la acción del estado. </w:t>
      </w:r>
    </w:p>
    <w:p w:rsidR="00780D2B" w:rsidRDefault="006848A8" w:rsidP="006B4E82">
      <w:pPr>
        <w:spacing w:line="240" w:lineRule="auto"/>
        <w:jc w:val="both"/>
        <w:rPr>
          <w:rFonts w:ascii="Times New Roman" w:hAnsi="Times New Roman" w:cs="Times New Roman"/>
          <w:b/>
          <w:sz w:val="24"/>
          <w:szCs w:val="24"/>
        </w:rPr>
      </w:pPr>
      <w:r>
        <w:rPr>
          <w:rFonts w:ascii="Times New Roman" w:hAnsi="Times New Roman" w:cs="Times New Roman"/>
          <w:b/>
          <w:sz w:val="24"/>
          <w:szCs w:val="24"/>
        </w:rPr>
        <w:t>Quién forma para de la “sociedad de los conformes”, el que esta “esclavizado por voluntad propia”… ¿puede proporcionar la liberación a los demás? ¿no se ve más bien turbado por su experiencia personal, que enriquecido y personalmente fortificado?</w:t>
      </w:r>
    </w:p>
    <w:p w:rsidR="00CE4249" w:rsidRDefault="005B3020" w:rsidP="006B4E82">
      <w:pPr>
        <w:spacing w:line="240" w:lineRule="auto"/>
        <w:jc w:val="both"/>
        <w:rPr>
          <w:rFonts w:ascii="Times New Roman" w:hAnsi="Times New Roman" w:cs="Times New Roman"/>
          <w:b/>
          <w:sz w:val="24"/>
          <w:szCs w:val="24"/>
        </w:rPr>
      </w:pPr>
      <w:r w:rsidRPr="009579D6">
        <w:rPr>
          <w:rFonts w:ascii="Times New Roman" w:hAnsi="Times New Roman" w:cs="Times New Roman"/>
          <w:b/>
          <w:sz w:val="24"/>
          <w:szCs w:val="24"/>
        </w:rPr>
        <w:t>Perdonen mi atrevimiento, pero el tiempo apremia, y si siguen así, estamos jodidos. Que lo sepan.</w:t>
      </w:r>
    </w:p>
    <w:p w:rsidR="00980726" w:rsidRDefault="00980726" w:rsidP="006B4E82">
      <w:pPr>
        <w:spacing w:line="240" w:lineRule="auto"/>
        <w:jc w:val="both"/>
        <w:rPr>
          <w:rFonts w:ascii="Times New Roman" w:hAnsi="Times New Roman" w:cs="Times New Roman"/>
          <w:b/>
          <w:color w:val="FF0000"/>
          <w:sz w:val="24"/>
          <w:szCs w:val="24"/>
          <w:shd w:val="clear" w:color="auto" w:fill="FFFFFF"/>
        </w:rPr>
      </w:pPr>
    </w:p>
    <w:p w:rsidR="006B4E82" w:rsidRPr="000069AD" w:rsidRDefault="00AF0578"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b/>
          <w:sz w:val="24"/>
          <w:szCs w:val="24"/>
          <w:shd w:val="clear" w:color="auto" w:fill="FFFFFF"/>
        </w:rPr>
        <w:lastRenderedPageBreak/>
        <w:t xml:space="preserve">- </w:t>
      </w:r>
      <w:r w:rsidR="006B4E82" w:rsidRPr="000069AD">
        <w:rPr>
          <w:rFonts w:ascii="Times New Roman" w:hAnsi="Times New Roman" w:cs="Times New Roman"/>
          <w:b/>
          <w:sz w:val="24"/>
          <w:szCs w:val="24"/>
          <w:shd w:val="clear" w:color="auto" w:fill="FFFFFF"/>
        </w:rPr>
        <w:t>Fin del camino</w:t>
      </w:r>
      <w:r w:rsidR="00BD2B78" w:rsidRPr="000069AD">
        <w:rPr>
          <w:rFonts w:ascii="Times New Roman" w:hAnsi="Times New Roman" w:cs="Times New Roman"/>
          <w:b/>
          <w:sz w:val="24"/>
          <w:szCs w:val="24"/>
          <w:shd w:val="clear" w:color="auto" w:fill="FFFFFF"/>
        </w:rPr>
        <w:t>:</w:t>
      </w:r>
      <w:r w:rsidR="00B62645" w:rsidRPr="000069AD">
        <w:rPr>
          <w:rFonts w:ascii="Times New Roman" w:hAnsi="Times New Roman" w:cs="Times New Roman"/>
          <w:b/>
          <w:sz w:val="24"/>
          <w:szCs w:val="24"/>
          <w:shd w:val="clear" w:color="auto" w:fill="FFFFFF"/>
        </w:rPr>
        <w:t xml:space="preserve"> ú</w:t>
      </w:r>
      <w:r w:rsidR="001D2556" w:rsidRPr="000069AD">
        <w:rPr>
          <w:rFonts w:ascii="Times New Roman" w:hAnsi="Times New Roman" w:cs="Times New Roman"/>
          <w:b/>
          <w:sz w:val="24"/>
          <w:szCs w:val="24"/>
          <w:shd w:val="clear" w:color="auto" w:fill="FFFFFF"/>
        </w:rPr>
        <w:t>ltimo baile</w:t>
      </w:r>
      <w:r w:rsidR="00B62645" w:rsidRPr="000069AD">
        <w:rPr>
          <w:rFonts w:ascii="Times New Roman" w:hAnsi="Times New Roman" w:cs="Times New Roman"/>
          <w:b/>
          <w:sz w:val="24"/>
          <w:szCs w:val="24"/>
          <w:shd w:val="clear" w:color="auto" w:fill="FFFFFF"/>
        </w:rPr>
        <w:t xml:space="preserve"> (no va más…) -</w:t>
      </w:r>
      <w:r w:rsidR="00B62645" w:rsidRPr="000069AD">
        <w:rPr>
          <w:rFonts w:ascii="Times New Roman" w:hAnsi="Times New Roman" w:cs="Times New Roman"/>
          <w:sz w:val="24"/>
          <w:szCs w:val="24"/>
          <w:shd w:val="clear" w:color="auto" w:fill="FFFFFF"/>
        </w:rPr>
        <w:t xml:space="preserve"> </w:t>
      </w:r>
      <w:r w:rsidR="00B62645" w:rsidRPr="000069AD">
        <w:rPr>
          <w:rFonts w:ascii="Times New Roman" w:hAnsi="Times New Roman" w:cs="Times New Roman"/>
          <w:b/>
          <w:sz w:val="24"/>
          <w:szCs w:val="24"/>
          <w:shd w:val="clear" w:color="auto" w:fill="FFFFFF"/>
        </w:rPr>
        <w:t>U</w:t>
      </w:r>
      <w:r w:rsidR="004A6055" w:rsidRPr="000069AD">
        <w:rPr>
          <w:rFonts w:ascii="Times New Roman" w:hAnsi="Times New Roman" w:cs="Times New Roman"/>
          <w:b/>
          <w:sz w:val="24"/>
          <w:szCs w:val="24"/>
          <w:shd w:val="clear" w:color="auto" w:fill="FFFFFF"/>
        </w:rPr>
        <w:t xml:space="preserve">n </w:t>
      </w:r>
      <w:r w:rsidR="00BD2B78" w:rsidRPr="000069AD">
        <w:rPr>
          <w:rFonts w:ascii="Times New Roman" w:hAnsi="Times New Roman" w:cs="Times New Roman"/>
          <w:b/>
          <w:sz w:val="24"/>
          <w:szCs w:val="24"/>
          <w:shd w:val="clear" w:color="auto" w:fill="FFFFFF"/>
        </w:rPr>
        <w:t>legado imaginario</w:t>
      </w:r>
      <w:r w:rsidR="006B4E82" w:rsidRPr="000069AD">
        <w:rPr>
          <w:rFonts w:ascii="Times New Roman" w:hAnsi="Times New Roman" w:cs="Times New Roman"/>
          <w:b/>
          <w:sz w:val="24"/>
          <w:szCs w:val="24"/>
          <w:shd w:val="clear" w:color="auto" w:fill="FFFFFF"/>
        </w:rPr>
        <w:t xml:space="preserve"> </w:t>
      </w:r>
    </w:p>
    <w:p w:rsidR="00A336CC" w:rsidRPr="000069AD" w:rsidRDefault="00A336CC" w:rsidP="006B4E82">
      <w:pPr>
        <w:spacing w:line="240" w:lineRule="auto"/>
        <w:jc w:val="both"/>
        <w:rPr>
          <w:rFonts w:ascii="Times New Roman" w:hAnsi="Times New Roman" w:cs="Times New Roman"/>
          <w:b/>
          <w:sz w:val="24"/>
          <w:szCs w:val="24"/>
        </w:rPr>
      </w:pPr>
      <w:r w:rsidRPr="000069AD">
        <w:rPr>
          <w:rFonts w:ascii="Times New Roman" w:hAnsi="Times New Roman" w:cs="Times New Roman"/>
          <w:noProof/>
          <w:sz w:val="24"/>
          <w:szCs w:val="24"/>
          <w:lang w:eastAsia="es-ES"/>
        </w:rPr>
        <w:drawing>
          <wp:inline distT="0" distB="0" distL="0" distR="0" wp14:anchorId="3CAD7E0A" wp14:editId="66C926BD">
            <wp:extent cx="5731510" cy="3789680"/>
            <wp:effectExtent l="0" t="0" r="2540" b="127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7"/>
                    <a:stretch>
                      <a:fillRect/>
                    </a:stretch>
                  </pic:blipFill>
                  <pic:spPr>
                    <a:xfrm>
                      <a:off x="0" y="0"/>
                      <a:ext cx="5731510" cy="3789680"/>
                    </a:xfrm>
                    <a:prstGeom prst="rect">
                      <a:avLst/>
                    </a:prstGeom>
                  </pic:spPr>
                </pic:pic>
              </a:graphicData>
            </a:graphic>
          </wp:inline>
        </w:drawing>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 xml:space="preserve">Simon Dolan (Presidente de la Global Future of Work Foundation), habla de la necesidad de desaprender y de reaprender como las palabras llave del futuro que vivimos, dos tareas imprescindibles en una época de transformación, que no de cambio: “Estamos en un mundo de transformación en el que la vuelta atrás ya no es posible. Puedes cambiar de sitio tu teléfono que está grabando, y volver a colocarlo en el mismo lugar si no te gusta, pero ¿puedes imaginar hoy tu vida sin ese teléfono?”. Para no perdernos en este nuevo mundo, Dolan ha diseñado una brújula interna y externa que marca el destino en un entorno en el que es necesario crear y recrear… (Expansión - </w:t>
      </w:r>
      <w:r w:rsidRPr="000069AD">
        <w:rPr>
          <w:rFonts w:ascii="Times New Roman" w:hAnsi="Times New Roman" w:cs="Times New Roman"/>
          <w:b/>
          <w:sz w:val="24"/>
          <w:szCs w:val="24"/>
          <w:shd w:val="clear" w:color="auto" w:fill="FFFFFF"/>
        </w:rPr>
        <w:t>1/6/25</w:t>
      </w:r>
      <w:r w:rsidRPr="000069AD">
        <w:rPr>
          <w:rFonts w:ascii="Times New Roman" w:hAnsi="Times New Roman" w:cs="Times New Roman"/>
          <w:sz w:val="24"/>
          <w:szCs w:val="24"/>
          <w:shd w:val="clear" w:color="auto" w:fill="FFFFFF"/>
        </w:rPr>
        <w:t>)</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 xml:space="preserve">Pensamiento que me sirve para explicar por qué he decido “colgar el lápiz”, “ahorcar </w:t>
      </w:r>
      <w:r w:rsidR="00513478">
        <w:rPr>
          <w:rFonts w:ascii="Times New Roman" w:hAnsi="Times New Roman" w:cs="Times New Roman"/>
          <w:sz w:val="24"/>
          <w:szCs w:val="24"/>
          <w:shd w:val="clear" w:color="auto" w:fill="FFFFFF"/>
        </w:rPr>
        <w:t>los hábitos”, “bajarme del spea</w:t>
      </w:r>
      <w:r w:rsidRPr="000069AD">
        <w:rPr>
          <w:rFonts w:ascii="Times New Roman" w:hAnsi="Times New Roman" w:cs="Times New Roman"/>
          <w:sz w:val="24"/>
          <w:szCs w:val="24"/>
          <w:shd w:val="clear" w:color="auto" w:fill="FFFFFF"/>
        </w:rPr>
        <w:t>kers’ corner”, “ahuecar el ala”, “hacer mutis por el foro”, “irme tras las bambalinas”, “tomarme el raje” “borrarme”, “evaporarme”, “hacerme invisible”,  o como se le quiera llamar a un “basta para mí”, “se acabó lo que se daba”… para intentar ser, en adelante, “dueño de mi silencio”, y dejar de ser “esclavo de mis palabras”.</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Una respuesta a Dolan (y a otros miembros de la sociedad de los conformes): que puede parecer un trabalenguas, pero que es toda una declaración de intenciones.</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Porque no me interesa “aprender” nada que pueda enseñarme una Inteligencia Artificial, y porque no quiero “desaprender” lo poco, o mucho, que me han enseñado las Inteligencias Humanas que me han precedido, antes que me borren el cerebro, o me cancelen por anarquismo intelectual.</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 xml:space="preserve">Como en el caso de “Bartleby, el escribiente” de Herman Melville (el mismo que escribió Moby Dick) cuyo argumento, es muy sencillo: prestigioso y anciano abogado neoyorquino contrata a un nuevo empleado para su oficina. El tal Bartleby parece mucho más eficiente que los cuatro tipos (de quienes sólo se nos revelan sus apodos) a los que el narrador está </w:t>
      </w:r>
      <w:r w:rsidRPr="000069AD">
        <w:rPr>
          <w:rFonts w:ascii="Times New Roman" w:hAnsi="Times New Roman" w:cs="Times New Roman"/>
          <w:sz w:val="24"/>
          <w:szCs w:val="24"/>
          <w:shd w:val="clear" w:color="auto" w:fill="FFFFFF"/>
        </w:rPr>
        <w:lastRenderedPageBreak/>
        <w:t xml:space="preserve">acostumbrado, hasta que un día le pide asistencia en una tarea concreta y el nuevo responde tres palabras en castellano, cinco en inglés. “Preferiría no hacerlo”. “I would prefer not to”. </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Durante un tiempo, Bartleby sigue realizando el resto de sus funciones cotidianas con total precisión, pero muy pronto deja de hacer absolutamente nada. Sólo se queda quieto día y noche en su rincón de la oficina, que se niega a abandonar incluso cuando es despedido. El abogado decide trasladar todo su negocio a otro lugar, pero los nuevos inquilinos acuden a él para quejarse de Bartleby. Sólo se limita a estar ahí, prefiriendo no hacer nada. Cuando finalmente es detenido y encarcelado por la policía, el abogado decide ir a visitarlo. Incluso soborna a un guardia para asegurarse de que Bartleby es alimentado como es debido. Pero él prefiere no hacerlo. Así que acaba muriendo de inanición.</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En el epílogo de su relato, Melville nos ofrece la única clave biográfica que jamás tendremos sobre este personaje: un tiempo después de su muerte, el narrador escucha el rumor de que, antes de mudarse a la Gran Manzana, Bartleby trabajaba en una oficina postal de Washington D.C., donde se encargaba de las cartas no reclamadas. Si esta anterior ocupación fue lo que motivó un descenso en la inacción durante su temporada en Wall Street es algo que tanto el abogado como nosotros tendremos que decidir por nuestra cuenta.</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En cierto sentido, Bartleby podría ser una manifestación extrema del desencanto que el propio narrador experimenta con respecto al mundo moderno, la materialización de sus deseos más secretos.</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Sea real o imaginado, parece más o menos evidente que un Melville escribiendo desde el filo tendría que considerar, necesariamente, a Bartleby como el último hombre libre. El copista nunca hace explícitas las razones que lo llevan a optar por el inmovilismo, pero tenemos la sensación de que es su manera de esquivar un destino determinista, arbitrario y designado desde el exterior. Primero te piden que examines un documento en el despacho de tu jefe, pero... ¿qué viene después? ¿Qué será lo siguiente que “La Estructura” te pida que hagas? ¿Cuáles podrán ser las próximas tareas indignas y medularmente inhumanas, las próximas humillaciones que tengan preparadas para aplastar tu espíritu y aniquilar tus sueños? No. No, no, no, no, no. Hasta aquí. Esto acaba ahora. Expresa tu preferencia por la otra opción, la de cruzarte de brazos, mirar la pared y, simplemente, pasar de ser a estar, quizá la forma más pura de ejercitar el derecho (porque es un jodido derecho) al libre albedrío.</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La pasividad de Bartleby no tiene espacio en el sistema legal y económico de la Norteamérica de su época, mucho menos en Wall Street, del mismo modo que Melville no tenía espacio en la intelectualidad literaria o las listas de los más vendidos. Son una aberración, un glitch en el sistema. Lo que los convierte a ambos, naturalmente, en antisistema. Durante los tiempos de Occupy Wall Street, el filósofo esloveno Slavoj Žižek propuso “Preferiría no hacerlo” como lema oficial del movimiento : estos indignados, como Bartleby antes que ellos, habían optado por convertirse en palos en la rueda del capitalismo, por la protesta, por la inacción como motor revolucionario, sólo que también habían decidido llevarle a Emerson la contraria en lo fundamental: no estaban reclamando su derecho a la soledad, sino que estaban unidos en una misma comunidad. Un único Bartleby muere de inanición en cualquier celda del Lower Manhattan, pero un grupo altamente organizado de Bartlebies pensó, durante un breve instante, que podría asaltar los cielos.</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 xml:space="preserve">Al final, supimos que Wall Street siempre acaba encontrando una manera de arrastrar hacia los márgenes a sus escribientes más díscolos, luego puede que Melville tuviera razón. La única posibilidad de victoria es personal, solitaria, privada y absolutamente incomprensible desde el exterior, hasta el punto de que se podría interpretar como una derrota. Sin embargo, </w:t>
      </w:r>
      <w:r w:rsidRPr="000069AD">
        <w:rPr>
          <w:rFonts w:ascii="Times New Roman" w:hAnsi="Times New Roman" w:cs="Times New Roman"/>
          <w:sz w:val="24"/>
          <w:szCs w:val="24"/>
          <w:shd w:val="clear" w:color="auto" w:fill="FFFFFF"/>
        </w:rPr>
        <w:lastRenderedPageBreak/>
        <w:t xml:space="preserve">el auténtico fracaso es el de todos aquellos que, pudiendo seguir las enseñanzas del último hombre libre, prefieren seguir corriendo en la rueda.  (Fuente: Noel Cevallos -  revistagq.com - Noel Cevallos - </w:t>
      </w:r>
      <w:r w:rsidRPr="000069AD">
        <w:rPr>
          <w:rFonts w:ascii="Times New Roman" w:hAnsi="Times New Roman" w:cs="Times New Roman"/>
          <w:b/>
          <w:sz w:val="24"/>
          <w:szCs w:val="24"/>
          <w:shd w:val="clear" w:color="auto" w:fill="FFFFFF"/>
        </w:rPr>
        <w:t>7/6/23</w:t>
      </w:r>
      <w:r w:rsidRPr="000069AD">
        <w:rPr>
          <w:rFonts w:ascii="Times New Roman" w:hAnsi="Times New Roman" w:cs="Times New Roman"/>
          <w:sz w:val="24"/>
          <w:szCs w:val="24"/>
          <w:shd w:val="clear" w:color="auto" w:fill="FFFFFF"/>
        </w:rPr>
        <w:t>)</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En mi caso… desde aquí, en adelante: “prefiero no hacerlo”, (como homenaje, aunq</w:t>
      </w:r>
      <w:r w:rsidR="00056460">
        <w:rPr>
          <w:rFonts w:ascii="Times New Roman" w:hAnsi="Times New Roman" w:cs="Times New Roman"/>
          <w:sz w:val="24"/>
          <w:szCs w:val="24"/>
          <w:shd w:val="clear" w:color="auto" w:fill="FFFFFF"/>
        </w:rPr>
        <w:t xml:space="preserve">ue tardío, a todos los </w:t>
      </w:r>
      <w:r w:rsidR="00056460" w:rsidRPr="000069AD">
        <w:rPr>
          <w:rFonts w:ascii="Times New Roman" w:hAnsi="Times New Roman" w:cs="Times New Roman"/>
          <w:sz w:val="24"/>
          <w:szCs w:val="24"/>
          <w:shd w:val="clear" w:color="auto" w:fill="FFFFFF"/>
        </w:rPr>
        <w:t>Bartlebies</w:t>
      </w:r>
      <w:r w:rsidRPr="000069AD">
        <w:rPr>
          <w:rFonts w:ascii="Times New Roman" w:hAnsi="Times New Roman" w:cs="Times New Roman"/>
          <w:sz w:val="24"/>
          <w:szCs w:val="24"/>
          <w:shd w:val="clear" w:color="auto" w:fill="FFFFFF"/>
        </w:rPr>
        <w:t>, que aún están dispuestos a ejercer el derecho a la resistencia pasiva).</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Creo que con casi 81 años, entre pecho y espalda, es hora de dar por terminada esta tarea vocacional, que me consume y aliena. “Mi cuerpo enfermo no resiste más” (como dice el tango). Me siento demasiado mayor</w:t>
      </w:r>
      <w:r w:rsidR="00056460">
        <w:rPr>
          <w:rFonts w:ascii="Times New Roman" w:hAnsi="Times New Roman" w:cs="Times New Roman"/>
          <w:sz w:val="24"/>
          <w:szCs w:val="24"/>
          <w:shd w:val="clear" w:color="auto" w:fill="FFFFFF"/>
        </w:rPr>
        <w:t>,</w:t>
      </w:r>
      <w:r w:rsidRPr="000069AD">
        <w:rPr>
          <w:rFonts w:ascii="Times New Roman" w:hAnsi="Times New Roman" w:cs="Times New Roman"/>
          <w:sz w:val="24"/>
          <w:szCs w:val="24"/>
          <w:shd w:val="clear" w:color="auto" w:fill="FFFFFF"/>
        </w:rPr>
        <w:t xml:space="preserve"> para quejarme.</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 xml:space="preserve">En alguno de mis “panfletos” he escrito que “ser viejo es lamentable, pero ser viejo y boludo, es patético”. Por eso, me quiero ir, antes que mis pacientes y generosos lectores, me lo digan. </w:t>
      </w:r>
    </w:p>
    <w:p w:rsidR="006B4E82" w:rsidRPr="000069AD" w:rsidRDefault="00BD2B78"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Después de 38</w:t>
      </w:r>
      <w:r w:rsidR="006B4E82" w:rsidRPr="000069AD">
        <w:rPr>
          <w:rFonts w:ascii="Times New Roman" w:hAnsi="Times New Roman" w:cs="Times New Roman"/>
          <w:sz w:val="24"/>
          <w:szCs w:val="24"/>
          <w:shd w:val="clear" w:color="auto" w:fill="FFFFFF"/>
        </w:rPr>
        <w:t xml:space="preserve"> Ensayos, y 270 Papers, publicados, en este “final del camino” (el último baile), a modo de “legado imaginario”, me permito decirles:</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El presente ha perdido su encanto para mí, después de estos años de nuevas tecnologías, redes, plataformas, Inteligencia Artificial,</w:t>
      </w:r>
      <w:r w:rsidR="00056460">
        <w:rPr>
          <w:rFonts w:ascii="Times New Roman" w:hAnsi="Times New Roman" w:cs="Times New Roman"/>
          <w:sz w:val="24"/>
          <w:szCs w:val="24"/>
          <w:shd w:val="clear" w:color="auto" w:fill="FFFFFF"/>
        </w:rPr>
        <w:t xml:space="preserve"> algoritmos y disrupciones</w:t>
      </w:r>
      <w:r w:rsidRPr="000069AD">
        <w:rPr>
          <w:rFonts w:ascii="Times New Roman" w:hAnsi="Times New Roman" w:cs="Times New Roman"/>
          <w:sz w:val="24"/>
          <w:szCs w:val="24"/>
          <w:shd w:val="clear" w:color="auto" w:fill="FFFFFF"/>
        </w:rPr>
        <w:t>… Lo que estoy viendo no me gusta. Creo que ya no tengo más nada que decir.</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Así que me escapare hacia atrás (recuerdos, melancolía, lecturas, música, bibliotecas, museos, salas de concierto… tal vez, algún viaje, si puedo</w:t>
      </w:r>
      <w:r w:rsidR="00056460">
        <w:rPr>
          <w:rFonts w:ascii="Times New Roman" w:hAnsi="Times New Roman" w:cs="Times New Roman"/>
          <w:sz w:val="24"/>
          <w:szCs w:val="24"/>
          <w:shd w:val="clear" w:color="auto" w:fill="FFFFFF"/>
        </w:rPr>
        <w:t xml:space="preserve"> seguir cargando</w:t>
      </w:r>
      <w:r w:rsidRPr="000069AD">
        <w:rPr>
          <w:rFonts w:ascii="Times New Roman" w:hAnsi="Times New Roman" w:cs="Times New Roman"/>
          <w:sz w:val="24"/>
          <w:szCs w:val="24"/>
          <w:shd w:val="clear" w:color="auto" w:fill="FFFFFF"/>
        </w:rPr>
        <w:t xml:space="preserve"> las maletas), para respirar un poco de aire diferente.</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Dejo el plano en el que he vivido y me propongo habitar en otro. Esta vez visitaré regiones remotas del pasado, recorreré algunas viejas lecturas, sin la urgencia de buscar manifestaciones de progreso, sin encontrar conformidad.</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Antes, un pedido a la “sociedad de los conformes”, no me retiren (aún) el “permiso de existencia”, que ya se encargará sola la naturaleza (impostergable) y Dios (inquebrantable).</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He estado presente demasiado tiempo, pero no me será difícil ausentarme. Es más, creo que nadie me echará en falta (metafóricamente hablando).</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Como reportero de circunstancia, sepan perdonar que haya vivido y relatado tantos acontecimientos sin “permiso de existencia”.</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A los “canceladores habituales” lamento decirles que no tendrán tiempo de condenarme a morir (metafóricamente hablando). Pues no llegarán a tiempo para dictar condena, y ejecutar la sentencia (biológicamente hablando).</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Vuestros bedeles no tendrán tiempo, y vuestros fusileros no tendrán balas suficientes para fusilar a fantasmas.</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Todos los “burócratas unidos” (y mal intencionados) solo podrán suscribir una tarjeta de fallecimiento, aun así les quedaré muy reconocido.</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Pero antes de partir al silencio voluntario, les dejo una pregunta, a los “burócratas unidos”: ¿cómo podrán suscribir una “tarjeta de fallecimiento” a alguien que no ha tenido “permiso de existencia”? Están jodidos, “burócratas unidos”, no tienen nada, con lo que suplir la ausencia.</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lastRenderedPageBreak/>
        <w:t>Ya no tienen que salvaguardarme, tampoco que conservarme: me evaporo por voluntad propia, ya no tienen ni formularios, ni sellos, con los que clasificarme (adocenarme, estabularme, conectarme, controlarme).</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“Todo lo que el mundo tenía para decirme, confesarme, y pedirme perdón -y yo para con el mundo- estaba frente a mis ojos”… (Hermann Hesse - Y si la guerra siguiese).</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“¡Ahí sentí que eso era la vida! Que esta era mi participación en el mundo, mi gozo y mi carga”… “Una sombra cayó sobre mi pequeño cuadro. Levanté la vista. Estaba fuera de mi casa. El sueño se había esfumado”…  (Hermann Hesse - Y si la guerra siguiese).</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Algunos atribuyen a Aristóteles, y otros a Shakespeare o Gandhi, la siguiente frase: “El hombre es esclavo de sus palabras y dueño de sus silencios”.</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Y como yo no quiero seguir siendo esclavo de mis palabras, he decido ser dueño de mi silencio. Al menos</w:t>
      </w:r>
      <w:r w:rsidR="006B0447">
        <w:rPr>
          <w:rFonts w:ascii="Times New Roman" w:hAnsi="Times New Roman" w:cs="Times New Roman"/>
          <w:sz w:val="24"/>
          <w:szCs w:val="24"/>
          <w:shd w:val="clear" w:color="auto" w:fill="FFFFFF"/>
        </w:rPr>
        <w:t>,</w:t>
      </w:r>
      <w:r w:rsidRPr="000069AD">
        <w:rPr>
          <w:rFonts w:ascii="Times New Roman" w:hAnsi="Times New Roman" w:cs="Times New Roman"/>
          <w:sz w:val="24"/>
          <w:szCs w:val="24"/>
          <w:shd w:val="clear" w:color="auto" w:fill="FFFFFF"/>
        </w:rPr>
        <w:t xml:space="preserve"> no me lo podrá robar la Inteligencia Artificial.</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No quiero compartir la intoxicación de esta nueva hora (por acción, u omisión). Por eso, asumo el fracaso, de abandonar la escena.</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Voy perdiendo autoridad (por la edad, tal vez) y voy perdiendo la confianza de los lectores (tal vez, por mis reiteradas críticas a la “realidad virtual)”… pero lo que no pierdo es mi libertad de opinión, y tampoco adopto la condición de resignado.</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¿Quién hubiera pensado que el “progreso” del mundo estaría representado por una costra letal, un cierto virus leproso de irrealidad, encerrado en una nebulosa y al borde de la locura, que nos sería arrebatado por completo y que nos dejaría en su lugar un antro indescriptible e insustancial como el de ahora?</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Dicen que hay que adentrase al futuro, y hacerlo sin ningún miedo… ¿pero</w:t>
      </w:r>
      <w:r w:rsidR="007C0588" w:rsidRPr="000069AD">
        <w:rPr>
          <w:rFonts w:ascii="Times New Roman" w:hAnsi="Times New Roman" w:cs="Times New Roman"/>
          <w:sz w:val="24"/>
          <w:szCs w:val="24"/>
          <w:shd w:val="clear" w:color="auto" w:fill="FFFFFF"/>
        </w:rPr>
        <w:t>,</w:t>
      </w:r>
      <w:r w:rsidRPr="000069AD">
        <w:rPr>
          <w:rFonts w:ascii="Times New Roman" w:hAnsi="Times New Roman" w:cs="Times New Roman"/>
          <w:sz w:val="24"/>
          <w:szCs w:val="24"/>
          <w:shd w:val="clear" w:color="auto" w:fill="FFFFFF"/>
        </w:rPr>
        <w:t xml:space="preserve"> y si</w:t>
      </w:r>
      <w:r w:rsidR="007C0588" w:rsidRPr="000069AD">
        <w:rPr>
          <w:rFonts w:ascii="Times New Roman" w:hAnsi="Times New Roman" w:cs="Times New Roman"/>
          <w:sz w:val="24"/>
          <w:szCs w:val="24"/>
          <w:shd w:val="clear" w:color="auto" w:fill="FFFFFF"/>
        </w:rPr>
        <w:t xml:space="preserve"> al</w:t>
      </w:r>
      <w:r w:rsidRPr="000069AD">
        <w:rPr>
          <w:rFonts w:ascii="Times New Roman" w:hAnsi="Times New Roman" w:cs="Times New Roman"/>
          <w:sz w:val="24"/>
          <w:szCs w:val="24"/>
          <w:shd w:val="clear" w:color="auto" w:fill="FFFFFF"/>
        </w:rPr>
        <w:t xml:space="preserve"> adentrarnos al futuro, sí hay algo que hay que temer?</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Bueno, contestan los que saben, no hay nada que temer, siempre y cuando “ames”… ¿el dinero?</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Es una fuerza imparable, es irrompible, no tiene límites. Está con nosotros, nos envuelve, y se extiende en el tiempo.</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No es posible tocarlo… Pero tenemos la obligación para con los demás de hacernos preguntas: ¿Qué podemos hacer? ¿Es esta sociedad, esta manera de vivir, la única que tenemos disponible?</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Y al formular estas preguntas, cuando se dialoga sobre ellas, eso básicamente es una utopía.</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Ralph Waldo Emerson dijo que el fin de la raza humana sería eventualmente por civilización… pero una tendencia no es un destino.</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“El objetivo de la vida no es formar parte de la mayoría, sino evitar llegar a encontrarse entre los insensatos” (Marco Aurelio).</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“El universo es cambio, Nuestros pensamientos hacen la vida” (Marco Aurelio).</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 xml:space="preserve">Me doy cuenta que yo veo las cosas en forma diferente de hoy. Pero, ante unos lunáticos megalómanos de la tecnología (pocos, pero muy poderosos) que se pavonean como “grandes </w:t>
      </w:r>
      <w:r w:rsidRPr="000069AD">
        <w:rPr>
          <w:rFonts w:ascii="Times New Roman" w:hAnsi="Times New Roman" w:cs="Times New Roman"/>
          <w:sz w:val="24"/>
          <w:szCs w:val="24"/>
          <w:shd w:val="clear" w:color="auto" w:fill="FFFFFF"/>
        </w:rPr>
        <w:lastRenderedPageBreak/>
        <w:t>hombres”, prefiero retirarme a u</w:t>
      </w:r>
      <w:r w:rsidR="006B0447">
        <w:rPr>
          <w:rFonts w:ascii="Times New Roman" w:hAnsi="Times New Roman" w:cs="Times New Roman"/>
          <w:sz w:val="24"/>
          <w:szCs w:val="24"/>
          <w:shd w:val="clear" w:color="auto" w:fill="FFFFFF"/>
        </w:rPr>
        <w:t>na vida rutinaria de meditación,</w:t>
      </w:r>
      <w:r w:rsidRPr="000069AD">
        <w:rPr>
          <w:rFonts w:ascii="Times New Roman" w:hAnsi="Times New Roman" w:cs="Times New Roman"/>
          <w:sz w:val="24"/>
          <w:szCs w:val="24"/>
          <w:shd w:val="clear" w:color="auto" w:fill="FFFFFF"/>
        </w:rPr>
        <w:t xml:space="preserve"> antes que mis ruegos y preguntas (cuestionamientos y críticas), puedan naufragar en el océano de la connivencia, de aquellos que ignoran la situación como si tuvieran nada que decir, o parecer cómplice de la vesania por tener poco deseo de contestarlas.</w:t>
      </w:r>
    </w:p>
    <w:p w:rsidR="00416D63" w:rsidRPr="000069AD" w:rsidRDefault="00416D63"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La resistencia a una ciencia que interpreto como ridícula</w:t>
      </w:r>
      <w:r w:rsidR="004E43BB" w:rsidRPr="000069AD">
        <w:rPr>
          <w:rFonts w:ascii="Times New Roman" w:hAnsi="Times New Roman" w:cs="Times New Roman"/>
          <w:sz w:val="24"/>
          <w:szCs w:val="24"/>
          <w:shd w:val="clear" w:color="auto" w:fill="FFFFFF"/>
        </w:rPr>
        <w:t xml:space="preserve"> (la Intelige</w:t>
      </w:r>
      <w:r w:rsidRPr="000069AD">
        <w:rPr>
          <w:rFonts w:ascii="Times New Roman" w:hAnsi="Times New Roman" w:cs="Times New Roman"/>
          <w:sz w:val="24"/>
          <w:szCs w:val="24"/>
          <w:shd w:val="clear" w:color="auto" w:fill="FFFFFF"/>
        </w:rPr>
        <w:t xml:space="preserve">ncia Artificial), sin duda, </w:t>
      </w:r>
      <w:r w:rsidR="004E43BB" w:rsidRPr="000069AD">
        <w:rPr>
          <w:rFonts w:ascii="Times New Roman" w:hAnsi="Times New Roman" w:cs="Times New Roman"/>
          <w:sz w:val="24"/>
          <w:szCs w:val="24"/>
          <w:shd w:val="clear" w:color="auto" w:fill="FFFFFF"/>
        </w:rPr>
        <w:t xml:space="preserve">es culpa </w:t>
      </w:r>
      <w:r w:rsidRPr="000069AD">
        <w:rPr>
          <w:rFonts w:ascii="Times New Roman" w:hAnsi="Times New Roman" w:cs="Times New Roman"/>
          <w:sz w:val="24"/>
          <w:szCs w:val="24"/>
          <w:shd w:val="clear" w:color="auto" w:fill="FFFFFF"/>
        </w:rPr>
        <w:t>mía, por mis sentimientos severamen</w:t>
      </w:r>
      <w:r w:rsidR="004E43BB" w:rsidRPr="000069AD">
        <w:rPr>
          <w:rFonts w:ascii="Times New Roman" w:hAnsi="Times New Roman" w:cs="Times New Roman"/>
          <w:sz w:val="24"/>
          <w:szCs w:val="24"/>
          <w:shd w:val="clear" w:color="auto" w:fill="FFFFFF"/>
        </w:rPr>
        <w:t>te tradicionales, y por mis grandes dificultades para adapta</w:t>
      </w:r>
      <w:r w:rsidRPr="000069AD">
        <w:rPr>
          <w:rFonts w:ascii="Times New Roman" w:hAnsi="Times New Roman" w:cs="Times New Roman"/>
          <w:sz w:val="24"/>
          <w:szCs w:val="24"/>
          <w:shd w:val="clear" w:color="auto" w:fill="FFFFFF"/>
        </w:rPr>
        <w:t>rme a las novedades</w:t>
      </w:r>
      <w:r w:rsidR="004E43BB" w:rsidRPr="000069AD">
        <w:rPr>
          <w:rFonts w:ascii="Times New Roman" w:hAnsi="Times New Roman" w:cs="Times New Roman"/>
          <w:sz w:val="24"/>
          <w:szCs w:val="24"/>
          <w:shd w:val="clear" w:color="auto" w:fill="FFFFFF"/>
        </w:rPr>
        <w:t>.</w:t>
      </w:r>
    </w:p>
    <w:p w:rsidR="004E43BB" w:rsidRPr="000069AD" w:rsidRDefault="004E43BB"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Pero no seré yo, con mi carácter hostil, quien contribuya para que el espíritu de los tiempos modernos, celebre sus brill</w:t>
      </w:r>
      <w:r w:rsidR="00AB6FE0" w:rsidRPr="000069AD">
        <w:rPr>
          <w:rFonts w:ascii="Times New Roman" w:hAnsi="Times New Roman" w:cs="Times New Roman"/>
          <w:sz w:val="24"/>
          <w:szCs w:val="24"/>
          <w:shd w:val="clear" w:color="auto" w:fill="FFFFFF"/>
        </w:rPr>
        <w:t>antes y trascendentes victorias, en los que unas máquinas cada vez más alucinadas, nos hagan cada vez más tontos.</w:t>
      </w:r>
    </w:p>
    <w:p w:rsidR="00393903" w:rsidRPr="000069AD" w:rsidRDefault="00393903"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En tiempos de exposición compulsiva por parte de los tecnócratas del verbo, me permito decir (sin remedio, y sin esperanza) que a todos estos sucesos económicos disruptivos los considero una ofensa a la inteligencia humana (natural), si aún queda viva, o para todos aquellos que intentan mantenerla viva.</w:t>
      </w:r>
      <w:r w:rsidR="007D68B3" w:rsidRPr="000069AD">
        <w:rPr>
          <w:rFonts w:ascii="Times New Roman" w:hAnsi="Times New Roman" w:cs="Times New Roman"/>
          <w:sz w:val="24"/>
          <w:szCs w:val="24"/>
          <w:shd w:val="clear" w:color="auto" w:fill="FFFFFF"/>
        </w:rPr>
        <w:t xml:space="preserve"> </w:t>
      </w:r>
    </w:p>
    <w:p w:rsidR="00E43A7D" w:rsidRPr="000069AD" w:rsidRDefault="00E43A7D" w:rsidP="00E43A7D">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 xml:space="preserve">Como guardián del silencio con </w:t>
      </w:r>
      <w:r w:rsidR="00AB6FE0" w:rsidRPr="000069AD">
        <w:rPr>
          <w:rFonts w:ascii="Times New Roman" w:hAnsi="Times New Roman" w:cs="Times New Roman"/>
          <w:sz w:val="24"/>
          <w:szCs w:val="24"/>
          <w:shd w:val="clear" w:color="auto" w:fill="FFFFFF"/>
        </w:rPr>
        <w:t>permiso de interrumpir, lanzo una última</w:t>
      </w:r>
      <w:r w:rsidRPr="000069AD">
        <w:rPr>
          <w:rFonts w:ascii="Times New Roman" w:hAnsi="Times New Roman" w:cs="Times New Roman"/>
          <w:sz w:val="24"/>
          <w:szCs w:val="24"/>
          <w:shd w:val="clear" w:color="auto" w:fill="FFFFFF"/>
        </w:rPr>
        <w:t xml:space="preserve"> pregunta: ¿Pero toda la culpa del “asalto a la ilu</w:t>
      </w:r>
      <w:r w:rsidR="00AB6FE0" w:rsidRPr="000069AD">
        <w:rPr>
          <w:rFonts w:ascii="Times New Roman" w:hAnsi="Times New Roman" w:cs="Times New Roman"/>
          <w:sz w:val="24"/>
          <w:szCs w:val="24"/>
          <w:shd w:val="clear" w:color="auto" w:fill="FFFFFF"/>
        </w:rPr>
        <w:t>sión”, la tienen Silicon Valley</w:t>
      </w:r>
      <w:r w:rsidR="006B0447">
        <w:rPr>
          <w:rFonts w:ascii="Times New Roman" w:hAnsi="Times New Roman" w:cs="Times New Roman"/>
          <w:sz w:val="24"/>
          <w:szCs w:val="24"/>
          <w:shd w:val="clear" w:color="auto" w:fill="FFFFFF"/>
        </w:rPr>
        <w:t>,</w:t>
      </w:r>
      <w:r w:rsidRPr="000069AD">
        <w:rPr>
          <w:rFonts w:ascii="Times New Roman" w:hAnsi="Times New Roman" w:cs="Times New Roman"/>
          <w:sz w:val="24"/>
          <w:szCs w:val="24"/>
          <w:shd w:val="clear" w:color="auto" w:fill="FFFFFF"/>
        </w:rPr>
        <w:t xml:space="preserve"> y las </w:t>
      </w:r>
      <w:r w:rsidR="006B0447">
        <w:rPr>
          <w:rFonts w:ascii="Times New Roman" w:hAnsi="Times New Roman" w:cs="Times New Roman"/>
          <w:sz w:val="24"/>
          <w:szCs w:val="24"/>
          <w:shd w:val="clear" w:color="auto" w:fill="FFFFFF"/>
        </w:rPr>
        <w:t>“</w:t>
      </w:r>
      <w:r w:rsidRPr="000069AD">
        <w:rPr>
          <w:rFonts w:ascii="Times New Roman" w:hAnsi="Times New Roman" w:cs="Times New Roman"/>
          <w:sz w:val="24"/>
          <w:szCs w:val="24"/>
          <w:shd w:val="clear" w:color="auto" w:fill="FFFFFF"/>
        </w:rPr>
        <w:t>big tech</w:t>
      </w:r>
      <w:r w:rsidR="006B0447">
        <w:rPr>
          <w:rFonts w:ascii="Times New Roman" w:hAnsi="Times New Roman" w:cs="Times New Roman"/>
          <w:sz w:val="24"/>
          <w:szCs w:val="24"/>
          <w:shd w:val="clear" w:color="auto" w:fill="FFFFFF"/>
        </w:rPr>
        <w:t>”</w:t>
      </w:r>
      <w:r w:rsidRPr="000069AD">
        <w:rPr>
          <w:rFonts w:ascii="Times New Roman" w:hAnsi="Times New Roman" w:cs="Times New Roman"/>
          <w:sz w:val="24"/>
          <w:szCs w:val="24"/>
          <w:shd w:val="clear" w:color="auto" w:fill="FFFFFF"/>
        </w:rPr>
        <w:t>?</w:t>
      </w:r>
    </w:p>
    <w:p w:rsidR="00E43A7D" w:rsidRPr="000069AD" w:rsidRDefault="00E43A7D" w:rsidP="00E43A7D">
      <w:pPr>
        <w:spacing w:line="240" w:lineRule="auto"/>
        <w:jc w:val="both"/>
        <w:rPr>
          <w:rStyle w:val="vkekvd"/>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 xml:space="preserve">De ninguna manera, esto viene de antes, desde cuándo Wall Street optó por la globalización, la deslocalización, el multilateralismo, la financierización, la turboeconómía, los rescates a la banca (too big to fail), la </w:t>
      </w:r>
      <w:r w:rsidR="009F3FAE" w:rsidRPr="000069AD">
        <w:rPr>
          <w:rFonts w:ascii="Times New Roman" w:hAnsi="Times New Roman" w:cs="Times New Roman"/>
          <w:sz w:val="24"/>
          <w:szCs w:val="24"/>
          <w:shd w:val="clear" w:color="auto" w:fill="FFFFFF"/>
        </w:rPr>
        <w:t>amnistía</w:t>
      </w:r>
      <w:r w:rsidRPr="000069AD">
        <w:rPr>
          <w:rFonts w:ascii="Times New Roman" w:hAnsi="Times New Roman" w:cs="Times New Roman"/>
          <w:sz w:val="24"/>
          <w:szCs w:val="24"/>
          <w:shd w:val="clear" w:color="auto" w:fill="FFFFFF"/>
        </w:rPr>
        <w:t xml:space="preserve"> generalizada </w:t>
      </w:r>
      <w:r w:rsidR="009F3FAE" w:rsidRPr="000069AD">
        <w:rPr>
          <w:rFonts w:ascii="Times New Roman" w:hAnsi="Times New Roman" w:cs="Times New Roman"/>
          <w:sz w:val="24"/>
          <w:szCs w:val="24"/>
          <w:shd w:val="clear" w:color="auto" w:fill="FFFFFF"/>
        </w:rPr>
        <w:t>de</w:t>
      </w:r>
      <w:r w:rsidRPr="000069AD">
        <w:rPr>
          <w:rFonts w:ascii="Times New Roman" w:hAnsi="Times New Roman" w:cs="Times New Roman"/>
          <w:sz w:val="24"/>
          <w:szCs w:val="24"/>
          <w:shd w:val="clear" w:color="auto" w:fill="FFFFFF"/>
        </w:rPr>
        <w:t xml:space="preserve"> los causantes de la crisis de las hipotecas subprime (too big to jail)… desde cuando</w:t>
      </w:r>
      <w:r w:rsidR="009F3FAE" w:rsidRPr="000069AD">
        <w:rPr>
          <w:rFonts w:ascii="Times New Roman" w:hAnsi="Times New Roman" w:cs="Times New Roman"/>
          <w:sz w:val="24"/>
          <w:szCs w:val="24"/>
          <w:shd w:val="clear" w:color="auto" w:fill="FFFFFF"/>
        </w:rPr>
        <w:t xml:space="preserve"> los liberticidas</w:t>
      </w:r>
      <w:r w:rsidRPr="000069AD">
        <w:rPr>
          <w:rFonts w:ascii="Times New Roman" w:hAnsi="Times New Roman" w:cs="Times New Roman"/>
          <w:sz w:val="24"/>
          <w:szCs w:val="24"/>
          <w:shd w:val="clear" w:color="auto" w:fill="FFFFFF"/>
        </w:rPr>
        <w:t xml:space="preserve"> hicieron llorar a S</w:t>
      </w:r>
      <w:r w:rsidR="009F3FAE" w:rsidRPr="000069AD">
        <w:rPr>
          <w:rFonts w:ascii="Times New Roman" w:hAnsi="Times New Roman" w:cs="Times New Roman"/>
          <w:sz w:val="24"/>
          <w:szCs w:val="24"/>
          <w:shd w:val="clear" w:color="auto" w:fill="FFFFFF"/>
        </w:rPr>
        <w:t>mith, y los falsos progresistas</w:t>
      </w:r>
      <w:r w:rsidRPr="000069AD">
        <w:rPr>
          <w:rFonts w:ascii="Times New Roman" w:hAnsi="Times New Roman" w:cs="Times New Roman"/>
          <w:sz w:val="24"/>
          <w:szCs w:val="24"/>
          <w:shd w:val="clear" w:color="auto" w:fill="FFFFFF"/>
        </w:rPr>
        <w:t xml:space="preserve"> hicieron que Keynes se rasgara las vestiduras, mientras la economía de la especulación, aniquilaba la economía productiva. </w:t>
      </w:r>
      <w:r w:rsidR="009F3FAE" w:rsidRPr="000069AD">
        <w:rPr>
          <w:rFonts w:ascii="Times New Roman" w:hAnsi="Times New Roman" w:cs="Times New Roman"/>
          <w:sz w:val="24"/>
          <w:szCs w:val="24"/>
          <w:shd w:val="clear" w:color="auto" w:fill="FFFFFF"/>
        </w:rPr>
        <w:t>Y a eso</w:t>
      </w:r>
      <w:r w:rsidR="007C0756" w:rsidRPr="000069AD">
        <w:rPr>
          <w:rFonts w:ascii="Times New Roman" w:hAnsi="Times New Roman" w:cs="Times New Roman"/>
          <w:sz w:val="24"/>
          <w:szCs w:val="24"/>
          <w:shd w:val="clear" w:color="auto" w:fill="FFFFFF"/>
        </w:rPr>
        <w:t>,</w:t>
      </w:r>
      <w:r w:rsidR="009F3FAE" w:rsidRPr="000069AD">
        <w:rPr>
          <w:rFonts w:ascii="Times New Roman" w:hAnsi="Times New Roman" w:cs="Times New Roman"/>
          <w:sz w:val="24"/>
          <w:szCs w:val="24"/>
          <w:shd w:val="clear" w:color="auto" w:fill="FFFFFF"/>
        </w:rPr>
        <w:t xml:space="preserve"> han llamado</w:t>
      </w:r>
      <w:r w:rsidRPr="000069AD">
        <w:rPr>
          <w:rFonts w:ascii="Times New Roman" w:hAnsi="Times New Roman" w:cs="Times New Roman"/>
          <w:sz w:val="24"/>
          <w:szCs w:val="24"/>
          <w:shd w:val="clear" w:color="auto" w:fill="FFFFFF"/>
        </w:rPr>
        <w:t xml:space="preserve"> la “destrucción creativa que impulsa la prosperidad a largo plazo”, otorgándole  el Nobel de Economía 2025.</w:t>
      </w:r>
      <w:r w:rsidRPr="000069AD">
        <w:rPr>
          <w:rStyle w:val="vkekvd"/>
          <w:rFonts w:ascii="Times New Roman" w:hAnsi="Times New Roman" w:cs="Times New Roman"/>
          <w:sz w:val="24"/>
          <w:szCs w:val="24"/>
          <w:shd w:val="clear" w:color="auto" w:fill="FFFFFF"/>
        </w:rPr>
        <w:t> </w:t>
      </w:r>
    </w:p>
    <w:p w:rsidR="00E43A7D" w:rsidRPr="000069AD" w:rsidRDefault="00E43A7D" w:rsidP="00E43A7D">
      <w:pPr>
        <w:spacing w:line="240" w:lineRule="auto"/>
        <w:jc w:val="both"/>
        <w:rPr>
          <w:rFonts w:ascii="Times New Roman" w:hAnsi="Times New Roman" w:cs="Times New Roman"/>
          <w:sz w:val="24"/>
          <w:szCs w:val="24"/>
        </w:rPr>
      </w:pPr>
      <w:r w:rsidRPr="000069AD">
        <w:rPr>
          <w:rFonts w:ascii="Times New Roman" w:hAnsi="Times New Roman" w:cs="Times New Roman"/>
          <w:sz w:val="24"/>
          <w:szCs w:val="24"/>
        </w:rPr>
        <w:t>¿Cuándo el déficit público resulta insostenible (y no hay ningún compromiso para reducirlo), cuándo la deuda soberana está en máximos (y no hay ningún compromiso para reducirla), cuándo la independencia entre la banca central y los gobiernos está desapareciendo, cuando pocos dudan ya de la llegada de otra ola de inflación y de represión financiera, y todo parece indicar que los gobiernos dejarán que la deuda estalle por algún lado (inflación o impago),  hay algunos que pueden justificar, tolerar, o premiar</w:t>
      </w:r>
      <w:r w:rsidR="001D2556" w:rsidRPr="000069AD">
        <w:rPr>
          <w:rFonts w:ascii="Times New Roman" w:hAnsi="Times New Roman" w:cs="Times New Roman"/>
          <w:sz w:val="24"/>
          <w:szCs w:val="24"/>
        </w:rPr>
        <w:t>,</w:t>
      </w:r>
      <w:r w:rsidRPr="000069AD">
        <w:rPr>
          <w:rFonts w:ascii="Times New Roman" w:hAnsi="Times New Roman" w:cs="Times New Roman"/>
          <w:sz w:val="24"/>
          <w:szCs w:val="24"/>
        </w:rPr>
        <w:t xml:space="preserve"> la “destrucción creativa”? ¡No jodamos!</w:t>
      </w:r>
    </w:p>
    <w:p w:rsidR="006B4E82" w:rsidRPr="000069AD" w:rsidRDefault="006B4E82"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En medio de este crepúsculo de valores, prefiero retirarme al asilo del alma. Perdonen ustedes pero ya no tengo “llamados” que trasmitir, en este mundo tan tardo e irrazonable.</w:t>
      </w:r>
    </w:p>
    <w:p w:rsidR="004E43BB" w:rsidRPr="000069AD" w:rsidRDefault="004E43BB"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El silencio volu</w:t>
      </w:r>
      <w:r w:rsidR="009B42B5" w:rsidRPr="000069AD">
        <w:rPr>
          <w:rFonts w:ascii="Times New Roman" w:hAnsi="Times New Roman" w:cs="Times New Roman"/>
          <w:sz w:val="24"/>
          <w:szCs w:val="24"/>
          <w:shd w:val="clear" w:color="auto" w:fill="FFFFFF"/>
        </w:rPr>
        <w:t>ntario podrá (eso espero y deseo</w:t>
      </w:r>
      <w:r w:rsidRPr="000069AD">
        <w:rPr>
          <w:rFonts w:ascii="Times New Roman" w:hAnsi="Times New Roman" w:cs="Times New Roman"/>
          <w:sz w:val="24"/>
          <w:szCs w:val="24"/>
          <w:shd w:val="clear" w:color="auto" w:fill="FFFFFF"/>
        </w:rPr>
        <w:t>) hacer más fácil el día después, sin perder el control de las decisiones</w:t>
      </w:r>
      <w:r w:rsidR="006B4BAE" w:rsidRPr="000069AD">
        <w:rPr>
          <w:rFonts w:ascii="Times New Roman" w:hAnsi="Times New Roman" w:cs="Times New Roman"/>
          <w:sz w:val="24"/>
          <w:szCs w:val="24"/>
          <w:shd w:val="clear" w:color="auto" w:fill="FFFFFF"/>
        </w:rPr>
        <w:t>. Entregado a la disciplina de no saber nada de mi mañana, de poder seguir soñando el maña</w:t>
      </w:r>
      <w:r w:rsidR="009F3FAE" w:rsidRPr="000069AD">
        <w:rPr>
          <w:rFonts w:ascii="Times New Roman" w:hAnsi="Times New Roman" w:cs="Times New Roman"/>
          <w:sz w:val="24"/>
          <w:szCs w:val="24"/>
          <w:shd w:val="clear" w:color="auto" w:fill="FFFFFF"/>
        </w:rPr>
        <w:t xml:space="preserve">na de los demás… mientras aguardo </w:t>
      </w:r>
      <w:r w:rsidR="006B4BAE" w:rsidRPr="000069AD">
        <w:rPr>
          <w:rFonts w:ascii="Times New Roman" w:hAnsi="Times New Roman" w:cs="Times New Roman"/>
          <w:sz w:val="24"/>
          <w:szCs w:val="24"/>
          <w:shd w:val="clear" w:color="auto" w:fill="FFFFFF"/>
        </w:rPr>
        <w:t>resignado</w:t>
      </w:r>
      <w:r w:rsidR="009F3FAE" w:rsidRPr="000069AD">
        <w:rPr>
          <w:rFonts w:ascii="Times New Roman" w:hAnsi="Times New Roman" w:cs="Times New Roman"/>
          <w:sz w:val="24"/>
          <w:szCs w:val="24"/>
          <w:shd w:val="clear" w:color="auto" w:fill="FFFFFF"/>
        </w:rPr>
        <w:t>,</w:t>
      </w:r>
      <w:r w:rsidR="006B4BAE" w:rsidRPr="000069AD">
        <w:rPr>
          <w:rFonts w:ascii="Times New Roman" w:hAnsi="Times New Roman" w:cs="Times New Roman"/>
          <w:sz w:val="24"/>
          <w:szCs w:val="24"/>
          <w:shd w:val="clear" w:color="auto" w:fill="FFFFFF"/>
        </w:rPr>
        <w:t xml:space="preserve"> a morir felizmente perdonado.</w:t>
      </w:r>
    </w:p>
    <w:p w:rsidR="009B42B5" w:rsidRPr="000069AD" w:rsidRDefault="009B42B5"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E</w:t>
      </w:r>
      <w:r w:rsidR="006B4BAE" w:rsidRPr="000069AD">
        <w:rPr>
          <w:rFonts w:ascii="Times New Roman" w:hAnsi="Times New Roman" w:cs="Times New Roman"/>
          <w:sz w:val="24"/>
          <w:szCs w:val="24"/>
          <w:shd w:val="clear" w:color="auto" w:fill="FFFFFF"/>
        </w:rPr>
        <w:t xml:space="preserve">l silencio voluntario </w:t>
      </w:r>
      <w:r w:rsidR="009F3FAE" w:rsidRPr="000069AD">
        <w:rPr>
          <w:rFonts w:ascii="Times New Roman" w:hAnsi="Times New Roman" w:cs="Times New Roman"/>
          <w:sz w:val="24"/>
          <w:szCs w:val="24"/>
          <w:shd w:val="clear" w:color="auto" w:fill="FFFFFF"/>
        </w:rPr>
        <w:t>permitirá (eso espero</w:t>
      </w:r>
      <w:r w:rsidRPr="000069AD">
        <w:rPr>
          <w:rFonts w:ascii="Times New Roman" w:hAnsi="Times New Roman" w:cs="Times New Roman"/>
          <w:sz w:val="24"/>
          <w:szCs w:val="24"/>
          <w:shd w:val="clear" w:color="auto" w:fill="FFFFFF"/>
        </w:rPr>
        <w:t xml:space="preserve"> y deseo), iniciar un viaje a los entresijos del alma, una búsqueda (aunque tardía) de un destino que se oculta al mostrarse, de un encuentro en el extrarradio de una pérdida que sea la cifra de la salvación. </w:t>
      </w:r>
    </w:p>
    <w:p w:rsidR="006B4BAE" w:rsidRPr="000069AD" w:rsidRDefault="009B42B5" w:rsidP="006B4E82">
      <w:pPr>
        <w:spacing w:line="240" w:lineRule="auto"/>
        <w:jc w:val="both"/>
        <w:rPr>
          <w:rFonts w:ascii="Times New Roman" w:hAnsi="Times New Roman" w:cs="Times New Roman"/>
          <w:sz w:val="24"/>
          <w:szCs w:val="24"/>
          <w:shd w:val="clear" w:color="auto" w:fill="FFFFFF"/>
        </w:rPr>
      </w:pPr>
      <w:r w:rsidRPr="000069AD">
        <w:rPr>
          <w:rFonts w:ascii="Times New Roman" w:hAnsi="Times New Roman" w:cs="Times New Roman"/>
          <w:sz w:val="24"/>
          <w:szCs w:val="24"/>
          <w:shd w:val="clear" w:color="auto" w:fill="FFFFFF"/>
        </w:rPr>
        <w:t>El silencio voluntario permitirá (eso espero y deseo) renovar la fe, esa que permita sentirse más libre, a solas en el interior, donde no hay nadie, sino todos, justo donde todos los dones del bien están cercados por el mal, y de pronto, llegue la luz, esa luz, y el mal ya es solo una ventana al bien.</w:t>
      </w:r>
    </w:p>
    <w:sectPr w:rsidR="006B4BAE" w:rsidRPr="000069A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915D8"/>
    <w:multiLevelType w:val="multilevel"/>
    <w:tmpl w:val="680C1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5A2EAE"/>
    <w:multiLevelType w:val="multilevel"/>
    <w:tmpl w:val="175EC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9D6862"/>
    <w:multiLevelType w:val="multilevel"/>
    <w:tmpl w:val="9BC44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7E2223F"/>
    <w:multiLevelType w:val="multilevel"/>
    <w:tmpl w:val="F66E9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90C3A92"/>
    <w:multiLevelType w:val="multilevel"/>
    <w:tmpl w:val="617C47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C390B67"/>
    <w:multiLevelType w:val="multilevel"/>
    <w:tmpl w:val="1A661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3111A76"/>
    <w:multiLevelType w:val="multilevel"/>
    <w:tmpl w:val="8AA8C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C4540B1"/>
    <w:multiLevelType w:val="multilevel"/>
    <w:tmpl w:val="08D05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E65307D"/>
    <w:multiLevelType w:val="multilevel"/>
    <w:tmpl w:val="E61A2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0162397"/>
    <w:multiLevelType w:val="multilevel"/>
    <w:tmpl w:val="2D7AF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21C52BF"/>
    <w:multiLevelType w:val="multilevel"/>
    <w:tmpl w:val="415CE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4AD45C9"/>
    <w:multiLevelType w:val="multilevel"/>
    <w:tmpl w:val="EA80F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69B2F26"/>
    <w:multiLevelType w:val="multilevel"/>
    <w:tmpl w:val="F6A6D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B6A3265"/>
    <w:multiLevelType w:val="multilevel"/>
    <w:tmpl w:val="0E10C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BE12133"/>
    <w:multiLevelType w:val="multilevel"/>
    <w:tmpl w:val="A3C68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BFA5AB4"/>
    <w:multiLevelType w:val="multilevel"/>
    <w:tmpl w:val="DC18F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F3832EA"/>
    <w:multiLevelType w:val="multilevel"/>
    <w:tmpl w:val="EE142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FBE4C55"/>
    <w:multiLevelType w:val="multilevel"/>
    <w:tmpl w:val="4A8A1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3188770E"/>
    <w:multiLevelType w:val="multilevel"/>
    <w:tmpl w:val="61AED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6A3499C"/>
    <w:multiLevelType w:val="multilevel"/>
    <w:tmpl w:val="6BD65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37230849"/>
    <w:multiLevelType w:val="multilevel"/>
    <w:tmpl w:val="F7842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387222F6"/>
    <w:multiLevelType w:val="multilevel"/>
    <w:tmpl w:val="C2EEB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425614E5"/>
    <w:multiLevelType w:val="multilevel"/>
    <w:tmpl w:val="76B6809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6FE2EAC"/>
    <w:multiLevelType w:val="multilevel"/>
    <w:tmpl w:val="9176F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47B64ED5"/>
    <w:multiLevelType w:val="multilevel"/>
    <w:tmpl w:val="04E64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47D87CE5"/>
    <w:multiLevelType w:val="multilevel"/>
    <w:tmpl w:val="7F3A3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AA30BC7"/>
    <w:multiLevelType w:val="multilevel"/>
    <w:tmpl w:val="043CC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B81574E"/>
    <w:multiLevelType w:val="multilevel"/>
    <w:tmpl w:val="44666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4FCE4CDE"/>
    <w:multiLevelType w:val="multilevel"/>
    <w:tmpl w:val="318C3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50213B0E"/>
    <w:multiLevelType w:val="multilevel"/>
    <w:tmpl w:val="8EE2F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76344D3"/>
    <w:multiLevelType w:val="multilevel"/>
    <w:tmpl w:val="239ED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975255B"/>
    <w:multiLevelType w:val="multilevel"/>
    <w:tmpl w:val="691A7F8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AAF34F0"/>
    <w:multiLevelType w:val="multilevel"/>
    <w:tmpl w:val="53C63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5B5F2549"/>
    <w:multiLevelType w:val="multilevel"/>
    <w:tmpl w:val="4080E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5D27763F"/>
    <w:multiLevelType w:val="multilevel"/>
    <w:tmpl w:val="48BA6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0323610"/>
    <w:multiLevelType w:val="multilevel"/>
    <w:tmpl w:val="9006C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65C90E6B"/>
    <w:multiLevelType w:val="multilevel"/>
    <w:tmpl w:val="C6D0C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9B2268A"/>
    <w:multiLevelType w:val="hybridMultilevel"/>
    <w:tmpl w:val="B7E0810E"/>
    <w:lvl w:ilvl="0" w:tplc="F7AC1C72">
      <w:numFmt w:val="bullet"/>
      <w:lvlText w:val="-"/>
      <w:lvlJc w:val="left"/>
      <w:pPr>
        <w:ind w:left="720" w:hanging="360"/>
      </w:pPr>
      <w:rPr>
        <w:rFonts w:ascii="Arial" w:eastAsiaTheme="minorHAnsi" w:hAnsi="Arial" w:cs="Arial" w:hint="default"/>
        <w:color w:val="auto"/>
        <w:sz w:val="27"/>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72573F55"/>
    <w:multiLevelType w:val="multilevel"/>
    <w:tmpl w:val="BC721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9DF41F1"/>
    <w:multiLevelType w:val="multilevel"/>
    <w:tmpl w:val="F18AB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A5F6498"/>
    <w:multiLevelType w:val="multilevel"/>
    <w:tmpl w:val="AF6411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FB80A1C"/>
    <w:multiLevelType w:val="multilevel"/>
    <w:tmpl w:val="ECDC5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2"/>
  </w:num>
  <w:num w:numId="2">
    <w:abstractNumId w:val="37"/>
  </w:num>
  <w:num w:numId="3">
    <w:abstractNumId w:val="14"/>
  </w:num>
  <w:num w:numId="4">
    <w:abstractNumId w:val="31"/>
  </w:num>
  <w:num w:numId="5">
    <w:abstractNumId w:val="12"/>
  </w:num>
  <w:num w:numId="6">
    <w:abstractNumId w:val="10"/>
  </w:num>
  <w:num w:numId="7">
    <w:abstractNumId w:val="30"/>
  </w:num>
  <w:num w:numId="8">
    <w:abstractNumId w:val="4"/>
  </w:num>
  <w:num w:numId="9">
    <w:abstractNumId w:val="15"/>
  </w:num>
  <w:num w:numId="10">
    <w:abstractNumId w:val="29"/>
  </w:num>
  <w:num w:numId="11">
    <w:abstractNumId w:val="18"/>
  </w:num>
  <w:num w:numId="12">
    <w:abstractNumId w:val="22"/>
    <w:lvlOverride w:ilvl="1">
      <w:lvl w:ilvl="1">
        <w:numFmt w:val="bullet"/>
        <w:lvlText w:val=""/>
        <w:lvlJc w:val="left"/>
        <w:pPr>
          <w:tabs>
            <w:tab w:val="num" w:pos="1440"/>
          </w:tabs>
          <w:ind w:left="1440" w:hanging="360"/>
        </w:pPr>
        <w:rPr>
          <w:rFonts w:ascii="Symbol" w:hAnsi="Symbol" w:hint="default"/>
          <w:sz w:val="20"/>
        </w:rPr>
      </w:lvl>
    </w:lvlOverride>
  </w:num>
  <w:num w:numId="13">
    <w:abstractNumId w:val="33"/>
  </w:num>
  <w:num w:numId="14">
    <w:abstractNumId w:val="35"/>
  </w:num>
  <w:num w:numId="15">
    <w:abstractNumId w:val="24"/>
  </w:num>
  <w:num w:numId="16">
    <w:abstractNumId w:val="23"/>
  </w:num>
  <w:num w:numId="17">
    <w:abstractNumId w:val="17"/>
  </w:num>
  <w:num w:numId="18">
    <w:abstractNumId w:val="20"/>
  </w:num>
  <w:num w:numId="19">
    <w:abstractNumId w:val="19"/>
  </w:num>
  <w:num w:numId="20">
    <w:abstractNumId w:val="7"/>
  </w:num>
  <w:num w:numId="21">
    <w:abstractNumId w:val="38"/>
  </w:num>
  <w:num w:numId="22">
    <w:abstractNumId w:val="39"/>
  </w:num>
  <w:num w:numId="23">
    <w:abstractNumId w:val="1"/>
  </w:num>
  <w:num w:numId="24">
    <w:abstractNumId w:val="22"/>
  </w:num>
  <w:num w:numId="25">
    <w:abstractNumId w:val="9"/>
  </w:num>
  <w:num w:numId="26">
    <w:abstractNumId w:val="36"/>
  </w:num>
  <w:num w:numId="27">
    <w:abstractNumId w:val="16"/>
  </w:num>
  <w:num w:numId="28">
    <w:abstractNumId w:val="6"/>
  </w:num>
  <w:num w:numId="29">
    <w:abstractNumId w:val="2"/>
  </w:num>
  <w:num w:numId="30">
    <w:abstractNumId w:val="27"/>
  </w:num>
  <w:num w:numId="31">
    <w:abstractNumId w:val="28"/>
  </w:num>
  <w:num w:numId="32">
    <w:abstractNumId w:val="26"/>
  </w:num>
  <w:num w:numId="33">
    <w:abstractNumId w:val="11"/>
  </w:num>
  <w:num w:numId="34">
    <w:abstractNumId w:val="0"/>
  </w:num>
  <w:num w:numId="35">
    <w:abstractNumId w:val="41"/>
  </w:num>
  <w:num w:numId="36">
    <w:abstractNumId w:val="34"/>
  </w:num>
  <w:num w:numId="37">
    <w:abstractNumId w:val="5"/>
  </w:num>
  <w:num w:numId="38">
    <w:abstractNumId w:val="8"/>
  </w:num>
  <w:num w:numId="39">
    <w:abstractNumId w:val="25"/>
    <w:lvlOverride w:ilvl="0">
      <w:lvl w:ilvl="0">
        <w:numFmt w:val="bullet"/>
        <w:lvlText w:val=""/>
        <w:lvlJc w:val="left"/>
        <w:pPr>
          <w:tabs>
            <w:tab w:val="num" w:pos="720"/>
          </w:tabs>
          <w:ind w:left="720" w:hanging="360"/>
        </w:pPr>
        <w:rPr>
          <w:rFonts w:ascii="Wingdings" w:hAnsi="Wingdings" w:hint="default"/>
          <w:sz w:val="20"/>
        </w:rPr>
      </w:lvl>
    </w:lvlOverride>
  </w:num>
  <w:num w:numId="40">
    <w:abstractNumId w:val="13"/>
    <w:lvlOverride w:ilvl="0">
      <w:lvl w:ilvl="0">
        <w:numFmt w:val="bullet"/>
        <w:lvlText w:val=""/>
        <w:lvlJc w:val="left"/>
        <w:pPr>
          <w:tabs>
            <w:tab w:val="num" w:pos="720"/>
          </w:tabs>
          <w:ind w:left="720" w:hanging="360"/>
        </w:pPr>
        <w:rPr>
          <w:rFonts w:ascii="Wingdings" w:hAnsi="Wingdings" w:hint="default"/>
          <w:sz w:val="20"/>
        </w:rPr>
      </w:lvl>
    </w:lvlOverride>
  </w:num>
  <w:num w:numId="41">
    <w:abstractNumId w:val="13"/>
    <w:lvlOverride w:ilvl="0">
      <w:lvl w:ilvl="0">
        <w:numFmt w:val="bullet"/>
        <w:lvlText w:val=""/>
        <w:lvlJc w:val="left"/>
        <w:pPr>
          <w:tabs>
            <w:tab w:val="num" w:pos="720"/>
          </w:tabs>
          <w:ind w:left="720" w:hanging="360"/>
        </w:pPr>
        <w:rPr>
          <w:rFonts w:ascii="Wingdings" w:hAnsi="Wingdings"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42">
    <w:abstractNumId w:val="40"/>
  </w:num>
  <w:num w:numId="43">
    <w:abstractNumId w:val="21"/>
  </w:num>
  <w:num w:numId="4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4659"/>
    <w:rsid w:val="00000440"/>
    <w:rsid w:val="00002213"/>
    <w:rsid w:val="0000577A"/>
    <w:rsid w:val="000058D1"/>
    <w:rsid w:val="000069AD"/>
    <w:rsid w:val="000303AD"/>
    <w:rsid w:val="000335E9"/>
    <w:rsid w:val="0003580B"/>
    <w:rsid w:val="00043BFE"/>
    <w:rsid w:val="00043F6A"/>
    <w:rsid w:val="0004627D"/>
    <w:rsid w:val="00052144"/>
    <w:rsid w:val="00056460"/>
    <w:rsid w:val="0007150B"/>
    <w:rsid w:val="000803C7"/>
    <w:rsid w:val="00080EE3"/>
    <w:rsid w:val="00087F76"/>
    <w:rsid w:val="000971AB"/>
    <w:rsid w:val="000B3F52"/>
    <w:rsid w:val="000B6997"/>
    <w:rsid w:val="000B6DCB"/>
    <w:rsid w:val="000C4C56"/>
    <w:rsid w:val="000C52E7"/>
    <w:rsid w:val="000C5EE8"/>
    <w:rsid w:val="000C6134"/>
    <w:rsid w:val="000C771F"/>
    <w:rsid w:val="000D24D3"/>
    <w:rsid w:val="000E44B4"/>
    <w:rsid w:val="000E5B23"/>
    <w:rsid w:val="001101BD"/>
    <w:rsid w:val="001104A2"/>
    <w:rsid w:val="00115CC2"/>
    <w:rsid w:val="00131282"/>
    <w:rsid w:val="00142287"/>
    <w:rsid w:val="00156710"/>
    <w:rsid w:val="00170863"/>
    <w:rsid w:val="00190633"/>
    <w:rsid w:val="00192BB8"/>
    <w:rsid w:val="001A1A40"/>
    <w:rsid w:val="001B5F85"/>
    <w:rsid w:val="001C1302"/>
    <w:rsid w:val="001C2EF0"/>
    <w:rsid w:val="001C71BB"/>
    <w:rsid w:val="001D058C"/>
    <w:rsid w:val="001D2556"/>
    <w:rsid w:val="001D72FF"/>
    <w:rsid w:val="00203F39"/>
    <w:rsid w:val="002257B8"/>
    <w:rsid w:val="00226FA3"/>
    <w:rsid w:val="002439AA"/>
    <w:rsid w:val="00250B31"/>
    <w:rsid w:val="00286F81"/>
    <w:rsid w:val="002A0B36"/>
    <w:rsid w:val="002B6302"/>
    <w:rsid w:val="002B7B12"/>
    <w:rsid w:val="002B7BA6"/>
    <w:rsid w:val="002F2E9F"/>
    <w:rsid w:val="00301BA6"/>
    <w:rsid w:val="00317E3A"/>
    <w:rsid w:val="003277A5"/>
    <w:rsid w:val="00360C75"/>
    <w:rsid w:val="00374464"/>
    <w:rsid w:val="00380B58"/>
    <w:rsid w:val="003810BB"/>
    <w:rsid w:val="00393903"/>
    <w:rsid w:val="003B15A3"/>
    <w:rsid w:val="003B390C"/>
    <w:rsid w:val="003F1A0D"/>
    <w:rsid w:val="004062C2"/>
    <w:rsid w:val="00416D63"/>
    <w:rsid w:val="00417577"/>
    <w:rsid w:val="004341C4"/>
    <w:rsid w:val="00434850"/>
    <w:rsid w:val="00471D15"/>
    <w:rsid w:val="00473932"/>
    <w:rsid w:val="00473A63"/>
    <w:rsid w:val="0048750D"/>
    <w:rsid w:val="00495B41"/>
    <w:rsid w:val="004A3906"/>
    <w:rsid w:val="004A6055"/>
    <w:rsid w:val="004B652A"/>
    <w:rsid w:val="004D42DC"/>
    <w:rsid w:val="004D71E4"/>
    <w:rsid w:val="004E17A3"/>
    <w:rsid w:val="004E3111"/>
    <w:rsid w:val="004E43BB"/>
    <w:rsid w:val="004E5545"/>
    <w:rsid w:val="004F2666"/>
    <w:rsid w:val="00511BCF"/>
    <w:rsid w:val="00513478"/>
    <w:rsid w:val="0053150B"/>
    <w:rsid w:val="005326AC"/>
    <w:rsid w:val="005452DB"/>
    <w:rsid w:val="00552DE5"/>
    <w:rsid w:val="005608C2"/>
    <w:rsid w:val="005672ED"/>
    <w:rsid w:val="00571C96"/>
    <w:rsid w:val="0057323A"/>
    <w:rsid w:val="00585050"/>
    <w:rsid w:val="005A39C9"/>
    <w:rsid w:val="005B3020"/>
    <w:rsid w:val="005B7CC5"/>
    <w:rsid w:val="005C40BB"/>
    <w:rsid w:val="005C5260"/>
    <w:rsid w:val="005E1761"/>
    <w:rsid w:val="00640179"/>
    <w:rsid w:val="00662569"/>
    <w:rsid w:val="006848A8"/>
    <w:rsid w:val="00687E15"/>
    <w:rsid w:val="00690317"/>
    <w:rsid w:val="006A1F56"/>
    <w:rsid w:val="006B0447"/>
    <w:rsid w:val="006B4BAE"/>
    <w:rsid w:val="006B4E82"/>
    <w:rsid w:val="006C416E"/>
    <w:rsid w:val="006C4C6B"/>
    <w:rsid w:val="006C70E8"/>
    <w:rsid w:val="006E75B7"/>
    <w:rsid w:val="006F654A"/>
    <w:rsid w:val="007051FB"/>
    <w:rsid w:val="00721909"/>
    <w:rsid w:val="00724984"/>
    <w:rsid w:val="00736F58"/>
    <w:rsid w:val="00743E95"/>
    <w:rsid w:val="00780D2B"/>
    <w:rsid w:val="007A6B03"/>
    <w:rsid w:val="007C0588"/>
    <w:rsid w:val="007C0756"/>
    <w:rsid w:val="007C1B7D"/>
    <w:rsid w:val="007D171D"/>
    <w:rsid w:val="007D31E5"/>
    <w:rsid w:val="007D5310"/>
    <w:rsid w:val="007D68B3"/>
    <w:rsid w:val="007E3171"/>
    <w:rsid w:val="007E438D"/>
    <w:rsid w:val="007F078B"/>
    <w:rsid w:val="007F0DC3"/>
    <w:rsid w:val="007F42A8"/>
    <w:rsid w:val="0080195C"/>
    <w:rsid w:val="00802C7D"/>
    <w:rsid w:val="00803F22"/>
    <w:rsid w:val="0081309A"/>
    <w:rsid w:val="0082087B"/>
    <w:rsid w:val="00827355"/>
    <w:rsid w:val="008322E5"/>
    <w:rsid w:val="00850FBA"/>
    <w:rsid w:val="00852DBA"/>
    <w:rsid w:val="00852E6F"/>
    <w:rsid w:val="00855BCF"/>
    <w:rsid w:val="00872221"/>
    <w:rsid w:val="00874474"/>
    <w:rsid w:val="00882660"/>
    <w:rsid w:val="008936ED"/>
    <w:rsid w:val="00896F46"/>
    <w:rsid w:val="008A1EA5"/>
    <w:rsid w:val="008A7097"/>
    <w:rsid w:val="008D1A33"/>
    <w:rsid w:val="008D1D84"/>
    <w:rsid w:val="008D3FE3"/>
    <w:rsid w:val="008E2FDD"/>
    <w:rsid w:val="008F7A2A"/>
    <w:rsid w:val="009067AF"/>
    <w:rsid w:val="00906F30"/>
    <w:rsid w:val="009131D1"/>
    <w:rsid w:val="00920137"/>
    <w:rsid w:val="00921F40"/>
    <w:rsid w:val="00927DDA"/>
    <w:rsid w:val="00944083"/>
    <w:rsid w:val="009452C6"/>
    <w:rsid w:val="00950F8F"/>
    <w:rsid w:val="009579D6"/>
    <w:rsid w:val="00971613"/>
    <w:rsid w:val="00980726"/>
    <w:rsid w:val="009B42B5"/>
    <w:rsid w:val="009C5CD4"/>
    <w:rsid w:val="009F3FAE"/>
    <w:rsid w:val="00A14659"/>
    <w:rsid w:val="00A25FA5"/>
    <w:rsid w:val="00A336CC"/>
    <w:rsid w:val="00A36462"/>
    <w:rsid w:val="00A379F1"/>
    <w:rsid w:val="00A55EC7"/>
    <w:rsid w:val="00A56429"/>
    <w:rsid w:val="00A80A94"/>
    <w:rsid w:val="00AA5CF8"/>
    <w:rsid w:val="00AB6FE0"/>
    <w:rsid w:val="00AC200B"/>
    <w:rsid w:val="00AE5BCD"/>
    <w:rsid w:val="00AF0578"/>
    <w:rsid w:val="00AF43DB"/>
    <w:rsid w:val="00B0592A"/>
    <w:rsid w:val="00B277E2"/>
    <w:rsid w:val="00B3699F"/>
    <w:rsid w:val="00B378EC"/>
    <w:rsid w:val="00B458AC"/>
    <w:rsid w:val="00B466C3"/>
    <w:rsid w:val="00B62645"/>
    <w:rsid w:val="00B83241"/>
    <w:rsid w:val="00B84E6D"/>
    <w:rsid w:val="00B951BD"/>
    <w:rsid w:val="00BC420A"/>
    <w:rsid w:val="00BC7076"/>
    <w:rsid w:val="00BD2B78"/>
    <w:rsid w:val="00BF4576"/>
    <w:rsid w:val="00C02988"/>
    <w:rsid w:val="00C02DB5"/>
    <w:rsid w:val="00C03816"/>
    <w:rsid w:val="00C06321"/>
    <w:rsid w:val="00C36C08"/>
    <w:rsid w:val="00C3769F"/>
    <w:rsid w:val="00C46131"/>
    <w:rsid w:val="00C84C09"/>
    <w:rsid w:val="00C9309F"/>
    <w:rsid w:val="00C93639"/>
    <w:rsid w:val="00CB2162"/>
    <w:rsid w:val="00CC4C81"/>
    <w:rsid w:val="00CD32B3"/>
    <w:rsid w:val="00CE4249"/>
    <w:rsid w:val="00D07FD3"/>
    <w:rsid w:val="00D10F75"/>
    <w:rsid w:val="00D1413F"/>
    <w:rsid w:val="00D26D54"/>
    <w:rsid w:val="00D47263"/>
    <w:rsid w:val="00D5287E"/>
    <w:rsid w:val="00D5297A"/>
    <w:rsid w:val="00D76D38"/>
    <w:rsid w:val="00D85658"/>
    <w:rsid w:val="00DA2C34"/>
    <w:rsid w:val="00DA3094"/>
    <w:rsid w:val="00DA7F01"/>
    <w:rsid w:val="00DC62E7"/>
    <w:rsid w:val="00DD2F92"/>
    <w:rsid w:val="00DD3A91"/>
    <w:rsid w:val="00DD504A"/>
    <w:rsid w:val="00E43A7D"/>
    <w:rsid w:val="00E44974"/>
    <w:rsid w:val="00E47BCF"/>
    <w:rsid w:val="00E50DE5"/>
    <w:rsid w:val="00E53549"/>
    <w:rsid w:val="00E9098D"/>
    <w:rsid w:val="00E945BE"/>
    <w:rsid w:val="00EB02C7"/>
    <w:rsid w:val="00EB3154"/>
    <w:rsid w:val="00EB7E6D"/>
    <w:rsid w:val="00EE25C5"/>
    <w:rsid w:val="00EF023D"/>
    <w:rsid w:val="00F20BA4"/>
    <w:rsid w:val="00F30D2B"/>
    <w:rsid w:val="00F34371"/>
    <w:rsid w:val="00F5453E"/>
    <w:rsid w:val="00F54CB0"/>
    <w:rsid w:val="00F614A3"/>
    <w:rsid w:val="00F62F4B"/>
    <w:rsid w:val="00FA1F4B"/>
    <w:rsid w:val="00FB1411"/>
    <w:rsid w:val="00FB4E30"/>
    <w:rsid w:val="00FC4823"/>
    <w:rsid w:val="00FC7698"/>
    <w:rsid w:val="00FE562B"/>
    <w:rsid w:val="00FF1770"/>
    <w:rsid w:val="00FF62B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4659"/>
  </w:style>
  <w:style w:type="paragraph" w:styleId="Ttulo1">
    <w:name w:val="heading 1"/>
    <w:basedOn w:val="Normal"/>
    <w:next w:val="Normal"/>
    <w:link w:val="Ttulo1Car"/>
    <w:uiPriority w:val="9"/>
    <w:qFormat/>
    <w:rsid w:val="000B699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82087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8F7A2A"/>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0803C7"/>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A1465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14659"/>
    <w:rPr>
      <w:rFonts w:ascii="Tahoma" w:hAnsi="Tahoma" w:cs="Tahoma"/>
      <w:sz w:val="16"/>
      <w:szCs w:val="16"/>
    </w:rPr>
  </w:style>
  <w:style w:type="paragraph" w:styleId="Prrafodelista">
    <w:name w:val="List Paragraph"/>
    <w:basedOn w:val="Normal"/>
    <w:uiPriority w:val="34"/>
    <w:qFormat/>
    <w:rsid w:val="00A14659"/>
    <w:pPr>
      <w:ind w:left="720"/>
      <w:contextualSpacing/>
    </w:pPr>
  </w:style>
  <w:style w:type="character" w:customStyle="1" w:styleId="Ttulo2Car">
    <w:name w:val="Título 2 Car"/>
    <w:basedOn w:val="Fuentedeprrafopredeter"/>
    <w:link w:val="Ttulo2"/>
    <w:uiPriority w:val="9"/>
    <w:rsid w:val="0082087B"/>
    <w:rPr>
      <w:rFonts w:asciiTheme="majorHAnsi" w:eastAsiaTheme="majorEastAsia" w:hAnsiTheme="majorHAnsi" w:cstheme="majorBidi"/>
      <w:b/>
      <w:bCs/>
      <w:color w:val="4F81BD" w:themeColor="accent1"/>
      <w:sz w:val="26"/>
      <w:szCs w:val="26"/>
    </w:rPr>
  </w:style>
  <w:style w:type="character" w:styleId="Textoennegrita">
    <w:name w:val="Strong"/>
    <w:basedOn w:val="Fuentedeprrafopredeter"/>
    <w:uiPriority w:val="22"/>
    <w:qFormat/>
    <w:rsid w:val="0082087B"/>
    <w:rPr>
      <w:b/>
      <w:bCs/>
    </w:rPr>
  </w:style>
  <w:style w:type="paragraph" w:styleId="NormalWeb">
    <w:name w:val="Normal (Web)"/>
    <w:basedOn w:val="Normal"/>
    <w:uiPriority w:val="99"/>
    <w:unhideWhenUsed/>
    <w:rsid w:val="0082087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82087B"/>
    <w:rPr>
      <w:color w:val="0000FF"/>
      <w:u w:val="single"/>
    </w:rPr>
  </w:style>
  <w:style w:type="paragraph" w:customStyle="1" w:styleId="ecl-social-media-sharedescription">
    <w:name w:val="ecl-social-media-share__description"/>
    <w:basedOn w:val="Normal"/>
    <w:rsid w:val="0082087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0B6997"/>
    <w:rPr>
      <w:rFonts w:asciiTheme="majorHAnsi" w:eastAsiaTheme="majorEastAsia" w:hAnsiTheme="majorHAnsi" w:cstheme="majorBidi"/>
      <w:b/>
      <w:bCs/>
      <w:color w:val="365F91" w:themeColor="accent1" w:themeShade="BF"/>
      <w:sz w:val="28"/>
      <w:szCs w:val="28"/>
    </w:rPr>
  </w:style>
  <w:style w:type="character" w:customStyle="1" w:styleId="oxzekf">
    <w:name w:val="oxzekf"/>
    <w:basedOn w:val="Fuentedeprrafopredeter"/>
    <w:rsid w:val="00571C96"/>
  </w:style>
  <w:style w:type="character" w:customStyle="1" w:styleId="uv3um">
    <w:name w:val="uv3um"/>
    <w:basedOn w:val="Fuentedeprrafopredeter"/>
    <w:rsid w:val="00571C96"/>
  </w:style>
  <w:style w:type="character" w:styleId="nfasis">
    <w:name w:val="Emphasis"/>
    <w:basedOn w:val="Fuentedeprrafopredeter"/>
    <w:uiPriority w:val="20"/>
    <w:qFormat/>
    <w:rsid w:val="00FF62B8"/>
    <w:rPr>
      <w:i/>
      <w:iCs/>
    </w:rPr>
  </w:style>
  <w:style w:type="character" w:customStyle="1" w:styleId="Ttulo3Car">
    <w:name w:val="Título 3 Car"/>
    <w:basedOn w:val="Fuentedeprrafopredeter"/>
    <w:link w:val="Ttulo3"/>
    <w:uiPriority w:val="9"/>
    <w:rsid w:val="008F7A2A"/>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0803C7"/>
    <w:rPr>
      <w:rFonts w:asciiTheme="majorHAnsi" w:eastAsiaTheme="majorEastAsia" w:hAnsiTheme="majorHAnsi" w:cstheme="majorBidi"/>
      <w:b/>
      <w:bCs/>
      <w:i/>
      <w:iCs/>
      <w:color w:val="4F81BD" w:themeColor="accent1"/>
    </w:rPr>
  </w:style>
  <w:style w:type="character" w:customStyle="1" w:styleId="cskcde">
    <w:name w:val="cskcde"/>
    <w:basedOn w:val="Fuentedeprrafopredeter"/>
    <w:rsid w:val="000803C7"/>
  </w:style>
  <w:style w:type="character" w:customStyle="1" w:styleId="hgkelc">
    <w:name w:val="hgkelc"/>
    <w:basedOn w:val="Fuentedeprrafopredeter"/>
    <w:rsid w:val="000803C7"/>
  </w:style>
  <w:style w:type="character" w:customStyle="1" w:styleId="authorsignaturename">
    <w:name w:val="authorsignature__name"/>
    <w:basedOn w:val="Fuentedeprrafopredeter"/>
    <w:rsid w:val="000803C7"/>
  </w:style>
  <w:style w:type="character" w:customStyle="1" w:styleId="datetimecreated">
    <w:name w:val="datetime__created"/>
    <w:basedOn w:val="Fuentedeprrafopredeter"/>
    <w:rsid w:val="000803C7"/>
  </w:style>
  <w:style w:type="character" w:customStyle="1" w:styleId="datetimeupdated">
    <w:name w:val="datetime__updated"/>
    <w:basedOn w:val="Fuentedeprrafopredeter"/>
    <w:rsid w:val="000803C7"/>
  </w:style>
  <w:style w:type="character" w:customStyle="1" w:styleId="iconcontainernumber">
    <w:name w:val="iconcontainer__number"/>
    <w:basedOn w:val="Fuentedeprrafopredeter"/>
    <w:rsid w:val="000803C7"/>
  </w:style>
  <w:style w:type="character" w:customStyle="1" w:styleId="intextnewsitemsignature">
    <w:name w:val="intextnews__itemsignature"/>
    <w:basedOn w:val="Fuentedeprrafopredeter"/>
    <w:rsid w:val="000803C7"/>
  </w:style>
  <w:style w:type="paragraph" w:customStyle="1" w:styleId="bodyobject">
    <w:name w:val="bodyobject"/>
    <w:basedOn w:val="Normal"/>
    <w:rsid w:val="000803C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at">
    <w:name w:val="cat"/>
    <w:basedOn w:val="Fuentedeprrafopredeter"/>
    <w:rsid w:val="000803C7"/>
  </w:style>
  <w:style w:type="character" w:customStyle="1" w:styleId="author">
    <w:name w:val="author"/>
    <w:basedOn w:val="Fuentedeprrafopredeter"/>
    <w:rsid w:val="000803C7"/>
  </w:style>
  <w:style w:type="paragraph" w:customStyle="1" w:styleId="elementor-heading-title">
    <w:name w:val="elementor-heading-title"/>
    <w:basedOn w:val="Normal"/>
    <w:rsid w:val="000803C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lementor-button-text">
    <w:name w:val="elementor-button-text"/>
    <w:basedOn w:val="Fuentedeprrafopredeter"/>
    <w:rsid w:val="000803C7"/>
  </w:style>
  <w:style w:type="character" w:customStyle="1" w:styleId="vkekvd">
    <w:name w:val="vkekvd"/>
    <w:basedOn w:val="Fuentedeprrafopredeter"/>
    <w:rsid w:val="004062C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4659"/>
  </w:style>
  <w:style w:type="paragraph" w:styleId="Ttulo1">
    <w:name w:val="heading 1"/>
    <w:basedOn w:val="Normal"/>
    <w:next w:val="Normal"/>
    <w:link w:val="Ttulo1Car"/>
    <w:uiPriority w:val="9"/>
    <w:qFormat/>
    <w:rsid w:val="000B699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82087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8F7A2A"/>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0803C7"/>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A1465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14659"/>
    <w:rPr>
      <w:rFonts w:ascii="Tahoma" w:hAnsi="Tahoma" w:cs="Tahoma"/>
      <w:sz w:val="16"/>
      <w:szCs w:val="16"/>
    </w:rPr>
  </w:style>
  <w:style w:type="paragraph" w:styleId="Prrafodelista">
    <w:name w:val="List Paragraph"/>
    <w:basedOn w:val="Normal"/>
    <w:uiPriority w:val="34"/>
    <w:qFormat/>
    <w:rsid w:val="00A14659"/>
    <w:pPr>
      <w:ind w:left="720"/>
      <w:contextualSpacing/>
    </w:pPr>
  </w:style>
  <w:style w:type="character" w:customStyle="1" w:styleId="Ttulo2Car">
    <w:name w:val="Título 2 Car"/>
    <w:basedOn w:val="Fuentedeprrafopredeter"/>
    <w:link w:val="Ttulo2"/>
    <w:uiPriority w:val="9"/>
    <w:rsid w:val="0082087B"/>
    <w:rPr>
      <w:rFonts w:asciiTheme="majorHAnsi" w:eastAsiaTheme="majorEastAsia" w:hAnsiTheme="majorHAnsi" w:cstheme="majorBidi"/>
      <w:b/>
      <w:bCs/>
      <w:color w:val="4F81BD" w:themeColor="accent1"/>
      <w:sz w:val="26"/>
      <w:szCs w:val="26"/>
    </w:rPr>
  </w:style>
  <w:style w:type="character" w:styleId="Textoennegrita">
    <w:name w:val="Strong"/>
    <w:basedOn w:val="Fuentedeprrafopredeter"/>
    <w:uiPriority w:val="22"/>
    <w:qFormat/>
    <w:rsid w:val="0082087B"/>
    <w:rPr>
      <w:b/>
      <w:bCs/>
    </w:rPr>
  </w:style>
  <w:style w:type="paragraph" w:styleId="NormalWeb">
    <w:name w:val="Normal (Web)"/>
    <w:basedOn w:val="Normal"/>
    <w:uiPriority w:val="99"/>
    <w:unhideWhenUsed/>
    <w:rsid w:val="0082087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82087B"/>
    <w:rPr>
      <w:color w:val="0000FF"/>
      <w:u w:val="single"/>
    </w:rPr>
  </w:style>
  <w:style w:type="paragraph" w:customStyle="1" w:styleId="ecl-social-media-sharedescription">
    <w:name w:val="ecl-social-media-share__description"/>
    <w:basedOn w:val="Normal"/>
    <w:rsid w:val="0082087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0B6997"/>
    <w:rPr>
      <w:rFonts w:asciiTheme="majorHAnsi" w:eastAsiaTheme="majorEastAsia" w:hAnsiTheme="majorHAnsi" w:cstheme="majorBidi"/>
      <w:b/>
      <w:bCs/>
      <w:color w:val="365F91" w:themeColor="accent1" w:themeShade="BF"/>
      <w:sz w:val="28"/>
      <w:szCs w:val="28"/>
    </w:rPr>
  </w:style>
  <w:style w:type="character" w:customStyle="1" w:styleId="oxzekf">
    <w:name w:val="oxzekf"/>
    <w:basedOn w:val="Fuentedeprrafopredeter"/>
    <w:rsid w:val="00571C96"/>
  </w:style>
  <w:style w:type="character" w:customStyle="1" w:styleId="uv3um">
    <w:name w:val="uv3um"/>
    <w:basedOn w:val="Fuentedeprrafopredeter"/>
    <w:rsid w:val="00571C96"/>
  </w:style>
  <w:style w:type="character" w:styleId="nfasis">
    <w:name w:val="Emphasis"/>
    <w:basedOn w:val="Fuentedeprrafopredeter"/>
    <w:uiPriority w:val="20"/>
    <w:qFormat/>
    <w:rsid w:val="00FF62B8"/>
    <w:rPr>
      <w:i/>
      <w:iCs/>
    </w:rPr>
  </w:style>
  <w:style w:type="character" w:customStyle="1" w:styleId="Ttulo3Car">
    <w:name w:val="Título 3 Car"/>
    <w:basedOn w:val="Fuentedeprrafopredeter"/>
    <w:link w:val="Ttulo3"/>
    <w:uiPriority w:val="9"/>
    <w:rsid w:val="008F7A2A"/>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0803C7"/>
    <w:rPr>
      <w:rFonts w:asciiTheme="majorHAnsi" w:eastAsiaTheme="majorEastAsia" w:hAnsiTheme="majorHAnsi" w:cstheme="majorBidi"/>
      <w:b/>
      <w:bCs/>
      <w:i/>
      <w:iCs/>
      <w:color w:val="4F81BD" w:themeColor="accent1"/>
    </w:rPr>
  </w:style>
  <w:style w:type="character" w:customStyle="1" w:styleId="cskcde">
    <w:name w:val="cskcde"/>
    <w:basedOn w:val="Fuentedeprrafopredeter"/>
    <w:rsid w:val="000803C7"/>
  </w:style>
  <w:style w:type="character" w:customStyle="1" w:styleId="hgkelc">
    <w:name w:val="hgkelc"/>
    <w:basedOn w:val="Fuentedeprrafopredeter"/>
    <w:rsid w:val="000803C7"/>
  </w:style>
  <w:style w:type="character" w:customStyle="1" w:styleId="authorsignaturename">
    <w:name w:val="authorsignature__name"/>
    <w:basedOn w:val="Fuentedeprrafopredeter"/>
    <w:rsid w:val="000803C7"/>
  </w:style>
  <w:style w:type="character" w:customStyle="1" w:styleId="datetimecreated">
    <w:name w:val="datetime__created"/>
    <w:basedOn w:val="Fuentedeprrafopredeter"/>
    <w:rsid w:val="000803C7"/>
  </w:style>
  <w:style w:type="character" w:customStyle="1" w:styleId="datetimeupdated">
    <w:name w:val="datetime__updated"/>
    <w:basedOn w:val="Fuentedeprrafopredeter"/>
    <w:rsid w:val="000803C7"/>
  </w:style>
  <w:style w:type="character" w:customStyle="1" w:styleId="iconcontainernumber">
    <w:name w:val="iconcontainer__number"/>
    <w:basedOn w:val="Fuentedeprrafopredeter"/>
    <w:rsid w:val="000803C7"/>
  </w:style>
  <w:style w:type="character" w:customStyle="1" w:styleId="intextnewsitemsignature">
    <w:name w:val="intextnews__itemsignature"/>
    <w:basedOn w:val="Fuentedeprrafopredeter"/>
    <w:rsid w:val="000803C7"/>
  </w:style>
  <w:style w:type="paragraph" w:customStyle="1" w:styleId="bodyobject">
    <w:name w:val="bodyobject"/>
    <w:basedOn w:val="Normal"/>
    <w:rsid w:val="000803C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at">
    <w:name w:val="cat"/>
    <w:basedOn w:val="Fuentedeprrafopredeter"/>
    <w:rsid w:val="000803C7"/>
  </w:style>
  <w:style w:type="character" w:customStyle="1" w:styleId="author">
    <w:name w:val="author"/>
    <w:basedOn w:val="Fuentedeprrafopredeter"/>
    <w:rsid w:val="000803C7"/>
  </w:style>
  <w:style w:type="paragraph" w:customStyle="1" w:styleId="elementor-heading-title">
    <w:name w:val="elementor-heading-title"/>
    <w:basedOn w:val="Normal"/>
    <w:rsid w:val="000803C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lementor-button-text">
    <w:name w:val="elementor-button-text"/>
    <w:basedOn w:val="Fuentedeprrafopredeter"/>
    <w:rsid w:val="000803C7"/>
  </w:style>
  <w:style w:type="character" w:customStyle="1" w:styleId="vkekvd">
    <w:name w:val="vkekvd"/>
    <w:basedOn w:val="Fuentedeprrafopredeter"/>
    <w:rsid w:val="004062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175933">
      <w:bodyDiv w:val="1"/>
      <w:marLeft w:val="0"/>
      <w:marRight w:val="0"/>
      <w:marTop w:val="0"/>
      <w:marBottom w:val="0"/>
      <w:divBdr>
        <w:top w:val="none" w:sz="0" w:space="0" w:color="auto"/>
        <w:left w:val="none" w:sz="0" w:space="0" w:color="auto"/>
        <w:bottom w:val="none" w:sz="0" w:space="0" w:color="auto"/>
        <w:right w:val="none" w:sz="0" w:space="0" w:color="auto"/>
      </w:divBdr>
    </w:div>
    <w:div w:id="1175461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lamoncloa.gob.es/serviciosdeprensa/cpci/paginas/PlanesEInformes.aspx" TargetMode="External"/><Relationship Id="rId299" Type="http://schemas.openxmlformats.org/officeDocument/2006/relationships/image" Target="media/image196.png"/><Relationship Id="rId21" Type="http://schemas.openxmlformats.org/officeDocument/2006/relationships/image" Target="media/image12.png"/><Relationship Id="rId63" Type="http://schemas.openxmlformats.org/officeDocument/2006/relationships/hyperlink" Target="https://es.wikipedia.org/wiki/Sociedad_Estatal_de_Infraestructuras_del_Transporte_Terrestre" TargetMode="External"/><Relationship Id="rId159" Type="http://schemas.openxmlformats.org/officeDocument/2006/relationships/image" Target="media/image77.jpeg"/><Relationship Id="rId324" Type="http://schemas.openxmlformats.org/officeDocument/2006/relationships/image" Target="media/image217.png"/><Relationship Id="rId366" Type="http://schemas.openxmlformats.org/officeDocument/2006/relationships/image" Target="media/image257.png"/><Relationship Id="rId170" Type="http://schemas.openxmlformats.org/officeDocument/2006/relationships/image" Target="media/image83.png"/><Relationship Id="rId226" Type="http://schemas.openxmlformats.org/officeDocument/2006/relationships/image" Target="media/image136.png"/><Relationship Id="rId268" Type="http://schemas.openxmlformats.org/officeDocument/2006/relationships/hyperlink" Target="https://www.eleconomista.es/economia/noticias/12984726/09/24/la-generosidad-de-las-pensiones-espanolas-caera-16-puntos-las-proximas-decadas-el-doble-que-en-europa.html" TargetMode="External"/><Relationship Id="rId32" Type="http://schemas.openxmlformats.org/officeDocument/2006/relationships/hyperlink" Target="https://www.ico.es/financiacion_empresarial" TargetMode="External"/><Relationship Id="rId74" Type="http://schemas.openxmlformats.org/officeDocument/2006/relationships/image" Target="media/image35.png"/><Relationship Id="rId128" Type="http://schemas.openxmlformats.org/officeDocument/2006/relationships/image" Target="media/image69.png"/><Relationship Id="rId335" Type="http://schemas.openxmlformats.org/officeDocument/2006/relationships/image" Target="media/image226.png"/><Relationship Id="rId377" Type="http://schemas.openxmlformats.org/officeDocument/2006/relationships/image" Target="media/image268.jpeg"/><Relationship Id="rId5" Type="http://schemas.openxmlformats.org/officeDocument/2006/relationships/settings" Target="settings.xml"/><Relationship Id="rId181" Type="http://schemas.openxmlformats.org/officeDocument/2006/relationships/image" Target="media/image91.png"/><Relationship Id="rId237" Type="http://schemas.openxmlformats.org/officeDocument/2006/relationships/image" Target="media/image147.png"/><Relationship Id="rId402" Type="http://schemas.openxmlformats.org/officeDocument/2006/relationships/image" Target="media/image293.png"/><Relationship Id="rId279" Type="http://schemas.openxmlformats.org/officeDocument/2006/relationships/image" Target="media/image176.png"/><Relationship Id="rId43" Type="http://schemas.openxmlformats.org/officeDocument/2006/relationships/image" Target="media/image25.png"/><Relationship Id="rId139" Type="http://schemas.openxmlformats.org/officeDocument/2006/relationships/hyperlink" Target="https://www.elconfidencial.com/empresas/2019-09-03/henneo-sportyou-periodicos-marcas-heraldo_2205867/" TargetMode="External"/><Relationship Id="rId290" Type="http://schemas.openxmlformats.org/officeDocument/2006/relationships/image" Target="media/image187.png"/><Relationship Id="rId304" Type="http://schemas.openxmlformats.org/officeDocument/2006/relationships/image" Target="media/image201.png"/><Relationship Id="rId346" Type="http://schemas.openxmlformats.org/officeDocument/2006/relationships/image" Target="media/image237.png"/><Relationship Id="rId388" Type="http://schemas.openxmlformats.org/officeDocument/2006/relationships/image" Target="media/image279.png"/><Relationship Id="rId85" Type="http://schemas.openxmlformats.org/officeDocument/2006/relationships/image" Target="media/image46.png"/><Relationship Id="rId150" Type="http://schemas.openxmlformats.org/officeDocument/2006/relationships/image" Target="media/image74.png"/><Relationship Id="rId192" Type="http://schemas.openxmlformats.org/officeDocument/2006/relationships/image" Target="media/image102.png"/><Relationship Id="rId206" Type="http://schemas.openxmlformats.org/officeDocument/2006/relationships/image" Target="media/image116.jpeg"/><Relationship Id="rId248" Type="http://schemas.openxmlformats.org/officeDocument/2006/relationships/image" Target="media/image158.png"/><Relationship Id="rId12" Type="http://schemas.openxmlformats.org/officeDocument/2006/relationships/hyperlink" Target="https://www.eleconomista.es/economia/noticias/12984726/09/24/la-generosidad-de-las-pensiones-espanolas-caera-16-puntos-las-proximas-decadas-el-doble-que-en-europa.html" TargetMode="External"/><Relationship Id="rId108" Type="http://schemas.openxmlformats.org/officeDocument/2006/relationships/image" Target="media/image61.png"/><Relationship Id="rId315" Type="http://schemas.openxmlformats.org/officeDocument/2006/relationships/image" Target="media/image212.png"/><Relationship Id="rId357" Type="http://schemas.openxmlformats.org/officeDocument/2006/relationships/image" Target="media/image248.png"/><Relationship Id="rId54" Type="http://schemas.openxmlformats.org/officeDocument/2006/relationships/hyperlink" Target="https://es.wikipedia.org/wiki/Mercasa" TargetMode="External"/><Relationship Id="rId96" Type="http://schemas.openxmlformats.org/officeDocument/2006/relationships/hyperlink" Target="https://www.google.com/search?sca_esv=53af40c892478f71&amp;cs=0&amp;sxsrf=AE3TifMH-9hpNKERSovIJ3m6eIkfLBEpxQ%3A1753867598793&amp;q=Excedencia+por+Cuidado+de+Familiares&amp;sa=X&amp;ved=2ahUKEwiMkpf5oeSOAxXFQaQEHSlVN94QxccNegQIJBAC&amp;mstk=AUtExfBLCK5YR7sw5TSzF_X3i8c1QDnwvVqrCufbIb7wqaSHM5_ht5ucCEvNWTpGyoYn5iHYBYrrLXtKr5OU7eha0L9rfcGryk4uPJWRJixDa1_IAKdU62_i1eXi3W8XadpRMLCFatfXxc8AsPKm9EXmchScZrzjBxop0hcWA8lmZy2sOGHkcvsUBs87b9BkTCyIpqlAU2DXUNegzTsikx1swxtgP6kLVmqKUkZ4EqOgf3Hrg9z0FypmLbTRgO1BBEKjdkmW70eMgvHTdrRPIDOO1BQy&amp;csui=3" TargetMode="External"/><Relationship Id="rId161" Type="http://schemas.openxmlformats.org/officeDocument/2006/relationships/hyperlink" Target="https://s.libertaddigital.com/2025/08/04/2-precio-vivienda-julio-25.jpg" TargetMode="External"/><Relationship Id="rId217" Type="http://schemas.openxmlformats.org/officeDocument/2006/relationships/image" Target="media/image127.png"/><Relationship Id="rId399" Type="http://schemas.openxmlformats.org/officeDocument/2006/relationships/image" Target="media/image290.png"/><Relationship Id="rId259" Type="http://schemas.openxmlformats.org/officeDocument/2006/relationships/image" Target="media/image169.png"/><Relationship Id="rId23" Type="http://schemas.openxmlformats.org/officeDocument/2006/relationships/image" Target="media/image14.png"/><Relationship Id="rId119" Type="http://schemas.openxmlformats.org/officeDocument/2006/relationships/hyperlink" Target="https://www.elconfidencial.com/economia/2024-03-19/transparencia-hacienda-corrupcion-fondos-europeos_3850869/" TargetMode="External"/><Relationship Id="rId270" Type="http://schemas.openxmlformats.org/officeDocument/2006/relationships/hyperlink" Target="https://www.eleconomista.es/economia/noticias/12839392/05/24/la-avalancha-del-baby-boom-ya-rasga-las-costuras-de-las-pensiones-los-nuevos-jubilados-son-un-23-mas-que-las-bajas.html" TargetMode="External"/><Relationship Id="rId326" Type="http://schemas.openxmlformats.org/officeDocument/2006/relationships/image" Target="media/image219.png"/><Relationship Id="rId65" Type="http://schemas.openxmlformats.org/officeDocument/2006/relationships/hyperlink" Target="https://es.wikipedia.org/wiki/Consorcio_de_Compensaci%C3%B3n_de_Seguros" TargetMode="External"/><Relationship Id="rId130" Type="http://schemas.openxmlformats.org/officeDocument/2006/relationships/hyperlink" Target="https://www.elconfidencial.com/espana/2013-02-22/el-congreso-liquida-la-prensa-de-papel-y-ordena-no-comprar-periodicos_216077/" TargetMode="External"/><Relationship Id="rId368" Type="http://schemas.openxmlformats.org/officeDocument/2006/relationships/image" Target="media/image259.png"/><Relationship Id="rId172" Type="http://schemas.openxmlformats.org/officeDocument/2006/relationships/image" Target="media/image85.png"/><Relationship Id="rId228" Type="http://schemas.openxmlformats.org/officeDocument/2006/relationships/image" Target="media/image138.png"/><Relationship Id="rId281" Type="http://schemas.openxmlformats.org/officeDocument/2006/relationships/image" Target="media/image178.png"/><Relationship Id="rId337" Type="http://schemas.openxmlformats.org/officeDocument/2006/relationships/image" Target="media/image228.jpeg"/><Relationship Id="rId34" Type="http://schemas.openxmlformats.org/officeDocument/2006/relationships/hyperlink" Target="https://www.ico.es/web/guest/ico/ico-red.es-acelera" TargetMode="External"/><Relationship Id="rId76" Type="http://schemas.openxmlformats.org/officeDocument/2006/relationships/image" Target="media/image37.png"/><Relationship Id="rId141" Type="http://schemas.openxmlformats.org/officeDocument/2006/relationships/hyperlink" Target="https://www.elconfidencial.com/economia/2024-03-03/funcionarios-ayuntamiento-madrid-no-quieren-trabajar-estado_3840797/" TargetMode="External"/><Relationship Id="rId379" Type="http://schemas.openxmlformats.org/officeDocument/2006/relationships/image" Target="media/image270.png"/><Relationship Id="rId7" Type="http://schemas.openxmlformats.org/officeDocument/2006/relationships/image" Target="media/image1.jpeg"/><Relationship Id="rId183" Type="http://schemas.openxmlformats.org/officeDocument/2006/relationships/image" Target="media/image93.png"/><Relationship Id="rId239" Type="http://schemas.openxmlformats.org/officeDocument/2006/relationships/image" Target="media/image149.png"/><Relationship Id="rId390" Type="http://schemas.openxmlformats.org/officeDocument/2006/relationships/image" Target="media/image281.png"/><Relationship Id="rId404" Type="http://schemas.openxmlformats.org/officeDocument/2006/relationships/image" Target="media/image295.png"/><Relationship Id="rId250" Type="http://schemas.openxmlformats.org/officeDocument/2006/relationships/image" Target="media/image160.png"/><Relationship Id="rId292" Type="http://schemas.openxmlformats.org/officeDocument/2006/relationships/image" Target="media/image189.png"/><Relationship Id="rId306" Type="http://schemas.openxmlformats.org/officeDocument/2006/relationships/image" Target="media/image203.png"/><Relationship Id="rId45" Type="http://schemas.openxmlformats.org/officeDocument/2006/relationships/image" Target="media/image27.png"/><Relationship Id="rId87" Type="http://schemas.openxmlformats.org/officeDocument/2006/relationships/image" Target="media/image48.png"/><Relationship Id="rId110" Type="http://schemas.openxmlformats.org/officeDocument/2006/relationships/image" Target="media/image63.png"/><Relationship Id="rId348" Type="http://schemas.openxmlformats.org/officeDocument/2006/relationships/image" Target="media/image239.gif"/><Relationship Id="rId152" Type="http://schemas.openxmlformats.org/officeDocument/2006/relationships/hyperlink" Target="https://s.libertaddigital.com/2025/08/04/fotocasa-infojobs-salario-alquiler.jpg" TargetMode="External"/><Relationship Id="rId194" Type="http://schemas.openxmlformats.org/officeDocument/2006/relationships/image" Target="media/image104.png"/><Relationship Id="rId208" Type="http://schemas.openxmlformats.org/officeDocument/2006/relationships/image" Target="media/image118.png"/><Relationship Id="rId261" Type="http://schemas.openxmlformats.org/officeDocument/2006/relationships/hyperlink" Target="https://ec.europa.eu/eurostat/statistics-explained/index.php?title=Pensions_in_national_accounts_-_statistics" TargetMode="External"/><Relationship Id="rId14" Type="http://schemas.openxmlformats.org/officeDocument/2006/relationships/image" Target="media/image5.png"/><Relationship Id="rId56" Type="http://schemas.openxmlformats.org/officeDocument/2006/relationships/hyperlink" Target="https://es.wikipedia.org/wiki/Acci%C3%B3n_Cultural_Espa%C3%B1ola" TargetMode="External"/><Relationship Id="rId317" Type="http://schemas.openxmlformats.org/officeDocument/2006/relationships/image" Target="media/image214.png"/><Relationship Id="rId359" Type="http://schemas.openxmlformats.org/officeDocument/2006/relationships/image" Target="media/image250.png"/><Relationship Id="rId98" Type="http://schemas.openxmlformats.org/officeDocument/2006/relationships/hyperlink" Target="https://www.google.com/search?sca_esv=53af40c892478f71&amp;cs=0&amp;sxsrf=AE3TifMH-9hpNKERSovIJ3m6eIkfLBEpxQ%3A1753867598793&amp;q=Excedencia+por+Prestaci%C3%B3n+de+Servicios+en+el+Sector+P%C3%BAblico&amp;sa=X&amp;ved=2ahUKEwiMkpf5oeSOAxXFQaQEHSlVN94QxccNegQIORAC&amp;mstk=AUtExfBLCK5YR7sw5TSzF_X3i8c1QDnwvVqrCufbIb7wqaSHM5_ht5ucCEvNWTpGyoYn5iHYBYrrLXtKr5OU7eha0L9rfcGryk4uPJWRJixDa1_IAKdU62_i1eXi3W8XadpRMLCFatfXxc8AsPKm9EXmchScZrzjBxop0hcWA8lmZy2sOGHkcvsUBs87b9BkTCyIpqlAU2DXUNegzTsikx1swxtgP6kLVmqKUkZ4EqOgf3Hrg9z0FypmLbTRgO1BBEKjdkmW70eMgvHTdrRPIDOO1BQy&amp;csui=3" TargetMode="External"/><Relationship Id="rId121" Type="http://schemas.openxmlformats.org/officeDocument/2006/relationships/image" Target="media/image67.png"/><Relationship Id="rId163" Type="http://schemas.openxmlformats.org/officeDocument/2006/relationships/hyperlink" Target="https://www.libremercado.com/2025-06-15/doming-la-realidad-de-los-pisos-turisticos-que-oculta-sanchez-7265581/" TargetMode="External"/><Relationship Id="rId219" Type="http://schemas.openxmlformats.org/officeDocument/2006/relationships/image" Target="media/image129.png"/><Relationship Id="rId370" Type="http://schemas.openxmlformats.org/officeDocument/2006/relationships/image" Target="media/image261.png"/><Relationship Id="rId230" Type="http://schemas.openxmlformats.org/officeDocument/2006/relationships/image" Target="media/image140.png"/><Relationship Id="rId25" Type="http://schemas.openxmlformats.org/officeDocument/2006/relationships/image" Target="media/image16.png"/><Relationship Id="rId67" Type="http://schemas.openxmlformats.org/officeDocument/2006/relationships/hyperlink" Target="https://es.wikipedia.org/wiki/ICEX_Espa%C3%B1a_Exportaci%C3%B3n_e_Inversiones" TargetMode="External"/><Relationship Id="rId272" Type="http://schemas.openxmlformats.org/officeDocument/2006/relationships/image" Target="media/image172.png"/><Relationship Id="rId328" Type="http://schemas.openxmlformats.org/officeDocument/2006/relationships/hyperlink" Target="https://s.libertaddigital.com/2025/08/05/gxhr8pswsaepgl2.jpg" TargetMode="External"/><Relationship Id="rId132" Type="http://schemas.openxmlformats.org/officeDocument/2006/relationships/hyperlink" Target="https://www.elconfidencial.com/comunicacion/2024-04-25/record-historico-alsina-onda-cero-datos-oyentes_3873164/" TargetMode="External"/><Relationship Id="rId174" Type="http://schemas.openxmlformats.org/officeDocument/2006/relationships/hyperlink" Target="https://www.administraciondejusticia.com/oposiciones-auxilio-judicial-2017" TargetMode="External"/><Relationship Id="rId381" Type="http://schemas.openxmlformats.org/officeDocument/2006/relationships/image" Target="media/image272.png"/><Relationship Id="rId241" Type="http://schemas.openxmlformats.org/officeDocument/2006/relationships/image" Target="media/image151.png"/><Relationship Id="rId36" Type="http://schemas.openxmlformats.org/officeDocument/2006/relationships/hyperlink" Target="https://www.ico.es/quienes_somos_ico/nuestras_prioridades/sostenibilidad/programa_cef_tbf" TargetMode="External"/><Relationship Id="rId283" Type="http://schemas.openxmlformats.org/officeDocument/2006/relationships/image" Target="media/image180.png"/><Relationship Id="rId339" Type="http://schemas.openxmlformats.org/officeDocument/2006/relationships/image" Target="media/image230.png"/><Relationship Id="rId78" Type="http://schemas.openxmlformats.org/officeDocument/2006/relationships/image" Target="media/image39.png"/><Relationship Id="rId101" Type="http://schemas.openxmlformats.org/officeDocument/2006/relationships/hyperlink" Target="https://www.airef.es/es/estudios-observatorio/opinion-ingreso-minimo-vital-2023/" TargetMode="External"/><Relationship Id="rId143" Type="http://schemas.openxmlformats.org/officeDocument/2006/relationships/hyperlink" Target="https://www.elconfidencial.com/sociedad/2023-10-03/correos-visit-oficinas-sucursales-bra_3740224/" TargetMode="External"/><Relationship Id="rId185" Type="http://schemas.openxmlformats.org/officeDocument/2006/relationships/image" Target="media/image95.png"/><Relationship Id="rId350" Type="http://schemas.openxmlformats.org/officeDocument/2006/relationships/image" Target="media/image241.png"/><Relationship Id="rId406" Type="http://schemas.openxmlformats.org/officeDocument/2006/relationships/image" Target="media/image297.png"/><Relationship Id="rId9" Type="http://schemas.openxmlformats.org/officeDocument/2006/relationships/hyperlink" Target="https://www.clarin.com/tema/jorge-luis-borges.html" TargetMode="External"/><Relationship Id="rId210" Type="http://schemas.openxmlformats.org/officeDocument/2006/relationships/image" Target="media/image120.png"/><Relationship Id="rId392" Type="http://schemas.openxmlformats.org/officeDocument/2006/relationships/image" Target="media/image283.png"/><Relationship Id="rId252" Type="http://schemas.openxmlformats.org/officeDocument/2006/relationships/image" Target="media/image162.png"/><Relationship Id="rId294" Type="http://schemas.openxmlformats.org/officeDocument/2006/relationships/image" Target="media/image191.png"/><Relationship Id="rId308" Type="http://schemas.openxmlformats.org/officeDocument/2006/relationships/image" Target="media/image205.png"/><Relationship Id="rId47" Type="http://schemas.openxmlformats.org/officeDocument/2006/relationships/image" Target="media/image29.png"/><Relationship Id="rId89" Type="http://schemas.openxmlformats.org/officeDocument/2006/relationships/image" Target="media/image50.png"/><Relationship Id="rId112" Type="http://schemas.openxmlformats.org/officeDocument/2006/relationships/image" Target="media/image65.png"/><Relationship Id="rId154" Type="http://schemas.openxmlformats.org/officeDocument/2006/relationships/hyperlink" Target="https://nosotros.infojobs.net/salario-mensual-pago-de-vivienda-informe-infojobs-fotocasa/" TargetMode="External"/><Relationship Id="rId361" Type="http://schemas.openxmlformats.org/officeDocument/2006/relationships/image" Target="media/image252.png"/><Relationship Id="rId196" Type="http://schemas.openxmlformats.org/officeDocument/2006/relationships/image" Target="media/image106.gif"/><Relationship Id="rId16" Type="http://schemas.openxmlformats.org/officeDocument/2006/relationships/image" Target="media/image7.png"/><Relationship Id="rId221" Type="http://schemas.openxmlformats.org/officeDocument/2006/relationships/image" Target="media/image131.png"/><Relationship Id="rId263" Type="http://schemas.openxmlformats.org/officeDocument/2006/relationships/hyperlink" Target="https://www.eleconomista.es/economia/noticias/12805593/05/24/bruselas-destapa-el-gran-agujero-de-las-pensiones-en-espana-como-pagar-a-un-60-mas-de-pensionistas-con-el-mismo-numero-de-ocupados.html" TargetMode="External"/><Relationship Id="rId319" Type="http://schemas.openxmlformats.org/officeDocument/2006/relationships/hyperlink" Target="https://s.libertaddigital.com/2025/08/05/funcas-renta.jpg" TargetMode="External"/><Relationship Id="rId58" Type="http://schemas.openxmlformats.org/officeDocument/2006/relationships/hyperlink" Target="https://es.wikipedia.org/wiki/Canal_de_Navarra" TargetMode="External"/><Relationship Id="rId123" Type="http://schemas.openxmlformats.org/officeDocument/2006/relationships/hyperlink" Target="https://www.elconfidencial.com/economia/2023-12-19/transparencia-amonesta-sanchez-ministros-ocultar-gastos-viajes_3795179/" TargetMode="External"/><Relationship Id="rId330" Type="http://schemas.openxmlformats.org/officeDocument/2006/relationships/hyperlink" Target="https://s.libertaddigital.com/2025/08/05/gxhr97pwsaayy2d.jpg" TargetMode="External"/><Relationship Id="rId165" Type="http://schemas.openxmlformats.org/officeDocument/2006/relationships/hyperlink" Target="https://observatoriodelalquiler.org/dos-anos-de-la-ley-de-vivienda-la-oferta-se-reduce-en-mas-de-120-000-viviendas-con-mas-de-100-inquilinos-compitiendo-por-cada-inmueble/" TargetMode="External"/><Relationship Id="rId372" Type="http://schemas.openxmlformats.org/officeDocument/2006/relationships/image" Target="media/image263.png"/><Relationship Id="rId232" Type="http://schemas.openxmlformats.org/officeDocument/2006/relationships/image" Target="media/image142.png"/><Relationship Id="rId274" Type="http://schemas.openxmlformats.org/officeDocument/2006/relationships/image" Target="media/image174.png"/><Relationship Id="rId27" Type="http://schemas.openxmlformats.org/officeDocument/2006/relationships/image" Target="media/image18.png"/><Relationship Id="rId48" Type="http://schemas.openxmlformats.org/officeDocument/2006/relationships/image" Target="media/image30.png"/><Relationship Id="rId69" Type="http://schemas.openxmlformats.org/officeDocument/2006/relationships/hyperlink" Target="https://es.wikipedia.org/wiki/Instituto_para_la_Diversificaci%C3%B3n_y_Ahorro_de_la_Energ%C3%ADa" TargetMode="External"/><Relationship Id="rId113" Type="http://schemas.openxmlformats.org/officeDocument/2006/relationships/image" Target="media/image66.png"/><Relationship Id="rId134" Type="http://schemas.openxmlformats.org/officeDocument/2006/relationships/image" Target="media/image71.png"/><Relationship Id="rId320" Type="http://schemas.openxmlformats.org/officeDocument/2006/relationships/image" Target="media/image215.jpeg"/><Relationship Id="rId80" Type="http://schemas.openxmlformats.org/officeDocument/2006/relationships/image" Target="media/image41.png"/><Relationship Id="rId155" Type="http://schemas.openxmlformats.org/officeDocument/2006/relationships/hyperlink" Target="https://s.libertaddigital.com/2025/08/04/fotocasa-infojobs-salario-alquiler-2.jpg" TargetMode="External"/><Relationship Id="rId176" Type="http://schemas.openxmlformats.org/officeDocument/2006/relationships/hyperlink" Target="https://www.administraciondejusticia.com/oposiciones-gestion-procesal-2017" TargetMode="External"/><Relationship Id="rId197" Type="http://schemas.openxmlformats.org/officeDocument/2006/relationships/image" Target="media/image107.png"/><Relationship Id="rId341" Type="http://schemas.openxmlformats.org/officeDocument/2006/relationships/image" Target="media/image232.png"/><Relationship Id="rId362" Type="http://schemas.openxmlformats.org/officeDocument/2006/relationships/image" Target="media/image253.png"/><Relationship Id="rId383" Type="http://schemas.openxmlformats.org/officeDocument/2006/relationships/image" Target="media/image274.png"/><Relationship Id="rId201" Type="http://schemas.openxmlformats.org/officeDocument/2006/relationships/image" Target="media/image111.png"/><Relationship Id="rId222" Type="http://schemas.openxmlformats.org/officeDocument/2006/relationships/image" Target="media/image132.png"/><Relationship Id="rId243" Type="http://schemas.openxmlformats.org/officeDocument/2006/relationships/image" Target="media/image153.png"/><Relationship Id="rId264" Type="http://schemas.openxmlformats.org/officeDocument/2006/relationships/hyperlink" Target="https://www.eleconomista.es/economia/noticias/13153245/12/24/el-deficit-contributivo-de-las-pensiones-sube-a-30000-millones-en-2024-pese-a-la-subida-de-cotizaciones.html" TargetMode="External"/><Relationship Id="rId285" Type="http://schemas.openxmlformats.org/officeDocument/2006/relationships/image" Target="media/image182.png"/><Relationship Id="rId17" Type="http://schemas.openxmlformats.org/officeDocument/2006/relationships/image" Target="media/image8.png"/><Relationship Id="rId38" Type="http://schemas.openxmlformats.org/officeDocument/2006/relationships/hyperlink" Target="https://www.icex.es/es/sobre-nosotros/donde-estamos/en-el-mundo" TargetMode="External"/><Relationship Id="rId59" Type="http://schemas.openxmlformats.org/officeDocument/2006/relationships/hyperlink" Target="https://es.wikipedia.org/wiki/Cesce" TargetMode="External"/><Relationship Id="rId103" Type="http://schemas.openxmlformats.org/officeDocument/2006/relationships/image" Target="media/image56.png"/><Relationship Id="rId124" Type="http://schemas.openxmlformats.org/officeDocument/2006/relationships/hyperlink" Target="https://blogs.elconfidencial.com/sociedad/espana-is-not-spain/2024-06-18/sanchismo-maquina-de-fango-posverdad-trump_3905226/" TargetMode="External"/><Relationship Id="rId310" Type="http://schemas.openxmlformats.org/officeDocument/2006/relationships/image" Target="media/image207.png"/><Relationship Id="rId70" Type="http://schemas.openxmlformats.org/officeDocument/2006/relationships/hyperlink" Target="https://es.wikipedia.org/wiki/INECO" TargetMode="External"/><Relationship Id="rId91" Type="http://schemas.openxmlformats.org/officeDocument/2006/relationships/image" Target="media/image52.png"/><Relationship Id="rId145" Type="http://schemas.openxmlformats.org/officeDocument/2006/relationships/image" Target="media/image72.png"/><Relationship Id="rId166" Type="http://schemas.openxmlformats.org/officeDocument/2006/relationships/image" Target="media/image79.png"/><Relationship Id="rId187" Type="http://schemas.openxmlformats.org/officeDocument/2006/relationships/image" Target="media/image97.png"/><Relationship Id="rId331" Type="http://schemas.openxmlformats.org/officeDocument/2006/relationships/image" Target="media/image222.jpeg"/><Relationship Id="rId352" Type="http://schemas.openxmlformats.org/officeDocument/2006/relationships/image" Target="media/image243.png"/><Relationship Id="rId373" Type="http://schemas.openxmlformats.org/officeDocument/2006/relationships/image" Target="media/image264.jpeg"/><Relationship Id="rId394" Type="http://schemas.openxmlformats.org/officeDocument/2006/relationships/image" Target="media/image285.png"/><Relationship Id="rId408"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image" Target="media/image122.png"/><Relationship Id="rId233" Type="http://schemas.openxmlformats.org/officeDocument/2006/relationships/image" Target="media/image143.png"/><Relationship Id="rId254" Type="http://schemas.openxmlformats.org/officeDocument/2006/relationships/image" Target="media/image164.png"/><Relationship Id="rId28" Type="http://schemas.openxmlformats.org/officeDocument/2006/relationships/image" Target="media/image19.png"/><Relationship Id="rId49" Type="http://schemas.openxmlformats.org/officeDocument/2006/relationships/image" Target="media/image31.png"/><Relationship Id="rId114" Type="http://schemas.openxmlformats.org/officeDocument/2006/relationships/hyperlink" Target="https://www.elconfidencial.com/espana/2024-04-29/pedro-sanchez-entrevista-tve-carta-dimision_3875831/" TargetMode="External"/><Relationship Id="rId275" Type="http://schemas.openxmlformats.org/officeDocument/2006/relationships/image" Target="media/image175.png"/><Relationship Id="rId296" Type="http://schemas.openxmlformats.org/officeDocument/2006/relationships/image" Target="media/image193.png"/><Relationship Id="rId300" Type="http://schemas.openxmlformats.org/officeDocument/2006/relationships/image" Target="media/image197.png"/><Relationship Id="rId60" Type="http://schemas.openxmlformats.org/officeDocument/2006/relationships/hyperlink" Target="https://es.wikipedia.org/wiki/Club_de_Campo_Villa_de_Madrid" TargetMode="External"/><Relationship Id="rId81" Type="http://schemas.openxmlformats.org/officeDocument/2006/relationships/image" Target="media/image42.png"/><Relationship Id="rId135" Type="http://schemas.openxmlformats.org/officeDocument/2006/relationships/hyperlink" Target="https://www.elconfidencial.com/empresas/2024-05-22/mediaset-espana-cristina-garmendia-presidenta-consejo_3888203/" TargetMode="External"/><Relationship Id="rId156" Type="http://schemas.openxmlformats.org/officeDocument/2006/relationships/image" Target="media/image76.jpeg"/><Relationship Id="rId177" Type="http://schemas.openxmlformats.org/officeDocument/2006/relationships/image" Target="media/image87.png"/><Relationship Id="rId198" Type="http://schemas.openxmlformats.org/officeDocument/2006/relationships/image" Target="media/image108.png"/><Relationship Id="rId321" Type="http://schemas.openxmlformats.org/officeDocument/2006/relationships/hyperlink" Target="https://ec.europa.eu/eurostat/databrowser/view/sdg_10_10/default/table?lang=en" TargetMode="External"/><Relationship Id="rId342" Type="http://schemas.openxmlformats.org/officeDocument/2006/relationships/image" Target="media/image233.png"/><Relationship Id="rId363" Type="http://schemas.openxmlformats.org/officeDocument/2006/relationships/image" Target="media/image254.gif"/><Relationship Id="rId384" Type="http://schemas.openxmlformats.org/officeDocument/2006/relationships/image" Target="media/image275.png"/><Relationship Id="rId202" Type="http://schemas.openxmlformats.org/officeDocument/2006/relationships/image" Target="media/image112.png"/><Relationship Id="rId223" Type="http://schemas.openxmlformats.org/officeDocument/2006/relationships/image" Target="media/image133.png"/><Relationship Id="rId244" Type="http://schemas.openxmlformats.org/officeDocument/2006/relationships/image" Target="media/image154.png"/><Relationship Id="rId18" Type="http://schemas.openxmlformats.org/officeDocument/2006/relationships/image" Target="media/image9.png"/><Relationship Id="rId39" Type="http://schemas.openxmlformats.org/officeDocument/2006/relationships/image" Target="media/image21.png"/><Relationship Id="rId265" Type="http://schemas.openxmlformats.org/officeDocument/2006/relationships/hyperlink" Target="https://www.eleconomista.es/economia/noticias/13369587/05/25/la-generacion-del-baby-boom-se-enfrenta-a-una-jubilacion-mas-larga-mas-cara-y-menos-protegida-segun-eae-business-school.html" TargetMode="External"/><Relationship Id="rId286" Type="http://schemas.openxmlformats.org/officeDocument/2006/relationships/image" Target="media/image183.png"/><Relationship Id="rId50" Type="http://schemas.openxmlformats.org/officeDocument/2006/relationships/image" Target="media/image32.png"/><Relationship Id="rId104" Type="http://schemas.openxmlformats.org/officeDocument/2006/relationships/image" Target="media/image57.png"/><Relationship Id="rId125" Type="http://schemas.openxmlformats.org/officeDocument/2006/relationships/hyperlink" Target="https://civio.es/" TargetMode="External"/><Relationship Id="rId146" Type="http://schemas.openxmlformats.org/officeDocument/2006/relationships/hyperlink" Target="https://www.elconfidencial.com/comunicacion/2019-12-29/publicidad-rtve-millones-anuncios_2392696/" TargetMode="External"/><Relationship Id="rId167" Type="http://schemas.openxmlformats.org/officeDocument/2006/relationships/image" Target="media/image80.png"/><Relationship Id="rId188" Type="http://schemas.openxmlformats.org/officeDocument/2006/relationships/image" Target="media/image98.png"/><Relationship Id="rId311" Type="http://schemas.openxmlformats.org/officeDocument/2006/relationships/image" Target="media/image208.png"/><Relationship Id="rId332" Type="http://schemas.openxmlformats.org/officeDocument/2006/relationships/image" Target="media/image223.png"/><Relationship Id="rId353" Type="http://schemas.openxmlformats.org/officeDocument/2006/relationships/image" Target="media/image244.png"/><Relationship Id="rId374" Type="http://schemas.openxmlformats.org/officeDocument/2006/relationships/image" Target="media/image265.jpeg"/><Relationship Id="rId395" Type="http://schemas.openxmlformats.org/officeDocument/2006/relationships/image" Target="media/image286.png"/><Relationship Id="rId409" Type="http://schemas.openxmlformats.org/officeDocument/2006/relationships/theme" Target="theme/theme1.xml"/><Relationship Id="rId71" Type="http://schemas.openxmlformats.org/officeDocument/2006/relationships/hyperlink" Target="https://es.wikipedia.org/wiki/Entidad_P%C3%BAblica_Empresarial_de_Suelo" TargetMode="External"/><Relationship Id="rId92" Type="http://schemas.openxmlformats.org/officeDocument/2006/relationships/image" Target="media/image53.png"/><Relationship Id="rId213" Type="http://schemas.openxmlformats.org/officeDocument/2006/relationships/image" Target="media/image123.png"/><Relationship Id="rId234" Type="http://schemas.openxmlformats.org/officeDocument/2006/relationships/image" Target="media/image144.png"/><Relationship Id="rId2" Type="http://schemas.openxmlformats.org/officeDocument/2006/relationships/numbering" Target="numbering.xml"/><Relationship Id="rId29" Type="http://schemas.openxmlformats.org/officeDocument/2006/relationships/image" Target="media/image20.png"/><Relationship Id="rId255" Type="http://schemas.openxmlformats.org/officeDocument/2006/relationships/image" Target="media/image165.png"/><Relationship Id="rId276" Type="http://schemas.openxmlformats.org/officeDocument/2006/relationships/hyperlink" Target="https://www.lamoncloa.gob.es/serviciosdeprensa/notasprensa/economia-comercio-empresa/paginas/2024/260724-ocupados-maximo-historico.aspx" TargetMode="External"/><Relationship Id="rId297" Type="http://schemas.openxmlformats.org/officeDocument/2006/relationships/image" Target="media/image194.png"/><Relationship Id="rId40" Type="http://schemas.openxmlformats.org/officeDocument/2006/relationships/image" Target="media/image22.png"/><Relationship Id="rId115" Type="http://schemas.openxmlformats.org/officeDocument/2006/relationships/hyperlink" Target="https://www.boe.es/buscar/act.php?id=BOE-A-2005-21524" TargetMode="External"/><Relationship Id="rId136" Type="http://schemas.openxmlformats.org/officeDocument/2006/relationships/hyperlink" Target="https://www.elconfidencial.com/tecnologia/2024-05-15/google-chatgpt-projecto-astra_3883869/" TargetMode="External"/><Relationship Id="rId157" Type="http://schemas.openxmlformats.org/officeDocument/2006/relationships/hyperlink" Target="https://www.idealista.com/sala-de-prensa/informes-precio-vivienda/" TargetMode="External"/><Relationship Id="rId178" Type="http://schemas.openxmlformats.org/officeDocument/2006/relationships/image" Target="media/image88.png"/><Relationship Id="rId301" Type="http://schemas.openxmlformats.org/officeDocument/2006/relationships/image" Target="media/image198.png"/><Relationship Id="rId322" Type="http://schemas.openxmlformats.org/officeDocument/2006/relationships/hyperlink" Target="https://s.libertaddigital.com/2025/08/05/pib-ue-espana.jpg" TargetMode="External"/><Relationship Id="rId343" Type="http://schemas.openxmlformats.org/officeDocument/2006/relationships/image" Target="media/image234.png"/><Relationship Id="rId364" Type="http://schemas.openxmlformats.org/officeDocument/2006/relationships/image" Target="media/image255.png"/><Relationship Id="rId61" Type="http://schemas.openxmlformats.org/officeDocument/2006/relationships/hyperlink" Target="https://es.wikipedia.org/wiki/Sociedad_Mercantil_Estatal_de_Gesti%C3%B3n_Inmobiliaria_de_Patrimonio" TargetMode="External"/><Relationship Id="rId82" Type="http://schemas.openxmlformats.org/officeDocument/2006/relationships/image" Target="media/image43.png"/><Relationship Id="rId199" Type="http://schemas.openxmlformats.org/officeDocument/2006/relationships/image" Target="media/image109.png"/><Relationship Id="rId203" Type="http://schemas.openxmlformats.org/officeDocument/2006/relationships/image" Target="media/image113.png"/><Relationship Id="rId385" Type="http://schemas.openxmlformats.org/officeDocument/2006/relationships/image" Target="media/image276.png"/><Relationship Id="rId19" Type="http://schemas.openxmlformats.org/officeDocument/2006/relationships/image" Target="media/image10.png"/><Relationship Id="rId224" Type="http://schemas.openxmlformats.org/officeDocument/2006/relationships/image" Target="media/image134.png"/><Relationship Id="rId245" Type="http://schemas.openxmlformats.org/officeDocument/2006/relationships/image" Target="media/image155.png"/><Relationship Id="rId266" Type="http://schemas.openxmlformats.org/officeDocument/2006/relationships/hyperlink" Target="https://www.eleconomista.es/economia/noticias/12427439/09/23/el-gobierno-transferira-otros-39000-millones-para-pagar-pensiones-en-2024.html" TargetMode="External"/><Relationship Id="rId287" Type="http://schemas.openxmlformats.org/officeDocument/2006/relationships/image" Target="media/image184.png"/><Relationship Id="rId30" Type="http://schemas.openxmlformats.org/officeDocument/2006/relationships/hyperlink" Target="https://www.elconfidencial.com/empresas/2025-04-28/sapa-oughourlian-y-los-independientes-se-rebelan-contra-los-escribano-en-indra_4116713/" TargetMode="External"/><Relationship Id="rId105" Type="http://schemas.openxmlformats.org/officeDocument/2006/relationships/image" Target="media/image58.png"/><Relationship Id="rId126" Type="http://schemas.openxmlformats.org/officeDocument/2006/relationships/image" Target="media/image68.png"/><Relationship Id="rId147" Type="http://schemas.openxmlformats.org/officeDocument/2006/relationships/hyperlink" Target="https://www.elconfidencial.com/espana/2024-06-01/multas-infractores-revocar-licencias-ley-medios-podemos_3894609/" TargetMode="External"/><Relationship Id="rId168" Type="http://schemas.openxmlformats.org/officeDocument/2006/relationships/image" Target="media/image81.png"/><Relationship Id="rId312" Type="http://schemas.openxmlformats.org/officeDocument/2006/relationships/image" Target="media/image209.png"/><Relationship Id="rId333" Type="http://schemas.openxmlformats.org/officeDocument/2006/relationships/image" Target="media/image224.png"/><Relationship Id="rId354" Type="http://schemas.openxmlformats.org/officeDocument/2006/relationships/image" Target="media/image245.png"/><Relationship Id="rId51" Type="http://schemas.openxmlformats.org/officeDocument/2006/relationships/hyperlink" Target="https://es.wikipedia.org/wiki/CETARSA" TargetMode="External"/><Relationship Id="rId72" Type="http://schemas.openxmlformats.org/officeDocument/2006/relationships/image" Target="media/image33.png"/><Relationship Id="rId93" Type="http://schemas.openxmlformats.org/officeDocument/2006/relationships/image" Target="media/image54.png"/><Relationship Id="rId189" Type="http://schemas.openxmlformats.org/officeDocument/2006/relationships/image" Target="media/image99.png"/><Relationship Id="rId375" Type="http://schemas.openxmlformats.org/officeDocument/2006/relationships/image" Target="media/image266.jpeg"/><Relationship Id="rId396" Type="http://schemas.openxmlformats.org/officeDocument/2006/relationships/image" Target="media/image287.png"/><Relationship Id="rId3" Type="http://schemas.openxmlformats.org/officeDocument/2006/relationships/styles" Target="styles.xml"/><Relationship Id="rId214" Type="http://schemas.openxmlformats.org/officeDocument/2006/relationships/image" Target="media/image124.png"/><Relationship Id="rId235" Type="http://schemas.openxmlformats.org/officeDocument/2006/relationships/image" Target="media/image145.png"/><Relationship Id="rId256" Type="http://schemas.openxmlformats.org/officeDocument/2006/relationships/image" Target="media/image166.png"/><Relationship Id="rId277" Type="http://schemas.openxmlformats.org/officeDocument/2006/relationships/hyperlink" Target="https://www.larazon.es/economia/cuantos-funcionarios-hay-espana-estos-son-sectores-que-hay-mas_2024090566d992d48aee7c0001165de5.html" TargetMode="External"/><Relationship Id="rId298" Type="http://schemas.openxmlformats.org/officeDocument/2006/relationships/image" Target="media/image195.png"/><Relationship Id="rId400" Type="http://schemas.openxmlformats.org/officeDocument/2006/relationships/image" Target="media/image291.png"/><Relationship Id="rId116" Type="http://schemas.openxmlformats.org/officeDocument/2006/relationships/hyperlink" Target="https://www.elconfidencial.com/mundo/2024-05-04/sanchez-jura-plantar-cara-a-la-desinformacion-pero-en-europa-esta-casi-todo-inventado_3877583/" TargetMode="External"/><Relationship Id="rId137" Type="http://schemas.openxmlformats.org/officeDocument/2006/relationships/hyperlink" Target="https://www.elconfidencial.com/tecnologia/2024-05-04/tiktok-venta-prohibicion-eeuu-posibles-compradores_3877665/" TargetMode="External"/><Relationship Id="rId158" Type="http://schemas.openxmlformats.org/officeDocument/2006/relationships/hyperlink" Target="https://s.libertaddigital.com/2025/08/04/precio-vivienda-julio-25.jpg" TargetMode="External"/><Relationship Id="rId302" Type="http://schemas.openxmlformats.org/officeDocument/2006/relationships/image" Target="media/image199.png"/><Relationship Id="rId323" Type="http://schemas.openxmlformats.org/officeDocument/2006/relationships/image" Target="media/image216.jpeg"/><Relationship Id="rId344" Type="http://schemas.openxmlformats.org/officeDocument/2006/relationships/image" Target="media/image235.png"/><Relationship Id="rId20" Type="http://schemas.openxmlformats.org/officeDocument/2006/relationships/image" Target="media/image11.png"/><Relationship Id="rId41" Type="http://schemas.openxmlformats.org/officeDocument/2006/relationships/image" Target="media/image23.png"/><Relationship Id="rId62" Type="http://schemas.openxmlformats.org/officeDocument/2006/relationships/hyperlink" Target="https://es.wikipedia.org/wiki/SEGITTUR" TargetMode="External"/><Relationship Id="rId83" Type="http://schemas.openxmlformats.org/officeDocument/2006/relationships/image" Target="media/image44.png"/><Relationship Id="rId179" Type="http://schemas.openxmlformats.org/officeDocument/2006/relationships/image" Target="media/image89.png"/><Relationship Id="rId365" Type="http://schemas.openxmlformats.org/officeDocument/2006/relationships/image" Target="media/image256.png"/><Relationship Id="rId386" Type="http://schemas.openxmlformats.org/officeDocument/2006/relationships/image" Target="media/image277.png"/><Relationship Id="rId190" Type="http://schemas.openxmlformats.org/officeDocument/2006/relationships/image" Target="media/image100.png"/><Relationship Id="rId204" Type="http://schemas.openxmlformats.org/officeDocument/2006/relationships/image" Target="media/image114.png"/><Relationship Id="rId225" Type="http://schemas.openxmlformats.org/officeDocument/2006/relationships/image" Target="media/image135.png"/><Relationship Id="rId246" Type="http://schemas.openxmlformats.org/officeDocument/2006/relationships/image" Target="media/image156.png"/><Relationship Id="rId267" Type="http://schemas.openxmlformats.org/officeDocument/2006/relationships/image" Target="media/image170.gif"/><Relationship Id="rId288" Type="http://schemas.openxmlformats.org/officeDocument/2006/relationships/image" Target="media/image185.png"/><Relationship Id="rId106" Type="http://schemas.openxmlformats.org/officeDocument/2006/relationships/image" Target="media/image59.png"/><Relationship Id="rId127" Type="http://schemas.openxmlformats.org/officeDocument/2006/relationships/hyperlink" Target="https://www.elconfidencial.com/espana/2021-11-07/gobierno-agenda-entrevistas-medios-comunicacion-radio-tv_3311244/" TargetMode="External"/><Relationship Id="rId313" Type="http://schemas.openxmlformats.org/officeDocument/2006/relationships/image" Target="media/image210.png"/><Relationship Id="rId10" Type="http://schemas.openxmlformats.org/officeDocument/2006/relationships/image" Target="media/image3.jpeg"/><Relationship Id="rId31" Type="http://schemas.openxmlformats.org/officeDocument/2006/relationships/hyperlink" Target="https://www.ico.es/ico/lineas-ico" TargetMode="External"/><Relationship Id="rId52" Type="http://schemas.openxmlformats.org/officeDocument/2006/relationships/hyperlink" Target="https://es.wikipedia.org/wiki/ENUSA" TargetMode="External"/><Relationship Id="rId73" Type="http://schemas.openxmlformats.org/officeDocument/2006/relationships/image" Target="media/image34.png"/><Relationship Id="rId94" Type="http://schemas.openxmlformats.org/officeDocument/2006/relationships/hyperlink" Target="https://www.google.com/search?sca_esv=53af40c892478f71&amp;cs=0&amp;sxsrf=AE3TifMH-9hpNKERSovIJ3m6eIkfLBEpxQ%3A1753867598793&amp;q=Excedencia+Voluntaria+por+Inter%C3%A9s+Particular&amp;sa=X&amp;ved=2ahUKEwiMkpf5oeSOAxXFQaQEHSlVN94QxccNegQINhAC&amp;mstk=AUtExfBLCK5YR7sw5TSzF_X3i8c1QDnwvVqrCufbIb7wqaSHM5_ht5ucCEvNWTpGyoYn5iHYBYrrLXtKr5OU7eha0L9rfcGryk4uPJWRJixDa1_IAKdU62_i1eXi3W8XadpRMLCFatfXxc8AsPKm9EXmchScZrzjBxop0hcWA8lmZy2sOGHkcvsUBs87b9BkTCyIpqlAU2DXUNegzTsikx1swxtgP6kLVmqKUkZ4EqOgf3Hrg9z0FypmLbTRgO1BBEKjdkmW70eMgvHTdrRPIDOO1BQy&amp;csui=3" TargetMode="External"/><Relationship Id="rId148" Type="http://schemas.openxmlformats.org/officeDocument/2006/relationships/hyperlink" Target="https://www.elconfidencial.com/comunicacion/2014-11-03/el-tc-pone-coto-a-la-publicidad-institucional-a-dedo-como-mobbing-a-medios-no-afines_431732/" TargetMode="External"/><Relationship Id="rId169" Type="http://schemas.openxmlformats.org/officeDocument/2006/relationships/image" Target="media/image82.png"/><Relationship Id="rId334" Type="http://schemas.openxmlformats.org/officeDocument/2006/relationships/image" Target="media/image225.png"/><Relationship Id="rId355" Type="http://schemas.openxmlformats.org/officeDocument/2006/relationships/image" Target="media/image246.png"/><Relationship Id="rId376" Type="http://schemas.openxmlformats.org/officeDocument/2006/relationships/image" Target="media/image267.jpeg"/><Relationship Id="rId397" Type="http://schemas.openxmlformats.org/officeDocument/2006/relationships/image" Target="media/image288.png"/><Relationship Id="rId4" Type="http://schemas.microsoft.com/office/2007/relationships/stylesWithEffects" Target="stylesWithEffects.xml"/><Relationship Id="rId180" Type="http://schemas.openxmlformats.org/officeDocument/2006/relationships/image" Target="media/image90.png"/><Relationship Id="rId215" Type="http://schemas.openxmlformats.org/officeDocument/2006/relationships/image" Target="media/image125.png"/><Relationship Id="rId236" Type="http://schemas.openxmlformats.org/officeDocument/2006/relationships/image" Target="media/image146.png"/><Relationship Id="rId257" Type="http://schemas.openxmlformats.org/officeDocument/2006/relationships/image" Target="media/image167.gif"/><Relationship Id="rId278" Type="http://schemas.openxmlformats.org/officeDocument/2006/relationships/hyperlink" Target="https://www.inclusion.gob.es/w/la-seguridad-social-abona-10-3-millones-de-pensiones-a-9-3-millones-de-pensionistas-en-enero" TargetMode="External"/><Relationship Id="rId401" Type="http://schemas.openxmlformats.org/officeDocument/2006/relationships/image" Target="media/image292.png"/><Relationship Id="rId303" Type="http://schemas.openxmlformats.org/officeDocument/2006/relationships/image" Target="media/image200.png"/><Relationship Id="rId42" Type="http://schemas.openxmlformats.org/officeDocument/2006/relationships/image" Target="media/image24.png"/><Relationship Id="rId84" Type="http://schemas.openxmlformats.org/officeDocument/2006/relationships/image" Target="media/image45.png"/><Relationship Id="rId138" Type="http://schemas.openxmlformats.org/officeDocument/2006/relationships/hyperlink" Target="https://www.elconfidencial.com/tecnologia/2024-03-10/boomer-viejo-twitch-streaming-cobrar-salario-siro-lopez-abuela_3844454/" TargetMode="External"/><Relationship Id="rId345" Type="http://schemas.openxmlformats.org/officeDocument/2006/relationships/image" Target="media/image236.png"/><Relationship Id="rId387" Type="http://schemas.openxmlformats.org/officeDocument/2006/relationships/image" Target="media/image278.png"/><Relationship Id="rId191" Type="http://schemas.openxmlformats.org/officeDocument/2006/relationships/image" Target="media/image101.png"/><Relationship Id="rId205" Type="http://schemas.openxmlformats.org/officeDocument/2006/relationships/image" Target="media/image115.png"/><Relationship Id="rId247" Type="http://schemas.openxmlformats.org/officeDocument/2006/relationships/image" Target="media/image157.png"/><Relationship Id="rId107" Type="http://schemas.openxmlformats.org/officeDocument/2006/relationships/image" Target="media/image60.png"/><Relationship Id="rId289" Type="http://schemas.openxmlformats.org/officeDocument/2006/relationships/image" Target="media/image186.png"/><Relationship Id="rId11" Type="http://schemas.openxmlformats.org/officeDocument/2006/relationships/hyperlink" Target="https://ec.europa.eu/eurostat/databrowser/view/sdg_10_10/default/table?lang=en" TargetMode="External"/><Relationship Id="rId53" Type="http://schemas.openxmlformats.org/officeDocument/2006/relationships/hyperlink" Target="https://es.wikipedia.org/wiki/Mayasa" TargetMode="External"/><Relationship Id="rId149" Type="http://schemas.openxmlformats.org/officeDocument/2006/relationships/image" Target="media/image73.png"/><Relationship Id="rId314" Type="http://schemas.openxmlformats.org/officeDocument/2006/relationships/image" Target="media/image211.png"/><Relationship Id="rId356" Type="http://schemas.openxmlformats.org/officeDocument/2006/relationships/image" Target="media/image247.png"/><Relationship Id="rId398" Type="http://schemas.openxmlformats.org/officeDocument/2006/relationships/image" Target="media/image289.png"/><Relationship Id="rId95" Type="http://schemas.openxmlformats.org/officeDocument/2006/relationships/hyperlink" Target="https://www.google.com/search?sca_esv=53af40c892478f71&amp;cs=0&amp;sxsrf=AE3TifMH-9hpNKERSovIJ3m6eIkfLBEpxQ%3A1753867598793&amp;q=Excedencia+Voluntaria+por+Agrupaci%C3%B3n+Familiar&amp;sa=X&amp;ved=2ahUKEwiMkpf5oeSOAxXFQaQEHSlVN94QxccNegQINRAC&amp;mstk=AUtExfBLCK5YR7sw5TSzF_X3i8c1QDnwvVqrCufbIb7wqaSHM5_ht5ucCEvNWTpGyoYn5iHYBYrrLXtKr5OU7eha0L9rfcGryk4uPJWRJixDa1_IAKdU62_i1eXi3W8XadpRMLCFatfXxc8AsPKm9EXmchScZrzjBxop0hcWA8lmZy2sOGHkcvsUBs87b9BkTCyIpqlAU2DXUNegzTsikx1swxtgP6kLVmqKUkZ4EqOgf3Hrg9z0FypmLbTRgO1BBEKjdkmW70eMgvHTdrRPIDOO1BQy&amp;csui=3" TargetMode="External"/><Relationship Id="rId160" Type="http://schemas.openxmlformats.org/officeDocument/2006/relationships/hyperlink" Target="https://www.idealista.com/sala-de-prensa/informes-precio-vivienda/alquiler/" TargetMode="External"/><Relationship Id="rId216" Type="http://schemas.openxmlformats.org/officeDocument/2006/relationships/image" Target="media/image126.png"/><Relationship Id="rId258" Type="http://schemas.openxmlformats.org/officeDocument/2006/relationships/image" Target="media/image168.gif"/><Relationship Id="rId22" Type="http://schemas.openxmlformats.org/officeDocument/2006/relationships/image" Target="media/image13.png"/><Relationship Id="rId64" Type="http://schemas.openxmlformats.org/officeDocument/2006/relationships/hyperlink" Target="https://es.wikipedia.org/wiki/Centro_para_el_Desarrollo_Tecnol%C3%B3gico_y_la_Innovaci%C3%B3n" TargetMode="External"/><Relationship Id="rId118" Type="http://schemas.openxmlformats.org/officeDocument/2006/relationships/hyperlink" Target="https://www.elconfidencial.com/economia/2023-12-19/transparencia-amonesta-sanchez-ministros-ocultar-gastos-viajes_3795179/" TargetMode="External"/><Relationship Id="rId325" Type="http://schemas.openxmlformats.org/officeDocument/2006/relationships/image" Target="media/image218.png"/><Relationship Id="rId367" Type="http://schemas.openxmlformats.org/officeDocument/2006/relationships/image" Target="media/image258.png"/><Relationship Id="rId171" Type="http://schemas.openxmlformats.org/officeDocument/2006/relationships/image" Target="media/image84.png"/><Relationship Id="rId227" Type="http://schemas.openxmlformats.org/officeDocument/2006/relationships/image" Target="media/image137.png"/><Relationship Id="rId269" Type="http://schemas.openxmlformats.org/officeDocument/2006/relationships/hyperlink" Target="https://www.eleconomista.es/economia/noticias/10777344/09/20/El-choque-de-generaciones-que-se-avecina-y-los-tres-desenlaces-posibles-con-la-vivienda-en-el-foco.html" TargetMode="External"/><Relationship Id="rId33" Type="http://schemas.openxmlformats.org/officeDocument/2006/relationships/hyperlink" Target="https://www.ico.es/financiacion_empresarial/capital_riesgo" TargetMode="External"/><Relationship Id="rId129" Type="http://schemas.openxmlformats.org/officeDocument/2006/relationships/hyperlink" Target="https://www.elconfidencial.com/espana/2021-10-28/publicidad-institucional-moncloa-inversion-millones-poco-impacto_3289196/" TargetMode="External"/><Relationship Id="rId280" Type="http://schemas.openxmlformats.org/officeDocument/2006/relationships/image" Target="media/image177.png"/><Relationship Id="rId336" Type="http://schemas.openxmlformats.org/officeDocument/2006/relationships/image" Target="media/image227.gif"/><Relationship Id="rId75" Type="http://schemas.openxmlformats.org/officeDocument/2006/relationships/image" Target="media/image36.png"/><Relationship Id="rId140" Type="http://schemas.openxmlformats.org/officeDocument/2006/relationships/hyperlink" Target="https://www.elconfidencial.com/deportes/futbol/2018-12-19/real-madrid-television-mediapro-telefonica-mediaset_1713182/" TargetMode="External"/><Relationship Id="rId182" Type="http://schemas.openxmlformats.org/officeDocument/2006/relationships/image" Target="media/image92.png"/><Relationship Id="rId378" Type="http://schemas.openxmlformats.org/officeDocument/2006/relationships/image" Target="media/image269.jpeg"/><Relationship Id="rId403" Type="http://schemas.openxmlformats.org/officeDocument/2006/relationships/image" Target="media/image294.png"/><Relationship Id="rId6" Type="http://schemas.openxmlformats.org/officeDocument/2006/relationships/webSettings" Target="webSettings.xml"/><Relationship Id="rId238" Type="http://schemas.openxmlformats.org/officeDocument/2006/relationships/image" Target="media/image148.png"/><Relationship Id="rId291" Type="http://schemas.openxmlformats.org/officeDocument/2006/relationships/image" Target="media/image188.jpeg"/><Relationship Id="rId305" Type="http://schemas.openxmlformats.org/officeDocument/2006/relationships/image" Target="media/image202.png"/><Relationship Id="rId347" Type="http://schemas.openxmlformats.org/officeDocument/2006/relationships/image" Target="media/image238.png"/><Relationship Id="rId44" Type="http://schemas.openxmlformats.org/officeDocument/2006/relationships/image" Target="media/image26.png"/><Relationship Id="rId86" Type="http://schemas.openxmlformats.org/officeDocument/2006/relationships/image" Target="media/image47.png"/><Relationship Id="rId151" Type="http://schemas.openxmlformats.org/officeDocument/2006/relationships/hyperlink" Target="https://s36360.pcdn.co/wp-content/uploads/2025/04/NdP-Espana-Analisis-salarios-Precios-alquiler-vivienda-2024-FC-IJ.pdf" TargetMode="External"/><Relationship Id="rId389" Type="http://schemas.openxmlformats.org/officeDocument/2006/relationships/image" Target="media/image280.jpeg"/><Relationship Id="rId193" Type="http://schemas.openxmlformats.org/officeDocument/2006/relationships/image" Target="media/image103.png"/><Relationship Id="rId207" Type="http://schemas.openxmlformats.org/officeDocument/2006/relationships/image" Target="media/image117.png"/><Relationship Id="rId249" Type="http://schemas.openxmlformats.org/officeDocument/2006/relationships/image" Target="media/image159.png"/><Relationship Id="rId13" Type="http://schemas.openxmlformats.org/officeDocument/2006/relationships/image" Target="media/image4.jpeg"/><Relationship Id="rId109" Type="http://schemas.openxmlformats.org/officeDocument/2006/relationships/image" Target="media/image62.png"/><Relationship Id="rId260" Type="http://schemas.openxmlformats.org/officeDocument/2006/relationships/hyperlink" Target="https://www.eleconomista.es/autor/Vicente-Nieves" TargetMode="External"/><Relationship Id="rId316" Type="http://schemas.openxmlformats.org/officeDocument/2006/relationships/image" Target="media/image213.png"/><Relationship Id="rId55" Type="http://schemas.openxmlformats.org/officeDocument/2006/relationships/hyperlink" Target="https://es.wikipedia.org/wiki/TRAGSA" TargetMode="External"/><Relationship Id="rId97" Type="http://schemas.openxmlformats.org/officeDocument/2006/relationships/hyperlink" Target="https://www.google.com/search?sca_esv=53af40c892478f71&amp;cs=0&amp;sxsrf=AE3TifMH-9hpNKERSovIJ3m6eIkfLBEpxQ%3A1753867598793&amp;q=Excedencia+Forzosa&amp;sa=X&amp;ved=2ahUKEwiMkpf5oeSOAxXFQaQEHSlVN94QxccNegQIMRAC&amp;mstk=AUtExfBLCK5YR7sw5TSzF_X3i8c1QDnwvVqrCufbIb7wqaSHM5_ht5ucCEvNWTpGyoYn5iHYBYrrLXtKr5OU7eha0L9rfcGryk4uPJWRJixDa1_IAKdU62_i1eXi3W8XadpRMLCFatfXxc8AsPKm9EXmchScZrzjBxop0hcWA8lmZy2sOGHkcvsUBs87b9BkTCyIpqlAU2DXUNegzTsikx1swxtgP6kLVmqKUkZ4EqOgf3Hrg9z0FypmLbTRgO1BBEKjdkmW70eMgvHTdrRPIDOO1BQy&amp;csui=3" TargetMode="External"/><Relationship Id="rId120" Type="http://schemas.openxmlformats.org/officeDocument/2006/relationships/hyperlink" Target="https://www.elconfidencial.com/espana/2024-06-11/expertos-cis-tezanos-fallos_3900331/" TargetMode="External"/><Relationship Id="rId358" Type="http://schemas.openxmlformats.org/officeDocument/2006/relationships/image" Target="media/image249.png"/><Relationship Id="rId162" Type="http://schemas.openxmlformats.org/officeDocument/2006/relationships/image" Target="media/image78.jpeg"/><Relationship Id="rId218" Type="http://schemas.openxmlformats.org/officeDocument/2006/relationships/image" Target="media/image128.png"/><Relationship Id="rId271" Type="http://schemas.openxmlformats.org/officeDocument/2006/relationships/image" Target="media/image171.png"/><Relationship Id="rId24" Type="http://schemas.openxmlformats.org/officeDocument/2006/relationships/image" Target="media/image15.png"/><Relationship Id="rId66" Type="http://schemas.openxmlformats.org/officeDocument/2006/relationships/hyperlink" Target="https://es.wikipedia.org/wiki/ENAIRE" TargetMode="External"/><Relationship Id="rId131" Type="http://schemas.openxmlformats.org/officeDocument/2006/relationships/image" Target="media/image70.png"/><Relationship Id="rId327" Type="http://schemas.openxmlformats.org/officeDocument/2006/relationships/image" Target="media/image220.png"/><Relationship Id="rId369" Type="http://schemas.openxmlformats.org/officeDocument/2006/relationships/image" Target="media/image260.png"/><Relationship Id="rId173" Type="http://schemas.openxmlformats.org/officeDocument/2006/relationships/image" Target="media/image86.png"/><Relationship Id="rId229" Type="http://schemas.openxmlformats.org/officeDocument/2006/relationships/image" Target="media/image139.png"/><Relationship Id="rId380" Type="http://schemas.openxmlformats.org/officeDocument/2006/relationships/image" Target="media/image271.png"/><Relationship Id="rId240" Type="http://schemas.openxmlformats.org/officeDocument/2006/relationships/image" Target="media/image150.png"/><Relationship Id="rId35" Type="http://schemas.openxmlformats.org/officeDocument/2006/relationships/hyperlink" Target="https://www.ico.es/web/guest/convenio-con-rtve" TargetMode="External"/><Relationship Id="rId77" Type="http://schemas.openxmlformats.org/officeDocument/2006/relationships/image" Target="media/image38.png"/><Relationship Id="rId100" Type="http://schemas.openxmlformats.org/officeDocument/2006/relationships/hyperlink" Target="https://www.pap.hacienda.gob.es/bdnstrans/GE/es/inicio" TargetMode="External"/><Relationship Id="rId282" Type="http://schemas.openxmlformats.org/officeDocument/2006/relationships/image" Target="media/image179.png"/><Relationship Id="rId338" Type="http://schemas.openxmlformats.org/officeDocument/2006/relationships/image" Target="media/image229.png"/><Relationship Id="rId8" Type="http://schemas.openxmlformats.org/officeDocument/2006/relationships/image" Target="media/image2.png"/><Relationship Id="rId142" Type="http://schemas.openxmlformats.org/officeDocument/2006/relationships/hyperlink" Target="https://blogs.elconfidencial.com/espana/tribuna/2024-03-06/agujeros-sistema-cuelan-casos-koldo_3843008/" TargetMode="External"/><Relationship Id="rId184" Type="http://schemas.openxmlformats.org/officeDocument/2006/relationships/image" Target="media/image94.png"/><Relationship Id="rId391" Type="http://schemas.openxmlformats.org/officeDocument/2006/relationships/image" Target="media/image282.png"/><Relationship Id="rId405" Type="http://schemas.openxmlformats.org/officeDocument/2006/relationships/image" Target="media/image296.jpeg"/><Relationship Id="rId251" Type="http://schemas.openxmlformats.org/officeDocument/2006/relationships/image" Target="media/image161.png"/><Relationship Id="rId46" Type="http://schemas.openxmlformats.org/officeDocument/2006/relationships/image" Target="media/image28.png"/><Relationship Id="rId293" Type="http://schemas.openxmlformats.org/officeDocument/2006/relationships/image" Target="media/image190.png"/><Relationship Id="rId307" Type="http://schemas.openxmlformats.org/officeDocument/2006/relationships/image" Target="media/image204.png"/><Relationship Id="rId349" Type="http://schemas.openxmlformats.org/officeDocument/2006/relationships/image" Target="media/image240.gif"/><Relationship Id="rId88" Type="http://schemas.openxmlformats.org/officeDocument/2006/relationships/image" Target="media/image49.png"/><Relationship Id="rId111" Type="http://schemas.openxmlformats.org/officeDocument/2006/relationships/image" Target="media/image64.png"/><Relationship Id="rId153" Type="http://schemas.openxmlformats.org/officeDocument/2006/relationships/image" Target="media/image75.jpeg"/><Relationship Id="rId195" Type="http://schemas.openxmlformats.org/officeDocument/2006/relationships/image" Target="media/image105.png"/><Relationship Id="rId209" Type="http://schemas.openxmlformats.org/officeDocument/2006/relationships/image" Target="media/image119.png"/><Relationship Id="rId360" Type="http://schemas.openxmlformats.org/officeDocument/2006/relationships/image" Target="media/image251.png"/><Relationship Id="rId220" Type="http://schemas.openxmlformats.org/officeDocument/2006/relationships/image" Target="media/image130.png"/><Relationship Id="rId15" Type="http://schemas.openxmlformats.org/officeDocument/2006/relationships/image" Target="media/image6.png"/><Relationship Id="rId57" Type="http://schemas.openxmlformats.org/officeDocument/2006/relationships/hyperlink" Target="https://es.wikipedia.org/wiki/Aguas_de_las_Cuencas_Mediterr%C3%A1neas" TargetMode="External"/><Relationship Id="rId262" Type="http://schemas.openxmlformats.org/officeDocument/2006/relationships/hyperlink" Target="https://www.eleconomista.es/economia/noticias/13461743/07/25/no-hay-trabajadores-en-espana-para-tantas-bocas-que-alimentar-la-economia-solo-crecera-un-013-anual-hasta-2060.html" TargetMode="External"/><Relationship Id="rId318" Type="http://schemas.openxmlformats.org/officeDocument/2006/relationships/hyperlink" Target="https://blog.funcas.es/renta-neta-real-de-los-hogares-en-2024-todavia-por-debajo-del-umbral-de-2008/" TargetMode="External"/><Relationship Id="rId99" Type="http://schemas.openxmlformats.org/officeDocument/2006/relationships/image" Target="media/image55.png"/><Relationship Id="rId122" Type="http://schemas.openxmlformats.org/officeDocument/2006/relationships/hyperlink" Target="https://www.elconfidencial.com/economia/2023-11-28/diaz-amonestaciones-transparencia-ocultar-gastos_3782682/" TargetMode="External"/><Relationship Id="rId164" Type="http://schemas.openxmlformats.org/officeDocument/2006/relationships/hyperlink" Target="https://www.libremercado.com/2025-06-24/martes-los-propietarios-en-espana-caen-desde-que-sanchez-es-presidente-7269060/" TargetMode="External"/><Relationship Id="rId371" Type="http://schemas.openxmlformats.org/officeDocument/2006/relationships/image" Target="media/image262.png"/><Relationship Id="rId26" Type="http://schemas.openxmlformats.org/officeDocument/2006/relationships/image" Target="media/image17.png"/><Relationship Id="rId231" Type="http://schemas.openxmlformats.org/officeDocument/2006/relationships/image" Target="media/image141.png"/><Relationship Id="rId273" Type="http://schemas.openxmlformats.org/officeDocument/2006/relationships/image" Target="media/image173.png"/><Relationship Id="rId329" Type="http://schemas.openxmlformats.org/officeDocument/2006/relationships/image" Target="media/image221.jpeg"/><Relationship Id="rId68" Type="http://schemas.openxmlformats.org/officeDocument/2006/relationships/hyperlink" Target="https://es.wikipedia.org/wiki/Instituto_de_Cr%C3%A9dito_Oficial" TargetMode="External"/><Relationship Id="rId133" Type="http://schemas.openxmlformats.org/officeDocument/2006/relationships/hyperlink" Target="https://www.elconfidencial.com/espana/comunidad-valenciana/2024-03-29/caso-francis-puig-prisa-ataque-informatico_3856973/" TargetMode="External"/><Relationship Id="rId175" Type="http://schemas.openxmlformats.org/officeDocument/2006/relationships/hyperlink" Target="https://www.administraciondejusticia.com/oposiciones-tramitacion-procesal" TargetMode="External"/><Relationship Id="rId340" Type="http://schemas.openxmlformats.org/officeDocument/2006/relationships/image" Target="media/image231.png"/><Relationship Id="rId200" Type="http://schemas.openxmlformats.org/officeDocument/2006/relationships/image" Target="media/image110.png"/><Relationship Id="rId382" Type="http://schemas.openxmlformats.org/officeDocument/2006/relationships/image" Target="media/image273.png"/><Relationship Id="rId242" Type="http://schemas.openxmlformats.org/officeDocument/2006/relationships/image" Target="media/image152.png"/><Relationship Id="rId284" Type="http://schemas.openxmlformats.org/officeDocument/2006/relationships/image" Target="media/image181.png"/><Relationship Id="rId37" Type="http://schemas.openxmlformats.org/officeDocument/2006/relationships/hyperlink" Target="https://www.icex.es/es/sobre-nosotros/donde-estamos/en-espana" TargetMode="External"/><Relationship Id="rId79" Type="http://schemas.openxmlformats.org/officeDocument/2006/relationships/image" Target="media/image40.png"/><Relationship Id="rId102" Type="http://schemas.openxmlformats.org/officeDocument/2006/relationships/hyperlink" Target="https://chrome-extension/efaidnbmnnnibpcajpcglclefindmkaj/viewer.html?pdfurl=https%3A%2F%2Fwww.ffluzon.org%2Fwp-content%2Fuploads%2F2025%2F04%2FObservatorio-ELA_2024_Fundacion-Luzon.pdf&amp;tabId=2084015503&amp;clen=11235583&amp;chunk=true" TargetMode="External"/><Relationship Id="rId144" Type="http://schemas.openxmlformats.org/officeDocument/2006/relationships/hyperlink" Target="https://www.elconfidencial.com/espana/galicia/2024-03-15/laboratorio-navantia-turbinas-nuclares-motores-buques-guerra_3844287/" TargetMode="External"/><Relationship Id="rId90" Type="http://schemas.openxmlformats.org/officeDocument/2006/relationships/image" Target="media/image51.png"/><Relationship Id="rId186" Type="http://schemas.openxmlformats.org/officeDocument/2006/relationships/image" Target="media/image96.png"/><Relationship Id="rId351" Type="http://schemas.openxmlformats.org/officeDocument/2006/relationships/image" Target="media/image242.png"/><Relationship Id="rId393" Type="http://schemas.openxmlformats.org/officeDocument/2006/relationships/image" Target="media/image284.png"/><Relationship Id="rId407" Type="http://schemas.openxmlformats.org/officeDocument/2006/relationships/image" Target="media/image298.png"/><Relationship Id="rId211" Type="http://schemas.openxmlformats.org/officeDocument/2006/relationships/image" Target="media/image121.png"/><Relationship Id="rId253" Type="http://schemas.openxmlformats.org/officeDocument/2006/relationships/image" Target="media/image163.png"/><Relationship Id="rId295" Type="http://schemas.openxmlformats.org/officeDocument/2006/relationships/image" Target="media/image192.png"/><Relationship Id="rId309" Type="http://schemas.openxmlformats.org/officeDocument/2006/relationships/image" Target="media/image20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BE7742-B5B4-4D30-94AB-44E268353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625</Pages>
  <Words>251373</Words>
  <Characters>1382552</Characters>
  <Application>Microsoft Office Word</Application>
  <DocSecurity>0</DocSecurity>
  <Lines>11521</Lines>
  <Paragraphs>3261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1630664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2025-10-29T10:33:00Z</dcterms:created>
  <dcterms:modified xsi:type="dcterms:W3CDTF">2025-10-29T10:33:00Z</dcterms:modified>
</cp:coreProperties>
</file>