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B7B36" w:rsidRDefault="00BB7B36" w:rsidP="00BB7B36">
      <w:pPr>
        <w:jc w:val="both"/>
        <w:rPr>
          <w:rFonts w:ascii="Times New Roman" w:hAnsi="Times New Roman" w:cs="Times New Roman"/>
          <w:b/>
          <w:sz w:val="24"/>
          <w:szCs w:val="24"/>
        </w:rPr>
      </w:pPr>
      <w:r>
        <w:rPr>
          <w:rFonts w:ascii="Times New Roman" w:hAnsi="Times New Roman" w:cs="Times New Roman"/>
          <w:b/>
          <w:sz w:val="24"/>
          <w:szCs w:val="24"/>
        </w:rPr>
        <w:t>Paper - El adiós europeo al Estado del Bienestar: la “sociedad participativa”, el “gasto social privado”, la “gran sociedad”, y demás experimentos de laboratorio (¿otra vez el triunfo de la ideología sobre la razón?) (Parte I)</w:t>
      </w:r>
    </w:p>
    <w:p w:rsidR="00BB7B36" w:rsidRDefault="00BB7B36" w:rsidP="00BB7B36">
      <w:pPr>
        <w:jc w:val="both"/>
        <w:rPr>
          <w:rFonts w:ascii="Times New Roman" w:hAnsi="Times New Roman" w:cs="Times New Roman"/>
          <w:b/>
          <w:sz w:val="24"/>
          <w:szCs w:val="24"/>
        </w:rPr>
      </w:pPr>
      <w:r w:rsidRPr="008A0E88">
        <w:rPr>
          <w:rFonts w:ascii="Times New Roman" w:hAnsi="Times New Roman" w:cs="Times New Roman"/>
          <w:b/>
          <w:sz w:val="24"/>
          <w:szCs w:val="24"/>
        </w:rPr>
        <w:t>1</w:t>
      </w:r>
      <w:r>
        <w:rPr>
          <w:rFonts w:ascii="Times New Roman" w:hAnsi="Times New Roman" w:cs="Times New Roman"/>
          <w:b/>
          <w:sz w:val="24"/>
          <w:szCs w:val="24"/>
        </w:rPr>
        <w:t xml:space="preserve"> -  Introducción: la economía del cinismo</w:t>
      </w:r>
    </w:p>
    <w:p w:rsidR="00BB7B36" w:rsidRPr="00495DC9" w:rsidRDefault="00BB7B36" w:rsidP="00BB7B36">
      <w:pPr>
        <w:jc w:val="both"/>
        <w:rPr>
          <w:rFonts w:ascii="Times New Roman" w:hAnsi="Times New Roman" w:cs="Times New Roman"/>
          <w:sz w:val="24"/>
          <w:szCs w:val="24"/>
        </w:rPr>
      </w:pPr>
      <w:r w:rsidRPr="001019C7">
        <w:rPr>
          <w:rFonts w:ascii="Times New Roman" w:hAnsi="Times New Roman" w:cs="Times New Roman"/>
          <w:i/>
          <w:sz w:val="24"/>
          <w:szCs w:val="24"/>
        </w:rPr>
        <w:t xml:space="preserve">“Tenemos suficiente para las necesidades de todos, pero no para la codicia de unos pocos”  </w:t>
      </w:r>
      <w:r w:rsidRPr="00495DC9">
        <w:rPr>
          <w:rFonts w:ascii="Times New Roman" w:hAnsi="Times New Roman" w:cs="Times New Roman"/>
          <w:sz w:val="24"/>
          <w:szCs w:val="24"/>
        </w:rPr>
        <w:t>Gandhi</w:t>
      </w:r>
    </w:p>
    <w:p w:rsidR="00BB7B36" w:rsidRPr="001019C7" w:rsidRDefault="00BB7B36" w:rsidP="00BB7B36">
      <w:pPr>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 xml:space="preserve">      </w:t>
      </w:r>
      <w:r>
        <w:rPr>
          <w:rFonts w:ascii="Arial" w:eastAsia="Times New Roman" w:hAnsi="Arial" w:cs="Arial"/>
          <w:noProof/>
          <w:color w:val="000000"/>
          <w:sz w:val="24"/>
          <w:szCs w:val="24"/>
          <w:lang w:eastAsia="es-ES"/>
        </w:rPr>
        <w:drawing>
          <wp:inline distT="0" distB="0" distL="0" distR="0" wp14:anchorId="1C170FB9" wp14:editId="3BC2E4DA">
            <wp:extent cx="3364992" cy="3723437"/>
            <wp:effectExtent l="0" t="0" r="6985" b="0"/>
            <wp:docPr id="124" name="Imagen 124" descr="El grito, Edward Munch (189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El grito, Edward Munch (1893) "/>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364816" cy="3723242"/>
                    </a:xfrm>
                    <a:prstGeom prst="rect">
                      <a:avLst/>
                    </a:prstGeom>
                    <a:noFill/>
                    <a:ln>
                      <a:noFill/>
                    </a:ln>
                  </pic:spPr>
                </pic:pic>
              </a:graphicData>
            </a:graphic>
          </wp:inline>
        </w:drawing>
      </w:r>
    </w:p>
    <w:p w:rsidR="00BB7B36" w:rsidRDefault="00BB7B36" w:rsidP="00BB7B36">
      <w:pPr>
        <w:rPr>
          <w:rFonts w:ascii="Times New Roman" w:hAnsi="Times New Roman" w:cs="Times New Roman"/>
          <w:b/>
          <w:sz w:val="24"/>
          <w:szCs w:val="24"/>
        </w:rPr>
      </w:pPr>
    </w:p>
    <w:p w:rsidR="00BB7B36" w:rsidRDefault="00BB7B36" w:rsidP="00BB7B36">
      <w:pPr>
        <w:rPr>
          <w:rFonts w:ascii="Times New Roman" w:hAnsi="Times New Roman" w:cs="Times New Roman"/>
          <w:b/>
          <w:sz w:val="24"/>
          <w:szCs w:val="24"/>
        </w:rPr>
      </w:pPr>
    </w:p>
    <w:p w:rsidR="00BB7B36" w:rsidRDefault="00BB7B36" w:rsidP="00BB7B36">
      <w:pPr>
        <w:rPr>
          <w:rFonts w:ascii="Times New Roman" w:hAnsi="Times New Roman" w:cs="Times New Roman"/>
          <w:b/>
          <w:sz w:val="24"/>
          <w:szCs w:val="24"/>
        </w:rPr>
      </w:pPr>
      <w:r>
        <w:rPr>
          <w:rFonts w:ascii="Times New Roman" w:hAnsi="Times New Roman" w:cs="Times New Roman"/>
          <w:b/>
          <w:sz w:val="24"/>
          <w:szCs w:val="24"/>
        </w:rPr>
        <w:t>La crisis mutante</w:t>
      </w:r>
    </w:p>
    <w:p w:rsidR="00BB7B36" w:rsidRDefault="00BB7B36" w:rsidP="00BB7B36">
      <w:pPr>
        <w:rPr>
          <w:rFonts w:ascii="Times New Roman" w:hAnsi="Times New Roman" w:cs="Times New Roman"/>
          <w:b/>
          <w:sz w:val="24"/>
          <w:szCs w:val="24"/>
        </w:rPr>
      </w:pPr>
      <w:r>
        <w:rPr>
          <w:noProof/>
          <w:lang w:eastAsia="es-ES"/>
        </w:rPr>
        <w:drawing>
          <wp:inline distT="0" distB="0" distL="0" distR="0" wp14:anchorId="488B9690" wp14:editId="2E1BDAFF">
            <wp:extent cx="6144768" cy="2333549"/>
            <wp:effectExtent l="0" t="0" r="0" b="0"/>
            <wp:docPr id="125" name="Imagen 125" descr="http://estaticos01.expansion.com/imagenes/2011/09/30/economia/1317417728_g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http://estaticos01.expansion.com/imagenes/2011/09/30/economia/1317417728_g_0.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54728" cy="2337331"/>
                    </a:xfrm>
                    <a:prstGeom prst="rect">
                      <a:avLst/>
                    </a:prstGeom>
                    <a:noFill/>
                    <a:ln>
                      <a:noFill/>
                    </a:ln>
                  </pic:spPr>
                </pic:pic>
              </a:graphicData>
            </a:graphic>
          </wp:inline>
        </w:drawing>
      </w:r>
    </w:p>
    <w:p w:rsidR="00BB7B36" w:rsidRDefault="00BB7B36" w:rsidP="00BB7B36">
      <w:pPr>
        <w:rPr>
          <w:rFonts w:ascii="Times New Roman" w:hAnsi="Times New Roman" w:cs="Times New Roman"/>
          <w:sz w:val="24"/>
          <w:szCs w:val="24"/>
          <w:u w:val="single"/>
        </w:rPr>
      </w:pPr>
      <w:r>
        <w:rPr>
          <w:rFonts w:ascii="Times New Roman" w:hAnsi="Times New Roman" w:cs="Times New Roman"/>
          <w:sz w:val="24"/>
          <w:szCs w:val="24"/>
          <w:u w:val="single"/>
        </w:rPr>
        <w:lastRenderedPageBreak/>
        <w:t>Y cuenta la historia…</w:t>
      </w:r>
    </w:p>
    <w:p w:rsidR="00BB7B36" w:rsidRPr="003641A0" w:rsidRDefault="00BB7B36" w:rsidP="00BB7B36">
      <w:pPr>
        <w:rPr>
          <w:rFonts w:ascii="Times New Roman" w:hAnsi="Times New Roman"/>
          <w:i/>
          <w:sz w:val="24"/>
          <w:szCs w:val="24"/>
        </w:rPr>
      </w:pPr>
      <w:r>
        <w:rPr>
          <w:rFonts w:ascii="Times New Roman" w:hAnsi="Times New Roman" w:cs="Times New Roman"/>
          <w:sz w:val="24"/>
          <w:szCs w:val="24"/>
          <w:u w:val="single"/>
        </w:rPr>
        <w:t>Agosto 2012: a cinco años del inicio de la mayor crisis económica desde los años 30</w:t>
      </w:r>
      <w:r w:rsidRPr="003641A0">
        <w:rPr>
          <w:rFonts w:ascii="Times New Roman" w:hAnsi="Times New Roman" w:cs="Times New Roman"/>
          <w:sz w:val="24"/>
          <w:szCs w:val="24"/>
          <w:u w:val="single"/>
        </w:rPr>
        <w:t xml:space="preserve">                 </w:t>
      </w:r>
      <w:r w:rsidRPr="003641A0">
        <w:rPr>
          <w:rFonts w:ascii="Times New Roman" w:hAnsi="Times New Roman"/>
          <w:i/>
          <w:sz w:val="24"/>
          <w:szCs w:val="24"/>
        </w:rPr>
        <w:t xml:space="preserve">                                        </w:t>
      </w:r>
    </w:p>
    <w:p w:rsidR="00BB7B36" w:rsidRPr="00EF021E" w:rsidRDefault="00BB7B36" w:rsidP="00BB7B36">
      <w:pPr>
        <w:jc w:val="both"/>
        <w:rPr>
          <w:rFonts w:ascii="Times New Roman" w:hAnsi="Times New Roman" w:cs="Times New Roman"/>
          <w:sz w:val="24"/>
          <w:szCs w:val="24"/>
        </w:rPr>
      </w:pPr>
      <w:r>
        <w:rPr>
          <w:rFonts w:ascii="Times New Roman" w:hAnsi="Times New Roman"/>
          <w:i/>
          <w:sz w:val="24"/>
          <w:szCs w:val="24"/>
        </w:rPr>
        <w:t>“</w:t>
      </w:r>
      <w:r w:rsidRPr="003641A0">
        <w:rPr>
          <w:rFonts w:ascii="Times New Roman" w:hAnsi="Times New Roman"/>
          <w:i/>
          <w:sz w:val="24"/>
          <w:szCs w:val="24"/>
        </w:rPr>
        <w:t>Funesto aniversario. Este mes de agosto se cumplen cinco años desde el inicio de la mayor crisis que han conocido las economías desarrolladas desde la Gran Depresión de los años 30. Un lustro en el que, parafraseando a Neruda, la economía mundial, en general, y la europea, en particular, han escrito algunos de los capítulos más tristes de su historia reciente</w:t>
      </w:r>
      <w:r>
        <w:rPr>
          <w:rFonts w:ascii="Times New Roman" w:hAnsi="Times New Roman"/>
          <w:i/>
          <w:sz w:val="24"/>
          <w:szCs w:val="24"/>
        </w:rPr>
        <w:t>”..</w:t>
      </w:r>
      <w:r w:rsidRPr="003641A0">
        <w:rPr>
          <w:rFonts w:ascii="Times New Roman" w:hAnsi="Times New Roman"/>
          <w:i/>
          <w:sz w:val="24"/>
          <w:szCs w:val="24"/>
        </w:rPr>
        <w:t>.</w:t>
      </w:r>
      <w:r>
        <w:rPr>
          <w:rFonts w:ascii="Times New Roman" w:hAnsi="Times New Roman"/>
          <w:i/>
          <w:sz w:val="24"/>
          <w:szCs w:val="24"/>
        </w:rPr>
        <w:t xml:space="preserve"> </w:t>
      </w:r>
      <w:r w:rsidRPr="00956E61">
        <w:rPr>
          <w:rFonts w:ascii="Times New Roman" w:hAnsi="Times New Roman"/>
          <w:sz w:val="24"/>
          <w:szCs w:val="24"/>
          <w:u w:val="single"/>
        </w:rPr>
        <w:t>El lustro en que vivimos peligrosamente</w:t>
      </w:r>
      <w:r>
        <w:rPr>
          <w:rFonts w:ascii="Times New Roman" w:hAnsi="Times New Roman"/>
          <w:sz w:val="24"/>
          <w:szCs w:val="24"/>
        </w:rPr>
        <w:t xml:space="preserve"> (Expansión - </w:t>
      </w:r>
      <w:r w:rsidRPr="00956E61">
        <w:rPr>
          <w:rFonts w:ascii="Times New Roman" w:hAnsi="Times New Roman"/>
          <w:b/>
          <w:sz w:val="24"/>
          <w:szCs w:val="24"/>
        </w:rPr>
        <w:t>9/8/12</w:t>
      </w:r>
      <w:r>
        <w:rPr>
          <w:rFonts w:ascii="Times New Roman" w:hAnsi="Times New Roman"/>
          <w:sz w:val="24"/>
          <w:szCs w:val="24"/>
        </w:rPr>
        <w:t>)</w:t>
      </w:r>
    </w:p>
    <w:p w:rsidR="00BB7B36" w:rsidRPr="00373926" w:rsidRDefault="00BB7B36" w:rsidP="00BB7B36">
      <w:pPr>
        <w:jc w:val="both"/>
        <w:rPr>
          <w:rFonts w:ascii="Times New Roman" w:hAnsi="Times New Roman"/>
          <w:sz w:val="24"/>
          <w:szCs w:val="24"/>
        </w:rPr>
      </w:pPr>
      <w:r w:rsidRPr="00373926">
        <w:rPr>
          <w:rFonts w:ascii="Times New Roman" w:hAnsi="Times New Roman"/>
          <w:sz w:val="24"/>
          <w:szCs w:val="24"/>
        </w:rPr>
        <w:t>Es una historia que, por desgracia, aún carece de final; mucho ha llovido, y no para bien, desde que en agosto de 2007 el mundo tomara conciencia de la magnitud del problema de las hipotecas subprime, también conocidas como hipotecas basura, aquellas que, al calor de unos tipos históricamente bajos y de unos gestores ávidos de multiplicar su rentabilidad, se concedieron masivamente a quienes difícilmente podían afrontar su devolución. El resultado de tan peligroso cóctel, que condujo a que en 2007 cerca del 20% de las hipotecas generadas en Estados Unidos fueran ya subprime, no se hizo esperar: el estallido de una crisis de dimensión planetaria que ha resquebrajado los cimientos del sistema capitalista.</w:t>
      </w:r>
    </w:p>
    <w:p w:rsidR="00BB7B36" w:rsidRPr="00373926" w:rsidRDefault="00BB7B36" w:rsidP="00BB7B36">
      <w:pPr>
        <w:jc w:val="both"/>
        <w:rPr>
          <w:rFonts w:ascii="Times New Roman" w:hAnsi="Times New Roman"/>
          <w:sz w:val="24"/>
          <w:szCs w:val="24"/>
        </w:rPr>
      </w:pPr>
      <w:r w:rsidRPr="00373926">
        <w:rPr>
          <w:rFonts w:ascii="Times New Roman" w:hAnsi="Times New Roman"/>
          <w:sz w:val="24"/>
          <w:szCs w:val="24"/>
        </w:rPr>
        <w:t xml:space="preserve">El virus se originó al otro lado del Atlántico, pero rápidamente se propagó por Europa, donde el 9 de agosto, de 2007 el gigante bancario francés BNP Paribas congeló varios fondos de inversión por valor de 1.600 millones de euros por culpa, precisamente, del tsunami provocado por los créditos de alto riesgo estadounidenses. Sin embargo, sus verdaderas consecuencias apenas se lograban atisbar. De hecho, mientras el resto del mundo empezaba a observar con creciente inquietud la magnitud del terremoto, la bolsa española proseguía impertérrita su escalada alcista, hasta alcanzar en noviembre de ese año un máximo histórico en el umbral de los 16.000 puntos. Ese mismo mes, la OCDE estimaba ya en más de 220.000 millones de euros las pérdidas bursátiles sufridas por las entidades financieras a causa de las turbulencias subprime, una cifra que en el caso de las provisiones necesarias para absorber las pérdidas sería en el futuro mucho mayor, creciendo exponencialmente. </w:t>
      </w:r>
    </w:p>
    <w:p w:rsidR="00BB7B36" w:rsidRPr="00373926" w:rsidRDefault="00BB7B36" w:rsidP="00BB7B36">
      <w:pPr>
        <w:jc w:val="both"/>
        <w:rPr>
          <w:rFonts w:ascii="Times New Roman" w:hAnsi="Times New Roman"/>
          <w:sz w:val="24"/>
          <w:szCs w:val="24"/>
        </w:rPr>
      </w:pPr>
      <w:r w:rsidRPr="00373926">
        <w:rPr>
          <w:rFonts w:ascii="Times New Roman" w:hAnsi="Times New Roman"/>
          <w:sz w:val="24"/>
          <w:szCs w:val="24"/>
        </w:rPr>
        <w:t>Lo que comenzó como una crisis hipotecaria e inmobiliaria pronto derivó en una tormenta financiera perfecta, que hizo tambalear las estructuras de los sistemas financieros estadounidense, y europeo, cuyos gobiernos se vieron obligados a acudir al rescate de sus entidades más emblemáticas y que tuvo en el colapso de Lehman Brothers, en septiembre de 2008, su gran punto de inflexión. La caída del gigante financiero no sólo hirió casi de muerte el modelo de banca de inversión como negocio específico e individual, sino que propició el cierre a cal y canto de los mercados de financiación, un cerrojazo que en mayor o menor medida ha estado presente a lo largo del último quinquenio y que provocó una feroz desconfianza entre las entidades financieras que aún perdura.</w:t>
      </w:r>
    </w:p>
    <w:p w:rsidR="00BB7B36" w:rsidRPr="00373926" w:rsidRDefault="00BB7B36" w:rsidP="00BB7B36">
      <w:pPr>
        <w:jc w:val="both"/>
        <w:rPr>
          <w:rFonts w:ascii="Times New Roman" w:hAnsi="Times New Roman"/>
          <w:sz w:val="24"/>
          <w:szCs w:val="24"/>
        </w:rPr>
      </w:pPr>
      <w:r w:rsidRPr="00373926">
        <w:rPr>
          <w:rFonts w:ascii="Times New Roman" w:hAnsi="Times New Roman"/>
          <w:sz w:val="24"/>
          <w:szCs w:val="24"/>
        </w:rPr>
        <w:t xml:space="preserve">Tras la crisis hipotecaria, inmobiliaria y crediticia sobrevinieron la recesión y la crisis de deuda soberana, fruto precisamente del elevado endeudamiento en que incurrieron </w:t>
      </w:r>
      <w:r w:rsidRPr="00373926">
        <w:rPr>
          <w:rFonts w:ascii="Times New Roman" w:hAnsi="Times New Roman"/>
          <w:sz w:val="24"/>
          <w:szCs w:val="24"/>
        </w:rPr>
        <w:lastRenderedPageBreak/>
        <w:t xml:space="preserve">los Estados para mitigar los efectos del bache económico. Una desatinada y parsimoniosa gestión de la crisis de deuda por parte de Europa pronto desembocó en el rescate económico de Grecia e Irlanda en 2010 y de Portugal en 2011. En 2012, son Chipre y España las que acuden al amparo de sus socios europeos, elevando a cinco los países miembros del euro auxiliados financieramente por Europa. </w:t>
      </w:r>
    </w:p>
    <w:p w:rsidR="00BB7B36" w:rsidRDefault="00BB7B36" w:rsidP="00BB7B36">
      <w:pPr>
        <w:spacing w:before="100" w:beforeAutospacing="1" w:after="100" w:afterAutospacing="1" w:line="240" w:lineRule="auto"/>
        <w:jc w:val="both"/>
        <w:rPr>
          <w:rFonts w:ascii="Times New Roman" w:eastAsia="Times New Roman" w:hAnsi="Times New Roman" w:cs="Times New Roman"/>
          <w:sz w:val="24"/>
          <w:szCs w:val="24"/>
          <w:u w:val="single"/>
        </w:rPr>
      </w:pPr>
      <w:r w:rsidRPr="00373926">
        <w:rPr>
          <w:rFonts w:ascii="Times New Roman" w:eastAsia="Times New Roman" w:hAnsi="Times New Roman" w:cs="Times New Roman"/>
          <w:bCs/>
          <w:sz w:val="24"/>
          <w:szCs w:val="24"/>
          <w:u w:val="single"/>
        </w:rPr>
        <w:t xml:space="preserve">Septiembre 2013: </w:t>
      </w:r>
      <w:r>
        <w:rPr>
          <w:rFonts w:ascii="Times New Roman" w:eastAsia="Times New Roman" w:hAnsi="Times New Roman" w:cs="Times New Roman"/>
          <w:bCs/>
          <w:sz w:val="24"/>
          <w:szCs w:val="24"/>
          <w:u w:val="single"/>
        </w:rPr>
        <w:t>d</w:t>
      </w:r>
      <w:r w:rsidRPr="00373926">
        <w:rPr>
          <w:rFonts w:ascii="Times New Roman" w:eastAsia="Times New Roman" w:hAnsi="Times New Roman" w:cs="Times New Roman"/>
          <w:bCs/>
          <w:sz w:val="24"/>
          <w:szCs w:val="24"/>
          <w:u w:val="single"/>
        </w:rPr>
        <w:t>uro contagio (una crisis de mil cabezas que</w:t>
      </w:r>
      <w:r>
        <w:rPr>
          <w:rFonts w:ascii="Times New Roman" w:eastAsia="Times New Roman" w:hAnsi="Times New Roman" w:cs="Times New Roman"/>
          <w:bCs/>
          <w:sz w:val="24"/>
          <w:szCs w:val="24"/>
          <w:u w:val="single"/>
        </w:rPr>
        <w:t xml:space="preserve"> aún</w:t>
      </w:r>
      <w:r w:rsidRPr="00373926">
        <w:rPr>
          <w:rFonts w:ascii="Times New Roman" w:eastAsia="Times New Roman" w:hAnsi="Times New Roman" w:cs="Times New Roman"/>
          <w:bCs/>
          <w:sz w:val="24"/>
          <w:szCs w:val="24"/>
          <w:u w:val="single"/>
        </w:rPr>
        <w:t xml:space="preserve"> sigue viva)</w:t>
      </w:r>
    </w:p>
    <w:p w:rsidR="00BB7B36" w:rsidRPr="00F568AB" w:rsidRDefault="00BB7B36" w:rsidP="00BB7B3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w:t>
      </w:r>
      <w:r w:rsidRPr="00872021">
        <w:rPr>
          <w:rFonts w:ascii="Times New Roman" w:eastAsia="Times New Roman" w:hAnsi="Times New Roman" w:cs="Times New Roman"/>
          <w:i/>
          <w:sz w:val="24"/>
          <w:szCs w:val="24"/>
        </w:rPr>
        <w:t>Hace hoy cinco años, el suelo de Manhattan tembló en el número 745 de la Séptima Avenida. Al edificio que ahí se alza es donde señalan en los tours cuando los turistas preguntan por el epicentro de la mayor crisis financiera desde la Gran Depresión. Esa era la sede de Lehman Brothers. Ya hubo un serio avisó unas calles más abajo, en el 383 de Madison Avenue, la torre ocupada por Bear Stearns. Los dos rascacielos lucen ahora colores diferentes, los de sus nuevos dueños, Barclays y JP Morgan. Pero el mundo no se ha recuperado aún de aquel shock</w:t>
      </w:r>
      <w:r>
        <w:rPr>
          <w:rFonts w:ascii="Times New Roman" w:eastAsia="Times New Roman" w:hAnsi="Times New Roman" w:cs="Times New Roman"/>
          <w:i/>
          <w:sz w:val="24"/>
          <w:szCs w:val="24"/>
        </w:rPr>
        <w:t>”</w:t>
      </w:r>
      <w:r w:rsidRPr="00872021">
        <w:rPr>
          <w:rFonts w:ascii="Times New Roman" w:eastAsia="Times New Roman" w:hAnsi="Times New Roman" w:cs="Times New Roman"/>
          <w:i/>
          <w:sz w:val="24"/>
          <w:szCs w:val="24"/>
        </w:rPr>
        <w:t>…</w:t>
      </w:r>
      <w:r>
        <w:rPr>
          <w:rFonts w:ascii="Times New Roman" w:eastAsia="Times New Roman" w:hAnsi="Times New Roman" w:cs="Times New Roman"/>
          <w:i/>
          <w:sz w:val="24"/>
          <w:szCs w:val="24"/>
        </w:rPr>
        <w:t xml:space="preserve"> </w:t>
      </w:r>
      <w:r w:rsidRPr="004A2292">
        <w:rPr>
          <w:rFonts w:ascii="Times New Roman" w:eastAsia="Times New Roman" w:hAnsi="Times New Roman" w:cs="Times New Roman"/>
          <w:sz w:val="24"/>
          <w:szCs w:val="24"/>
          <w:u w:val="single"/>
        </w:rPr>
        <w:t>Los restos del huracán</w:t>
      </w:r>
      <w:r>
        <w:rPr>
          <w:rFonts w:ascii="Times New Roman" w:eastAsia="Times New Roman" w:hAnsi="Times New Roman" w:cs="Times New Roman"/>
          <w:sz w:val="24"/>
          <w:szCs w:val="24"/>
        </w:rPr>
        <w:t xml:space="preserve"> (El País - </w:t>
      </w:r>
      <w:r w:rsidRPr="004A2292">
        <w:rPr>
          <w:rFonts w:ascii="Times New Roman" w:eastAsia="Times New Roman" w:hAnsi="Times New Roman" w:cs="Times New Roman"/>
          <w:b/>
          <w:sz w:val="24"/>
          <w:szCs w:val="24"/>
        </w:rPr>
        <w:t>15/9/13</w:t>
      </w:r>
      <w:r>
        <w:rPr>
          <w:rFonts w:ascii="Times New Roman" w:eastAsia="Times New Roman" w:hAnsi="Times New Roman" w:cs="Times New Roman"/>
          <w:sz w:val="24"/>
          <w:szCs w:val="24"/>
        </w:rPr>
        <w:t>)</w:t>
      </w:r>
    </w:p>
    <w:p w:rsidR="00BB7B36" w:rsidRPr="00F568AB" w:rsidRDefault="00BB7B36" w:rsidP="00BB7B36">
      <w:pPr>
        <w:spacing w:before="100" w:beforeAutospacing="1" w:after="100" w:afterAutospacing="1"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Si el terremoto Lehman provocó sacudidas en las finanzas mundiales, las réplicas en la economía real resultaron igualmente tremendas, rápidas y globales. Con el sector financiero al borde del colapso, la actividad se paralizó. </w:t>
      </w:r>
      <w:r w:rsidRPr="00F568AB">
        <w:rPr>
          <w:rFonts w:ascii="Times New Roman" w:eastAsia="Times New Roman" w:hAnsi="Times New Roman" w:cs="Times New Roman"/>
          <w:bCs/>
          <w:sz w:val="24"/>
          <w:szCs w:val="24"/>
        </w:rPr>
        <w:t>En el último trimestre de 2008, la economía estadounidense se contrajo a una tasa trimestral anualizada del 8,3%, la mayor en medio siglo</w:t>
      </w:r>
      <w:r w:rsidRPr="00F568AB">
        <w:rPr>
          <w:rFonts w:ascii="Times New Roman" w:eastAsia="Times New Roman" w:hAnsi="Times New Roman" w:cs="Times New Roman"/>
          <w:sz w:val="24"/>
          <w:szCs w:val="24"/>
        </w:rPr>
        <w:t>, y en el primero de 2009 la Eurozona se contrajo un 2,8% intertrimestral y España, un 1,7%, en ambos casos registros sin precedentes. En cuanto al desempleo, comenzó a acelerarse en Estados Unidos hasta alcanzar el 10% en el transcurso de 2009, la mayor tasa desde 1983; también creció en la Eurozona, en un proceso que se ha visto prolongado por la crisis de la deuda soberana desde 2010. </w:t>
      </w:r>
    </w:p>
    <w:p w:rsidR="00BB7B36" w:rsidRPr="00F568AB" w:rsidRDefault="00BB7B36" w:rsidP="00BB7B36">
      <w:pPr>
        <w:spacing w:before="100" w:beforeAutospacing="1" w:after="100" w:afterAutospacing="1"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 xml:space="preserve">Como antídoto contra estos impactos, </w:t>
      </w:r>
      <w:r w:rsidRPr="00F568AB">
        <w:rPr>
          <w:rFonts w:ascii="Times New Roman" w:eastAsia="Times New Roman" w:hAnsi="Times New Roman" w:cs="Times New Roman"/>
          <w:bCs/>
          <w:sz w:val="24"/>
          <w:szCs w:val="24"/>
        </w:rPr>
        <w:t>los bancos centrales respondieron con la mayor descarga de munición monetaria de la historia</w:t>
      </w:r>
      <w:r w:rsidRPr="00F568AB">
        <w:rPr>
          <w:rFonts w:ascii="Times New Roman" w:eastAsia="Times New Roman" w:hAnsi="Times New Roman" w:cs="Times New Roman"/>
          <w:sz w:val="24"/>
          <w:szCs w:val="24"/>
        </w:rPr>
        <w:t>. Y por distintas vías: colocando los tipos de interés cerca del 0% y comprando directamente deuda pública y privada en los mercados para reforzar la liquidez del sistema y mantener bajos los costes de financiación. A su vez,</w:t>
      </w:r>
      <w:r w:rsidRPr="00F568AB">
        <w:rPr>
          <w:rFonts w:ascii="Times New Roman" w:eastAsia="Times New Roman" w:hAnsi="Times New Roman" w:cs="Times New Roman"/>
          <w:bCs/>
          <w:sz w:val="24"/>
          <w:szCs w:val="24"/>
        </w:rPr>
        <w:t xml:space="preserve"> los Estados</w:t>
      </w:r>
      <w:r w:rsidRPr="00F568AB">
        <w:rPr>
          <w:rFonts w:ascii="Times New Roman" w:eastAsia="Times New Roman" w:hAnsi="Times New Roman" w:cs="Times New Roman"/>
          <w:sz w:val="24"/>
          <w:szCs w:val="24"/>
        </w:rPr>
        <w:t xml:space="preserve">, en su afán por sostener sus sistemas financieros y por contrarrestar los efectos contractivos en la economía real, </w:t>
      </w:r>
      <w:r w:rsidRPr="00F568AB">
        <w:rPr>
          <w:rFonts w:ascii="Times New Roman" w:eastAsia="Times New Roman" w:hAnsi="Times New Roman" w:cs="Times New Roman"/>
          <w:bCs/>
          <w:sz w:val="24"/>
          <w:szCs w:val="24"/>
        </w:rPr>
        <w:t>tiraron de gasto público para salir al paso de los problemas.</w:t>
      </w:r>
      <w:r w:rsidRPr="00F568AB">
        <w:rPr>
          <w:rFonts w:ascii="Times New Roman" w:eastAsia="Times New Roman" w:hAnsi="Times New Roman" w:cs="Times New Roman"/>
          <w:sz w:val="24"/>
          <w:szCs w:val="24"/>
        </w:rPr>
        <w:t> </w:t>
      </w:r>
    </w:p>
    <w:p w:rsidR="00BB7B36" w:rsidRPr="00F568AB" w:rsidRDefault="00BB7B36" w:rsidP="00BB7B36">
      <w:pPr>
        <w:spacing w:before="100" w:beforeAutospacing="1" w:after="100" w:afterAutospacing="1"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 xml:space="preserve">Estos paliativos surtieron efecto. La economía mundial pareció reaccionar en la segunda mitad de 2009. Pero no hubo que esperar mucho para comprobar que el </w:t>
      </w:r>
      <w:r w:rsidRPr="00F568AB">
        <w:rPr>
          <w:rFonts w:ascii="Times New Roman" w:eastAsia="Times New Roman" w:hAnsi="Times New Roman" w:cs="Times New Roman"/>
          <w:iCs/>
          <w:sz w:val="24"/>
          <w:szCs w:val="24"/>
        </w:rPr>
        <w:t>shock</w:t>
      </w:r>
      <w:r w:rsidRPr="00F568AB">
        <w:rPr>
          <w:rFonts w:ascii="Times New Roman" w:eastAsia="Times New Roman" w:hAnsi="Times New Roman" w:cs="Times New Roman"/>
          <w:sz w:val="24"/>
          <w:szCs w:val="24"/>
        </w:rPr>
        <w:t xml:space="preserve"> de Lehman iba a tener múltiples derivaciones. Como, por ejemplo, la transmisión de los problemas de deuda del sector privado al sector público.</w:t>
      </w:r>
      <w:r w:rsidRPr="00F568AB">
        <w:rPr>
          <w:rFonts w:ascii="Times New Roman" w:eastAsia="Times New Roman" w:hAnsi="Times New Roman" w:cs="Times New Roman"/>
          <w:bCs/>
          <w:sz w:val="24"/>
          <w:szCs w:val="24"/>
        </w:rPr>
        <w:t xml:space="preserve"> Ya no se temía que quebraran los bancos; el nuevo temor era que quebraran los países. </w:t>
      </w:r>
      <w:r w:rsidRPr="00F568AB">
        <w:rPr>
          <w:rFonts w:ascii="Times New Roman" w:eastAsia="Times New Roman" w:hAnsi="Times New Roman" w:cs="Times New Roman"/>
          <w:sz w:val="24"/>
          <w:szCs w:val="24"/>
        </w:rPr>
        <w:t xml:space="preserve"> </w:t>
      </w:r>
    </w:p>
    <w:p w:rsidR="00BB7B36" w:rsidRPr="00F568AB" w:rsidRDefault="00BB7B36" w:rsidP="00BB7B36">
      <w:pPr>
        <w:spacing w:before="100" w:beforeAutospacing="1" w:after="100" w:afterAutospacing="1"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La mejor muestra de que, cinco años después,</w:t>
      </w:r>
      <w:r w:rsidRPr="00F568AB">
        <w:rPr>
          <w:rFonts w:ascii="Times New Roman" w:eastAsia="Times New Roman" w:hAnsi="Times New Roman" w:cs="Times New Roman"/>
          <w:bCs/>
          <w:sz w:val="24"/>
          <w:szCs w:val="24"/>
        </w:rPr>
        <w:t xml:space="preserve"> los ecos del derrumbe de Lehman siguen escuchándose</w:t>
      </w:r>
      <w:r w:rsidRPr="00F568AB">
        <w:rPr>
          <w:rFonts w:ascii="Times New Roman" w:eastAsia="Times New Roman" w:hAnsi="Times New Roman" w:cs="Times New Roman"/>
          <w:sz w:val="24"/>
          <w:szCs w:val="24"/>
        </w:rPr>
        <w:t xml:space="preserve"> es que los bancos centrales continúan aplicando los estímulos monetarios más potentes de la historia. Es más, en los últimos meses han confirmado que tienen previsto mantener los tipos de interés en mínimos históricos todo el tiempo que sea necesario, una evidencia inequívoca de que hasta qué punto fue el daño posterior a la quiebra de Lehman. La lenta recuperación de la economía y del mercado laboral en Estados Unidos, Reino Unido o la Eurozona les ha impedido desactivar sus medidas </w:t>
      </w:r>
      <w:r w:rsidRPr="00F568AB">
        <w:rPr>
          <w:rFonts w:ascii="Times New Roman" w:eastAsia="Times New Roman" w:hAnsi="Times New Roman" w:cs="Times New Roman"/>
          <w:iCs/>
          <w:sz w:val="24"/>
          <w:szCs w:val="24"/>
        </w:rPr>
        <w:t>anticrisis</w:t>
      </w:r>
      <w:r w:rsidRPr="00F568AB">
        <w:rPr>
          <w:rFonts w:ascii="Times New Roman" w:eastAsia="Times New Roman" w:hAnsi="Times New Roman" w:cs="Times New Roman"/>
          <w:i/>
          <w:iCs/>
          <w:sz w:val="24"/>
          <w:szCs w:val="24"/>
        </w:rPr>
        <w:t xml:space="preserve"> </w:t>
      </w:r>
      <w:r w:rsidRPr="00F568AB">
        <w:rPr>
          <w:rFonts w:ascii="Times New Roman" w:eastAsia="Times New Roman" w:hAnsi="Times New Roman" w:cs="Times New Roman"/>
          <w:sz w:val="24"/>
          <w:szCs w:val="24"/>
        </w:rPr>
        <w:t xml:space="preserve">a la espera de que la reactivación se afiance. </w:t>
      </w:r>
      <w:r w:rsidRPr="00F568AB">
        <w:rPr>
          <w:rFonts w:ascii="Times New Roman" w:eastAsia="Times New Roman" w:hAnsi="Times New Roman" w:cs="Times New Roman"/>
          <w:bCs/>
          <w:sz w:val="24"/>
          <w:szCs w:val="24"/>
        </w:rPr>
        <w:t xml:space="preserve">Lehman quebró hace cinco años... </w:t>
      </w:r>
      <w:r w:rsidRPr="00F568AB">
        <w:rPr>
          <w:rFonts w:ascii="Times New Roman" w:eastAsia="Times New Roman" w:hAnsi="Times New Roman" w:cs="Times New Roman"/>
          <w:bCs/>
          <w:sz w:val="24"/>
          <w:szCs w:val="24"/>
        </w:rPr>
        <w:lastRenderedPageBreak/>
        <w:t xml:space="preserve">pero parece que fue ayer. </w:t>
      </w:r>
      <w:r w:rsidRPr="00F568AB">
        <w:rPr>
          <w:rFonts w:ascii="Times New Roman" w:eastAsia="Times New Roman" w:hAnsi="Times New Roman" w:cs="Times New Roman"/>
          <w:sz w:val="24"/>
          <w:szCs w:val="24"/>
        </w:rPr>
        <w:t>Es lo que tiene que la alargada sombra de su caída aún planee sobre la economía mundial.</w:t>
      </w:r>
    </w:p>
    <w:p w:rsidR="00BB7B36" w:rsidRPr="00F568AB" w:rsidRDefault="00BB7B36" w:rsidP="00BB7B36">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La Reserva Federal cifra en 12,6 billones de dólares la cantidad que movilizó para estabilizar el sector financiero, lo que equivale a más del 80% del PIB de 2007. Eso sin contar con unos tipos de interés estancados en el 0% desde diciembre de 2008 y tres rondas de estímulos que provocaron que el balance de la Reserva Federal se multiplicara por cuatro en cinco años, desde los 925.750 millones previos a la quiebra de Lehman.</w:t>
      </w:r>
    </w:p>
    <w:p w:rsidR="00BB7B36" w:rsidRPr="00F568AB" w:rsidRDefault="00BB7B36" w:rsidP="00BB7B36">
      <w:pPr>
        <w:spacing w:after="0" w:line="240" w:lineRule="auto"/>
        <w:jc w:val="both"/>
        <w:rPr>
          <w:rFonts w:ascii="Times New Roman" w:eastAsia="Times New Roman" w:hAnsi="Times New Roman" w:cs="Times New Roman"/>
          <w:sz w:val="24"/>
          <w:szCs w:val="24"/>
        </w:rPr>
      </w:pPr>
    </w:p>
    <w:p w:rsidR="00BB7B36" w:rsidRPr="00F568AB" w:rsidRDefault="00BB7B36" w:rsidP="00BB7B36">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 xml:space="preserve">Para salvar a la </w:t>
      </w:r>
      <w:r>
        <w:rPr>
          <w:rFonts w:ascii="Times New Roman" w:eastAsia="Times New Roman" w:hAnsi="Times New Roman" w:cs="Times New Roman"/>
          <w:sz w:val="24"/>
          <w:szCs w:val="24"/>
        </w:rPr>
        <w:t>banca -y de paso, la economía-</w:t>
      </w:r>
      <w:r w:rsidRPr="00F568AB">
        <w:rPr>
          <w:rFonts w:ascii="Times New Roman" w:eastAsia="Times New Roman" w:hAnsi="Times New Roman" w:cs="Times New Roman"/>
          <w:sz w:val="24"/>
          <w:szCs w:val="24"/>
        </w:rPr>
        <w:t xml:space="preserve"> la Administración de George W. Bush creó un programa de asistencia a activos problemáticos (llamado TARP, sus siglas en inglés). El plan contó inicialmente con 700.000 millones de dólares, aunque el desembolso final fue de 418.000 millones. Parte del dinero se dirigió también hacia General Motors y Chrysler, para financiar su reflote. Cinco años después, la parte del plan de rescate correspondiente a la banca tiene unos beneficios de 27.600 millones.</w:t>
      </w:r>
    </w:p>
    <w:p w:rsidR="00BB7B36" w:rsidRPr="00F568AB" w:rsidRDefault="00BB7B36" w:rsidP="00BB7B36">
      <w:pPr>
        <w:spacing w:after="0" w:line="240" w:lineRule="auto"/>
        <w:jc w:val="both"/>
        <w:rPr>
          <w:rFonts w:ascii="Times New Roman" w:eastAsia="Times New Roman" w:hAnsi="Times New Roman" w:cs="Times New Roman"/>
          <w:sz w:val="24"/>
          <w:szCs w:val="24"/>
        </w:rPr>
      </w:pPr>
    </w:p>
    <w:p w:rsidR="00BB7B36" w:rsidRPr="00F568AB" w:rsidRDefault="00BB7B36" w:rsidP="00BB7B36">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Muchas de las instituciones que recibieron ayuda no eran estadounidenses, como Société Générale, BNP Paribas o Deustche Bank. Las ramificaciones del sector financiero provocaron que la crisis se dispersara con rapidez por todo el planeta, afectando especialmente a las economías industrializadas, donde las vulnerabilidades y los excesivos riesgos asumidos por sus bancos quedaron completamente al descubierto. Eso forzó a los bancos centrales a abrir de forma coordinada líneas de liquidez en dólares, porque las cañerías del sistema financiero se quedaron literalmente secas.</w:t>
      </w:r>
    </w:p>
    <w:p w:rsidR="00BB7B36" w:rsidRPr="00F568AB" w:rsidRDefault="00BB7B36" w:rsidP="00BB7B36">
      <w:pPr>
        <w:spacing w:after="0" w:line="240" w:lineRule="auto"/>
        <w:jc w:val="both"/>
        <w:rPr>
          <w:rFonts w:ascii="Times New Roman" w:eastAsia="Times New Roman" w:hAnsi="Times New Roman" w:cs="Times New Roman"/>
          <w:sz w:val="24"/>
          <w:szCs w:val="24"/>
        </w:rPr>
      </w:pPr>
    </w:p>
    <w:p w:rsidR="00BB7B36" w:rsidRPr="00F568AB" w:rsidRDefault="00BB7B36" w:rsidP="00BB7B36">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La crisis financiera provocó la que se considera ya como la primera recesión planetaria: según datos del Fondo Monetario Internacional (FMI), el PIB mundial sufrió una contracción del 0,7% en 2009. En las economías avanzadas, el saldo negativo fue del 3,7%, mientras que los emergentes se convertían en los flotadores del crecimiento global.</w:t>
      </w:r>
    </w:p>
    <w:p w:rsidR="00BB7B36" w:rsidRDefault="00BB7B36" w:rsidP="00BB7B36">
      <w:pPr>
        <w:spacing w:after="0" w:line="240" w:lineRule="auto"/>
        <w:jc w:val="both"/>
      </w:pPr>
    </w:p>
    <w:p w:rsidR="00BB7B36" w:rsidRPr="00F568AB" w:rsidRDefault="00BB7B36" w:rsidP="00BB7B36">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La confusión sobre lo sucedido no se ha despejado del todo. La gran pregunta es qué habría pasado si se hubiera rescatado a tiempo el banco dirigido por Dick Fuld, uno de los villanos de la crisis. Lo más probable es que las cosas no hubieran sido muy diferentes. La bautizada como la Gran Re</w:t>
      </w:r>
      <w:r>
        <w:rPr>
          <w:rFonts w:ascii="Times New Roman" w:eastAsia="Times New Roman" w:hAnsi="Times New Roman" w:cs="Times New Roman"/>
          <w:sz w:val="24"/>
          <w:szCs w:val="24"/>
        </w:rPr>
        <w:t>cesión ya había comenzado en EE</w:t>
      </w:r>
      <w:r w:rsidRPr="00F568AB">
        <w:rPr>
          <w:rFonts w:ascii="Times New Roman" w:eastAsia="Times New Roman" w:hAnsi="Times New Roman" w:cs="Times New Roman"/>
          <w:sz w:val="24"/>
          <w:szCs w:val="24"/>
        </w:rPr>
        <w:t>UU en diciembre de 2007, siete meses antes de la caída de Lehman. Fue la confluencia de varios factores la que la produjo: la concesión de préstamos por parte de los bancos a clientes que no lo merecían, el pobre trabajo de las agencias que ponen nota a la deuda, una regulación financiera laxa y una serie de incentivos públicos que animaron a que se prestara y se pidiera prestado. En otras palabras, el dinero fácil y el aparente exceso de liquidez hincharon la burbuja durante la expansión hasta explotar.</w:t>
      </w:r>
    </w:p>
    <w:p w:rsidR="00BB7B36" w:rsidRPr="00F568AB" w:rsidRDefault="00BB7B36" w:rsidP="00BB7B36">
      <w:pPr>
        <w:spacing w:after="0" w:line="240" w:lineRule="auto"/>
        <w:jc w:val="both"/>
        <w:rPr>
          <w:rFonts w:ascii="Times New Roman" w:eastAsia="Times New Roman" w:hAnsi="Times New Roman" w:cs="Times New Roman"/>
          <w:sz w:val="24"/>
          <w:szCs w:val="24"/>
        </w:rPr>
      </w:pPr>
    </w:p>
    <w:p w:rsidR="00BB7B36" w:rsidRPr="00F568AB" w:rsidRDefault="00BB7B36" w:rsidP="00BB7B36">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Si la desregulación financiera es uno de los factores que provocaron la catástrofe, se puede señalar entonces a varios responsables. El proceso se inició con el republicano Ronald Reagan, que gobernó en los años ochenta, aunque fue con el demócrata Bill Clinton, una década después, cuando se abonó el terreno a los excesos que llevaron a colapso de Lehman. Bajo su presidencia murió la Ley Glass-Steagall, que en 1933 había levantado un muro de separación entre la banca de inversión y la comercial para evitar que se produjera un crash bursátil como el de 1929.</w:t>
      </w:r>
    </w:p>
    <w:p w:rsidR="00BB7B36" w:rsidRPr="00F568AB" w:rsidRDefault="00BB7B36" w:rsidP="00BB7B36">
      <w:pPr>
        <w:spacing w:after="0" w:line="240" w:lineRule="auto"/>
        <w:jc w:val="both"/>
        <w:rPr>
          <w:rFonts w:ascii="Times New Roman" w:eastAsia="Times New Roman" w:hAnsi="Times New Roman" w:cs="Times New Roman"/>
          <w:sz w:val="24"/>
          <w:szCs w:val="24"/>
        </w:rPr>
      </w:pPr>
    </w:p>
    <w:p w:rsidR="00BB7B36" w:rsidRPr="00F568AB" w:rsidRDefault="00BB7B36" w:rsidP="00BB7B36">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lastRenderedPageBreak/>
        <w:t>También con Bill Clinton cobraron vida nuevas leyes que desregularon los contratos de futuros y forzaron a los bancos a conceder préstamos a propietarios con un pobre historial crediticio. Todo ello sucedió con Alan Greenspan al frente de la Reserva Federal y fue abrazado después por George W. Bush. El propio Greenspan admitió más tarde que el error fue confiar en que los bancos serían capaces de regularse a sí mismos.</w:t>
      </w:r>
    </w:p>
    <w:p w:rsidR="00BB7B36" w:rsidRPr="00F568AB" w:rsidRDefault="00BB7B36" w:rsidP="00BB7B36">
      <w:pPr>
        <w:spacing w:after="0" w:line="240" w:lineRule="auto"/>
        <w:jc w:val="both"/>
        <w:rPr>
          <w:rFonts w:ascii="Times New Roman" w:eastAsia="Times New Roman" w:hAnsi="Times New Roman" w:cs="Times New Roman"/>
          <w:sz w:val="24"/>
          <w:szCs w:val="24"/>
        </w:rPr>
      </w:pPr>
    </w:p>
    <w:p w:rsidR="00BB7B36" w:rsidRPr="00F568AB" w:rsidRDefault="00BB7B36" w:rsidP="00BB7B36">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Una de l</w:t>
      </w:r>
      <w:r>
        <w:rPr>
          <w:rFonts w:ascii="Times New Roman" w:eastAsia="Times New Roman" w:hAnsi="Times New Roman" w:cs="Times New Roman"/>
          <w:sz w:val="24"/>
          <w:szCs w:val="24"/>
        </w:rPr>
        <w:t>as respuestas a la crisis en EE</w:t>
      </w:r>
      <w:r w:rsidRPr="00F568AB">
        <w:rPr>
          <w:rFonts w:ascii="Times New Roman" w:eastAsia="Times New Roman" w:hAnsi="Times New Roman" w:cs="Times New Roman"/>
          <w:sz w:val="24"/>
          <w:szCs w:val="24"/>
        </w:rPr>
        <w:t>UU fue la Ley Dodd-Frank, una reforma del sistema financiero destinada a reforzar la supervisión de las grandes entidades y a obligarlas a elevar sus colchones de capital. Cinco años después, los reguladores aseguran que el sistema financiero es hoy más seguro, que el dinero del contribuyente está protegido y que en la próxima crisis las cosas se harán de una manera más ordenada, sin que domine el pánico. Sin embargo, la Ley Dodd-Frank y las nuevas normas internacionales no evitaron que el concepto de demasiado grande para caer siga siendo una realidad. Solo hay que ver el actual tamaño de JP Morgan, convertido en e</w:t>
      </w:r>
      <w:r>
        <w:rPr>
          <w:rFonts w:ascii="Times New Roman" w:eastAsia="Times New Roman" w:hAnsi="Times New Roman" w:cs="Times New Roman"/>
          <w:sz w:val="24"/>
          <w:szCs w:val="24"/>
        </w:rPr>
        <w:t>l mayor banco de EE</w:t>
      </w:r>
      <w:r w:rsidRPr="00F568AB">
        <w:rPr>
          <w:rFonts w:ascii="Times New Roman" w:eastAsia="Times New Roman" w:hAnsi="Times New Roman" w:cs="Times New Roman"/>
          <w:sz w:val="24"/>
          <w:szCs w:val="24"/>
        </w:rPr>
        <w:t>UU, con unos activos superiores a los 2,5 billones de dólares.</w:t>
      </w:r>
    </w:p>
    <w:p w:rsidR="00BB7B36" w:rsidRPr="00F568AB" w:rsidRDefault="00BB7B36" w:rsidP="00BB7B36">
      <w:pPr>
        <w:spacing w:after="0" w:line="240" w:lineRule="auto"/>
        <w:jc w:val="both"/>
        <w:rPr>
          <w:rFonts w:ascii="Times New Roman" w:eastAsia="Times New Roman" w:hAnsi="Times New Roman" w:cs="Times New Roman"/>
          <w:sz w:val="24"/>
          <w:szCs w:val="24"/>
        </w:rPr>
      </w:pPr>
    </w:p>
    <w:p w:rsidR="00BB7B36" w:rsidRPr="00F568AB" w:rsidRDefault="00BB7B36" w:rsidP="00BB7B36">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Las cuatro mayores fir</w:t>
      </w:r>
      <w:r>
        <w:rPr>
          <w:rFonts w:ascii="Times New Roman" w:eastAsia="Times New Roman" w:hAnsi="Times New Roman" w:cs="Times New Roman"/>
          <w:sz w:val="24"/>
          <w:szCs w:val="24"/>
        </w:rPr>
        <w:t>mas financieras de EE</w:t>
      </w:r>
      <w:r w:rsidRPr="00F568AB">
        <w:rPr>
          <w:rFonts w:ascii="Times New Roman" w:eastAsia="Times New Roman" w:hAnsi="Times New Roman" w:cs="Times New Roman"/>
          <w:sz w:val="24"/>
          <w:szCs w:val="24"/>
        </w:rPr>
        <w:t>UU son, a septiembre de 2013, un 30% más grandes que antes del colapso de Lehman Brothers. La aplicación de la nueva regulación financiera, que busca que los bancos sean más transparentes, va con retraso a escala internacional, mientras en paralelo se debate sobre la necesidad de levantar de nuevo un cortafuegos en el negocio de los grandes bancos, al estilo de la Ley Glass-Steagall, una iniciativa que se topa con el poderoso lobby de Wall Street.</w:t>
      </w:r>
    </w:p>
    <w:p w:rsidR="00BB7B36" w:rsidRPr="00F568AB" w:rsidRDefault="00BB7B36" w:rsidP="00BB7B36">
      <w:pPr>
        <w:spacing w:after="0" w:line="240" w:lineRule="auto"/>
        <w:jc w:val="both"/>
        <w:rPr>
          <w:rFonts w:ascii="Times New Roman" w:eastAsia="Times New Roman" w:hAnsi="Times New Roman" w:cs="Times New Roman"/>
          <w:sz w:val="24"/>
          <w:szCs w:val="24"/>
        </w:rPr>
      </w:pPr>
    </w:p>
    <w:p w:rsidR="00BB7B36" w:rsidRPr="00F568AB" w:rsidRDefault="00BB7B36" w:rsidP="00BB7B36">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Hay pocas dudas acerca de que la exigencia de una mayor liquidez a los bancos permita que tengan más margen para capear el próximo revés. Las pruebas de estrés, como las que realiza la Reserva Federal, están sirviendo para poner freno a lo que gastan los bancos para tener contentos a los accionistas. Además, la regulación financiera cubre ahora a más entidades, y la Fed cuenta con poderes adicionales para actuar. A escala global, el FMI considera que las reformas avanzan en la buena dirección. Pero también dice que la estructura básica del sistema financiero sigue siendo la misma que antes de la crisis y advierte de los peligros que ello supone. En otras palabras: es demasiado compleja y los activos están concentrados en bancos sistémicos, demasiado grandes para caer.</w:t>
      </w:r>
    </w:p>
    <w:p w:rsidR="00BB7B36" w:rsidRPr="00F568AB" w:rsidRDefault="00BB7B36" w:rsidP="00BB7B36">
      <w:pPr>
        <w:spacing w:after="0" w:line="240" w:lineRule="auto"/>
        <w:jc w:val="both"/>
        <w:rPr>
          <w:rFonts w:ascii="Times New Roman" w:eastAsia="Times New Roman" w:hAnsi="Times New Roman" w:cs="Times New Roman"/>
          <w:sz w:val="24"/>
          <w:szCs w:val="24"/>
        </w:rPr>
      </w:pPr>
    </w:p>
    <w:p w:rsidR="00BB7B36" w:rsidRPr="00F568AB" w:rsidRDefault="00BB7B36" w:rsidP="00BB7B36">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Si la repuesta a unos eventos extraordinarios fue extraordinaria, también lo fueron las consecuencias. Al hacer balance de la crisis, la Reserva Federal de Dallas ha publicado un estudio (septiembre 2013) en el que revela que la Gran Recesión va a costar hasta 120.0</w:t>
      </w:r>
      <w:r>
        <w:rPr>
          <w:rFonts w:ascii="Times New Roman" w:eastAsia="Times New Roman" w:hAnsi="Times New Roman" w:cs="Times New Roman"/>
          <w:sz w:val="24"/>
          <w:szCs w:val="24"/>
        </w:rPr>
        <w:t>00 dólares a cada familia en EE</w:t>
      </w:r>
      <w:r w:rsidRPr="00F568AB">
        <w:rPr>
          <w:rFonts w:ascii="Times New Roman" w:eastAsia="Times New Roman" w:hAnsi="Times New Roman" w:cs="Times New Roman"/>
          <w:sz w:val="24"/>
          <w:szCs w:val="24"/>
        </w:rPr>
        <w:t>UU, lo que equivale a una pérdida de poder adquisitivo de hasta 14 billones de dólares. Es como borrar de un plumazo casi todo el PIB de la mayor potencia del mundo.</w:t>
      </w:r>
    </w:p>
    <w:p w:rsidR="00BB7B36" w:rsidRPr="00F568AB" w:rsidRDefault="00BB7B36" w:rsidP="00BB7B36">
      <w:pPr>
        <w:spacing w:after="0" w:line="240" w:lineRule="auto"/>
        <w:jc w:val="both"/>
        <w:rPr>
          <w:rFonts w:ascii="Times New Roman" w:eastAsia="Times New Roman" w:hAnsi="Times New Roman" w:cs="Times New Roman"/>
          <w:sz w:val="24"/>
          <w:szCs w:val="24"/>
        </w:rPr>
      </w:pPr>
    </w:p>
    <w:p w:rsidR="00BB7B36" w:rsidRPr="00F568AB" w:rsidRDefault="00BB7B36" w:rsidP="00BB7B36">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La cifra es producto de la pérdida de valor del patrimonio y de la caída de las remuneraciones vividas en los últimos cinco años. La gran duda en este momento, como muestra el mismo e</w:t>
      </w:r>
      <w:r>
        <w:rPr>
          <w:rFonts w:ascii="Times New Roman" w:eastAsia="Times New Roman" w:hAnsi="Times New Roman" w:cs="Times New Roman"/>
          <w:sz w:val="24"/>
          <w:szCs w:val="24"/>
        </w:rPr>
        <w:t>studio, es si la economía de EE</w:t>
      </w:r>
      <w:r w:rsidRPr="00F568AB">
        <w:rPr>
          <w:rFonts w:ascii="Times New Roman" w:eastAsia="Times New Roman" w:hAnsi="Times New Roman" w:cs="Times New Roman"/>
          <w:sz w:val="24"/>
          <w:szCs w:val="24"/>
        </w:rPr>
        <w:t>UU será capaz de recuperar el vigor previo a la crisis. Si no lo consigue, la Fed de Dallas señala que el impacto será aún mayor. Y todo esto sin contar con el colapso del mercado inmobiliario, donde el precio medio de la vivienda arrastra, a septiembre de 2013, una depreciación del 25%.</w:t>
      </w:r>
    </w:p>
    <w:p w:rsidR="00BB7B36" w:rsidRPr="00F568AB" w:rsidRDefault="00BB7B36" w:rsidP="00BB7B36">
      <w:pPr>
        <w:spacing w:after="0" w:line="240" w:lineRule="auto"/>
        <w:jc w:val="both"/>
        <w:rPr>
          <w:rFonts w:ascii="Times New Roman" w:eastAsia="Times New Roman" w:hAnsi="Times New Roman" w:cs="Times New Roman"/>
          <w:sz w:val="24"/>
          <w:szCs w:val="24"/>
        </w:rPr>
      </w:pPr>
    </w:p>
    <w:p w:rsidR="00BB7B36" w:rsidRPr="00F568AB" w:rsidRDefault="00BB7B36" w:rsidP="00BB7B36">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 xml:space="preserve">Oficialmente, la Gran Recesión acabó en junio de 2009, aunque en Wall Street se tocó fondo unos meses antes. Eso, sobre papel. El ciudadano de la calle lo siente de otra </w:t>
      </w:r>
      <w:r w:rsidRPr="00F568AB">
        <w:rPr>
          <w:rFonts w:ascii="Times New Roman" w:eastAsia="Times New Roman" w:hAnsi="Times New Roman" w:cs="Times New Roman"/>
          <w:sz w:val="24"/>
          <w:szCs w:val="24"/>
        </w:rPr>
        <w:lastRenderedPageBreak/>
        <w:t>manera. La recesión destruy</w:t>
      </w:r>
      <w:r>
        <w:rPr>
          <w:rFonts w:ascii="Times New Roman" w:eastAsia="Times New Roman" w:hAnsi="Times New Roman" w:cs="Times New Roman"/>
          <w:sz w:val="24"/>
          <w:szCs w:val="24"/>
        </w:rPr>
        <w:t>ó 8,7 millones de empleos en EE</w:t>
      </w:r>
      <w:r w:rsidRPr="00F568AB">
        <w:rPr>
          <w:rFonts w:ascii="Times New Roman" w:eastAsia="Times New Roman" w:hAnsi="Times New Roman" w:cs="Times New Roman"/>
          <w:sz w:val="24"/>
          <w:szCs w:val="24"/>
        </w:rPr>
        <w:t>UU y el total de parados se disparó a 14,7 millones. La tasa de paro alcanzó el 10% en octubre de 2009. En septiembre de 2013 está en el 7,3%, una mejora que se explica por la caída en la tasa de participación (las personas dispuestas a trabajar) hasta el 63,2%, su nivel de 1978. Si estuviera en el 66,5% registrado de media entre 1988 y 2007, según Moody’s, el paro sería del 11,9%. Cuatro años después de la recesión, hay 11,3 millones de parados y 10,6 mil</w:t>
      </w:r>
      <w:r>
        <w:rPr>
          <w:rFonts w:ascii="Times New Roman" w:eastAsia="Times New Roman" w:hAnsi="Times New Roman" w:cs="Times New Roman"/>
          <w:sz w:val="24"/>
          <w:szCs w:val="24"/>
        </w:rPr>
        <w:t>lones de personas subempleadas -</w:t>
      </w:r>
      <w:r w:rsidRPr="00F568AB">
        <w:rPr>
          <w:rFonts w:ascii="Times New Roman" w:eastAsia="Times New Roman" w:hAnsi="Times New Roman" w:cs="Times New Roman"/>
          <w:sz w:val="24"/>
          <w:szCs w:val="24"/>
        </w:rPr>
        <w:t>forza</w:t>
      </w:r>
      <w:r>
        <w:rPr>
          <w:rFonts w:ascii="Times New Roman" w:eastAsia="Times New Roman" w:hAnsi="Times New Roman" w:cs="Times New Roman"/>
          <w:sz w:val="24"/>
          <w:szCs w:val="24"/>
        </w:rPr>
        <w:t>das a trabajar a tiempo parcial-</w:t>
      </w:r>
      <w:r w:rsidRPr="00F568AB">
        <w:rPr>
          <w:rFonts w:ascii="Times New Roman" w:eastAsia="Times New Roman" w:hAnsi="Times New Roman" w:cs="Times New Roman"/>
          <w:sz w:val="24"/>
          <w:szCs w:val="24"/>
        </w:rPr>
        <w:t xml:space="preserve"> o que se declaran frustradas con las perspectivas laborales.</w:t>
      </w:r>
    </w:p>
    <w:p w:rsidR="00BB7B36" w:rsidRPr="00F568AB" w:rsidRDefault="00BB7B36" w:rsidP="00BB7B36">
      <w:pPr>
        <w:spacing w:after="0" w:line="240" w:lineRule="auto"/>
        <w:jc w:val="both"/>
        <w:rPr>
          <w:rFonts w:ascii="Times New Roman" w:eastAsia="Times New Roman" w:hAnsi="Times New Roman" w:cs="Times New Roman"/>
          <w:sz w:val="24"/>
          <w:szCs w:val="24"/>
        </w:rPr>
      </w:pPr>
    </w:p>
    <w:p w:rsidR="00BB7B36" w:rsidRPr="00F568AB" w:rsidRDefault="00BB7B36" w:rsidP="00BB7B36">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La recuperación del colapso escenificado con el derrumbe de Lehman Brothers está siendo, por tanto, desigual, y la incertidumbre de la opinión pública respecto al futuro de la economía y del sistema financiero persiste en el quinto aniversar</w:t>
      </w:r>
      <w:r>
        <w:rPr>
          <w:rFonts w:ascii="Times New Roman" w:eastAsia="Times New Roman" w:hAnsi="Times New Roman" w:cs="Times New Roman"/>
          <w:sz w:val="24"/>
          <w:szCs w:val="24"/>
        </w:rPr>
        <w:t>io. El ciudadano, en EE</w:t>
      </w:r>
      <w:r w:rsidRPr="00F568AB">
        <w:rPr>
          <w:rFonts w:ascii="Times New Roman" w:eastAsia="Times New Roman" w:hAnsi="Times New Roman" w:cs="Times New Roman"/>
          <w:sz w:val="24"/>
          <w:szCs w:val="24"/>
        </w:rPr>
        <w:t>UU, nota que las cosas empiezan a ir mejor, pero, en general, teme que se quede en un nuevo intento de recuperación, como cuando se habló de los brotes verdes en la primavera de 2009.</w:t>
      </w:r>
    </w:p>
    <w:p w:rsidR="00BB7B36" w:rsidRPr="00F568AB" w:rsidRDefault="00BB7B36" w:rsidP="00BB7B36">
      <w:pPr>
        <w:spacing w:after="0" w:line="240" w:lineRule="auto"/>
        <w:jc w:val="both"/>
        <w:rPr>
          <w:rFonts w:ascii="Times New Roman" w:eastAsia="Times New Roman" w:hAnsi="Times New Roman" w:cs="Times New Roman"/>
          <w:sz w:val="24"/>
          <w:szCs w:val="24"/>
        </w:rPr>
      </w:pPr>
    </w:p>
    <w:p w:rsidR="00BB7B36" w:rsidRPr="00F568AB" w:rsidRDefault="00BB7B36" w:rsidP="00BB7B36">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 xml:space="preserve"> Durante este tiempo, además, se ha incrementado la brecha entre los que más tienen y los que menos, un problema que se plasma en numerosos estudios publicados en los últimos dos años y que denunció el movimiento Ocupemos Wall Street. El 10% que está más arriba se llevó la mitad de la riqueza generada por la economía. Y si se sube aún más alto, el 1% se comió una quinta parte.</w:t>
      </w:r>
    </w:p>
    <w:p w:rsidR="00BB7B36" w:rsidRPr="00F568AB" w:rsidRDefault="00BB7B36" w:rsidP="00BB7B36">
      <w:pPr>
        <w:spacing w:after="0" w:line="240" w:lineRule="auto"/>
        <w:jc w:val="both"/>
        <w:rPr>
          <w:rFonts w:ascii="Times New Roman" w:eastAsia="Times New Roman" w:hAnsi="Times New Roman" w:cs="Times New Roman"/>
          <w:sz w:val="24"/>
          <w:szCs w:val="24"/>
        </w:rPr>
      </w:pPr>
    </w:p>
    <w:p w:rsidR="00BB7B36" w:rsidRPr="00F568AB" w:rsidRDefault="00BB7B36" w:rsidP="00BB7B36">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Para las rentas más altas, la crisis pasó mucho antes que para el ciudadano medio. Los que más tienen fueron los que más se beneficiaron del repunte de Wall Street, de la mejora del mercado inmobiliario y de tipos de interés por los suelos, por no dejar de mencionar los dividendos que reciben por sus inversiones en empresas que vuelven a ser muy rentables. Los más ricos controlan el 90% del capital que se mueve en el parqué.</w:t>
      </w:r>
    </w:p>
    <w:p w:rsidR="00BB7B36" w:rsidRPr="00F568AB"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Esa brecha también se ve a escala global. El FMI advierte de que el desempleo sigue afectando de manera desproporcionada a los jóvenes. Se calcula que hay aún 200 millones de empleos por recuperar en todo el mundo, destruidos por la crisis financiera. La gran dificultad está en cómo desmontar la estructura puesta en marcha para responder a la crisis sin que eso afecte a los emergentes. Hacia ellos se dirigió la liquidez cuando el mundo desarrollado estuvo en dificultades y ahora empiezan a mostrar síntomas de debilitamiento. Es otra evidencia de que las réplicas de la crisis siguen reverberando en una economía global que necesita de los estímulos para crecer y está dominada por la incertidumbre. Por eso, el temor es que la próxim</w:t>
      </w:r>
      <w:r>
        <w:rPr>
          <w:rFonts w:ascii="Times New Roman" w:eastAsia="Times New Roman" w:hAnsi="Times New Roman" w:cs="Times New Roman"/>
          <w:sz w:val="24"/>
          <w:szCs w:val="24"/>
        </w:rPr>
        <w:t>a implosión no afecte solo a EE</w:t>
      </w:r>
      <w:r w:rsidRPr="00F568AB">
        <w:rPr>
          <w:rFonts w:ascii="Times New Roman" w:eastAsia="Times New Roman" w:hAnsi="Times New Roman" w:cs="Times New Roman"/>
          <w:sz w:val="24"/>
          <w:szCs w:val="24"/>
        </w:rPr>
        <w:t>UU y Europa, sino también a Rusia, Brasil y China.</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hAnsi="Times New Roman" w:cs="Times New Roman"/>
          <w:sz w:val="24"/>
          <w:szCs w:val="24"/>
          <w:u w:val="single"/>
        </w:rPr>
      </w:pPr>
      <w:r w:rsidRPr="00A758B5">
        <w:rPr>
          <w:rFonts w:ascii="Times New Roman" w:hAnsi="Times New Roman" w:cs="Times New Roman"/>
          <w:sz w:val="24"/>
          <w:szCs w:val="24"/>
          <w:u w:val="single"/>
        </w:rPr>
        <w:t>Comienza el séptimo año de la crisis</w:t>
      </w:r>
    </w:p>
    <w:p w:rsidR="00BB7B36" w:rsidRDefault="00BB7B36" w:rsidP="00BB7B36">
      <w:pPr>
        <w:spacing w:before="100" w:beforeAutospacing="1" w:after="100" w:afterAutospacing="1" w:line="240" w:lineRule="auto"/>
        <w:jc w:val="both"/>
        <w:rPr>
          <w:rFonts w:ascii="Times New Roman" w:eastAsia="Times New Roman" w:hAnsi="Times New Roman" w:cs="Times New Roman"/>
          <w:sz w:val="24"/>
          <w:szCs w:val="24"/>
        </w:rPr>
      </w:pPr>
      <w:r w:rsidRPr="00C43A12">
        <w:rPr>
          <w:rFonts w:ascii="Times New Roman" w:eastAsia="Times New Roman" w:hAnsi="Times New Roman" w:cs="Times New Roman"/>
          <w:sz w:val="24"/>
          <w:szCs w:val="24"/>
        </w:rPr>
        <w:t xml:space="preserve">¿Qué es lo que está pasando? </w:t>
      </w:r>
      <w:r w:rsidRPr="00C43A12">
        <w:rPr>
          <w:rFonts w:ascii="Times New Roman" w:eastAsia="Times New Roman" w:hAnsi="Times New Roman" w:cs="Times New Roman"/>
          <w:bCs/>
          <w:sz w:val="24"/>
          <w:szCs w:val="24"/>
        </w:rPr>
        <w:t xml:space="preserve">¿Por qué esta crisis se está enquistando y parece que no va a terminar nunca? </w:t>
      </w:r>
      <w:r w:rsidRPr="00C43A12">
        <w:rPr>
          <w:rFonts w:ascii="Times New Roman" w:eastAsia="Times New Roman" w:hAnsi="Times New Roman" w:cs="Times New Roman"/>
          <w:sz w:val="24"/>
          <w:szCs w:val="24"/>
        </w:rPr>
        <w:t>¿Acaso ésta es la nueva normalidad?</w:t>
      </w:r>
      <w:r>
        <w:rPr>
          <w:rFonts w:ascii="Times New Roman" w:eastAsia="Times New Roman" w:hAnsi="Times New Roman" w:cs="Times New Roman"/>
          <w:sz w:val="24"/>
          <w:szCs w:val="24"/>
        </w:rPr>
        <w:t xml:space="preserve"> </w:t>
      </w:r>
    </w:p>
    <w:p w:rsidR="00BB7B36" w:rsidRDefault="00BB7B36" w:rsidP="00BB7B3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Las siguientes “</w:t>
      </w:r>
      <w:r w:rsidRPr="001D6EF6">
        <w:rPr>
          <w:rFonts w:ascii="Times New Roman" w:eastAsia="Times New Roman" w:hAnsi="Times New Roman" w:cs="Times New Roman"/>
          <w:sz w:val="24"/>
          <w:szCs w:val="24"/>
          <w:u w:val="single"/>
        </w:rPr>
        <w:t>lecturas recomendadas</w:t>
      </w:r>
      <w:r>
        <w:rPr>
          <w:rFonts w:ascii="Times New Roman" w:eastAsia="Times New Roman" w:hAnsi="Times New Roman" w:cs="Times New Roman"/>
          <w:sz w:val="24"/>
          <w:szCs w:val="24"/>
        </w:rPr>
        <w:t>” (de prestigiosos autores), pueden ayudarles, tal vez, a encontrar algunas respuestas:</w:t>
      </w:r>
    </w:p>
    <w:p w:rsidR="00BB7B36" w:rsidRPr="00C43A12" w:rsidRDefault="00BB7B36" w:rsidP="00BB7B36">
      <w:pPr>
        <w:spacing w:before="100" w:beforeAutospacing="1" w:after="100" w:afterAutospacing="1" w:line="240" w:lineRule="auto"/>
        <w:jc w:val="both"/>
        <w:rPr>
          <w:rFonts w:ascii="Times New Roman" w:eastAsia="Times New Roman" w:hAnsi="Times New Roman" w:cs="Times New Roman"/>
          <w:sz w:val="24"/>
          <w:szCs w:val="24"/>
        </w:rPr>
      </w:pPr>
    </w:p>
    <w:p w:rsidR="00BB7B36" w:rsidRDefault="00BB7B36" w:rsidP="00BB7B36">
      <w:pPr>
        <w:pStyle w:val="NormalWeb"/>
        <w:jc w:val="both"/>
      </w:pPr>
      <w:r>
        <w:lastRenderedPageBreak/>
        <w:t xml:space="preserve">- </w:t>
      </w:r>
      <w:r w:rsidRPr="008040A0">
        <w:rPr>
          <w:u w:val="single"/>
        </w:rPr>
        <w:t>Los verdaderos culpables de la crisis</w:t>
      </w:r>
      <w:r>
        <w:t xml:space="preserve"> (Vozpópuli - </w:t>
      </w:r>
      <w:r w:rsidRPr="008040A0">
        <w:rPr>
          <w:b/>
        </w:rPr>
        <w:t>22/8/13</w:t>
      </w:r>
      <w:r>
        <w:t>)</w:t>
      </w:r>
    </w:p>
    <w:p w:rsidR="00BB7B36" w:rsidRDefault="00BB7B36" w:rsidP="00BB7B36">
      <w:pPr>
        <w:pStyle w:val="NormalWeb"/>
        <w:jc w:val="both"/>
      </w:pPr>
      <w:r>
        <w:t xml:space="preserve">(Por Juan Ramón Rallo) </w:t>
      </w:r>
    </w:p>
    <w:p w:rsidR="00BB7B36" w:rsidRPr="00964102" w:rsidRDefault="00BB7B36" w:rsidP="00BB7B36">
      <w:pPr>
        <w:pStyle w:val="NormalWeb"/>
        <w:jc w:val="both"/>
        <w:rPr>
          <w:color w:val="FF0000"/>
          <w:u w:val="single"/>
        </w:rPr>
      </w:pPr>
      <w:r w:rsidRPr="00964102">
        <w:rPr>
          <w:color w:val="FF0000"/>
          <w:u w:val="single"/>
        </w:rPr>
        <w:t>Seis años después de que estallara la crisis, “los culpables” andan sueltos con absoluta impunidad, motivo que ha conducido al justiciero Obama a tratar de enchironarlos</w:t>
      </w:r>
      <w:r>
        <w:t xml:space="preserve">. No se han filtrado detalles, pues en esto pesa más la forma que el fondo, </w:t>
      </w:r>
      <w:r w:rsidRPr="00964102">
        <w:rPr>
          <w:color w:val="FF0000"/>
          <w:u w:val="single"/>
        </w:rPr>
        <w:t>pero todo apunta a una ofensiva contra Wall Street: es decir, contra los bancos comerciales que financiaron el desaguisado de la burbuja crediticia, contra los bancos de inversión que colocaron la basura de los anteriores por todo el mundo, contra las agencias de calificación que vistieron a la mona de seda o contra las aseguradoras financieras que asumieron una mayor exposición a los riesgos crediticios de lo que podían soportar.</w:t>
      </w:r>
    </w:p>
    <w:p w:rsidR="00BB7B36" w:rsidRPr="005F6EA4" w:rsidRDefault="00BB7B36" w:rsidP="00BB7B36">
      <w:pPr>
        <w:pStyle w:val="NormalWeb"/>
        <w:jc w:val="both"/>
        <w:rPr>
          <w:u w:val="single"/>
        </w:rPr>
      </w:pPr>
      <w:r w:rsidRPr="005F6EA4">
        <w:rPr>
          <w:u w:val="single"/>
        </w:rPr>
        <w:t>Desde luego, todos ellos son culpables de inflar la oferta de crédito muy por encima de los niveles de ahorro que había detrás de ese crédito: a saber, todos ellos son culpables de abaratar artificialmente el crédito para inducir a familias y empresas a demandar más préstamos de los que habrían demandado a un coste financiero más alto y más realista. Sucede, sin embargo, que los mismos motivos que empleamos para cargar contra los oferentes de crédito también podríamos usarlos para reputar culpables a los imprudentes demandantes de crédito, es decir, a las familias y empresas que se aprovecharon del clima de tipos de interés artificialmente bajos para adelantar su consumo futuro o para sobredimensionar la escala de sus operaciones. ¿Los perseguirá a todos ellos Obama o se concentrará en un par de chivos expiatorios que le permitan hacer como que hace?</w:t>
      </w:r>
    </w:p>
    <w:p w:rsidR="00BB7B36" w:rsidRPr="005F6EA4" w:rsidRDefault="00BB7B36" w:rsidP="00BB7B36">
      <w:pPr>
        <w:pStyle w:val="NormalWeb"/>
        <w:jc w:val="both"/>
        <w:rPr>
          <w:u w:val="single"/>
        </w:rPr>
      </w:pPr>
      <w:r w:rsidRPr="005F6EA4">
        <w:rPr>
          <w:color w:val="FF0000"/>
          <w:u w:val="single"/>
        </w:rPr>
        <w:t>Y es que, al final, todos aquellos que, de buena o de mala fe, se sumergieron en la orgía crediticia son responsables del desaguisado derivado de lo misma</w:t>
      </w:r>
      <w:r>
        <w:t xml:space="preserve">. Por supuesto, esto no significa ni que todos hayan cometido actividades delictivas ni que nadie lo haya hecho. Es evidente que la burbuja de crédito barato ha convivido con fraudes, engaños, estafas y desfalcos varios, por todo lo cual sus brazos ejecutores deberían ser perseguidos. Pero sí </w:t>
      </w:r>
      <w:r w:rsidRPr="005F6EA4">
        <w:rPr>
          <w:u w:val="single"/>
        </w:rPr>
        <w:t>significa que la inmensa mayoría de las actividades que contribuyeron a alimentar y disparatar la burbuja de crédito barato no tuvieron nada de delictivas y que, por consiguiente, si queremos ir más allá de un simple ajuste de cuentas extemporáneo y evitar que se repitan episodios tan devastadores como los que estamos sufriendo, habrá que buscar sus causas y sus culpables últimos; es decir, aquellos que ponen los medios para que los bancos privados ofrezcan demasiado crédito demasiado barato.</w:t>
      </w:r>
    </w:p>
    <w:p w:rsidR="00BB7B36" w:rsidRDefault="00BB7B36" w:rsidP="00BB7B36">
      <w:pPr>
        <w:pStyle w:val="NormalWeb"/>
        <w:jc w:val="both"/>
      </w:pPr>
      <w:r>
        <w:t>Los privilegios estatales de la banca</w:t>
      </w:r>
    </w:p>
    <w:p w:rsidR="00BB7B36" w:rsidRDefault="00BB7B36" w:rsidP="00BB7B36">
      <w:pPr>
        <w:pStyle w:val="NormalWeb"/>
        <w:jc w:val="both"/>
      </w:pPr>
      <w:r>
        <w:rPr>
          <w:color w:val="FF0000"/>
          <w:u w:val="single"/>
        </w:rPr>
        <w:t>La banca privada -</w:t>
      </w:r>
      <w:r w:rsidRPr="005F6EA4">
        <w:rPr>
          <w:color w:val="FF0000"/>
          <w:u w:val="single"/>
        </w:rPr>
        <w:t xml:space="preserve">como </w:t>
      </w:r>
      <w:r>
        <w:rPr>
          <w:color w:val="FF0000"/>
          <w:u w:val="single"/>
        </w:rPr>
        <w:t>cualquier otro agente económico-</w:t>
      </w:r>
      <w:r w:rsidRPr="005F6EA4">
        <w:rPr>
          <w:color w:val="FF0000"/>
          <w:u w:val="single"/>
        </w:rPr>
        <w:t xml:space="preserve"> es una industria que tiene fortísimos incentivos a endeudarse a corto plazo y prestar a largo plazo</w:t>
      </w:r>
      <w:r>
        <w:t>. Los tipos de interés que se abonan por la deuda a corto son generalmente mucho más reducidos que los de la deuda a largo, lo que posibilita efectuar un cierto arbitraje entre ambos. Si el banco concede una hipoteca a 30 años a un tipo fijo del 6% financiándola con un depósito a tres meses (o con un repo a un día) por el que paga un tipo anualizado del 1%, las ganancias son más que evidentes y atractivas. Además, el trasvase de capital desde el corto al largo plazo permite reducir los tipos a largo plazo, permitiendo que se endeude una nueva hornada de potenciales clientes satisfechos con las más laxas condiciones de financiación.</w:t>
      </w:r>
    </w:p>
    <w:p w:rsidR="00BB7B36" w:rsidRPr="005F6EA4" w:rsidRDefault="00BB7B36" w:rsidP="00BB7B36">
      <w:pPr>
        <w:pStyle w:val="NormalWeb"/>
        <w:jc w:val="both"/>
        <w:rPr>
          <w:color w:val="FF0000"/>
          <w:u w:val="single"/>
        </w:rPr>
      </w:pPr>
      <w:r w:rsidRPr="005F6EA4">
        <w:rPr>
          <w:u w:val="single"/>
        </w:rPr>
        <w:lastRenderedPageBreak/>
        <w:t>Como digo, la tentación de arbitrar tipos de interés de distinto plazo no es un vicio exclusivo de la ba</w:t>
      </w:r>
      <w:r>
        <w:rPr>
          <w:u w:val="single"/>
        </w:rPr>
        <w:t>nca: cualquier empresa privada -o cualquier familia-</w:t>
      </w:r>
      <w:r w:rsidRPr="005F6EA4">
        <w:rPr>
          <w:u w:val="single"/>
        </w:rPr>
        <w:t xml:space="preserve"> estaría deseosa de financiarse a corto plazo con tal de minorar su coste financiero</w:t>
      </w:r>
      <w:r>
        <w:t xml:space="preserve">. </w:t>
      </w:r>
      <w:r w:rsidRPr="005F6EA4">
        <w:rPr>
          <w:color w:val="FF0000"/>
          <w:u w:val="single"/>
        </w:rPr>
        <w:t>La diferencia entre las familias y las empresas, por un lado, y la banca, por otro, es que las primeras caerían pronto en suspensión de pagos si optaran por hiperapalancarse a corto plazo. Pero la banca no: pese a que sus fuentes de financiación son depósitos a la vista o a corto plazo, repos o bonos de escasa duración y pese a que sus activos están repletos de activos a largo plazo, la muy maldita no termina de suspender pagos. ¿Cómo es posible? ¿Acaso ha sido bendecida la banca con una habilidad sobrenatural para gestionar su liquidez con la que no cuentan ni familias ni empresas?</w:t>
      </w:r>
    </w:p>
    <w:p w:rsidR="00BB7B36" w:rsidRDefault="00BB7B36" w:rsidP="00BB7B36">
      <w:pPr>
        <w:pStyle w:val="NormalWeb"/>
        <w:jc w:val="both"/>
      </w:pPr>
      <w:r w:rsidRPr="005F6EA4">
        <w:rPr>
          <w:b/>
          <w:color w:val="FF0000"/>
          <w:u w:val="single"/>
        </w:rPr>
        <w:t>No, el asunto es bastante más sencillo: los bancos han ido acumulando, año tras año, crisis tras crisis, una montaña de privilegios concedidos por el Estado, y es esa montaña de privilegios la que les concede margen de maniobra para su exuberancia crediticia.</w:t>
      </w:r>
      <w:r w:rsidRPr="005F6EA4">
        <w:rPr>
          <w:color w:val="FF0000"/>
        </w:rPr>
        <w:t xml:space="preserve"> </w:t>
      </w:r>
      <w:r w:rsidRPr="005F6EA4">
        <w:rPr>
          <w:u w:val="single"/>
        </w:rPr>
        <w:t>Por un lado, los pasivos a la vista de la banca (depósitos a la vista) cuentan con el aval implícito del Tesoro, lo que incentiva a los acreedores del banco (depositantes) a que se despreocupen por entero de su liquidez y de su solvencia: ¿para qué exigir el repago de los depósitos si, en cualquier caso, el contribuyente terminará apoquinando?</w:t>
      </w:r>
      <w:r>
        <w:t xml:space="preserve"> </w:t>
      </w:r>
      <w:r w:rsidRPr="005F6EA4">
        <w:rPr>
          <w:u w:val="single"/>
        </w:rPr>
        <w:t>Por otro, aun cuando los depositantes acudieran en masa a retirar sus fondos del banco, éste podría dirigirse al banco central de turno para solicitar una refinanciación, en cuyo caso lograría evitar nuevamente la suspensión de pagos; pues, para más inri, el banco central ya no se ve forzado a pagar sus deudas en oro y, por tanto, posee un margen infinito para refinanciar a cualquier deudor</w:t>
      </w:r>
      <w:r>
        <w:t xml:space="preserve">. </w:t>
      </w:r>
      <w:r w:rsidRPr="005F6EA4">
        <w:rPr>
          <w:color w:val="FF0000"/>
          <w:u w:val="single"/>
        </w:rPr>
        <w:t>¿Hay alguna otra industria cuyos pasivos se vean protegidos contra la insolvencia y la iliquidez por las autoridades estatales? No: de ahí que la banca ostente una posición privilegiada (gracias al Estado) dentro del entramado financiero actual que le permite expandir y abaratar tanto el crédito como sus demandantes solventes se lo requieran.</w:t>
      </w:r>
      <w:r>
        <w:t xml:space="preserve"> La financiación familiar y empresarial deja de estar limitada por la disponibilidad de capital y pasa a estarlo sólo por la calenturienta imaginación faraónica del banquero de turno.</w:t>
      </w:r>
    </w:p>
    <w:p w:rsidR="00BB7B36" w:rsidRPr="005F6EA4" w:rsidRDefault="00BB7B36" w:rsidP="00BB7B36">
      <w:pPr>
        <w:pStyle w:val="NormalWeb"/>
        <w:jc w:val="both"/>
        <w:rPr>
          <w:b/>
          <w:color w:val="FF0000"/>
          <w:u w:val="single"/>
        </w:rPr>
      </w:pPr>
      <w:r w:rsidRPr="005F6EA4">
        <w:rPr>
          <w:b/>
          <w:color w:val="FF0000"/>
          <w:u w:val="single"/>
        </w:rPr>
        <w:t>El problema, por consiguiente, reside en que el Estado ha abortado todos los mecanismos con los que sí contaría el mercado para poner coto a la imprudencia financiera de los agentes económicos: las corridas bancarias y el riesgo cierto de suspender pagos. Es más, el Estado incluso ha promovido esa masiva imprudencia financiera cuando le ha convenido políticamente, empujando al banco central a bajar los tipos de interés del mercado interbancario con el objetivo de inducir una nueva burbuja de crédito: por ejemplo en 2001 (cuando la Fed, primero, y el BCE, después, colocar sus tasas de intervención en mínimos históricos) o por ejemplo ahora mismo con los reiterados Quantitative Easings. ¿O cuál creen que es el propósito de esas flexibilizaciones cuantitativas salvo la de inducir un abaratamiento del coste de financiación de la economía estadounidense y facilitar así una nueva ronda de endeudamiento y de pelotazos crediticios?</w:t>
      </w:r>
    </w:p>
    <w:p w:rsidR="00BB7B36" w:rsidRDefault="00BB7B36" w:rsidP="00BB7B36">
      <w:pPr>
        <w:pStyle w:val="NormalWeb"/>
        <w:jc w:val="both"/>
        <w:rPr>
          <w:color w:val="FF0000"/>
          <w:u w:val="single"/>
        </w:rPr>
      </w:pPr>
      <w:r w:rsidRPr="005F6EA4">
        <w:rPr>
          <w:u w:val="single"/>
        </w:rPr>
        <w:t>Si Obama quiere perseguir a los culpables de la crisis, lo tiene muy sencillo: puede comenzar por cerrar la Reserva Federal y el FDIC, por colocar entre rejas a sus presidentes pasados y presentes tras inhabilitarles para el ejercicio de cargos públicos y privados, y por no rescatar a los bancos privados que incurran en prácticas financieras imprudentes (todos).</w:t>
      </w:r>
      <w:r>
        <w:t xml:space="preserve"> Si no lo hace, si en lugar de ello sigue mareando la perdiz y desenfocando la naturaleza de los auténticos problemas de fondo, si reduce todos los desequilibrios a una mera cuestión de malas aptitudes personales por parte de unos </w:t>
      </w:r>
      <w:r>
        <w:lastRenderedPageBreak/>
        <w:t xml:space="preserve">equipos gestores demasiado codiciosos en lugar de a una pésima e inflacionista configuración de todo el entramado sistema financiero, acaso sea porque </w:t>
      </w:r>
      <w:r w:rsidRPr="005F6EA4">
        <w:rPr>
          <w:color w:val="FF0000"/>
          <w:u w:val="single"/>
        </w:rPr>
        <w:t>él es en estos momentos el principal cómplice de unos verdaderos culpables que no desean ser descubiertos. Cortina de humo, se llama.</w:t>
      </w:r>
    </w:p>
    <w:p w:rsidR="00BB7B36" w:rsidRPr="005A7BF9" w:rsidRDefault="00BB7B36" w:rsidP="00BB7B36">
      <w:pPr>
        <w:pStyle w:val="NormalWeb"/>
        <w:jc w:val="both"/>
      </w:pPr>
      <w:r>
        <w:t>(</w:t>
      </w:r>
      <w:r w:rsidRPr="005A7BF9">
        <w:t>Juan Ramón Rallo es</w:t>
      </w:r>
      <w:r>
        <w:t xml:space="preserve"> doctor en Economía </w:t>
      </w:r>
      <w:r w:rsidRPr="005A7BF9">
        <w:t>y licenciado</w:t>
      </w:r>
      <w:r>
        <w:t xml:space="preserve"> en Derecho </w:t>
      </w:r>
      <w:r w:rsidRPr="005A7BF9">
        <w:t>por la Universidad de Valencia</w:t>
      </w:r>
      <w:r>
        <w:t xml:space="preserve">, </w:t>
      </w:r>
      <w:r w:rsidRPr="005A7BF9">
        <w:t>master en Economía de la Escuela Austriaca por la Universidad Rey Juan</w:t>
      </w:r>
      <w:r>
        <w:t xml:space="preserve"> Carlos de Madrid. E</w:t>
      </w:r>
      <w:r w:rsidRPr="005A7BF9">
        <w:t>s profesor en esta última universidad y en los centros de e</w:t>
      </w:r>
      <w:r>
        <w:t>studios OMMA e Isead. E</w:t>
      </w:r>
      <w:r w:rsidRPr="005A7BF9">
        <w:t>s directo</w:t>
      </w:r>
      <w:r>
        <w:t>r del Instituto Juan de Mariana…)</w:t>
      </w:r>
    </w:p>
    <w:p w:rsidR="00BB7B36" w:rsidRDefault="00BB7B36" w:rsidP="00BB7B36">
      <w:pPr>
        <w:pStyle w:val="NormalWeb"/>
        <w:jc w:val="both"/>
      </w:pPr>
      <w:r>
        <w:t xml:space="preserve">- </w:t>
      </w:r>
      <w:r w:rsidRPr="001A241C">
        <w:rPr>
          <w:u w:val="single"/>
        </w:rPr>
        <w:t>El patológico legado de Lehman</w:t>
      </w:r>
      <w:r>
        <w:t xml:space="preserve"> (Project Syndicate - </w:t>
      </w:r>
      <w:r w:rsidRPr="001A241C">
        <w:rPr>
          <w:b/>
        </w:rPr>
        <w:t>27/8/13</w:t>
      </w:r>
      <w:r>
        <w:t>)</w:t>
      </w:r>
      <w:r>
        <w:tab/>
      </w:r>
    </w:p>
    <w:p w:rsidR="00BB7B36" w:rsidRPr="00AE04BD" w:rsidRDefault="00BB7B36" w:rsidP="00BB7B36">
      <w:pPr>
        <w:pStyle w:val="NormalWeb"/>
        <w:jc w:val="both"/>
      </w:pPr>
      <w:r>
        <w:t xml:space="preserve">(Por </w:t>
      </w:r>
      <w:r w:rsidRPr="00AE04BD">
        <w:t>Mohamed A. El-Erian</w:t>
      </w:r>
      <w:r>
        <w:t>)</w:t>
      </w:r>
    </w:p>
    <w:p w:rsidR="00BB7B36" w:rsidRDefault="00BB7B36" w:rsidP="00BB7B36">
      <w:pPr>
        <w:pStyle w:val="NormalWeb"/>
        <w:jc w:val="both"/>
      </w:pPr>
      <w:r>
        <w:t xml:space="preserve">Newport Beach.- </w:t>
      </w:r>
      <w:r w:rsidRPr="007105A1">
        <w:rPr>
          <w:u w:val="single"/>
        </w:rPr>
        <w:t>Cuando se acerca el quinto aniversario del desordenado desplome del banco de inversión Lehman Brothers</w:t>
      </w:r>
      <w:r>
        <w:t>, algunos analistas repasarán las causas de una “repentina parada” mundial sin precedentes cuya consecuencia fueron enormes trastornos económicos y financieros. Otros describirán las consecuencias de un acontecimiento que sigue produciendo considerable sufrimiento humano y algunos transmitirán sus experiencias personales en un momento terrorífico para la economía mundial y para ellos personalmente (como autoridades o participantes en los mercados financieros y también en su propia vida cotidiana).</w:t>
      </w:r>
    </w:p>
    <w:p w:rsidR="00BB7B36" w:rsidRDefault="00BB7B36" w:rsidP="00BB7B36">
      <w:pPr>
        <w:pStyle w:val="NormalWeb"/>
        <w:jc w:val="both"/>
      </w:pPr>
      <w:r>
        <w:t>Por interesantes que esas contribuciones sean, espero que veamos también las de otro género: análisis de los resultados, anteriormente inconcebibles, que han pasado a ser realidad -con profundas consecuencias para las generaciones actuales y futuras- y que nuestros sistemas de gobierno aún no han abordado apropiadamente. Teniéndolo presente, permítaseme ofrecer cuatro.</w:t>
      </w:r>
    </w:p>
    <w:p w:rsidR="00BB7B36" w:rsidRPr="007105A1" w:rsidRDefault="00BB7B36" w:rsidP="00BB7B36">
      <w:pPr>
        <w:pStyle w:val="NormalWeb"/>
        <w:jc w:val="both"/>
        <w:rPr>
          <w:u w:val="single"/>
        </w:rPr>
      </w:pPr>
      <w:r w:rsidRPr="007105A1">
        <w:rPr>
          <w:color w:val="FF0000"/>
          <w:u w:val="single"/>
        </w:rPr>
        <w:t>E</w:t>
      </w:r>
      <w:r>
        <w:rPr>
          <w:color w:val="FF0000"/>
          <w:u w:val="single"/>
        </w:rPr>
        <w:t>l primero de dichos resultados -</w:t>
      </w:r>
      <w:r w:rsidRPr="007105A1">
        <w:rPr>
          <w:color w:val="FF0000"/>
          <w:u w:val="single"/>
        </w:rPr>
        <w:t>y el más tran</w:t>
      </w:r>
      <w:r>
        <w:rPr>
          <w:color w:val="FF0000"/>
          <w:u w:val="single"/>
        </w:rPr>
        <w:t>scendental con mucha diferencia-</w:t>
      </w:r>
      <w:r w:rsidRPr="007105A1">
        <w:rPr>
          <w:color w:val="FF0000"/>
          <w:u w:val="single"/>
        </w:rPr>
        <w:t xml:space="preserve"> es la continua dificultad que las economías occidentales afrontan para engendrar un crecimiento económico sólido y una creación de empleo suficiente</w:t>
      </w:r>
      <w:r>
        <w:t xml:space="preserve">. Pese a la profunda reducción inicial del PIB en el último trimestre de 2008 y el primero de 2009, </w:t>
      </w:r>
      <w:r w:rsidRPr="007105A1">
        <w:rPr>
          <w:u w:val="single"/>
        </w:rPr>
        <w:t>demasiadas economías occidentales aún no se han recuperado adecuadamente, por no hablar de conseguir unas tasas de crecimiento sostenido que compensaran completamente la pérdida de puestos de trabajo y de ingresos</w:t>
      </w:r>
      <w:r>
        <w:t xml:space="preserve">. </w:t>
      </w:r>
      <w:r w:rsidRPr="007105A1">
        <w:rPr>
          <w:u w:val="single"/>
        </w:rPr>
        <w:t>De forma más general, sólo algunas han superado decisivamente la triplicidad de males que la crisis reveló: una demanda agregada ins</w:t>
      </w:r>
      <w:r>
        <w:rPr>
          <w:u w:val="single"/>
        </w:rPr>
        <w:t>uficiente y desequilibrada, una insuficiente</w:t>
      </w:r>
      <w:r w:rsidRPr="007105A1">
        <w:rPr>
          <w:u w:val="single"/>
        </w:rPr>
        <w:t xml:space="preserve"> capacidad de resistencia y agilidad estructurales y una deuda excesiva y persistente.</w:t>
      </w:r>
    </w:p>
    <w:p w:rsidR="00BB7B36" w:rsidRPr="007105A1" w:rsidRDefault="00BB7B36" w:rsidP="00BB7B36">
      <w:pPr>
        <w:pStyle w:val="NormalWeb"/>
        <w:jc w:val="both"/>
        <w:rPr>
          <w:color w:val="FF0000"/>
          <w:u w:val="single"/>
        </w:rPr>
      </w:pPr>
      <w:r w:rsidRPr="007105A1">
        <w:rPr>
          <w:color w:val="FF0000"/>
          <w:u w:val="single"/>
        </w:rPr>
        <w:t>El resultado neto no se limita al crecimiento débil, al empeoramiento de la desigualdad de renta, al elevado desempleo a largo plazo y al alarmante desempleo juvenil del momento presente. Cinco años después de la crisis financiera mundial, demasiados países siguen rezagados por culpa de unos motores de crecimiento agotados, y anticuados. A consecuencia de ello, las perspectivas para una recuperación económica rápida, duradera y no excluyente siguen siendo un grave motivo de preocupación.</w:t>
      </w:r>
    </w:p>
    <w:p w:rsidR="00BB7B36" w:rsidRPr="007105A1" w:rsidRDefault="00BB7B36" w:rsidP="00BB7B36">
      <w:pPr>
        <w:pStyle w:val="NormalWeb"/>
        <w:jc w:val="both"/>
        <w:rPr>
          <w:color w:val="FF0000"/>
          <w:u w:val="single"/>
        </w:rPr>
      </w:pPr>
      <w:r w:rsidRPr="007105A1">
        <w:rPr>
          <w:color w:val="FF0000"/>
          <w:u w:val="single"/>
        </w:rPr>
        <w:t xml:space="preserve">En vista de esa dura realidad, no es de extrañar que el segundo resultado anteriormente inconcebible se deba a reacciones normativas insuficientes, a saber, el gran </w:t>
      </w:r>
      <w:r w:rsidRPr="007105A1">
        <w:rPr>
          <w:color w:val="FF0000"/>
          <w:u w:val="single"/>
        </w:rPr>
        <w:lastRenderedPageBreak/>
        <w:t>desequilibrio persistente entre la hiperactividad de los bancos centrales y la frustrante pasividad de otras autoridades.</w:t>
      </w:r>
    </w:p>
    <w:p w:rsidR="00BB7B36" w:rsidRPr="007105A1" w:rsidRDefault="00BB7B36" w:rsidP="00BB7B36">
      <w:pPr>
        <w:pStyle w:val="NormalWeb"/>
        <w:jc w:val="both"/>
        <w:rPr>
          <w:u w:val="single"/>
        </w:rPr>
      </w:pPr>
      <w:r w:rsidRPr="007105A1">
        <w:rPr>
          <w:u w:val="single"/>
        </w:rPr>
        <w:t>La gran sorpresa a este respecto no es la de que los bancos centrales actuaran decisiva y audazmente cuando los mercados financieros se paralizaron y la actividad económica se desplomó. En vista de su acceso relativamente ilimitado a la acuñación de dinero y su enorme grado de autonomía operativa, era de esperar que los bancos centrales fueran los primeros en reaccionar y, además, activa y eficazmente y así lo hicieron de forma impresionante y mundialmente coordinada.</w:t>
      </w:r>
    </w:p>
    <w:p w:rsidR="00BB7B36" w:rsidRPr="007105A1" w:rsidRDefault="00BB7B36" w:rsidP="00BB7B36">
      <w:pPr>
        <w:pStyle w:val="NormalWeb"/>
        <w:jc w:val="both"/>
        <w:rPr>
          <w:color w:val="FF0000"/>
          <w:u w:val="single"/>
        </w:rPr>
      </w:pPr>
      <w:r w:rsidRPr="007105A1">
        <w:rPr>
          <w:color w:val="FF0000"/>
          <w:u w:val="single"/>
        </w:rPr>
        <w:t>Lo que sorprende es que, cinco años después de la crisis y cuatro años después de que los paralizados mercados financieros reanudaran su funcionamiento normal, las economías occidentales sigan dependiendo abrumadoramente de los bancos centrales para evitar unos resultados económicos aún peores. Con ello los bancos centrales  se han visto obligados a alejarse de sus competencias básicas para utilizar unos instrumentos normativos parciales e imperfectos durante un período demasiado largo.</w:t>
      </w:r>
    </w:p>
    <w:p w:rsidR="00BB7B36" w:rsidRDefault="00BB7B36" w:rsidP="00BB7B36">
      <w:pPr>
        <w:pStyle w:val="NormalWeb"/>
        <w:jc w:val="both"/>
      </w:pPr>
      <w:r w:rsidRPr="007105A1">
        <w:rPr>
          <w:u w:val="single"/>
        </w:rPr>
        <w:t>Ese resultado refleja una polarización política interna en los Estados Unidos y la complejidad de las relaciones regionales en Europa, que han bloqueado los planteamientos normativos amplios y equilibrados</w:t>
      </w:r>
      <w:r>
        <w:t>. Para apreciar la magnitud del problema, piénsese en la repetida negativa del Congreso de los EEUU a aprobar un presupuesto anual (por no hablar de aplicar reformas a medio plazo) o las incompletas iniciativas a escala de la zona del euro en un momento de desempleo alarmante y amenazas residuales de trastornos financieros.</w:t>
      </w:r>
    </w:p>
    <w:p w:rsidR="00BB7B36" w:rsidRPr="007105A1" w:rsidRDefault="00BB7B36" w:rsidP="00BB7B36">
      <w:pPr>
        <w:pStyle w:val="NormalWeb"/>
        <w:jc w:val="both"/>
        <w:rPr>
          <w:color w:val="FF0000"/>
          <w:u w:val="single"/>
        </w:rPr>
      </w:pPr>
      <w:r w:rsidRPr="007105A1">
        <w:rPr>
          <w:u w:val="single"/>
        </w:rPr>
        <w:t>Semejante disfunción política ha socavado la capacidad de reacción de otras entidades encargadas de la formulación de políticas, incluidas las que cuentan con instrumentos mejores que los bancos centrales, lo que ha obligado a estos últimos a mantenerse en el primer plano normativo, tendiendo un puente tras otro, mientras esperan que otras autoridades se pongan las pilas.</w:t>
      </w:r>
      <w:r>
        <w:t xml:space="preserve"> </w:t>
      </w:r>
      <w:r w:rsidRPr="007105A1">
        <w:rPr>
          <w:color w:val="FF0000"/>
          <w:u w:val="single"/>
        </w:rPr>
        <w:t>El resultado ha sido la exposición de las economías occidentales a medidas cada vez más experimentales, con considerable incertidumbre sobre las repercusiones a largo plazo del funcionamiento de los complejos sistemas basados en el mercado mediante conceptos artificiales.</w:t>
      </w:r>
    </w:p>
    <w:p w:rsidR="00BB7B36" w:rsidRPr="007105A1" w:rsidRDefault="00BB7B36" w:rsidP="00BB7B36">
      <w:pPr>
        <w:pStyle w:val="NormalWeb"/>
        <w:jc w:val="both"/>
        <w:rPr>
          <w:color w:val="FF0000"/>
          <w:u w:val="single"/>
        </w:rPr>
      </w:pPr>
      <w:r w:rsidRPr="007105A1">
        <w:rPr>
          <w:color w:val="FF0000"/>
          <w:u w:val="single"/>
        </w:rPr>
        <w:t>El tercer resultado anteriormente inconcebible se refiere a la evolución de los países en desarrollo. Tras haber sufrido al comienzo las consecuencias de la crisis financiera tanto como los países occidentales (de hecho, más en materia de producción y comercio), esas economías históricamente menos sólidas protagonizaron una recuperación notable... hasta el punto de que pasaron a ser el motor del crecimiento mundial. Sin embargo, en ese proceso cayeron en una combinación de políticas desequilibrada, que ahora amenaza la continuidad de su crecimiento y su estabilidad financiera.</w:t>
      </w:r>
    </w:p>
    <w:p w:rsidR="00BB7B36" w:rsidRPr="007105A1" w:rsidRDefault="00BB7B36" w:rsidP="00BB7B36">
      <w:pPr>
        <w:pStyle w:val="NormalWeb"/>
        <w:jc w:val="both"/>
        <w:rPr>
          <w:color w:val="FF0000"/>
          <w:u w:val="single"/>
        </w:rPr>
      </w:pPr>
      <w:r w:rsidRPr="007105A1">
        <w:rPr>
          <w:color w:val="FF0000"/>
          <w:u w:val="single"/>
        </w:rPr>
        <w:t>Unos nuevos riesgos de inestabilidad financiera señalan a las sorpresas cuarta y última: la falta de una renovación profunda, de forma creíble, sostenible y socialmente responsable, de los principales causantes de la crisis.</w:t>
      </w:r>
    </w:p>
    <w:p w:rsidR="00BB7B36" w:rsidRPr="007105A1" w:rsidRDefault="00BB7B36" w:rsidP="00BB7B36">
      <w:pPr>
        <w:pStyle w:val="NormalWeb"/>
        <w:jc w:val="both"/>
        <w:rPr>
          <w:u w:val="single"/>
        </w:rPr>
      </w:pPr>
      <w:r w:rsidRPr="007105A1">
        <w:rPr>
          <w:u w:val="single"/>
        </w:rPr>
        <w:t xml:space="preserve">Piénsese en los grandes bancos occidentales. En vista de su importancia sistémica, muchos fueron rescatados y, con un continuo apoyo oficial, recuperaron la rentabilidad muy rápidamente. Sin embargo, no estuvieron sujetos a la fiscalidad de unos beneficios inesperados ni las autoridades han modificado suficientemente los incentivos </w:t>
      </w:r>
      <w:r w:rsidRPr="007105A1">
        <w:rPr>
          <w:u w:val="single"/>
        </w:rPr>
        <w:lastRenderedPageBreak/>
        <w:t>estructurales que alientan a correr riesgos excesivos. En el caso de Europa, sólo ahora se está incitando a los bancos a abordar decisivamente sus déficits de capital, problemas de apalancamiento y activos débiles y residuales.</w:t>
      </w:r>
    </w:p>
    <w:p w:rsidR="00BB7B36" w:rsidRPr="007105A1" w:rsidRDefault="00BB7B36" w:rsidP="00BB7B36">
      <w:pPr>
        <w:pStyle w:val="NormalWeb"/>
        <w:jc w:val="both"/>
        <w:rPr>
          <w:color w:val="FF0000"/>
          <w:u w:val="single"/>
        </w:rPr>
      </w:pPr>
      <w:r w:rsidRPr="007105A1">
        <w:rPr>
          <w:color w:val="FF0000"/>
          <w:u w:val="single"/>
        </w:rPr>
        <w:t>A riesgo de que se me considere un “angustias”, sigo preocupado por la magnitud del retraso que nuestros sistemas de dirección económica han demostrado a la hora de abordar esos cuatro resultados. Cuanto más dure esta situación inhabitual, mayor será el riesgo de que las ramificaciones perjudiciales de la crisis de 2008 sigan teniendo repercusiones incluso para las generaciones futuras.</w:t>
      </w:r>
    </w:p>
    <w:p w:rsidR="00BB7B36" w:rsidRPr="005F0E9B" w:rsidRDefault="00BB7B36" w:rsidP="00BB7B36">
      <w:pPr>
        <w:pStyle w:val="NormalWeb"/>
        <w:jc w:val="both"/>
        <w:rPr>
          <w:lang w:val="en-US"/>
        </w:rPr>
      </w:pPr>
      <w:r>
        <w:rPr>
          <w:lang w:val="en-US"/>
        </w:rPr>
        <w:t>(</w:t>
      </w:r>
      <w:r w:rsidRPr="001A241C">
        <w:rPr>
          <w:lang w:val="en-US"/>
        </w:rPr>
        <w:t xml:space="preserve">Mohamed A. El-Erian is CEO and co-Chief Investment Officer of the global investment company PIMCO, with approximately $2 trillion in assets under management. </w:t>
      </w:r>
      <w:r w:rsidRPr="005F0E9B">
        <w:rPr>
          <w:lang w:val="en-US"/>
        </w:rPr>
        <w:t>He previously worked at the Internation</w:t>
      </w:r>
      <w:r>
        <w:rPr>
          <w:lang w:val="en-US"/>
        </w:rPr>
        <w:t>al Monetary Fund</w:t>
      </w:r>
      <w:r w:rsidRPr="005F0E9B">
        <w:rPr>
          <w:lang w:val="en-US"/>
        </w:rPr>
        <w:t>…)</w:t>
      </w:r>
    </w:p>
    <w:p w:rsidR="00BB7B36" w:rsidRPr="005F0E9B" w:rsidRDefault="00BB7B36" w:rsidP="00BB7B36">
      <w:pPr>
        <w:spacing w:after="0" w:line="240" w:lineRule="auto"/>
        <w:jc w:val="both"/>
        <w:rPr>
          <w:rFonts w:ascii="Times New Roman" w:eastAsia="Times New Roman" w:hAnsi="Times New Roman" w:cs="Times New Roman"/>
          <w:sz w:val="24"/>
          <w:szCs w:val="24"/>
          <w:lang w:val="en-US"/>
        </w:rPr>
      </w:pPr>
      <w:r w:rsidRPr="005F0E9B">
        <w:rPr>
          <w:rFonts w:ascii="Times New Roman" w:eastAsia="Times New Roman" w:hAnsi="Times New Roman" w:cs="Times New Roman"/>
          <w:sz w:val="24"/>
          <w:szCs w:val="24"/>
          <w:lang w:val="en-US"/>
        </w:rPr>
        <w:t xml:space="preserve">- </w:t>
      </w:r>
      <w:r w:rsidRPr="005F0E9B">
        <w:rPr>
          <w:rFonts w:ascii="Times New Roman" w:eastAsia="Times New Roman" w:hAnsi="Times New Roman" w:cs="Times New Roman"/>
          <w:sz w:val="24"/>
          <w:szCs w:val="24"/>
          <w:u w:val="single"/>
          <w:lang w:val="en-US"/>
        </w:rPr>
        <w:t>¿Fracasó el capitalismo?</w:t>
      </w:r>
      <w:r w:rsidRPr="005F0E9B">
        <w:rPr>
          <w:rFonts w:ascii="Times New Roman" w:eastAsia="Times New Roman" w:hAnsi="Times New Roman" w:cs="Times New Roman"/>
          <w:sz w:val="24"/>
          <w:szCs w:val="24"/>
          <w:lang w:val="en-US"/>
        </w:rPr>
        <w:t xml:space="preserve"> (Project Syndicate - </w:t>
      </w:r>
      <w:r w:rsidRPr="005F0E9B">
        <w:rPr>
          <w:rFonts w:ascii="Times New Roman" w:eastAsia="Times New Roman" w:hAnsi="Times New Roman" w:cs="Times New Roman"/>
          <w:b/>
          <w:sz w:val="24"/>
          <w:szCs w:val="24"/>
          <w:lang w:val="en-US"/>
        </w:rPr>
        <w:t>13/9/13</w:t>
      </w:r>
      <w:r w:rsidRPr="005F0E9B">
        <w:rPr>
          <w:rFonts w:ascii="Times New Roman" w:eastAsia="Times New Roman" w:hAnsi="Times New Roman" w:cs="Times New Roman"/>
          <w:sz w:val="24"/>
          <w:szCs w:val="24"/>
          <w:lang w:val="en-US"/>
        </w:rPr>
        <w:t>)</w:t>
      </w:r>
      <w:r w:rsidRPr="005F0E9B">
        <w:rPr>
          <w:rFonts w:ascii="Times New Roman" w:eastAsia="Times New Roman" w:hAnsi="Times New Roman" w:cs="Times New Roman"/>
          <w:sz w:val="24"/>
          <w:szCs w:val="24"/>
          <w:lang w:val="en-US"/>
        </w:rPr>
        <w:tab/>
      </w:r>
    </w:p>
    <w:p w:rsidR="00BB7B36" w:rsidRPr="005F0E9B" w:rsidRDefault="00BB7B36" w:rsidP="00BB7B36">
      <w:pPr>
        <w:spacing w:after="0" w:line="240" w:lineRule="auto"/>
        <w:jc w:val="both"/>
        <w:rPr>
          <w:rFonts w:ascii="Times New Roman" w:eastAsia="Times New Roman" w:hAnsi="Times New Roman" w:cs="Times New Roman"/>
          <w:sz w:val="24"/>
          <w:szCs w:val="24"/>
          <w:lang w:val="en-US"/>
        </w:rPr>
      </w:pPr>
    </w:p>
    <w:p w:rsidR="00BB7B36" w:rsidRPr="005F304D" w:rsidRDefault="00BB7B36" w:rsidP="00BB7B36">
      <w:pPr>
        <w:spacing w:after="0" w:line="240" w:lineRule="auto"/>
        <w:jc w:val="both"/>
        <w:rPr>
          <w:rFonts w:ascii="Times New Roman" w:eastAsia="Times New Roman" w:hAnsi="Times New Roman" w:cs="Times New Roman"/>
          <w:sz w:val="24"/>
          <w:szCs w:val="24"/>
          <w:lang w:val="en-US"/>
        </w:rPr>
      </w:pPr>
      <w:r w:rsidRPr="005F304D">
        <w:rPr>
          <w:rFonts w:ascii="Times New Roman" w:eastAsia="Times New Roman" w:hAnsi="Times New Roman" w:cs="Times New Roman"/>
          <w:sz w:val="24"/>
          <w:szCs w:val="24"/>
          <w:lang w:val="en-US"/>
        </w:rPr>
        <w:t>(Por Roman Frydman &amp; Michael D. Goldberg)</w:t>
      </w:r>
    </w:p>
    <w:p w:rsidR="00BB7B36" w:rsidRPr="005F304D" w:rsidRDefault="00BB7B36" w:rsidP="00BB7B36">
      <w:pPr>
        <w:spacing w:after="0" w:line="240" w:lineRule="auto"/>
        <w:jc w:val="both"/>
        <w:rPr>
          <w:rFonts w:ascii="Times New Roman" w:eastAsia="Times New Roman" w:hAnsi="Times New Roman" w:cs="Times New Roman"/>
          <w:sz w:val="24"/>
          <w:szCs w:val="24"/>
          <w:lang w:val="en-US"/>
        </w:rPr>
      </w:pPr>
    </w:p>
    <w:p w:rsidR="00BB7B36" w:rsidRPr="002C0221" w:rsidRDefault="00BB7B36" w:rsidP="00BB7B36">
      <w:pPr>
        <w:spacing w:after="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sz w:val="24"/>
          <w:szCs w:val="24"/>
        </w:rPr>
        <w:t>Nueva York.-</w:t>
      </w:r>
      <w:r w:rsidRPr="00DD77F8">
        <w:rPr>
          <w:rFonts w:ascii="Times New Roman" w:eastAsia="Times New Roman" w:hAnsi="Times New Roman" w:cs="Times New Roman"/>
          <w:sz w:val="24"/>
          <w:szCs w:val="24"/>
        </w:rPr>
        <w:t xml:space="preserve"> </w:t>
      </w:r>
      <w:r w:rsidRPr="002C0221">
        <w:rPr>
          <w:rFonts w:ascii="Times New Roman" w:eastAsia="Times New Roman" w:hAnsi="Times New Roman" w:cs="Times New Roman"/>
          <w:color w:val="FF0000"/>
          <w:sz w:val="24"/>
          <w:szCs w:val="24"/>
          <w:u w:val="single"/>
        </w:rPr>
        <w:t>Hace cinco años la agencia de calificaciones Standard &amp; Poor’s mantuvo la cali</w:t>
      </w:r>
      <w:r>
        <w:rPr>
          <w:rFonts w:ascii="Times New Roman" w:eastAsia="Times New Roman" w:hAnsi="Times New Roman" w:cs="Times New Roman"/>
          <w:color w:val="FF0000"/>
          <w:sz w:val="24"/>
          <w:szCs w:val="24"/>
          <w:u w:val="single"/>
        </w:rPr>
        <w:t>ficación de grado de inversión “A”</w:t>
      </w:r>
      <w:r w:rsidRPr="002C0221">
        <w:rPr>
          <w:rFonts w:ascii="Times New Roman" w:eastAsia="Times New Roman" w:hAnsi="Times New Roman" w:cs="Times New Roman"/>
          <w:color w:val="FF0000"/>
          <w:sz w:val="24"/>
          <w:szCs w:val="24"/>
          <w:u w:val="single"/>
        </w:rPr>
        <w:t xml:space="preserve"> para Lehman Brothers hasta seis días antes de que colapsara. Moody’s esperó aún más: redujo la calificación de Lehman un día laborable antes de su derrumbe. ¿Cómo es posible que reputadas agencias de calificació</w:t>
      </w:r>
      <w:r>
        <w:rPr>
          <w:rFonts w:ascii="Times New Roman" w:eastAsia="Times New Roman" w:hAnsi="Times New Roman" w:cs="Times New Roman"/>
          <w:color w:val="FF0000"/>
          <w:sz w:val="24"/>
          <w:szCs w:val="24"/>
          <w:u w:val="single"/>
        </w:rPr>
        <w:t>n -y bancos de inversión-</w:t>
      </w:r>
      <w:r w:rsidRPr="002C0221">
        <w:rPr>
          <w:rFonts w:ascii="Times New Roman" w:eastAsia="Times New Roman" w:hAnsi="Times New Roman" w:cs="Times New Roman"/>
          <w:color w:val="FF0000"/>
          <w:sz w:val="24"/>
          <w:szCs w:val="24"/>
          <w:u w:val="single"/>
        </w:rPr>
        <w:t xml:space="preserve"> se equivoquen tanto en sus evaluaciones?</w:t>
      </w:r>
    </w:p>
    <w:p w:rsidR="00BB7B36" w:rsidRPr="00DD77F8" w:rsidRDefault="00BB7B36" w:rsidP="00BB7B36">
      <w:pPr>
        <w:spacing w:after="0" w:line="240" w:lineRule="auto"/>
        <w:jc w:val="both"/>
        <w:rPr>
          <w:rFonts w:ascii="Times New Roman" w:eastAsia="Times New Roman" w:hAnsi="Times New Roman" w:cs="Times New Roman"/>
          <w:sz w:val="24"/>
          <w:szCs w:val="24"/>
        </w:rPr>
      </w:pPr>
    </w:p>
    <w:p w:rsidR="00BB7B36" w:rsidRPr="002C0221" w:rsidRDefault="00BB7B36" w:rsidP="00BB7B36">
      <w:pPr>
        <w:spacing w:after="0" w:line="240" w:lineRule="auto"/>
        <w:jc w:val="both"/>
        <w:rPr>
          <w:rFonts w:ascii="Times New Roman" w:eastAsia="Times New Roman" w:hAnsi="Times New Roman" w:cs="Times New Roman"/>
          <w:b/>
          <w:color w:val="FF0000"/>
          <w:sz w:val="24"/>
          <w:szCs w:val="24"/>
          <w:u w:val="single"/>
        </w:rPr>
      </w:pPr>
      <w:r w:rsidRPr="002C0221">
        <w:rPr>
          <w:rFonts w:ascii="Times New Roman" w:eastAsia="Times New Roman" w:hAnsi="Times New Roman" w:cs="Times New Roman"/>
          <w:b/>
          <w:color w:val="FF0000"/>
          <w:sz w:val="24"/>
          <w:szCs w:val="24"/>
          <w:u w:val="single"/>
        </w:rPr>
        <w:t>Los reguladores, banqueros y agencias de calificación son en gran parte culpables de la crisis. Pero esta cuasidebacle no fue tanto un fracaso del capitalismo como un fracaso de la capacidad de los modelos económicos contemporáneos para comprender el rol y el funcionamien</w:t>
      </w:r>
      <w:r>
        <w:rPr>
          <w:rFonts w:ascii="Times New Roman" w:eastAsia="Times New Roman" w:hAnsi="Times New Roman" w:cs="Times New Roman"/>
          <w:b/>
          <w:color w:val="FF0000"/>
          <w:sz w:val="24"/>
          <w:szCs w:val="24"/>
          <w:u w:val="single"/>
        </w:rPr>
        <w:t>to de los mercados financieros -</w:t>
      </w:r>
      <w:r w:rsidRPr="002C0221">
        <w:rPr>
          <w:rFonts w:ascii="Times New Roman" w:eastAsia="Times New Roman" w:hAnsi="Times New Roman" w:cs="Times New Roman"/>
          <w:b/>
          <w:color w:val="FF0000"/>
          <w:sz w:val="24"/>
          <w:szCs w:val="24"/>
          <w:u w:val="single"/>
        </w:rPr>
        <w:t>y, en término</w:t>
      </w:r>
      <w:r>
        <w:rPr>
          <w:rFonts w:ascii="Times New Roman" w:eastAsia="Times New Roman" w:hAnsi="Times New Roman" w:cs="Times New Roman"/>
          <w:b/>
          <w:color w:val="FF0000"/>
          <w:sz w:val="24"/>
          <w:szCs w:val="24"/>
          <w:u w:val="single"/>
        </w:rPr>
        <w:t>s más amplios, la inestabilidad-</w:t>
      </w:r>
      <w:r w:rsidRPr="002C0221">
        <w:rPr>
          <w:rFonts w:ascii="Times New Roman" w:eastAsia="Times New Roman" w:hAnsi="Times New Roman" w:cs="Times New Roman"/>
          <w:b/>
          <w:color w:val="FF0000"/>
          <w:sz w:val="24"/>
          <w:szCs w:val="24"/>
          <w:u w:val="single"/>
        </w:rPr>
        <w:t xml:space="preserve"> en las economías capitalistas.</w:t>
      </w:r>
    </w:p>
    <w:p w:rsidR="00BB7B36" w:rsidRPr="002C0221" w:rsidRDefault="00BB7B36" w:rsidP="00BB7B36">
      <w:pPr>
        <w:spacing w:after="0" w:line="240" w:lineRule="auto"/>
        <w:jc w:val="both"/>
        <w:rPr>
          <w:rFonts w:ascii="Times New Roman" w:eastAsia="Times New Roman" w:hAnsi="Times New Roman" w:cs="Times New Roman"/>
          <w:b/>
          <w:color w:val="FF0000"/>
          <w:sz w:val="24"/>
          <w:szCs w:val="24"/>
          <w:u w:val="single"/>
        </w:rPr>
      </w:pPr>
    </w:p>
    <w:p w:rsidR="00BB7B36" w:rsidRPr="002C0221" w:rsidRDefault="00BB7B36" w:rsidP="00BB7B36">
      <w:pPr>
        <w:spacing w:after="0" w:line="240" w:lineRule="auto"/>
        <w:jc w:val="both"/>
        <w:rPr>
          <w:rFonts w:ascii="Times New Roman" w:eastAsia="Times New Roman" w:hAnsi="Times New Roman" w:cs="Times New Roman"/>
          <w:b/>
          <w:color w:val="FF0000"/>
          <w:sz w:val="24"/>
          <w:szCs w:val="24"/>
          <w:u w:val="single"/>
        </w:rPr>
      </w:pPr>
      <w:r w:rsidRPr="002C0221">
        <w:rPr>
          <w:rFonts w:ascii="Times New Roman" w:eastAsia="Times New Roman" w:hAnsi="Times New Roman" w:cs="Times New Roman"/>
          <w:color w:val="FF0000"/>
          <w:sz w:val="24"/>
          <w:szCs w:val="24"/>
          <w:u w:val="single"/>
        </w:rPr>
        <w:t>Estos modelos apuntalaron con supuesta cientificidad decisiones de política e innovaciones financieras que aumentaron en gran medida las probabilidades –y tal vez tornaron inevitable– la peor crisis desde la Gran Depresión</w:t>
      </w:r>
      <w:r w:rsidRPr="00DD77F8">
        <w:rPr>
          <w:rFonts w:ascii="Times New Roman" w:eastAsia="Times New Roman" w:hAnsi="Times New Roman" w:cs="Times New Roman"/>
          <w:sz w:val="24"/>
          <w:szCs w:val="24"/>
        </w:rPr>
        <w:t xml:space="preserve">. </w:t>
      </w:r>
      <w:r w:rsidRPr="002C0221">
        <w:rPr>
          <w:rFonts w:ascii="Times New Roman" w:eastAsia="Times New Roman" w:hAnsi="Times New Roman" w:cs="Times New Roman"/>
          <w:b/>
          <w:color w:val="FF0000"/>
          <w:sz w:val="24"/>
          <w:szCs w:val="24"/>
          <w:u w:val="single"/>
        </w:rPr>
        <w:t>Después del colapso de Lehman el expresidente de la Reserva Federal, Alan Greenspan, declaró ante el Con</w:t>
      </w:r>
      <w:r>
        <w:rPr>
          <w:rFonts w:ascii="Times New Roman" w:eastAsia="Times New Roman" w:hAnsi="Times New Roman" w:cs="Times New Roman"/>
          <w:b/>
          <w:color w:val="FF0000"/>
          <w:sz w:val="24"/>
          <w:szCs w:val="24"/>
          <w:u w:val="single"/>
        </w:rPr>
        <w:t>greso estadounidense que había “encontrado un defecto”</w:t>
      </w:r>
      <w:r w:rsidRPr="002C0221">
        <w:rPr>
          <w:rFonts w:ascii="Times New Roman" w:eastAsia="Times New Roman" w:hAnsi="Times New Roman" w:cs="Times New Roman"/>
          <w:b/>
          <w:color w:val="FF0000"/>
          <w:sz w:val="24"/>
          <w:szCs w:val="24"/>
          <w:u w:val="single"/>
        </w:rPr>
        <w:t xml:space="preserve"> en la ideología que propone que el interés personal protegería a la sociedad contra los excesos del sistema financiero. Pero el daño ya estaba hecho.</w:t>
      </w:r>
    </w:p>
    <w:p w:rsidR="00BB7B36" w:rsidRPr="002C0221" w:rsidRDefault="00BB7B36" w:rsidP="00BB7B36">
      <w:pPr>
        <w:spacing w:after="0" w:line="240" w:lineRule="auto"/>
        <w:jc w:val="both"/>
        <w:rPr>
          <w:rFonts w:ascii="Times New Roman" w:eastAsia="Times New Roman" w:hAnsi="Times New Roman" w:cs="Times New Roman"/>
          <w:b/>
          <w:color w:val="FF0000"/>
          <w:sz w:val="24"/>
          <w:szCs w:val="24"/>
          <w:u w:val="single"/>
        </w:rPr>
      </w:pPr>
    </w:p>
    <w:p w:rsidR="00BB7B36" w:rsidRPr="002C0221" w:rsidRDefault="00BB7B36" w:rsidP="00BB7B36">
      <w:pPr>
        <w:spacing w:after="0" w:line="240" w:lineRule="auto"/>
        <w:jc w:val="both"/>
        <w:rPr>
          <w:rFonts w:ascii="Times New Roman" w:eastAsia="Times New Roman" w:hAnsi="Times New Roman" w:cs="Times New Roman"/>
          <w:b/>
          <w:color w:val="FF0000"/>
          <w:sz w:val="24"/>
          <w:szCs w:val="24"/>
          <w:u w:val="single"/>
        </w:rPr>
      </w:pPr>
      <w:r w:rsidRPr="002C0221">
        <w:rPr>
          <w:rFonts w:ascii="Times New Roman" w:eastAsia="Times New Roman" w:hAnsi="Times New Roman" w:cs="Times New Roman"/>
          <w:b/>
          <w:color w:val="FF0000"/>
          <w:sz w:val="24"/>
          <w:szCs w:val="24"/>
          <w:u w:val="single"/>
        </w:rPr>
        <w:t>El origen de esa doctrina puede encontrarse en la teoría económica dominante sobre las causas de la inestabilidad del precio de los activos, una teoría que para explicar las variaciones en el riesgo y el precio de los activos postula que el futuro se deriva mecánicamente del pasado. Los modelos mecánicos de los economistas contemporáneos implican que quienes participan en el mercado y buscan su propio interés no harán subir los precios de las viviendas y otros activos hasta niveles claramente excesivos en el período previo a la crisis. Por lo tanto, esas fluctuaciones excesivas han sido consideradas como síntomas de la irracionalidad de los actores del mercado.</w:t>
      </w:r>
    </w:p>
    <w:p w:rsidR="00BB7B36" w:rsidRPr="002C0221" w:rsidRDefault="00BB7B36" w:rsidP="00BB7B36">
      <w:pPr>
        <w:spacing w:after="0" w:line="240" w:lineRule="auto"/>
        <w:jc w:val="both"/>
        <w:rPr>
          <w:rFonts w:ascii="Times New Roman" w:eastAsia="Times New Roman" w:hAnsi="Times New Roman" w:cs="Times New Roman"/>
          <w:b/>
          <w:color w:val="FF0000"/>
          <w:sz w:val="24"/>
          <w:szCs w:val="24"/>
          <w:u w:val="single"/>
        </w:rPr>
      </w:pPr>
    </w:p>
    <w:p w:rsidR="00BB7B36" w:rsidRPr="00AD7534" w:rsidRDefault="00BB7B36" w:rsidP="00BB7B36">
      <w:pPr>
        <w:spacing w:after="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Este supuesto erróneo -</w:t>
      </w:r>
      <w:r w:rsidRPr="00AD7534">
        <w:rPr>
          <w:rFonts w:ascii="Times New Roman" w:eastAsia="Times New Roman" w:hAnsi="Times New Roman" w:cs="Times New Roman"/>
          <w:color w:val="FF0000"/>
          <w:sz w:val="24"/>
          <w:szCs w:val="24"/>
          <w:u w:val="single"/>
        </w:rPr>
        <w:t>que las decisiones basadas en el interés propio puedan representarse ade</w:t>
      </w:r>
      <w:r>
        <w:rPr>
          <w:rFonts w:ascii="Times New Roman" w:eastAsia="Times New Roman" w:hAnsi="Times New Roman" w:cs="Times New Roman"/>
          <w:color w:val="FF0000"/>
          <w:sz w:val="24"/>
          <w:szCs w:val="24"/>
          <w:u w:val="single"/>
        </w:rPr>
        <w:t>cuadamente con reglas mecánicas-</w:t>
      </w:r>
      <w:r w:rsidRPr="00AD7534">
        <w:rPr>
          <w:rFonts w:ascii="Times New Roman" w:eastAsia="Times New Roman" w:hAnsi="Times New Roman" w:cs="Times New Roman"/>
          <w:color w:val="FF0000"/>
          <w:sz w:val="24"/>
          <w:szCs w:val="24"/>
          <w:u w:val="single"/>
        </w:rPr>
        <w:t xml:space="preserve"> apuntaló la creación de </w:t>
      </w:r>
      <w:r w:rsidRPr="00AD7534">
        <w:rPr>
          <w:rFonts w:ascii="Times New Roman" w:eastAsia="Times New Roman" w:hAnsi="Times New Roman" w:cs="Times New Roman"/>
          <w:color w:val="FF0000"/>
          <w:sz w:val="24"/>
          <w:szCs w:val="24"/>
          <w:u w:val="single"/>
        </w:rPr>
        <w:lastRenderedPageBreak/>
        <w:t>instrumentos financieros sintéticos y legitimó, sobre bases supuestamente científicas, su comercialización a fondos de pensión y otras instituciones financieras en todo el mundo. Sorprendentemente, las economías emergentes con mercados financieros relativamente menos relacionados escaparon a muchas de las consecuencias más atroces de esas innovaciones.</w:t>
      </w:r>
    </w:p>
    <w:p w:rsidR="00BB7B36" w:rsidRPr="00DD77F8" w:rsidRDefault="00BB7B36" w:rsidP="00BB7B36">
      <w:pPr>
        <w:spacing w:after="0" w:line="240" w:lineRule="auto"/>
        <w:jc w:val="both"/>
        <w:rPr>
          <w:rFonts w:ascii="Times New Roman" w:eastAsia="Times New Roman" w:hAnsi="Times New Roman" w:cs="Times New Roman"/>
          <w:sz w:val="24"/>
          <w:szCs w:val="24"/>
        </w:rPr>
      </w:pPr>
    </w:p>
    <w:p w:rsidR="00BB7B36" w:rsidRPr="00AD7534" w:rsidRDefault="00BB7B36" w:rsidP="00BB7B36">
      <w:pPr>
        <w:spacing w:after="0" w:line="240" w:lineRule="auto"/>
        <w:jc w:val="both"/>
        <w:rPr>
          <w:rFonts w:ascii="Times New Roman" w:eastAsia="Times New Roman" w:hAnsi="Times New Roman" w:cs="Times New Roman"/>
          <w:b/>
          <w:color w:val="FF0000"/>
          <w:sz w:val="24"/>
          <w:szCs w:val="24"/>
          <w:u w:val="single"/>
        </w:rPr>
      </w:pPr>
      <w:r w:rsidRPr="00AD7534">
        <w:rPr>
          <w:rFonts w:ascii="Times New Roman" w:eastAsia="Times New Roman" w:hAnsi="Times New Roman" w:cs="Times New Roman"/>
          <w:color w:val="FF0000"/>
          <w:sz w:val="24"/>
          <w:szCs w:val="24"/>
          <w:u w:val="single"/>
        </w:rPr>
        <w:t>La confianza de los economistas contemporáneos en reglas mecánicas para ente</w:t>
      </w:r>
      <w:r>
        <w:rPr>
          <w:rFonts w:ascii="Times New Roman" w:eastAsia="Times New Roman" w:hAnsi="Times New Roman" w:cs="Times New Roman"/>
          <w:color w:val="FF0000"/>
          <w:sz w:val="24"/>
          <w:szCs w:val="24"/>
          <w:u w:val="single"/>
        </w:rPr>
        <w:t>nder los resultados económicos -e influir sobre ellos-</w:t>
      </w:r>
      <w:r w:rsidRPr="00AD7534">
        <w:rPr>
          <w:rFonts w:ascii="Times New Roman" w:eastAsia="Times New Roman" w:hAnsi="Times New Roman" w:cs="Times New Roman"/>
          <w:color w:val="FF0000"/>
          <w:sz w:val="24"/>
          <w:szCs w:val="24"/>
          <w:u w:val="single"/>
        </w:rPr>
        <w:t xml:space="preserve"> se extiende también a la política macroeconómica y a </w:t>
      </w:r>
      <w:r>
        <w:rPr>
          <w:rFonts w:ascii="Times New Roman" w:eastAsia="Times New Roman" w:hAnsi="Times New Roman" w:cs="Times New Roman"/>
          <w:color w:val="FF0000"/>
          <w:sz w:val="24"/>
          <w:szCs w:val="24"/>
          <w:u w:val="single"/>
        </w:rPr>
        <w:t>menudo recurre a una autoridad -</w:t>
      </w:r>
      <w:r>
        <w:rPr>
          <w:rFonts w:ascii="Times New Roman" w:eastAsia="Times New Roman" w:hAnsi="Times New Roman" w:cs="Times New Roman"/>
          <w:b/>
          <w:color w:val="FF0000"/>
          <w:sz w:val="24"/>
          <w:szCs w:val="24"/>
          <w:u w:val="single"/>
        </w:rPr>
        <w:t>John Maynard Keynes-</w:t>
      </w:r>
      <w:r w:rsidRPr="00AD7534">
        <w:rPr>
          <w:rFonts w:ascii="Times New Roman" w:eastAsia="Times New Roman" w:hAnsi="Times New Roman" w:cs="Times New Roman"/>
          <w:b/>
          <w:color w:val="FF0000"/>
          <w:sz w:val="24"/>
          <w:szCs w:val="24"/>
          <w:u w:val="single"/>
        </w:rPr>
        <w:t xml:space="preserve"> que hubiera rechazado su enfoque. Keynes entendió pronto la falacia que implica </w:t>
      </w:r>
      <w:r>
        <w:rPr>
          <w:rFonts w:ascii="Times New Roman" w:eastAsia="Times New Roman" w:hAnsi="Times New Roman" w:cs="Times New Roman"/>
          <w:b/>
          <w:color w:val="FF0000"/>
          <w:sz w:val="24"/>
          <w:szCs w:val="24"/>
          <w:u w:val="single"/>
        </w:rPr>
        <w:t>aplicar esas reglas mecánicas. “</w:t>
      </w:r>
      <w:r w:rsidRPr="00AD7534">
        <w:rPr>
          <w:rFonts w:ascii="Times New Roman" w:eastAsia="Times New Roman" w:hAnsi="Times New Roman" w:cs="Times New Roman"/>
          <w:b/>
          <w:color w:val="FF0000"/>
          <w:sz w:val="24"/>
          <w:szCs w:val="24"/>
          <w:u w:val="single"/>
        </w:rPr>
        <w:t>Nos hemos</w:t>
      </w:r>
      <w:r>
        <w:rPr>
          <w:rFonts w:ascii="Times New Roman" w:eastAsia="Times New Roman" w:hAnsi="Times New Roman" w:cs="Times New Roman"/>
          <w:b/>
          <w:color w:val="FF0000"/>
          <w:sz w:val="24"/>
          <w:szCs w:val="24"/>
          <w:u w:val="single"/>
        </w:rPr>
        <w:t xml:space="preserve"> sumergido en un enredo colosal”</w:t>
      </w:r>
      <w:r w:rsidRPr="00AD7534">
        <w:rPr>
          <w:rFonts w:ascii="Times New Roman" w:eastAsia="Times New Roman" w:hAnsi="Times New Roman" w:cs="Times New Roman"/>
          <w:b/>
          <w:color w:val="FF0000"/>
          <w:sz w:val="24"/>
          <w:szCs w:val="24"/>
          <w:u w:val="single"/>
        </w:rPr>
        <w:t>, previ</w:t>
      </w:r>
      <w:r>
        <w:rPr>
          <w:rFonts w:ascii="Times New Roman" w:eastAsia="Times New Roman" w:hAnsi="Times New Roman" w:cs="Times New Roman"/>
          <w:b/>
          <w:color w:val="FF0000"/>
          <w:sz w:val="24"/>
          <w:szCs w:val="24"/>
          <w:u w:val="single"/>
        </w:rPr>
        <w:t>no, “</w:t>
      </w:r>
      <w:r w:rsidRPr="00AD7534">
        <w:rPr>
          <w:rFonts w:ascii="Times New Roman" w:eastAsia="Times New Roman" w:hAnsi="Times New Roman" w:cs="Times New Roman"/>
          <w:b/>
          <w:color w:val="FF0000"/>
          <w:sz w:val="24"/>
          <w:szCs w:val="24"/>
          <w:u w:val="single"/>
        </w:rPr>
        <w:t>nos equivocamos en el control de una delicada máquina, cuyo</w:t>
      </w:r>
      <w:r>
        <w:rPr>
          <w:rFonts w:ascii="Times New Roman" w:eastAsia="Times New Roman" w:hAnsi="Times New Roman" w:cs="Times New Roman"/>
          <w:b/>
          <w:color w:val="FF0000"/>
          <w:sz w:val="24"/>
          <w:szCs w:val="24"/>
          <w:u w:val="single"/>
        </w:rPr>
        <w:t xml:space="preserve"> funcionamiento no comprendemos”</w:t>
      </w:r>
      <w:r w:rsidRPr="00AD7534">
        <w:rPr>
          <w:rFonts w:ascii="Times New Roman" w:eastAsia="Times New Roman" w:hAnsi="Times New Roman" w:cs="Times New Roman"/>
          <w:b/>
          <w:color w:val="FF0000"/>
          <w:sz w:val="24"/>
          <w:szCs w:val="24"/>
          <w:u w:val="single"/>
        </w:rPr>
        <w:t>.</w:t>
      </w:r>
    </w:p>
    <w:p w:rsidR="00BB7B36" w:rsidRPr="00AD7534" w:rsidRDefault="00BB7B36" w:rsidP="00BB7B36">
      <w:pPr>
        <w:spacing w:after="0" w:line="240" w:lineRule="auto"/>
        <w:jc w:val="both"/>
        <w:rPr>
          <w:rFonts w:ascii="Times New Roman" w:eastAsia="Times New Roman" w:hAnsi="Times New Roman" w:cs="Times New Roman"/>
          <w:color w:val="FF0000"/>
          <w:sz w:val="24"/>
          <w:szCs w:val="24"/>
          <w:u w:val="single"/>
        </w:rPr>
      </w:pPr>
    </w:p>
    <w:p w:rsidR="00BB7B36" w:rsidRPr="00AD7534" w:rsidRDefault="00BB7B36" w:rsidP="00BB7B36">
      <w:pPr>
        <w:spacing w:after="0" w:line="240" w:lineRule="auto"/>
        <w:jc w:val="both"/>
        <w:rPr>
          <w:rFonts w:ascii="Times New Roman" w:eastAsia="Times New Roman" w:hAnsi="Times New Roman" w:cs="Times New Roman"/>
          <w:color w:val="FF0000"/>
          <w:sz w:val="24"/>
          <w:szCs w:val="24"/>
          <w:u w:val="single"/>
        </w:rPr>
      </w:pPr>
      <w:r w:rsidRPr="00AD7534">
        <w:rPr>
          <w:rFonts w:ascii="Times New Roman" w:eastAsia="Times New Roman" w:hAnsi="Times New Roman" w:cs="Times New Roman"/>
          <w:color w:val="FF0000"/>
          <w:sz w:val="24"/>
          <w:szCs w:val="24"/>
          <w:u w:val="single"/>
        </w:rPr>
        <w:t>En la Teoría general de la ocupación, el interés y el dinero, Keynes buscó proporcionar los motivos necesarios para generar confianza en la política fiscal expansionista como remedio para las economías capitalistas avanzadas contra la Gran Depresión. Pero, después de la Segunda Guerra Mundial, sus sucesores desarrollaron una agenda mucho más ambiciosa. En vez de perseguir medidas para contrarrestar las fluctuaciones excesivas en la actividad económica, como la profunda contracción de la década de 1930, las llamadas políticas de estabilización se centraron en medidas que procuraban mantener el</w:t>
      </w:r>
      <w:r>
        <w:rPr>
          <w:rFonts w:ascii="Times New Roman" w:eastAsia="Times New Roman" w:hAnsi="Times New Roman" w:cs="Times New Roman"/>
          <w:color w:val="FF0000"/>
          <w:sz w:val="24"/>
          <w:szCs w:val="24"/>
          <w:u w:val="single"/>
        </w:rPr>
        <w:t xml:space="preserve"> pleno empleo. Los modelos del “nuevo keynesianismo”</w:t>
      </w:r>
      <w:r w:rsidRPr="00AD7534">
        <w:rPr>
          <w:rFonts w:ascii="Times New Roman" w:eastAsia="Times New Roman" w:hAnsi="Times New Roman" w:cs="Times New Roman"/>
          <w:color w:val="FF0000"/>
          <w:sz w:val="24"/>
          <w:szCs w:val="24"/>
          <w:u w:val="single"/>
        </w:rPr>
        <w:t xml:space="preserve"> que apuntalaban estas políticas suponía</w:t>
      </w:r>
      <w:r>
        <w:rPr>
          <w:rFonts w:ascii="Times New Roman" w:eastAsia="Times New Roman" w:hAnsi="Times New Roman" w:cs="Times New Roman"/>
          <w:color w:val="FF0000"/>
          <w:sz w:val="24"/>
          <w:szCs w:val="24"/>
          <w:u w:val="single"/>
        </w:rPr>
        <w:t>n que el “verdadero” potencial -y con él, la “brecha del producto”</w:t>
      </w:r>
      <w:r w:rsidRPr="00AD7534">
        <w:rPr>
          <w:rFonts w:ascii="Times New Roman" w:eastAsia="Times New Roman" w:hAnsi="Times New Roman" w:cs="Times New Roman"/>
          <w:color w:val="FF0000"/>
          <w:sz w:val="24"/>
          <w:szCs w:val="24"/>
          <w:u w:val="single"/>
        </w:rPr>
        <w:t xml:space="preserve"> que la política expansionista busca reduci</w:t>
      </w:r>
      <w:r>
        <w:rPr>
          <w:rFonts w:ascii="Times New Roman" w:eastAsia="Times New Roman" w:hAnsi="Times New Roman" w:cs="Times New Roman"/>
          <w:color w:val="FF0000"/>
          <w:sz w:val="24"/>
          <w:szCs w:val="24"/>
          <w:u w:val="single"/>
        </w:rPr>
        <w:t>r para alcanzar el pleno empleo-</w:t>
      </w:r>
      <w:r w:rsidRPr="00AD7534">
        <w:rPr>
          <w:rFonts w:ascii="Times New Roman" w:eastAsia="Times New Roman" w:hAnsi="Times New Roman" w:cs="Times New Roman"/>
          <w:color w:val="FF0000"/>
          <w:sz w:val="24"/>
          <w:szCs w:val="24"/>
          <w:u w:val="single"/>
        </w:rPr>
        <w:t xml:space="preserve"> podían medirse con precisión.</w:t>
      </w:r>
    </w:p>
    <w:p w:rsidR="00BB7B36" w:rsidRPr="00AD7534" w:rsidRDefault="00BB7B36" w:rsidP="00BB7B36">
      <w:pPr>
        <w:spacing w:after="0" w:line="240" w:lineRule="auto"/>
        <w:jc w:val="both"/>
        <w:rPr>
          <w:rFonts w:ascii="Times New Roman" w:eastAsia="Times New Roman" w:hAnsi="Times New Roman" w:cs="Times New Roman"/>
          <w:color w:val="FF0000"/>
          <w:sz w:val="24"/>
          <w:szCs w:val="24"/>
          <w:u w:val="single"/>
        </w:rPr>
      </w:pPr>
    </w:p>
    <w:p w:rsidR="00BB7B36" w:rsidRPr="00AD7534" w:rsidRDefault="00BB7B36" w:rsidP="00BB7B36">
      <w:pPr>
        <w:spacing w:after="0" w:line="240" w:lineRule="auto"/>
        <w:jc w:val="both"/>
        <w:rPr>
          <w:rFonts w:ascii="Times New Roman" w:eastAsia="Times New Roman" w:hAnsi="Times New Roman" w:cs="Times New Roman"/>
          <w:b/>
          <w:color w:val="FF0000"/>
          <w:sz w:val="24"/>
          <w:szCs w:val="24"/>
          <w:u w:val="single"/>
        </w:rPr>
      </w:pPr>
      <w:r w:rsidRPr="00AD7534">
        <w:rPr>
          <w:rFonts w:ascii="Times New Roman" w:eastAsia="Times New Roman" w:hAnsi="Times New Roman" w:cs="Times New Roman"/>
          <w:b/>
          <w:color w:val="FF0000"/>
          <w:sz w:val="24"/>
          <w:szCs w:val="24"/>
          <w:u w:val="single"/>
        </w:rPr>
        <w:t>Pero, para decirlo sin rodeos, creer que el economista puede especificar anticipada y completamente el comportamien</w:t>
      </w:r>
      <w:r>
        <w:rPr>
          <w:rFonts w:ascii="Times New Roman" w:eastAsia="Times New Roman" w:hAnsi="Times New Roman" w:cs="Times New Roman"/>
          <w:b/>
          <w:color w:val="FF0000"/>
          <w:sz w:val="24"/>
          <w:szCs w:val="24"/>
          <w:u w:val="single"/>
        </w:rPr>
        <w:t>to de los resultados agregados -</w:t>
      </w:r>
      <w:r w:rsidRPr="00AD7534">
        <w:rPr>
          <w:rFonts w:ascii="Times New Roman" w:eastAsia="Times New Roman" w:hAnsi="Times New Roman" w:cs="Times New Roman"/>
          <w:b/>
          <w:color w:val="FF0000"/>
          <w:sz w:val="24"/>
          <w:szCs w:val="24"/>
          <w:u w:val="single"/>
        </w:rPr>
        <w:t>y con ellos, el nivel p</w:t>
      </w:r>
      <w:r>
        <w:rPr>
          <w:rFonts w:ascii="Times New Roman" w:eastAsia="Times New Roman" w:hAnsi="Times New Roman" w:cs="Times New Roman"/>
          <w:b/>
          <w:color w:val="FF0000"/>
          <w:sz w:val="24"/>
          <w:szCs w:val="24"/>
          <w:u w:val="single"/>
        </w:rPr>
        <w:t>otencial de actividad económica-</w:t>
      </w:r>
      <w:r w:rsidRPr="00AD7534">
        <w:rPr>
          <w:rFonts w:ascii="Times New Roman" w:eastAsia="Times New Roman" w:hAnsi="Times New Roman" w:cs="Times New Roman"/>
          <w:b/>
          <w:color w:val="FF0000"/>
          <w:sz w:val="24"/>
          <w:szCs w:val="24"/>
          <w:u w:val="single"/>
        </w:rPr>
        <w:t xml:space="preserve"> es falaz. Las proyecciones implicadas por el modelo macroeconométrico de la Fed relacionadas con los tiempos y efectos de los estímulos económicos de 2008 sobre el empleo, que resultaron notablemente equivocadas, son un claro ejemplo.</w:t>
      </w:r>
    </w:p>
    <w:p w:rsidR="00BB7B36" w:rsidRPr="00DD77F8" w:rsidRDefault="00BB7B36" w:rsidP="00BB7B36">
      <w:pPr>
        <w:spacing w:after="0" w:line="240" w:lineRule="auto"/>
        <w:jc w:val="both"/>
        <w:rPr>
          <w:rFonts w:ascii="Times New Roman" w:eastAsia="Times New Roman" w:hAnsi="Times New Roman" w:cs="Times New Roman"/>
          <w:sz w:val="24"/>
          <w:szCs w:val="24"/>
        </w:rPr>
      </w:pPr>
    </w:p>
    <w:p w:rsidR="00BB7B36" w:rsidRPr="00AD7534" w:rsidRDefault="00BB7B36" w:rsidP="00BB7B36">
      <w:pPr>
        <w:spacing w:after="0" w:line="240" w:lineRule="auto"/>
        <w:jc w:val="both"/>
        <w:rPr>
          <w:rFonts w:ascii="Times New Roman" w:eastAsia="Times New Roman" w:hAnsi="Times New Roman" w:cs="Times New Roman"/>
          <w:sz w:val="24"/>
          <w:szCs w:val="24"/>
          <w:u w:val="single"/>
        </w:rPr>
      </w:pPr>
      <w:r w:rsidRPr="00AD7534">
        <w:rPr>
          <w:rFonts w:ascii="Times New Roman" w:eastAsia="Times New Roman" w:hAnsi="Times New Roman" w:cs="Times New Roman"/>
          <w:sz w:val="24"/>
          <w:szCs w:val="24"/>
          <w:u w:val="single"/>
        </w:rPr>
        <w:t>Sin embargo, la corriente dominante en la profesión económica insiste en que esos modelos mecanicistas mantienen su validez. El economista y premio nobel Paul Kr</w:t>
      </w:r>
      <w:r>
        <w:rPr>
          <w:rFonts w:ascii="Times New Roman" w:eastAsia="Times New Roman" w:hAnsi="Times New Roman" w:cs="Times New Roman"/>
          <w:sz w:val="24"/>
          <w:szCs w:val="24"/>
          <w:u w:val="single"/>
        </w:rPr>
        <w:t>ugman, por ejemplo, afirma que “</w:t>
      </w:r>
      <w:r w:rsidRPr="00AD7534">
        <w:rPr>
          <w:rFonts w:ascii="Times New Roman" w:eastAsia="Times New Roman" w:hAnsi="Times New Roman" w:cs="Times New Roman"/>
          <w:sz w:val="24"/>
          <w:szCs w:val="24"/>
          <w:u w:val="single"/>
        </w:rPr>
        <w:t>u</w:t>
      </w:r>
      <w:r w:rsidR="001D6EF6">
        <w:rPr>
          <w:rFonts w:ascii="Times New Roman" w:eastAsia="Times New Roman" w:hAnsi="Times New Roman" w:cs="Times New Roman"/>
          <w:sz w:val="24"/>
          <w:szCs w:val="24"/>
          <w:u w:val="single"/>
        </w:rPr>
        <w:t>na estimación rápida e informal” sobre la base de “</w:t>
      </w:r>
      <w:r>
        <w:rPr>
          <w:rFonts w:ascii="Times New Roman" w:eastAsia="Times New Roman" w:hAnsi="Times New Roman" w:cs="Times New Roman"/>
          <w:sz w:val="24"/>
          <w:szCs w:val="24"/>
          <w:u w:val="single"/>
        </w:rPr>
        <w:t>macroeconomía de libro de texto”</w:t>
      </w:r>
      <w:r w:rsidRPr="00AD7534">
        <w:rPr>
          <w:rFonts w:ascii="Times New Roman" w:eastAsia="Times New Roman" w:hAnsi="Times New Roman" w:cs="Times New Roman"/>
          <w:sz w:val="24"/>
          <w:szCs w:val="24"/>
          <w:u w:val="single"/>
        </w:rPr>
        <w:t xml:space="preserve"> indica que el estímulo fiscal estadounidense de $</w:t>
      </w:r>
      <w:r w:rsidR="001D6EF6">
        <w:rPr>
          <w:rFonts w:ascii="Times New Roman" w:eastAsia="Times New Roman" w:hAnsi="Times New Roman" w:cs="Times New Roman"/>
          <w:sz w:val="24"/>
          <w:szCs w:val="24"/>
          <w:u w:val="single"/>
        </w:rPr>
        <w:t xml:space="preserve"> </w:t>
      </w:r>
      <w:r w:rsidRPr="00AD7534">
        <w:rPr>
          <w:rFonts w:ascii="Times New Roman" w:eastAsia="Times New Roman" w:hAnsi="Times New Roman" w:cs="Times New Roman"/>
          <w:sz w:val="24"/>
          <w:szCs w:val="24"/>
          <w:u w:val="single"/>
        </w:rPr>
        <w:t>800 mil millones en 2009 debió haber sido tres veces mayor.</w:t>
      </w:r>
    </w:p>
    <w:p w:rsidR="00BB7B36" w:rsidRPr="00DD77F8" w:rsidRDefault="00BB7B36" w:rsidP="00BB7B36">
      <w:pPr>
        <w:spacing w:after="0" w:line="240" w:lineRule="auto"/>
        <w:jc w:val="both"/>
        <w:rPr>
          <w:rFonts w:ascii="Times New Roman" w:eastAsia="Times New Roman" w:hAnsi="Times New Roman" w:cs="Times New Roman"/>
          <w:sz w:val="24"/>
          <w:szCs w:val="24"/>
        </w:rPr>
      </w:pPr>
    </w:p>
    <w:p w:rsidR="00BB7B36" w:rsidRPr="00DD77F8" w:rsidRDefault="00BB7B36" w:rsidP="00BB7B36">
      <w:pPr>
        <w:spacing w:after="0" w:line="240" w:lineRule="auto"/>
        <w:jc w:val="both"/>
        <w:rPr>
          <w:rFonts w:ascii="Times New Roman" w:eastAsia="Times New Roman" w:hAnsi="Times New Roman" w:cs="Times New Roman"/>
          <w:sz w:val="24"/>
          <w:szCs w:val="24"/>
        </w:rPr>
      </w:pPr>
      <w:r w:rsidRPr="00AD7534">
        <w:rPr>
          <w:rFonts w:ascii="Times New Roman" w:eastAsia="Times New Roman" w:hAnsi="Times New Roman" w:cs="Times New Roman"/>
          <w:color w:val="FF0000"/>
          <w:sz w:val="24"/>
          <w:szCs w:val="24"/>
          <w:u w:val="single"/>
        </w:rPr>
        <w:t>Claramente, necesitamos un nuevo libro de texto. La cuestión no es si el estímulo fiscal ayudó, o si un mayor estímulo hubiera ayudado más; la pregunta es si los responsables de las políticas deben confiar en cualquier modelo que suponga que el futuro se desprende mecánicamente del pasado</w:t>
      </w:r>
      <w:r w:rsidRPr="00DD77F8">
        <w:rPr>
          <w:rFonts w:ascii="Times New Roman" w:eastAsia="Times New Roman" w:hAnsi="Times New Roman" w:cs="Times New Roman"/>
          <w:sz w:val="24"/>
          <w:szCs w:val="24"/>
        </w:rPr>
        <w:t>. Por ejemplo, el colapso en el mercado inmobiliario que, dejó a millones de propietarios estadounidenses con hipotecas superiores al valor de sus viviendas, no es parte de los modelos de los libros de texto, pero tornó imposibles los cálculos precisos del estímulo fiscal basados</w:t>
      </w:r>
      <w:r>
        <w:rPr>
          <w:rFonts w:ascii="Times New Roman" w:eastAsia="Times New Roman" w:hAnsi="Times New Roman" w:cs="Times New Roman"/>
          <w:sz w:val="24"/>
          <w:szCs w:val="24"/>
        </w:rPr>
        <w:t xml:space="preserve"> en ellos. El público desconfía</w:t>
      </w:r>
      <w:r w:rsidRPr="00DD77F8">
        <w:rPr>
          <w:rFonts w:ascii="Times New Roman" w:eastAsia="Times New Roman" w:hAnsi="Times New Roman" w:cs="Times New Roman"/>
          <w:sz w:val="24"/>
          <w:szCs w:val="24"/>
        </w:rPr>
        <w:t xml:space="preserve"> mucho cuando se afirma que esos modelos proporcionan algún tipo de base científica para la política económica.</w:t>
      </w:r>
    </w:p>
    <w:p w:rsidR="00BB7B36" w:rsidRPr="00DD77F8" w:rsidRDefault="00BB7B36" w:rsidP="00BB7B36">
      <w:pPr>
        <w:spacing w:after="0" w:line="240" w:lineRule="auto"/>
        <w:jc w:val="both"/>
        <w:rPr>
          <w:rFonts w:ascii="Times New Roman" w:eastAsia="Times New Roman" w:hAnsi="Times New Roman" w:cs="Times New Roman"/>
          <w:sz w:val="24"/>
          <w:szCs w:val="24"/>
        </w:rPr>
      </w:pPr>
    </w:p>
    <w:p w:rsidR="00BB7B36" w:rsidRPr="00AD7534" w:rsidRDefault="00BB7B36" w:rsidP="00BB7B36">
      <w:pPr>
        <w:spacing w:after="0" w:line="240" w:lineRule="auto"/>
        <w:jc w:val="both"/>
        <w:rPr>
          <w:rFonts w:ascii="Times New Roman" w:eastAsia="Times New Roman" w:hAnsi="Times New Roman" w:cs="Times New Roman"/>
          <w:color w:val="FF0000"/>
          <w:sz w:val="24"/>
          <w:szCs w:val="24"/>
          <w:u w:val="single"/>
        </w:rPr>
      </w:pPr>
      <w:r w:rsidRPr="00AD7534">
        <w:rPr>
          <w:rFonts w:ascii="Times New Roman" w:eastAsia="Times New Roman" w:hAnsi="Times New Roman" w:cs="Times New Roman"/>
          <w:color w:val="FF0000"/>
          <w:sz w:val="24"/>
          <w:szCs w:val="24"/>
          <w:u w:val="single"/>
        </w:rPr>
        <w:lastRenderedPageBreak/>
        <w:t>Pero renunciar a lo qu</w:t>
      </w:r>
      <w:r>
        <w:rPr>
          <w:rFonts w:ascii="Times New Roman" w:eastAsia="Times New Roman" w:hAnsi="Times New Roman" w:cs="Times New Roman"/>
          <w:color w:val="FF0000"/>
          <w:sz w:val="24"/>
          <w:szCs w:val="24"/>
          <w:u w:val="single"/>
        </w:rPr>
        <w:t>e Friedrich von Hayek llamó la “</w:t>
      </w:r>
      <w:r w:rsidRPr="00AD7534">
        <w:rPr>
          <w:rFonts w:ascii="Times New Roman" w:eastAsia="Times New Roman" w:hAnsi="Times New Roman" w:cs="Times New Roman"/>
          <w:color w:val="FF0000"/>
          <w:sz w:val="24"/>
          <w:szCs w:val="24"/>
          <w:u w:val="single"/>
        </w:rPr>
        <w:t>pre</w:t>
      </w:r>
      <w:r>
        <w:rPr>
          <w:rFonts w:ascii="Times New Roman" w:eastAsia="Times New Roman" w:hAnsi="Times New Roman" w:cs="Times New Roman"/>
          <w:color w:val="FF0000"/>
          <w:sz w:val="24"/>
          <w:szCs w:val="24"/>
          <w:u w:val="single"/>
        </w:rPr>
        <w:t>tensión del conocimiento exacto”</w:t>
      </w:r>
      <w:r w:rsidRPr="00AD7534">
        <w:rPr>
          <w:rFonts w:ascii="Times New Roman" w:eastAsia="Times New Roman" w:hAnsi="Times New Roman" w:cs="Times New Roman"/>
          <w:color w:val="FF0000"/>
          <w:sz w:val="24"/>
          <w:szCs w:val="24"/>
          <w:u w:val="single"/>
        </w:rPr>
        <w:t xml:space="preserve"> de los economistas no implica abandonar la posibilidad de que la teoría económica pueda informar la formulación de políticas. De hecho, reconocer el conocimiento siempre imperfecto por parte de los economistas, responsables de políticas y actores del mercado tiene implicaciones importantes para nuestra comprensión de la inestabilidad financiera y el rol del estado para mitigarla.</w:t>
      </w:r>
    </w:p>
    <w:p w:rsidR="00BB7B36" w:rsidRPr="00DD77F8" w:rsidRDefault="00BB7B36" w:rsidP="00BB7B36">
      <w:pPr>
        <w:spacing w:after="0" w:line="240" w:lineRule="auto"/>
        <w:jc w:val="both"/>
        <w:rPr>
          <w:rFonts w:ascii="Times New Roman" w:eastAsia="Times New Roman" w:hAnsi="Times New Roman" w:cs="Times New Roman"/>
          <w:sz w:val="24"/>
          <w:szCs w:val="24"/>
        </w:rPr>
      </w:pPr>
    </w:p>
    <w:p w:rsidR="00BB7B36" w:rsidRPr="00AD7534" w:rsidRDefault="00BB7B36" w:rsidP="00BB7B36">
      <w:pPr>
        <w:spacing w:after="0" w:line="240" w:lineRule="auto"/>
        <w:jc w:val="both"/>
        <w:rPr>
          <w:rFonts w:ascii="Times New Roman" w:eastAsia="Times New Roman" w:hAnsi="Times New Roman" w:cs="Times New Roman"/>
          <w:color w:val="FF0000"/>
          <w:sz w:val="24"/>
          <w:szCs w:val="24"/>
          <w:u w:val="single"/>
        </w:rPr>
      </w:pPr>
      <w:r w:rsidRPr="00DD77F8">
        <w:rPr>
          <w:rFonts w:ascii="Times New Roman" w:eastAsia="Times New Roman" w:hAnsi="Times New Roman" w:cs="Times New Roman"/>
          <w:sz w:val="24"/>
          <w:szCs w:val="24"/>
        </w:rPr>
        <w:t xml:space="preserve">Las variaciones en el precio de los activos no surgen porque los participantes en el mercado son irracionales, sino porque intentan sobrellevar su conocimiento siempre imperfecto del flujo futuro de beneficios derivado de proyectos de inversión alternativos. La inestabilidad de los mercados es, por lo tanto, integral a la forma en que las economías capitalistas asignan sus ahorros. </w:t>
      </w:r>
      <w:r w:rsidRPr="00AD7534">
        <w:rPr>
          <w:rFonts w:ascii="Times New Roman" w:eastAsia="Times New Roman" w:hAnsi="Times New Roman" w:cs="Times New Roman"/>
          <w:color w:val="FF0000"/>
          <w:sz w:val="24"/>
          <w:szCs w:val="24"/>
          <w:u w:val="single"/>
        </w:rPr>
        <w:t>Dado esto, los responsables de políticas no deben intervenir porque cuenten con un conocimiento superior sobre el valor de los activos (de hecho, nadie lo tiene), sino porque los participantes del mercado en busca de beneficios no internalizan los enormes costos sociales asociados a las excesivas alzas y bajas de los precios.</w:t>
      </w:r>
    </w:p>
    <w:p w:rsidR="00BB7B36" w:rsidRPr="00DD77F8" w:rsidRDefault="00BB7B36" w:rsidP="00BB7B36">
      <w:pPr>
        <w:spacing w:after="0" w:line="240" w:lineRule="auto"/>
        <w:jc w:val="both"/>
        <w:rPr>
          <w:rFonts w:ascii="Times New Roman" w:eastAsia="Times New Roman" w:hAnsi="Times New Roman" w:cs="Times New Roman"/>
          <w:sz w:val="24"/>
          <w:szCs w:val="24"/>
        </w:rPr>
      </w:pPr>
    </w:p>
    <w:p w:rsidR="00BB7B36" w:rsidRPr="00AD7534" w:rsidRDefault="00BB7B36" w:rsidP="00BB7B36">
      <w:pPr>
        <w:spacing w:after="0" w:line="240" w:lineRule="auto"/>
        <w:jc w:val="both"/>
        <w:rPr>
          <w:rFonts w:ascii="Times New Roman" w:eastAsia="Times New Roman" w:hAnsi="Times New Roman" w:cs="Times New Roman"/>
          <w:color w:val="FF0000"/>
          <w:sz w:val="24"/>
          <w:szCs w:val="24"/>
          <w:u w:val="single"/>
        </w:rPr>
      </w:pPr>
      <w:r w:rsidRPr="00AD7534">
        <w:rPr>
          <w:rFonts w:ascii="Times New Roman" w:eastAsia="Times New Roman" w:hAnsi="Times New Roman" w:cs="Times New Roman"/>
          <w:color w:val="FF0000"/>
          <w:sz w:val="24"/>
          <w:szCs w:val="24"/>
          <w:u w:val="single"/>
        </w:rPr>
        <w:t>Son esas excesivas fluctuaciones, no los desvíos respe</w:t>
      </w:r>
      <w:r>
        <w:rPr>
          <w:rFonts w:ascii="Times New Roman" w:eastAsia="Times New Roman" w:hAnsi="Times New Roman" w:cs="Times New Roman"/>
          <w:color w:val="FF0000"/>
          <w:sz w:val="24"/>
          <w:szCs w:val="24"/>
          <w:u w:val="single"/>
        </w:rPr>
        <w:t>cto de algún imaginativo valor “verdadero” -</w:t>
      </w:r>
      <w:r w:rsidRPr="00AD7534">
        <w:rPr>
          <w:rFonts w:ascii="Times New Roman" w:eastAsia="Times New Roman" w:hAnsi="Times New Roman" w:cs="Times New Roman"/>
          <w:color w:val="FF0000"/>
          <w:sz w:val="24"/>
          <w:szCs w:val="24"/>
          <w:u w:val="single"/>
        </w:rPr>
        <w:t>ya sea de los ac</w:t>
      </w:r>
      <w:r>
        <w:rPr>
          <w:rFonts w:ascii="Times New Roman" w:eastAsia="Times New Roman" w:hAnsi="Times New Roman" w:cs="Times New Roman"/>
          <w:color w:val="FF0000"/>
          <w:sz w:val="24"/>
          <w:szCs w:val="24"/>
          <w:u w:val="single"/>
        </w:rPr>
        <w:t>tivos o de la tasa de desempleo-</w:t>
      </w:r>
      <w:r w:rsidRPr="00AD7534">
        <w:rPr>
          <w:rFonts w:ascii="Times New Roman" w:eastAsia="Times New Roman" w:hAnsi="Times New Roman" w:cs="Times New Roman"/>
          <w:color w:val="FF0000"/>
          <w:sz w:val="24"/>
          <w:szCs w:val="24"/>
          <w:u w:val="single"/>
        </w:rPr>
        <w:t xml:space="preserve"> aquello que, según Keynes, los responsables de las políticas debían procurar mitigar. A diferencia de sus sucesores, Keynes y Hayek entendieron que el conocimiento imperfecto y los cambios no rutinarios implican que las reglas de política, junto con las variables subyacentes a ellas, ganan y pierden relevancia en momentos que nadie puede anticipar.</w:t>
      </w:r>
    </w:p>
    <w:p w:rsidR="00BB7B36" w:rsidRPr="00DD77F8" w:rsidRDefault="00BB7B36" w:rsidP="00BB7B36">
      <w:pPr>
        <w:spacing w:after="0" w:line="240" w:lineRule="auto"/>
        <w:jc w:val="both"/>
        <w:rPr>
          <w:rFonts w:ascii="Times New Roman" w:eastAsia="Times New Roman" w:hAnsi="Times New Roman" w:cs="Times New Roman"/>
          <w:sz w:val="24"/>
          <w:szCs w:val="24"/>
        </w:rPr>
      </w:pPr>
    </w:p>
    <w:p w:rsidR="00BB7B36" w:rsidRPr="00DD77F8" w:rsidRDefault="00BB7B36" w:rsidP="00BB7B36">
      <w:pPr>
        <w:spacing w:after="0" w:line="240" w:lineRule="auto"/>
        <w:jc w:val="both"/>
        <w:rPr>
          <w:rFonts w:ascii="Times New Roman" w:eastAsia="Times New Roman" w:hAnsi="Times New Roman" w:cs="Times New Roman"/>
          <w:sz w:val="24"/>
          <w:szCs w:val="24"/>
        </w:rPr>
      </w:pPr>
      <w:r w:rsidRPr="00AD7534">
        <w:rPr>
          <w:rFonts w:ascii="Times New Roman" w:eastAsia="Times New Roman" w:hAnsi="Times New Roman" w:cs="Times New Roman"/>
          <w:color w:val="FF0000"/>
          <w:sz w:val="24"/>
          <w:szCs w:val="24"/>
          <w:u w:val="single"/>
        </w:rPr>
        <w:t>Esa percepción parece haber regresado a la formulación de políticas en la tierra natal de Keynes. En palabras de Mervyn King, el exgober</w:t>
      </w:r>
      <w:r>
        <w:rPr>
          <w:rFonts w:ascii="Times New Roman" w:eastAsia="Times New Roman" w:hAnsi="Times New Roman" w:cs="Times New Roman"/>
          <w:color w:val="FF0000"/>
          <w:sz w:val="24"/>
          <w:szCs w:val="24"/>
          <w:u w:val="single"/>
        </w:rPr>
        <w:t>nador del Banco de Inglaterra, “</w:t>
      </w:r>
      <w:r w:rsidRPr="00AD7534">
        <w:rPr>
          <w:rFonts w:ascii="Times New Roman" w:eastAsia="Times New Roman" w:hAnsi="Times New Roman" w:cs="Times New Roman"/>
          <w:color w:val="FF0000"/>
          <w:sz w:val="24"/>
          <w:szCs w:val="24"/>
          <w:u w:val="single"/>
        </w:rPr>
        <w:t>Nuestra comprensión de la economía es incompl</w:t>
      </w:r>
      <w:r>
        <w:rPr>
          <w:rFonts w:ascii="Times New Roman" w:eastAsia="Times New Roman" w:hAnsi="Times New Roman" w:cs="Times New Roman"/>
          <w:color w:val="FF0000"/>
          <w:sz w:val="24"/>
          <w:szCs w:val="24"/>
          <w:u w:val="single"/>
        </w:rPr>
        <w:t>eta y evoluciona continuamente (...)</w:t>
      </w:r>
      <w:r w:rsidRPr="00AD7534">
        <w:rPr>
          <w:rFonts w:ascii="Times New Roman" w:eastAsia="Times New Roman" w:hAnsi="Times New Roman" w:cs="Times New Roman"/>
          <w:color w:val="FF0000"/>
          <w:sz w:val="24"/>
          <w:szCs w:val="24"/>
          <w:u w:val="single"/>
        </w:rPr>
        <w:t xml:space="preserve"> Describir la política monetaria en términos de una regla constante derivada de un modelo conocido de la economía es igno</w:t>
      </w:r>
      <w:r>
        <w:rPr>
          <w:rFonts w:ascii="Times New Roman" w:eastAsia="Times New Roman" w:hAnsi="Times New Roman" w:cs="Times New Roman"/>
          <w:color w:val="FF0000"/>
          <w:sz w:val="24"/>
          <w:szCs w:val="24"/>
          <w:u w:val="single"/>
        </w:rPr>
        <w:t>rar este proceso de aprendizaje”</w:t>
      </w:r>
      <w:r w:rsidRPr="00AD7534">
        <w:rPr>
          <w:rFonts w:ascii="Times New Roman" w:eastAsia="Times New Roman" w:hAnsi="Times New Roman" w:cs="Times New Roman"/>
          <w:color w:val="FF0000"/>
          <w:sz w:val="24"/>
          <w:szCs w:val="24"/>
          <w:u w:val="single"/>
        </w:rPr>
        <w:t>.</w:t>
      </w:r>
      <w:r w:rsidRPr="00AD7534">
        <w:rPr>
          <w:rFonts w:ascii="Times New Roman" w:eastAsia="Times New Roman" w:hAnsi="Times New Roman" w:cs="Times New Roman"/>
          <w:color w:val="FF0000"/>
          <w:sz w:val="24"/>
          <w:szCs w:val="24"/>
        </w:rPr>
        <w:t xml:space="preserve"> </w:t>
      </w:r>
      <w:r w:rsidRPr="00DD77F8">
        <w:rPr>
          <w:rFonts w:ascii="Times New Roman" w:eastAsia="Times New Roman" w:hAnsi="Times New Roman" w:cs="Times New Roman"/>
          <w:sz w:val="24"/>
          <w:szCs w:val="24"/>
        </w:rPr>
        <w:t>Su sucesor, Mark Carney, ha llegado a personificar esta visión al evitar reglas fijas de política y favorecer una discreción limitada, basada en rangos orientativos para indicadores clave.</w:t>
      </w:r>
    </w:p>
    <w:p w:rsidR="00BB7B36" w:rsidRPr="00DD77F8" w:rsidRDefault="00BB7B36" w:rsidP="00BB7B36">
      <w:pPr>
        <w:spacing w:after="0" w:line="240" w:lineRule="auto"/>
        <w:jc w:val="both"/>
        <w:rPr>
          <w:rFonts w:ascii="Times New Roman" w:eastAsia="Times New Roman" w:hAnsi="Times New Roman" w:cs="Times New Roman"/>
          <w:sz w:val="24"/>
          <w:szCs w:val="24"/>
        </w:rPr>
      </w:pPr>
    </w:p>
    <w:p w:rsidR="00BB7B36" w:rsidRPr="00AD7534" w:rsidRDefault="00BB7B36" w:rsidP="00BB7B36">
      <w:pPr>
        <w:spacing w:after="0" w:line="240" w:lineRule="auto"/>
        <w:jc w:val="both"/>
        <w:rPr>
          <w:rFonts w:ascii="Times New Roman" w:eastAsia="Times New Roman" w:hAnsi="Times New Roman" w:cs="Times New Roman"/>
          <w:b/>
          <w:color w:val="FF0000"/>
          <w:sz w:val="24"/>
          <w:szCs w:val="24"/>
          <w:u w:val="single"/>
        </w:rPr>
      </w:pPr>
      <w:r w:rsidRPr="00AD7534">
        <w:rPr>
          <w:rFonts w:ascii="Times New Roman" w:eastAsia="Times New Roman" w:hAnsi="Times New Roman" w:cs="Times New Roman"/>
          <w:b/>
          <w:color w:val="FF0000"/>
          <w:sz w:val="24"/>
          <w:szCs w:val="24"/>
          <w:u w:val="single"/>
        </w:rPr>
        <w:t>En vez de pretender alcanzar metas numéricas precisas, ya sea para la inflación o el desempleo, la formulación de políticas en este modo busca reducir las fluctuaciones excesivas. Responde entonces a problemas reales, no a reglas y teorías (que estos problemas pueden haber tornado obsoletas). Si somos sinceros sobre las causas de la c</w:t>
      </w:r>
      <w:r>
        <w:rPr>
          <w:rFonts w:ascii="Times New Roman" w:eastAsia="Times New Roman" w:hAnsi="Times New Roman" w:cs="Times New Roman"/>
          <w:b/>
          <w:color w:val="FF0000"/>
          <w:sz w:val="24"/>
          <w:szCs w:val="24"/>
          <w:u w:val="single"/>
        </w:rPr>
        <w:t>risis de 2008 -</w:t>
      </w:r>
      <w:r w:rsidRPr="00AD7534">
        <w:rPr>
          <w:rFonts w:ascii="Times New Roman" w:eastAsia="Times New Roman" w:hAnsi="Times New Roman" w:cs="Times New Roman"/>
          <w:b/>
          <w:color w:val="FF0000"/>
          <w:sz w:val="24"/>
          <w:szCs w:val="24"/>
          <w:u w:val="single"/>
        </w:rPr>
        <w:t>y nos tomamos en serio</w:t>
      </w:r>
      <w:r>
        <w:rPr>
          <w:rFonts w:ascii="Times New Roman" w:eastAsia="Times New Roman" w:hAnsi="Times New Roman" w:cs="Times New Roman"/>
          <w:b/>
          <w:color w:val="FF0000"/>
          <w:sz w:val="24"/>
          <w:szCs w:val="24"/>
          <w:u w:val="single"/>
        </w:rPr>
        <w:t xml:space="preserve"> la prevención de su repetición-</w:t>
      </w:r>
      <w:r w:rsidRPr="00AD7534">
        <w:rPr>
          <w:rFonts w:ascii="Times New Roman" w:eastAsia="Times New Roman" w:hAnsi="Times New Roman" w:cs="Times New Roman"/>
          <w:b/>
          <w:color w:val="FF0000"/>
          <w:sz w:val="24"/>
          <w:szCs w:val="24"/>
          <w:u w:val="single"/>
        </w:rPr>
        <w:t xml:space="preserve"> debemos aceptar los límites del análisis económico, para aprovechar aquello que sí puede ofrecernos.</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w:t>
      </w:r>
      <w:r w:rsidRPr="00DD77F8">
        <w:rPr>
          <w:rFonts w:ascii="Times New Roman" w:eastAsia="Times New Roman" w:hAnsi="Times New Roman" w:cs="Times New Roman"/>
          <w:sz w:val="24"/>
          <w:szCs w:val="24"/>
          <w:lang w:val="en-US"/>
        </w:rPr>
        <w:t>Roman Frydman is Professor of Economics at New York University</w:t>
      </w:r>
      <w:r>
        <w:rPr>
          <w:rFonts w:ascii="Times New Roman" w:eastAsia="Times New Roman" w:hAnsi="Times New Roman" w:cs="Times New Roman"/>
          <w:sz w:val="24"/>
          <w:szCs w:val="24"/>
          <w:lang w:val="en-US"/>
        </w:rPr>
        <w:t xml:space="preserve">. </w:t>
      </w:r>
      <w:r w:rsidRPr="00DD77F8">
        <w:rPr>
          <w:rFonts w:ascii="Times New Roman" w:eastAsia="Times New Roman" w:hAnsi="Times New Roman" w:cs="Times New Roman"/>
          <w:sz w:val="24"/>
          <w:szCs w:val="24"/>
          <w:lang w:val="en-US"/>
        </w:rPr>
        <w:t>Michael D. Goldberg is Professor of Economics at the University of New Hampshire…</w:t>
      </w:r>
      <w:r>
        <w:rPr>
          <w:rFonts w:ascii="Times New Roman" w:eastAsia="Times New Roman" w:hAnsi="Times New Roman" w:cs="Times New Roman"/>
          <w:sz w:val="24"/>
          <w:szCs w:val="24"/>
          <w:lang w:val="en-US"/>
        </w:rPr>
        <w:t>)</w:t>
      </w:r>
      <w:r w:rsidRPr="00DD77F8">
        <w:rPr>
          <w:rFonts w:ascii="Times New Roman" w:eastAsia="Times New Roman" w:hAnsi="Times New Roman" w:cs="Times New Roman"/>
          <w:sz w:val="24"/>
          <w:szCs w:val="24"/>
          <w:lang w:val="en-US"/>
        </w:rPr>
        <w:t xml:space="preserve"> </w:t>
      </w:r>
    </w:p>
    <w:p w:rsidR="00BB7B36" w:rsidRDefault="00BB7B36" w:rsidP="00BB7B36">
      <w:pPr>
        <w:pStyle w:val="NormalWeb"/>
        <w:jc w:val="both"/>
      </w:pPr>
      <w:r>
        <w:t xml:space="preserve">- </w:t>
      </w:r>
      <w:r w:rsidRPr="005C6801">
        <w:rPr>
          <w:u w:val="single"/>
        </w:rPr>
        <w:t>Cinco años de no reforma financiera</w:t>
      </w:r>
      <w:r>
        <w:t xml:space="preserve"> (Project Syndicate - </w:t>
      </w:r>
      <w:r w:rsidRPr="005C6801">
        <w:rPr>
          <w:b/>
        </w:rPr>
        <w:t>13/9/13</w:t>
      </w:r>
      <w:r>
        <w:t>)</w:t>
      </w:r>
    </w:p>
    <w:p w:rsidR="00BB7B36" w:rsidRDefault="00BB7B36" w:rsidP="00BB7B36">
      <w:pPr>
        <w:pStyle w:val="NormalWeb"/>
        <w:jc w:val="both"/>
      </w:pPr>
      <w:r>
        <w:t xml:space="preserve">(Por </w:t>
      </w:r>
      <w:r w:rsidRPr="00655D76">
        <w:t>Anat Admati)</w:t>
      </w:r>
      <w:r>
        <w:tab/>
      </w:r>
    </w:p>
    <w:p w:rsidR="00BB7B36" w:rsidRPr="00DF150F" w:rsidRDefault="00BB7B36" w:rsidP="00BB7B36">
      <w:pPr>
        <w:pStyle w:val="NormalWeb"/>
        <w:jc w:val="both"/>
        <w:rPr>
          <w:u w:val="single"/>
        </w:rPr>
      </w:pPr>
      <w:r>
        <w:t xml:space="preserve">Stanford.- </w:t>
      </w:r>
      <w:r w:rsidRPr="00DF150F">
        <w:rPr>
          <w:u w:val="single"/>
        </w:rPr>
        <w:t xml:space="preserve">Cinco años después que el colapso de Lehman Brothers desató la mayor crisis financiera global desde la Gran Depresión, sectores bancarios sobredimensionados han hecho añicos las economías de Irlanda, Islandia y Chipre. Los bancos en Italia, </w:t>
      </w:r>
      <w:r w:rsidRPr="00DF150F">
        <w:rPr>
          <w:u w:val="single"/>
        </w:rPr>
        <w:lastRenderedPageBreak/>
        <w:t>España y otras partes no están prestando lo suficiente. El auge del crédito en China se está convirtiendo en un fiasco. En resumen, el sistema financiero mundial sigue siendo peligroso y disfuncional.</w:t>
      </w:r>
    </w:p>
    <w:p w:rsidR="00BB7B36" w:rsidRPr="00DF150F" w:rsidRDefault="00BB7B36" w:rsidP="00BB7B36">
      <w:pPr>
        <w:pStyle w:val="NormalWeb"/>
        <w:jc w:val="both"/>
        <w:rPr>
          <w:u w:val="single"/>
        </w:rPr>
      </w:pPr>
      <w:r w:rsidRPr="00DF150F">
        <w:rPr>
          <w:u w:val="single"/>
        </w:rPr>
        <w:t xml:space="preserve">Peor aún, a pesar de años de debate, no se ha alcanzado un consenso sobre la naturaleza de los problemas del sistema financiero -mucho menos sobre cómo solucionarlos-. Y eso parece reflejar el poder político de los bancos. </w:t>
      </w:r>
    </w:p>
    <w:p w:rsidR="00BB7B36" w:rsidRPr="00DF150F" w:rsidRDefault="00BB7B36" w:rsidP="00BB7B36">
      <w:pPr>
        <w:pStyle w:val="NormalWeb"/>
        <w:jc w:val="both"/>
        <w:rPr>
          <w:color w:val="FF0000"/>
          <w:u w:val="single"/>
        </w:rPr>
      </w:pPr>
      <w:r w:rsidRPr="00DF150F">
        <w:rPr>
          <w:color w:val="FF0000"/>
          <w:u w:val="single"/>
        </w:rPr>
        <w:t>Por ejemplo, Vince Cable, el secretario de negocios del Reino Unido, recientemente acusó a los reguladores del Banco de Ing</w:t>
      </w:r>
      <w:r>
        <w:rPr>
          <w:color w:val="FF0000"/>
          <w:u w:val="single"/>
        </w:rPr>
        <w:t>laterra -a quienes calificó de “talibanes del capital”</w:t>
      </w:r>
      <w:r w:rsidRPr="00DF150F">
        <w:rPr>
          <w:color w:val="FF0000"/>
          <w:u w:val="single"/>
        </w:rPr>
        <w:t>- de frenar la recuperación económica del país al imponer reglas excesivas a los bancos. Cable parece creerles a los lobistas de los bancos cuando dicen que el préstamo y el crecimiento se verían afectados</w:t>
      </w:r>
      <w:r>
        <w:rPr>
          <w:color w:val="FF0000"/>
          <w:u w:val="single"/>
        </w:rPr>
        <w:t xml:space="preserve"> si se obligara a los bancos a “tener más capital”</w:t>
      </w:r>
      <w:r w:rsidRPr="00DF150F">
        <w:rPr>
          <w:color w:val="FF0000"/>
          <w:u w:val="single"/>
        </w:rPr>
        <w:t>.</w:t>
      </w:r>
    </w:p>
    <w:p w:rsidR="00BB7B36" w:rsidRPr="00DF150F" w:rsidRDefault="00BB7B36" w:rsidP="00BB7B36">
      <w:pPr>
        <w:pStyle w:val="NormalWeb"/>
        <w:jc w:val="both"/>
        <w:rPr>
          <w:color w:val="FF0000"/>
          <w:u w:val="single"/>
        </w:rPr>
      </w:pPr>
      <w:r w:rsidRPr="00DF150F">
        <w:rPr>
          <w:color w:val="FF0000"/>
          <w:u w:val="single"/>
        </w:rPr>
        <w:t xml:space="preserve">Estos argumentos de los altos responsables de las políticas económicas no son exclusivos del Reino Unido; pero son falsos y engañosos. El capital bancario no son </w:t>
      </w:r>
      <w:r>
        <w:rPr>
          <w:color w:val="FF0000"/>
          <w:u w:val="single"/>
        </w:rPr>
        <w:t>reservas en efectivo que deben “ahorrarse”</w:t>
      </w:r>
      <w:r w:rsidRPr="00DF150F">
        <w:rPr>
          <w:color w:val="FF0000"/>
          <w:u w:val="single"/>
        </w:rPr>
        <w:t xml:space="preserve">; es dinero no prestado que se puede usar para otorgar préstamos. </w:t>
      </w:r>
    </w:p>
    <w:p w:rsidR="00BB7B36" w:rsidRDefault="00BB7B36" w:rsidP="00BB7B36">
      <w:pPr>
        <w:pStyle w:val="NormalWeb"/>
        <w:jc w:val="both"/>
      </w:pPr>
      <w:r>
        <w:t xml:space="preserve">En otras palabras, el crecimiento económico y del préstamo ha sufrido desde 2007 porque las instituciones financieras altamente endeudadas no pudieron absorber sus pérdidas, no por regulaciones que intentaban reducir su nivel de endeudamiento. Las regulaciones vigentes cuando estalló la crisis eran inadecuadas y se las había implementado de manera igualmente inadecuada, mientras que las reformas propuestas desde entonces no fueron mucho mejores. Las reformas propuestas en Basilea III, por ejemplo, les permitirían a los bancos financiar hasta el 97% de sus activos con dinero prestado; algunas inversiones se podían hacer enteramente con fondos prestados. </w:t>
      </w:r>
    </w:p>
    <w:p w:rsidR="00BB7B36" w:rsidRDefault="00BB7B36" w:rsidP="00BB7B36">
      <w:pPr>
        <w:pStyle w:val="NormalWeb"/>
        <w:jc w:val="both"/>
      </w:pPr>
      <w:r>
        <w:t xml:space="preserve">Los peligros de esta estrategia a esta altura deberían ser obvios. Cuando los propietarios de los hogares no pueden pagar sus hipotecas, pueden perder su casa, perjudicando a todo el vecindario. Lo mismo es válido para las instituciones financieras, como demostró la quiebra de Lehman. </w:t>
      </w:r>
    </w:p>
    <w:p w:rsidR="00BB7B36" w:rsidRDefault="00BB7B36" w:rsidP="00BB7B36">
      <w:pPr>
        <w:pStyle w:val="NormalWeb"/>
        <w:jc w:val="both"/>
      </w:pPr>
      <w:r>
        <w:t xml:space="preserve">Es más, los efectos de un alto nivel de endeudamiento se sienten antes de que los prestatarios dejen de pagar. Los propietarios en apuros o “ahogados” no invierten mucho en mantenimiento o mejoras. De la misma manera, los bancos débiles con deudas pendientes que les impiden financiar inversiones que valen la pena son perjudiciales para la economía. </w:t>
      </w:r>
    </w:p>
    <w:p w:rsidR="00BB7B36" w:rsidRDefault="00BB7B36" w:rsidP="00BB7B36">
      <w:pPr>
        <w:pStyle w:val="NormalWeb"/>
        <w:jc w:val="both"/>
      </w:pPr>
      <w:r>
        <w:t xml:space="preserve">Las regulaciones con imperfecciones distorsionan aún más el comportamiento de los bancos débiles -por ejemplo, predisponiéndolos a favor de otorgar préstamos a los gobiernos o invertir en títulos realizables en lugar de prestarle dinero a las empresas. Los reguladores muchas veces toleran, y a veces respaldan, a los bancos débiles, negando la realidad de su condición desesperada. Eso es contraproducente. </w:t>
      </w:r>
    </w:p>
    <w:p w:rsidR="00BB7B36" w:rsidRPr="00DF150F" w:rsidRDefault="00BB7B36" w:rsidP="00BB7B36">
      <w:pPr>
        <w:pStyle w:val="NormalWeb"/>
        <w:jc w:val="both"/>
        <w:rPr>
          <w:color w:val="FF0000"/>
          <w:u w:val="single"/>
        </w:rPr>
      </w:pPr>
      <w:r w:rsidRPr="00DF150F">
        <w:rPr>
          <w:color w:val="FF0000"/>
          <w:u w:val="single"/>
        </w:rPr>
        <w:t xml:space="preserve">Los reguladores, más bien, deben tomar medidas enérgicas para desmantelar a los bancos zombis y obligar a los bancos viables a depender más de los mercados de valores, donde el riesgo se negocia y se cotiza, para volverse más fuertes. Prohibir los desembolsos a los accionistas y exigirles a los bancos que recauden fondos vendiendo nuevas acciones los fortalecería sin limitar su capacidad de préstamo. Los bancos que </w:t>
      </w:r>
      <w:r w:rsidRPr="00DF150F">
        <w:rPr>
          <w:color w:val="FF0000"/>
          <w:u w:val="single"/>
        </w:rPr>
        <w:lastRenderedPageBreak/>
        <w:t xml:space="preserve">no pueden vender sus acciones a ningún precio tal vez sean demasiado débiles como para sobrevivir sin subsidios. Esos bancos son disfuncionales y hay que soltarles la mano. </w:t>
      </w:r>
    </w:p>
    <w:p w:rsidR="00BB7B36" w:rsidRPr="00DF150F" w:rsidRDefault="00BB7B36" w:rsidP="00BB7B36">
      <w:pPr>
        <w:pStyle w:val="NormalWeb"/>
        <w:jc w:val="both"/>
        <w:rPr>
          <w:color w:val="FF0000"/>
          <w:u w:val="single"/>
        </w:rPr>
      </w:pPr>
      <w:r w:rsidRPr="00DF150F">
        <w:rPr>
          <w:color w:val="FF0000"/>
          <w:u w:val="single"/>
        </w:rPr>
        <w:t>Si queremos bancos más seguros y más saludables, no se les puede exigir otra cosa que reducir su dependencia del endeudamiento. Como entidades prestadoras, los bancos pierden cuando los prestatarios no pagan. Los propios bancos, sin embargo, son los mayores prestatarios, y normalmente financian más del 90% -y en algunos casos más del 95%- de sus inversiones endeudándose. (Por el contrario, las corporaciones no financieras rara vez piden prestado más del 70% de sus activos, y muchas veces mucho menos, a pesar de la falta de alguna regulación de sus ratios de apalancamiento).</w:t>
      </w:r>
    </w:p>
    <w:p w:rsidR="00BB7B36" w:rsidRDefault="00BB7B36" w:rsidP="00BB7B36">
      <w:pPr>
        <w:pStyle w:val="NormalWeb"/>
        <w:jc w:val="both"/>
      </w:pPr>
      <w:r>
        <w:t>Chipre es un ejemplo de este problema. A partir de 2010, los bancos chipriotas invirtieron parte de sus depósitos en bonos del gobierno griego, que prometían tasas de interés superiores al 10% -a veces inclusive 15% o 20%-. Mientras Grecia pagaba estas tasas altas, los bancos chipriotas podían ofrecerles a sus depositantes tasas atractivas, como del 4,5%, y prosperar.</w:t>
      </w:r>
    </w:p>
    <w:p w:rsidR="00BB7B36" w:rsidRDefault="00BB7B36" w:rsidP="00BB7B36">
      <w:pPr>
        <w:pStyle w:val="NormalWeb"/>
        <w:jc w:val="both"/>
      </w:pPr>
      <w:r>
        <w:t xml:space="preserve">Los bancos chipriotas pasaron las pruebas de resistencia en julio de 2011. Sin embargo, a principios de 2012, sus bonos griegos perdieron el 75% de su valor. Como los bancos hacían sus inversiones con escaso dinero prestado, se volvieron insolventes. Después de haberse mantenido a flote durante un año con la ayuda del Banco Central Europeo, los bancos chipriotas se vieron obligados a enfrentar sus pérdidas. Uno cerró. Los depósitos superiores a 100.000 euros (133.000 dólares) generaron pérdidas. Los contribuyentes de la eurozona entregaron 10.000 millones de euros en fondos de rescate.  </w:t>
      </w:r>
    </w:p>
    <w:p w:rsidR="00BB7B36" w:rsidRPr="00DF150F" w:rsidRDefault="00BB7B36" w:rsidP="00BB7B36">
      <w:pPr>
        <w:pStyle w:val="NormalWeb"/>
        <w:jc w:val="both"/>
        <w:rPr>
          <w:color w:val="FF0000"/>
          <w:u w:val="single"/>
        </w:rPr>
      </w:pPr>
      <w:r>
        <w:t xml:space="preserve">Curiosamente, los reguladores habían permitido que los bancos chipriotas incurrieran en las prácticas que habían originado sus problemas. Si bien la inversión en bonos griegos era riesgosa -lo que se reflejaba en las altas tasas que prometían los bonos-, las regulaciones ignoraron la posibilidad de una pérdida. </w:t>
      </w:r>
      <w:r w:rsidRPr="00DF150F">
        <w:rPr>
          <w:color w:val="FF0000"/>
          <w:u w:val="single"/>
        </w:rPr>
        <w:t>Mientras la ventaja de los riesgos daba resultados, las ganancias de los bancos beneficiaron a sus accionistas y gerentes, los políticos estaban contentos y los bancos crecieron enormemente en relación a la economía.</w:t>
      </w:r>
    </w:p>
    <w:p w:rsidR="00BB7B36" w:rsidRPr="00DF150F" w:rsidRDefault="00BB7B36" w:rsidP="00BB7B36">
      <w:pPr>
        <w:pStyle w:val="NormalWeb"/>
        <w:jc w:val="both"/>
        <w:rPr>
          <w:u w:val="single"/>
        </w:rPr>
      </w:pPr>
      <w:r w:rsidRPr="00DF150F">
        <w:rPr>
          <w:u w:val="single"/>
        </w:rPr>
        <w:t xml:space="preserve">Las regulaciones propuestas por Basilea III establecieron requerimientos de capital mínimo absolutamente insuficientes y mantienen una estrategia errónea para ajustar los requerimientos al riesgo. Dentro de la eurozona, por ejemplo, los bancos pueden otorgar préstamos a cualquier gobierno usando exclusivamente dinero prestado. El banco franco-belga Dexia, al igual que los bancos chipriotas y muchos otros desde 2008, quebraron o fueron rescatados de pérdidas en inversiones riesgosas que los reguladores habían considerado seguras. </w:t>
      </w:r>
    </w:p>
    <w:p w:rsidR="00BB7B36" w:rsidRPr="00DF150F" w:rsidRDefault="00BB7B36" w:rsidP="00BB7B36">
      <w:pPr>
        <w:pStyle w:val="NormalWeb"/>
        <w:jc w:val="both"/>
        <w:rPr>
          <w:u w:val="single"/>
        </w:rPr>
      </w:pPr>
      <w:r w:rsidRPr="00DF150F">
        <w:rPr>
          <w:u w:val="single"/>
        </w:rPr>
        <w:t>Las regulaciones en todas partes parecen basarse en el falso concepto de que los</w:t>
      </w:r>
      <w:r>
        <w:rPr>
          <w:u w:val="single"/>
        </w:rPr>
        <w:t xml:space="preserve"> bancos deberían tener capital “apenas suficiente”</w:t>
      </w:r>
      <w:r w:rsidRPr="00DF150F">
        <w:rPr>
          <w:u w:val="single"/>
        </w:rPr>
        <w:t>. El capital no es escaso</w:t>
      </w:r>
      <w:r>
        <w:rPr>
          <w:u w:val="single"/>
        </w:rPr>
        <w:t xml:space="preserve"> para los bancos viables, y la “ciencia”</w:t>
      </w:r>
      <w:r w:rsidRPr="00DF150F">
        <w:rPr>
          <w:u w:val="single"/>
        </w:rPr>
        <w:t xml:space="preserve"> de las complejas evaluaciones de riesgo o las pruebas de resistencia es una ilusión nociva. En cambio, la regulación debería apuntar a obligar a los inversores de los bancos a asumir un porcentaje mucho mayor de su propio riesgo, y así preocuparse mucho más por gestionarlo, para limitar el daño colateral de su endeudamiento excesivo. </w:t>
      </w:r>
    </w:p>
    <w:p w:rsidR="00BB7B36" w:rsidRPr="00DF150F" w:rsidRDefault="00BB7B36" w:rsidP="00BB7B36">
      <w:pPr>
        <w:pStyle w:val="NormalWeb"/>
        <w:jc w:val="both"/>
        <w:rPr>
          <w:u w:val="single"/>
        </w:rPr>
      </w:pPr>
      <w:r w:rsidRPr="00DF150F">
        <w:rPr>
          <w:u w:val="single"/>
        </w:rPr>
        <w:lastRenderedPageBreak/>
        <w:t xml:space="preserve">Algunos dicen que los bancos son por naturaleza especiales, porque distribuyen los ahorros de la sociedad y crean liquidez. De hecho, los bancos se han vuelto especiales principalmente por su capacidad para realizar tantas apuestas a expensas de los demás. Nada sobre la intermediación financiera justifica permitirles a los bancos distorsionar la economía y poner en peligro a la población como lo hacen. </w:t>
      </w:r>
    </w:p>
    <w:p w:rsidR="00BB7B36" w:rsidRPr="00655D76" w:rsidRDefault="00BB7B36" w:rsidP="00BB7B36">
      <w:pPr>
        <w:pStyle w:val="NormalWeb"/>
        <w:jc w:val="both"/>
        <w:rPr>
          <w:u w:val="single"/>
          <w:lang w:val="en-US"/>
        </w:rPr>
      </w:pPr>
      <w:r w:rsidRPr="00DF150F">
        <w:rPr>
          <w:u w:val="single"/>
        </w:rPr>
        <w:t xml:space="preserve">Desafortunadamente, a pesar del enorme daño causado por la crisis financiera, es poco lo que ha cambiado en la política de los bancos. Son demasiados los políticos y los reguladores que ponen </w:t>
      </w:r>
      <w:r>
        <w:rPr>
          <w:u w:val="single"/>
        </w:rPr>
        <w:t>sus propios intereses y los de “sus”</w:t>
      </w:r>
      <w:r w:rsidRPr="00DF150F">
        <w:rPr>
          <w:u w:val="single"/>
        </w:rPr>
        <w:t xml:space="preserve"> bancos por delante de su obligación de proteger a los contribuyentes y a los ciudadanos. </w:t>
      </w:r>
      <w:r w:rsidRPr="00655D76">
        <w:rPr>
          <w:u w:val="single"/>
          <w:lang w:val="en-US"/>
        </w:rPr>
        <w:t>Debemos exigirles que cumplan mejor su trabajo.</w:t>
      </w:r>
    </w:p>
    <w:p w:rsidR="00BB7B36" w:rsidRDefault="00BB7B36" w:rsidP="00BB7B36">
      <w:pPr>
        <w:pStyle w:val="NormalWeb"/>
        <w:jc w:val="both"/>
        <w:rPr>
          <w:lang w:val="en-US"/>
        </w:rPr>
      </w:pPr>
      <w:r>
        <w:rPr>
          <w:lang w:val="en-US"/>
        </w:rPr>
        <w:t>(</w:t>
      </w:r>
      <w:r w:rsidRPr="005C6801">
        <w:rPr>
          <w:lang w:val="en-US"/>
        </w:rPr>
        <w:t>Anat Admati, Professor of Finance and Economics at the Stanford Graduate School of Business, is co-author (with Martin Hellwig) of The Bankers’ New Clothe</w:t>
      </w:r>
      <w:r>
        <w:rPr>
          <w:lang w:val="en-US"/>
        </w:rPr>
        <w:t>s</w:t>
      </w:r>
      <w:r w:rsidRPr="005C6801">
        <w:rPr>
          <w:lang w:val="en-US"/>
        </w:rPr>
        <w:t>…</w:t>
      </w:r>
      <w:r>
        <w:rPr>
          <w:lang w:val="en-US"/>
        </w:rPr>
        <w:t>)</w:t>
      </w:r>
    </w:p>
    <w:p w:rsidR="00BB7B36" w:rsidRPr="00331160" w:rsidRDefault="00BB7B36" w:rsidP="00BB7B36">
      <w:pPr>
        <w:pStyle w:val="NormalWeb"/>
        <w:jc w:val="both"/>
        <w:rPr>
          <w:u w:val="single"/>
        </w:rPr>
      </w:pPr>
      <w:r w:rsidRPr="00331160">
        <w:rPr>
          <w:u w:val="single"/>
        </w:rPr>
        <w:t xml:space="preserve">The Hall of Fame: </w:t>
      </w:r>
      <w:r>
        <w:rPr>
          <w:u w:val="single"/>
        </w:rPr>
        <w:t>“</w:t>
      </w:r>
      <w:r w:rsidRPr="00331160">
        <w:rPr>
          <w:u w:val="single"/>
        </w:rPr>
        <w:t>Caras y Caretas</w:t>
      </w:r>
      <w:r>
        <w:rPr>
          <w:u w:val="single"/>
        </w:rPr>
        <w:t>”</w:t>
      </w:r>
      <w:r w:rsidRPr="00331160">
        <w:rPr>
          <w:u w:val="single"/>
        </w:rPr>
        <w:t xml:space="preserve"> (para que nunca</w:t>
      </w:r>
      <w:r>
        <w:rPr>
          <w:u w:val="single"/>
        </w:rPr>
        <w:t xml:space="preserve"> se olviden de</w:t>
      </w:r>
      <w:r w:rsidRPr="00331160">
        <w:rPr>
          <w:u w:val="single"/>
        </w:rPr>
        <w:t xml:space="preserve"> quienes les han robado</w:t>
      </w:r>
      <w:r>
        <w:rPr>
          <w:u w:val="single"/>
        </w:rPr>
        <w:t xml:space="preserve"> el pasado -pensiones-, el presente -empleo y sanidad- y el futuro -educación-)</w:t>
      </w:r>
    </w:p>
    <w:p w:rsidR="00BB7B36" w:rsidRDefault="00BB7B36" w:rsidP="00BB7B3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CA1C7E">
        <w:rPr>
          <w:rFonts w:ascii="Times New Roman" w:eastAsia="Times New Roman" w:hAnsi="Times New Roman" w:cs="Times New Roman"/>
          <w:sz w:val="24"/>
          <w:szCs w:val="24"/>
          <w:u w:val="single"/>
        </w:rPr>
        <w:t>Los protagonistas de la crisis, cinco años después</w:t>
      </w:r>
      <w:r>
        <w:rPr>
          <w:rFonts w:ascii="Times New Roman" w:eastAsia="Times New Roman" w:hAnsi="Times New Roman" w:cs="Times New Roman"/>
          <w:sz w:val="24"/>
          <w:szCs w:val="24"/>
        </w:rPr>
        <w:t xml:space="preserve"> (The Wall Street Journal - </w:t>
      </w:r>
      <w:r w:rsidRPr="00CA1C7E">
        <w:rPr>
          <w:rFonts w:ascii="Times New Roman" w:eastAsia="Times New Roman" w:hAnsi="Times New Roman" w:cs="Times New Roman"/>
          <w:b/>
          <w:sz w:val="24"/>
          <w:szCs w:val="24"/>
        </w:rPr>
        <w:t>15/9/13</w:t>
      </w:r>
      <w:r>
        <w:rPr>
          <w:rFonts w:ascii="Times New Roman" w:eastAsia="Times New Roman" w:hAnsi="Times New Roman" w:cs="Times New Roman"/>
          <w:sz w:val="24"/>
          <w:szCs w:val="24"/>
        </w:rPr>
        <w:t>)</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Pr="00174E71" w:rsidRDefault="00BB7B36" w:rsidP="00BB7B36">
      <w:pPr>
        <w:spacing w:after="0" w:line="240" w:lineRule="auto"/>
        <w:jc w:val="both"/>
        <w:rPr>
          <w:rFonts w:ascii="Times New Roman" w:eastAsia="Times New Roman" w:hAnsi="Times New Roman" w:cs="Times New Roman"/>
          <w:color w:val="FF0000"/>
          <w:sz w:val="24"/>
          <w:szCs w:val="24"/>
        </w:rPr>
      </w:pPr>
      <w:r w:rsidRPr="00CA1C7E">
        <w:rPr>
          <w:rFonts w:ascii="Times New Roman" w:eastAsia="Times New Roman" w:hAnsi="Times New Roman" w:cs="Times New Roman"/>
          <w:sz w:val="24"/>
          <w:szCs w:val="24"/>
        </w:rPr>
        <w:t>El elenco de la crisis financiera de 2008</w:t>
      </w:r>
      <w:r>
        <w:rPr>
          <w:rFonts w:ascii="Times New Roman" w:eastAsia="Times New Roman" w:hAnsi="Times New Roman" w:cs="Times New Roman"/>
          <w:sz w:val="24"/>
          <w:szCs w:val="24"/>
        </w:rPr>
        <w:t xml:space="preserve">      </w:t>
      </w:r>
      <w:r w:rsidRPr="00174E71">
        <w:rPr>
          <w:rFonts w:ascii="Times New Roman" w:eastAsia="Times New Roman" w:hAnsi="Times New Roman" w:cs="Times New Roman"/>
          <w:b/>
          <w:sz w:val="24"/>
          <w:szCs w:val="24"/>
        </w:rPr>
        <w:t xml:space="preserve"> </w:t>
      </w:r>
    </w:p>
    <w:p w:rsidR="00BB7B36" w:rsidRPr="00CA1C7E"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sidRPr="00CA1C7E">
        <w:rPr>
          <w:rFonts w:ascii="Times New Roman" w:eastAsia="Times New Roman" w:hAnsi="Times New Roman" w:cs="Times New Roman"/>
          <w:sz w:val="24"/>
          <w:szCs w:val="24"/>
        </w:rPr>
        <w:t>Los dramáticos eventos de septiembre de 2008 pusieron a varios banqueros y funcionarios en la mira del público. Otros funcionarios jugaron papeles clave en la crisis, aunque no hayan ejercido un rol central. Un puñado de los principales protagonistas siguen activos en la vida pública, algunos incluso tienen los mismos trabajos, otros han desaparecido por completo de la vida pública.</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Pr="00CA1C7E" w:rsidRDefault="00BB7B36" w:rsidP="00BB7B36">
      <w:pPr>
        <w:spacing w:after="0" w:line="240" w:lineRule="auto"/>
        <w:jc w:val="both"/>
        <w:rPr>
          <w:rFonts w:ascii="Times New Roman" w:eastAsia="Times New Roman" w:hAnsi="Times New Roman" w:cs="Times New Roman"/>
          <w:sz w:val="24"/>
          <w:szCs w:val="24"/>
        </w:rPr>
      </w:pPr>
      <w:r w:rsidRPr="00CA1C7E">
        <w:rPr>
          <w:rFonts w:ascii="Times New Roman" w:eastAsia="Times New Roman" w:hAnsi="Times New Roman" w:cs="Times New Roman"/>
          <w:sz w:val="24"/>
          <w:szCs w:val="24"/>
        </w:rPr>
        <w:t>Henry Paulson</w:t>
      </w:r>
      <w:r>
        <w:rPr>
          <w:rFonts w:ascii="Times New Roman" w:eastAsia="Times New Roman" w:hAnsi="Times New Roman" w:cs="Times New Roman"/>
          <w:sz w:val="24"/>
          <w:szCs w:val="24"/>
        </w:rPr>
        <w:t xml:space="preserve">   </w:t>
      </w:r>
      <w:r w:rsidRPr="00CA1C7E">
        <w:rPr>
          <w:rFonts w:ascii="Times New Roman" w:eastAsia="Times New Roman" w:hAnsi="Times New Roman" w:cs="Times New Roman"/>
          <w:sz w:val="24"/>
          <w:szCs w:val="24"/>
        </w:rPr>
        <w:t>Funcionario</w:t>
      </w:r>
    </w:p>
    <w:p w:rsidR="00BB7B36" w:rsidRDefault="00BB7B36" w:rsidP="00BB7B36">
      <w:pPr>
        <w:spacing w:after="0" w:line="240" w:lineRule="auto"/>
        <w:jc w:val="both"/>
        <w:rPr>
          <w:rFonts w:ascii="Times New Roman" w:eastAsia="Times New Roman" w:hAnsi="Times New Roman" w:cs="Times New Roman"/>
          <w:sz w:val="24"/>
          <w:szCs w:val="24"/>
        </w:rPr>
      </w:pPr>
      <w:r w:rsidRPr="00CA1C7E">
        <w:rPr>
          <w:rFonts w:ascii="Times New Roman" w:eastAsia="Times New Roman" w:hAnsi="Times New Roman" w:cs="Times New Roman"/>
          <w:sz w:val="24"/>
          <w:szCs w:val="24"/>
        </w:rPr>
        <w:t>Departamento del Tesoro</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3CBEE74A" wp14:editId="02BBD3B5">
            <wp:extent cx="1828800" cy="1653236"/>
            <wp:effectExtent l="0" t="0" r="0" b="4445"/>
            <wp:docPr id="51" name="Imagen 51" descr="http://s.wsj.net/public/resources/images/OB-YU313_0905fi_DV_20130905131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sj.net/public/resources/images/OB-YU313_0905fi_DV_20130905131440.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75" cy="1653304"/>
                    </a:xfrm>
                    <a:prstGeom prst="rect">
                      <a:avLst/>
                    </a:prstGeom>
                    <a:noFill/>
                    <a:ln>
                      <a:noFill/>
                    </a:ln>
                  </pic:spPr>
                </pic:pic>
              </a:graphicData>
            </a:graphic>
          </wp:inline>
        </w:drawing>
      </w:r>
    </w:p>
    <w:p w:rsidR="00BB7B36" w:rsidRPr="00CA1C7E"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Henry Paulson a</w:t>
      </w:r>
      <w:r w:rsidRPr="00CA1C7E">
        <w:rPr>
          <w:rFonts w:ascii="Times New Roman" w:eastAsia="Times New Roman" w:hAnsi="Times New Roman" w:cs="Times New Roman"/>
          <w:sz w:val="24"/>
          <w:szCs w:val="24"/>
        </w:rPr>
        <w:t xml:space="preserve">penas estaba en su segundo año como secretario del Tesoro cuando la crisis financiera estalló, lo que obligó al ex presidente ejecutivo de Goldman Sachs Group Inc. a llevar a cabo una serie de rescates gubernamentales sin precedentes, incluyendo ayudar a facilitar la venta de Bear Stearns Cos. a J.P. Morgan Chase &amp; Co. y colocando gigantes </w:t>
      </w:r>
      <w:r>
        <w:rPr>
          <w:rFonts w:ascii="Times New Roman" w:eastAsia="Times New Roman" w:hAnsi="Times New Roman" w:cs="Times New Roman"/>
          <w:sz w:val="24"/>
          <w:szCs w:val="24"/>
        </w:rPr>
        <w:t xml:space="preserve">hipotecarios bajo tutela legal. </w:t>
      </w:r>
      <w:r w:rsidRPr="00CA1C7E">
        <w:rPr>
          <w:rFonts w:ascii="Times New Roman" w:eastAsia="Times New Roman" w:hAnsi="Times New Roman" w:cs="Times New Roman"/>
          <w:sz w:val="24"/>
          <w:szCs w:val="24"/>
        </w:rPr>
        <w:t>Paulson, de 67 años, escribió en el prólogo de su</w:t>
      </w:r>
      <w:r>
        <w:rPr>
          <w:rFonts w:ascii="Times New Roman" w:eastAsia="Times New Roman" w:hAnsi="Times New Roman" w:cs="Times New Roman"/>
          <w:sz w:val="24"/>
          <w:szCs w:val="24"/>
        </w:rPr>
        <w:t xml:space="preserve"> libro, “On the Brink” (algo así</w:t>
      </w:r>
      <w:r w:rsidRPr="00CA1C7E">
        <w:rPr>
          <w:rFonts w:ascii="Times New Roman" w:eastAsia="Times New Roman" w:hAnsi="Times New Roman" w:cs="Times New Roman"/>
          <w:sz w:val="24"/>
          <w:szCs w:val="24"/>
        </w:rPr>
        <w:t xml:space="preserve"> como, “Al borde”), “No quería ser el secretario del Tesoro que presidía durante el inicio de otra Gran Depresión, y no tengo duda de que eso es exactamente lo que nuestro país habría enfrentado si nuestros esfuerzos se hubieran quedado cortos”.</w:t>
      </w:r>
    </w:p>
    <w:p w:rsidR="00BB7B36" w:rsidRDefault="00BB7B36" w:rsidP="00BB7B36">
      <w:pPr>
        <w:spacing w:after="0" w:line="240" w:lineRule="auto"/>
        <w:jc w:val="both"/>
        <w:rPr>
          <w:rFonts w:ascii="Arial" w:hAnsi="Arial" w:cs="Arial"/>
          <w:noProof/>
          <w:color w:val="333333"/>
          <w:sz w:val="15"/>
          <w:szCs w:val="15"/>
        </w:rPr>
      </w:pPr>
    </w:p>
    <w:p w:rsidR="00BB7B36" w:rsidRPr="00CA1C7E" w:rsidRDefault="00BB7B36" w:rsidP="00BB7B36">
      <w:pPr>
        <w:spacing w:after="0" w:line="240" w:lineRule="auto"/>
        <w:jc w:val="both"/>
        <w:rPr>
          <w:rFonts w:ascii="Times New Roman" w:eastAsia="Times New Roman" w:hAnsi="Times New Roman" w:cs="Times New Roman"/>
          <w:sz w:val="24"/>
          <w:szCs w:val="24"/>
        </w:rPr>
      </w:pPr>
      <w:r w:rsidRPr="00CA1C7E">
        <w:rPr>
          <w:rFonts w:ascii="Times New Roman" w:eastAsia="Times New Roman" w:hAnsi="Times New Roman" w:cs="Times New Roman"/>
          <w:sz w:val="24"/>
          <w:szCs w:val="24"/>
        </w:rPr>
        <w:t>Ben Bernanke</w:t>
      </w:r>
      <w:r>
        <w:rPr>
          <w:rFonts w:ascii="Times New Roman" w:eastAsia="Times New Roman" w:hAnsi="Times New Roman" w:cs="Times New Roman"/>
          <w:sz w:val="24"/>
          <w:szCs w:val="24"/>
        </w:rPr>
        <w:t xml:space="preserve">   </w:t>
      </w:r>
      <w:r w:rsidRPr="00CA1C7E">
        <w:rPr>
          <w:rFonts w:ascii="Times New Roman" w:eastAsia="Times New Roman" w:hAnsi="Times New Roman" w:cs="Times New Roman"/>
          <w:sz w:val="24"/>
          <w:szCs w:val="24"/>
        </w:rPr>
        <w:t>Funcionario</w:t>
      </w:r>
    </w:p>
    <w:p w:rsidR="00BB7B36" w:rsidRDefault="00BB7B36" w:rsidP="00BB7B36">
      <w:pPr>
        <w:spacing w:after="0" w:line="240" w:lineRule="auto"/>
        <w:jc w:val="both"/>
        <w:rPr>
          <w:rFonts w:ascii="Times New Roman" w:eastAsia="Times New Roman" w:hAnsi="Times New Roman" w:cs="Times New Roman"/>
          <w:sz w:val="24"/>
          <w:szCs w:val="24"/>
        </w:rPr>
      </w:pPr>
      <w:r w:rsidRPr="00CA1C7E">
        <w:rPr>
          <w:rFonts w:ascii="Times New Roman" w:eastAsia="Times New Roman" w:hAnsi="Times New Roman" w:cs="Times New Roman"/>
          <w:sz w:val="24"/>
          <w:szCs w:val="24"/>
        </w:rPr>
        <w:t>Reserva Federal de EE</w:t>
      </w:r>
      <w:r>
        <w:rPr>
          <w:rFonts w:ascii="Times New Roman" w:eastAsia="Times New Roman" w:hAnsi="Times New Roman" w:cs="Times New Roman"/>
          <w:sz w:val="24"/>
          <w:szCs w:val="24"/>
        </w:rPr>
        <w:t>UU</w:t>
      </w:r>
      <w:r w:rsidRPr="00CA1C7E">
        <w:rPr>
          <w:rFonts w:ascii="Times New Roman" w:eastAsia="Times New Roman" w:hAnsi="Times New Roman" w:cs="Times New Roman"/>
          <w:sz w:val="24"/>
          <w:szCs w:val="24"/>
        </w:rPr>
        <w:t xml:space="preserve"> </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5E197E96" wp14:editId="131A2EB7">
            <wp:extent cx="1865376" cy="1814169"/>
            <wp:effectExtent l="0" t="0" r="1905" b="0"/>
            <wp:docPr id="53" name="Imagen 53" descr="http://s.wsj.net/public/resources/images/OB-YU314_0905fi_DV_20130905131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sj.net/public/resources/images/OB-YU314_0905fi_DV_2013090513153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65452" cy="1814243"/>
                    </a:xfrm>
                    <a:prstGeom prst="rect">
                      <a:avLst/>
                    </a:prstGeom>
                    <a:noFill/>
                    <a:ln>
                      <a:noFill/>
                    </a:ln>
                  </pic:spPr>
                </pic:pic>
              </a:graphicData>
            </a:graphic>
          </wp:inline>
        </w:drawing>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sidRPr="00CA1C7E">
        <w:rPr>
          <w:rFonts w:ascii="Times New Roman" w:eastAsia="Times New Roman" w:hAnsi="Times New Roman" w:cs="Times New Roman"/>
          <w:sz w:val="24"/>
          <w:szCs w:val="24"/>
        </w:rPr>
        <w:t>Ben Bernanke, un estudiante de la Gran Depresión, estaba ansioso por evitar una repetición durante su mandato y utilizó e hizo amplio uso de las potestades de la Fed para abrir los canales de financiación y proteg</w:t>
      </w:r>
      <w:r>
        <w:rPr>
          <w:rFonts w:ascii="Times New Roman" w:eastAsia="Times New Roman" w:hAnsi="Times New Roman" w:cs="Times New Roman"/>
          <w:sz w:val="24"/>
          <w:szCs w:val="24"/>
        </w:rPr>
        <w:t xml:space="preserve">er a Wall Street de un colapso. </w:t>
      </w:r>
      <w:r w:rsidRPr="00CA1C7E">
        <w:rPr>
          <w:rFonts w:ascii="Times New Roman" w:eastAsia="Times New Roman" w:hAnsi="Times New Roman" w:cs="Times New Roman"/>
          <w:sz w:val="24"/>
          <w:szCs w:val="24"/>
        </w:rPr>
        <w:t>La Fed prestó US$</w:t>
      </w:r>
      <w:r>
        <w:rPr>
          <w:rFonts w:ascii="Times New Roman" w:eastAsia="Times New Roman" w:hAnsi="Times New Roman" w:cs="Times New Roman"/>
          <w:sz w:val="24"/>
          <w:szCs w:val="24"/>
        </w:rPr>
        <w:t xml:space="preserve"> </w:t>
      </w:r>
      <w:r w:rsidRPr="00CA1C7E">
        <w:rPr>
          <w:rFonts w:ascii="Times New Roman" w:eastAsia="Times New Roman" w:hAnsi="Times New Roman" w:cs="Times New Roman"/>
          <w:sz w:val="24"/>
          <w:szCs w:val="24"/>
        </w:rPr>
        <w:t>29.000 millones para inducir a J.P. Morgan Chase &amp; Co. a comprar Bear Stearns Cos. e inyectó US$</w:t>
      </w:r>
      <w:r>
        <w:rPr>
          <w:rFonts w:ascii="Times New Roman" w:eastAsia="Times New Roman" w:hAnsi="Times New Roman" w:cs="Times New Roman"/>
          <w:sz w:val="24"/>
          <w:szCs w:val="24"/>
        </w:rPr>
        <w:t xml:space="preserve"> </w:t>
      </w:r>
      <w:r w:rsidRPr="00CA1C7E">
        <w:rPr>
          <w:rFonts w:ascii="Times New Roman" w:eastAsia="Times New Roman" w:hAnsi="Times New Roman" w:cs="Times New Roman"/>
          <w:sz w:val="24"/>
          <w:szCs w:val="24"/>
        </w:rPr>
        <w:t>85.000 millones en Am</w:t>
      </w:r>
      <w:r>
        <w:rPr>
          <w:rFonts w:ascii="Times New Roman" w:eastAsia="Times New Roman" w:hAnsi="Times New Roman" w:cs="Times New Roman"/>
          <w:sz w:val="24"/>
          <w:szCs w:val="24"/>
        </w:rPr>
        <w:t xml:space="preserve">erican International Group Inc. </w:t>
      </w:r>
      <w:r w:rsidRPr="00CA1C7E">
        <w:rPr>
          <w:rFonts w:ascii="Times New Roman" w:eastAsia="Times New Roman" w:hAnsi="Times New Roman" w:cs="Times New Roman"/>
          <w:sz w:val="24"/>
          <w:szCs w:val="24"/>
        </w:rPr>
        <w:t>Bernanke también persuadió a los líderes del Congreso a respaldar un rescate. Además, recortó las tasas de interés de corto plazo a cero en diciembre de 2008 y supervisó la impresión de US$</w:t>
      </w:r>
      <w:r>
        <w:rPr>
          <w:rFonts w:ascii="Times New Roman" w:eastAsia="Times New Roman" w:hAnsi="Times New Roman" w:cs="Times New Roman"/>
          <w:sz w:val="24"/>
          <w:szCs w:val="24"/>
        </w:rPr>
        <w:t xml:space="preserve"> </w:t>
      </w:r>
      <w:r w:rsidRPr="00CA1C7E">
        <w:rPr>
          <w:rFonts w:ascii="Times New Roman" w:eastAsia="Times New Roman" w:hAnsi="Times New Roman" w:cs="Times New Roman"/>
          <w:sz w:val="24"/>
          <w:szCs w:val="24"/>
        </w:rPr>
        <w:t xml:space="preserve">2,8 billones para comprar valores de largo plazo </w:t>
      </w:r>
      <w:r>
        <w:rPr>
          <w:rFonts w:ascii="Times New Roman" w:eastAsia="Times New Roman" w:hAnsi="Times New Roman" w:cs="Times New Roman"/>
          <w:sz w:val="24"/>
          <w:szCs w:val="24"/>
        </w:rPr>
        <w:t xml:space="preserve">a fin de apuntalar la economía. </w:t>
      </w:r>
      <w:r w:rsidRPr="00CA1C7E">
        <w:rPr>
          <w:rFonts w:ascii="Times New Roman" w:eastAsia="Times New Roman" w:hAnsi="Times New Roman" w:cs="Times New Roman"/>
          <w:sz w:val="24"/>
          <w:szCs w:val="24"/>
        </w:rPr>
        <w:t>Se prevé que Bernanke, ahora de 59 años, deje la presidencia de la Fed cuando su término concluya en enero de 2014.</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Pr="00CA1C7E" w:rsidRDefault="00BB7B36" w:rsidP="00BB7B36">
      <w:pPr>
        <w:spacing w:after="0" w:line="240" w:lineRule="auto"/>
        <w:jc w:val="both"/>
        <w:rPr>
          <w:rFonts w:ascii="Times New Roman" w:eastAsia="Times New Roman" w:hAnsi="Times New Roman" w:cs="Times New Roman"/>
          <w:sz w:val="24"/>
          <w:szCs w:val="24"/>
        </w:rPr>
      </w:pPr>
      <w:r w:rsidRPr="00CA1C7E">
        <w:rPr>
          <w:rFonts w:ascii="Times New Roman" w:eastAsia="Times New Roman" w:hAnsi="Times New Roman" w:cs="Times New Roman"/>
          <w:sz w:val="24"/>
          <w:szCs w:val="24"/>
        </w:rPr>
        <w:t>Timothy Geithner</w:t>
      </w:r>
      <w:r>
        <w:rPr>
          <w:rFonts w:ascii="Times New Roman" w:eastAsia="Times New Roman" w:hAnsi="Times New Roman" w:cs="Times New Roman"/>
          <w:sz w:val="24"/>
          <w:szCs w:val="24"/>
        </w:rPr>
        <w:t xml:space="preserve">   </w:t>
      </w:r>
      <w:r w:rsidRPr="00CA1C7E">
        <w:rPr>
          <w:rFonts w:ascii="Times New Roman" w:eastAsia="Times New Roman" w:hAnsi="Times New Roman" w:cs="Times New Roman"/>
          <w:sz w:val="24"/>
          <w:szCs w:val="24"/>
        </w:rPr>
        <w:t>Funcionario</w:t>
      </w:r>
    </w:p>
    <w:p w:rsidR="00BB7B36" w:rsidRDefault="00BB7B36" w:rsidP="00BB7B36">
      <w:pPr>
        <w:spacing w:after="0" w:line="240" w:lineRule="auto"/>
        <w:jc w:val="both"/>
        <w:rPr>
          <w:rFonts w:ascii="Times New Roman" w:eastAsia="Times New Roman" w:hAnsi="Times New Roman" w:cs="Times New Roman"/>
          <w:sz w:val="24"/>
          <w:szCs w:val="24"/>
        </w:rPr>
      </w:pPr>
      <w:r w:rsidRPr="00CA1C7E">
        <w:rPr>
          <w:rFonts w:ascii="Times New Roman" w:eastAsia="Times New Roman" w:hAnsi="Times New Roman" w:cs="Times New Roman"/>
          <w:sz w:val="24"/>
          <w:szCs w:val="24"/>
        </w:rPr>
        <w:t>Banco de la Reserva Federal de Nueva York</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155477E0" wp14:editId="64878984">
            <wp:extent cx="1865376" cy="1931213"/>
            <wp:effectExtent l="0" t="0" r="1905" b="0"/>
            <wp:docPr id="480" name="Imagen 480" descr="http://s.wsj.net/public/resources/images/OB-YU315_0905fi_DV_201309051316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sj.net/public/resources/images/OB-YU315_0905fi_DV_2013090513162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65453" cy="1931293"/>
                    </a:xfrm>
                    <a:prstGeom prst="rect">
                      <a:avLst/>
                    </a:prstGeom>
                    <a:noFill/>
                    <a:ln>
                      <a:noFill/>
                    </a:ln>
                  </pic:spPr>
                </pic:pic>
              </a:graphicData>
            </a:graphic>
          </wp:inline>
        </w:drawing>
      </w:r>
    </w:p>
    <w:p w:rsidR="00BB7B36" w:rsidRPr="00CA1C7E"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sidRPr="00CA1C7E">
        <w:rPr>
          <w:rFonts w:ascii="Times New Roman" w:eastAsia="Times New Roman" w:hAnsi="Times New Roman" w:cs="Times New Roman"/>
          <w:sz w:val="24"/>
          <w:szCs w:val="24"/>
        </w:rPr>
        <w:t>Timothy Geithner estaba a la cabeza del Banco de la Reserva Federal de Nueva York durante la crisis, actuando como los ojos y oídos del gobierno en Wall Street. Geithner buscó intervenir en la crisis rápidamente, abogando por los rescates de firmas como Bear Stearns Cos. y Am</w:t>
      </w:r>
      <w:r>
        <w:rPr>
          <w:rFonts w:ascii="Times New Roman" w:eastAsia="Times New Roman" w:hAnsi="Times New Roman" w:cs="Times New Roman"/>
          <w:sz w:val="24"/>
          <w:szCs w:val="24"/>
        </w:rPr>
        <w:t xml:space="preserve">erican International Group Inc. </w:t>
      </w:r>
      <w:r w:rsidRPr="00CA1C7E">
        <w:rPr>
          <w:rFonts w:ascii="Times New Roman" w:eastAsia="Times New Roman" w:hAnsi="Times New Roman" w:cs="Times New Roman"/>
          <w:sz w:val="24"/>
          <w:szCs w:val="24"/>
        </w:rPr>
        <w:t>En enero de 2009 cuando se convirtió en secretario del Tesoro y siguió supervisando programas para fortalecer el sistema financiero. Geithner, ahora de 52 años, está escribiendo un libro sobre su papel en la respuesta a la crisis financiera.</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Pr="00BD3CC1" w:rsidRDefault="00BB7B36" w:rsidP="00BB7B36">
      <w:pPr>
        <w:spacing w:after="0" w:line="240" w:lineRule="auto"/>
        <w:jc w:val="both"/>
        <w:rPr>
          <w:rFonts w:ascii="Times New Roman" w:eastAsia="Times New Roman" w:hAnsi="Times New Roman" w:cs="Times New Roman"/>
          <w:sz w:val="24"/>
          <w:szCs w:val="24"/>
          <w:lang w:val="en-US"/>
        </w:rPr>
      </w:pPr>
      <w:r w:rsidRPr="00BD3CC1">
        <w:rPr>
          <w:rFonts w:ascii="Times New Roman" w:eastAsia="Times New Roman" w:hAnsi="Times New Roman" w:cs="Times New Roman"/>
          <w:sz w:val="24"/>
          <w:szCs w:val="24"/>
          <w:lang w:val="en-US"/>
        </w:rPr>
        <w:t>James Cayne   Banquero</w:t>
      </w:r>
    </w:p>
    <w:p w:rsidR="00BB7B36" w:rsidRPr="00BD3CC1" w:rsidRDefault="00BB7B36" w:rsidP="00BB7B36">
      <w:pPr>
        <w:spacing w:after="0" w:line="240" w:lineRule="auto"/>
        <w:jc w:val="both"/>
        <w:rPr>
          <w:rFonts w:ascii="Times New Roman" w:eastAsia="Times New Roman" w:hAnsi="Times New Roman" w:cs="Times New Roman"/>
          <w:sz w:val="24"/>
          <w:szCs w:val="24"/>
          <w:lang w:val="en-US"/>
        </w:rPr>
      </w:pPr>
      <w:r w:rsidRPr="00BD3CC1">
        <w:rPr>
          <w:rFonts w:ascii="Times New Roman" w:eastAsia="Times New Roman" w:hAnsi="Times New Roman" w:cs="Times New Roman"/>
          <w:sz w:val="24"/>
          <w:szCs w:val="24"/>
          <w:lang w:val="en-US"/>
        </w:rPr>
        <w:t>Bear Stearns</w:t>
      </w:r>
    </w:p>
    <w:p w:rsidR="00BB7B36" w:rsidRPr="00BD3CC1" w:rsidRDefault="00BB7B36" w:rsidP="00BB7B36">
      <w:pPr>
        <w:spacing w:after="0" w:line="240" w:lineRule="auto"/>
        <w:jc w:val="both"/>
        <w:rPr>
          <w:rFonts w:ascii="Times New Roman" w:eastAsia="Times New Roman" w:hAnsi="Times New Roman" w:cs="Times New Roman"/>
          <w:sz w:val="24"/>
          <w:szCs w:val="24"/>
          <w:lang w:val="en-US"/>
        </w:rPr>
      </w:pPr>
    </w:p>
    <w:p w:rsidR="00BB7B36" w:rsidRDefault="00BB7B36" w:rsidP="00BB7B36">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36E2830B" wp14:editId="2ACA15CA">
            <wp:extent cx="2026310" cy="1784909"/>
            <wp:effectExtent l="0" t="0" r="0" b="6350"/>
            <wp:docPr id="481" name="Imagen 481" descr="http://s.wsj.net/public/resources/images/OB-YS814_0830fi_DV_20130830124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wsj.net/public/resources/images/OB-YS814_0830fi_DV_20130830124130.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26392" cy="1784981"/>
                    </a:xfrm>
                    <a:prstGeom prst="rect">
                      <a:avLst/>
                    </a:prstGeom>
                    <a:noFill/>
                    <a:ln>
                      <a:noFill/>
                    </a:ln>
                  </pic:spPr>
                </pic:pic>
              </a:graphicData>
            </a:graphic>
          </wp:inline>
        </w:drawing>
      </w:r>
    </w:p>
    <w:p w:rsidR="00BB7B36" w:rsidRPr="00174E71"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James Cayne era el presidente de Bear Stearns Cos. en 2007, cuando dos de los fondos de cobertura del banco de inversión colapsaron bajo las pérdidas de los valores respaldados por hipotecas, uno de las primeras s</w:t>
      </w:r>
      <w:r>
        <w:rPr>
          <w:rFonts w:ascii="Times New Roman" w:eastAsia="Times New Roman" w:hAnsi="Times New Roman" w:cs="Times New Roman"/>
          <w:sz w:val="24"/>
          <w:szCs w:val="24"/>
        </w:rPr>
        <w:t xml:space="preserve">eñales de la crisis financiera. </w:t>
      </w:r>
      <w:r w:rsidRPr="00174E71">
        <w:rPr>
          <w:rFonts w:ascii="Times New Roman" w:eastAsia="Times New Roman" w:hAnsi="Times New Roman" w:cs="Times New Roman"/>
          <w:sz w:val="24"/>
          <w:szCs w:val="24"/>
        </w:rPr>
        <w:t>Abandonó su puesto de presidente ejecutivo bajo presión de los accionistas en enero de 2008, en medio de crecientes críticas por las pérdidas de la firma, las acciones en picada y lo que algunos ejecutivos percibían como un liderazgo poco comprometido. En marzo, a medida que la confianza en Bear siguió debilitándose, el</w:t>
      </w:r>
      <w:r>
        <w:rPr>
          <w:rFonts w:ascii="Times New Roman" w:eastAsia="Times New Roman" w:hAnsi="Times New Roman" w:cs="Times New Roman"/>
          <w:sz w:val="24"/>
          <w:szCs w:val="24"/>
        </w:rPr>
        <w:t xml:space="preserve"> gobierno de EEUU</w:t>
      </w:r>
      <w:r w:rsidRPr="00174E71">
        <w:rPr>
          <w:rFonts w:ascii="Times New Roman" w:eastAsia="Times New Roman" w:hAnsi="Times New Roman" w:cs="Times New Roman"/>
          <w:sz w:val="24"/>
          <w:szCs w:val="24"/>
        </w:rPr>
        <w:t xml:space="preserve"> gestionó su venta a J.P. Morgan Chase &amp; Co. por US$</w:t>
      </w:r>
      <w:r>
        <w:rPr>
          <w:rFonts w:ascii="Times New Roman" w:eastAsia="Times New Roman" w:hAnsi="Times New Roman" w:cs="Times New Roman"/>
          <w:sz w:val="24"/>
          <w:szCs w:val="24"/>
        </w:rPr>
        <w:t xml:space="preserve"> </w:t>
      </w:r>
      <w:r w:rsidRPr="00174E71">
        <w:rPr>
          <w:rFonts w:ascii="Times New Roman" w:eastAsia="Times New Roman" w:hAnsi="Times New Roman" w:cs="Times New Roman"/>
          <w:sz w:val="24"/>
          <w:szCs w:val="24"/>
        </w:rPr>
        <w:t>1.400 millones. A principios de 2007, la capitalización de mercado de Bear estaba en US$</w:t>
      </w:r>
      <w:r>
        <w:rPr>
          <w:rFonts w:ascii="Times New Roman" w:eastAsia="Times New Roman" w:hAnsi="Times New Roman" w:cs="Times New Roman"/>
          <w:sz w:val="24"/>
          <w:szCs w:val="24"/>
        </w:rPr>
        <w:t xml:space="preserve"> 25.000 millones. </w:t>
      </w:r>
      <w:r w:rsidRPr="00174E71">
        <w:rPr>
          <w:rFonts w:ascii="Times New Roman" w:eastAsia="Times New Roman" w:hAnsi="Times New Roman" w:cs="Times New Roman"/>
          <w:sz w:val="24"/>
          <w:szCs w:val="24"/>
        </w:rPr>
        <w:t>En años recientes, Cayne, ya jubilado, ha mante</w:t>
      </w:r>
      <w:r>
        <w:rPr>
          <w:rFonts w:ascii="Times New Roman" w:eastAsia="Times New Roman" w:hAnsi="Times New Roman" w:cs="Times New Roman"/>
          <w:sz w:val="24"/>
          <w:szCs w:val="24"/>
        </w:rPr>
        <w:t xml:space="preserve">nido un perfil discreto. </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Pr="00174E71" w:rsidRDefault="00BB7B36" w:rsidP="00BB7B36">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Angelo Mozilo</w:t>
      </w:r>
      <w:r>
        <w:rPr>
          <w:rFonts w:ascii="Times New Roman" w:eastAsia="Times New Roman" w:hAnsi="Times New Roman" w:cs="Times New Roman"/>
          <w:sz w:val="24"/>
          <w:szCs w:val="24"/>
        </w:rPr>
        <w:t xml:space="preserve">  </w:t>
      </w:r>
      <w:r w:rsidRPr="00174E71">
        <w:rPr>
          <w:rFonts w:ascii="Times New Roman" w:eastAsia="Times New Roman" w:hAnsi="Times New Roman" w:cs="Times New Roman"/>
          <w:sz w:val="24"/>
          <w:szCs w:val="24"/>
        </w:rPr>
        <w:t>Banquero</w:t>
      </w:r>
    </w:p>
    <w:p w:rsidR="00BB7B36" w:rsidRDefault="00BB7B36" w:rsidP="00BB7B36">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Countrywide</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5FB91FD7" wp14:editId="5C075C83">
            <wp:extent cx="1901952" cy="1777594"/>
            <wp:effectExtent l="0" t="0" r="3175" b="0"/>
            <wp:docPr id="482" name="Imagen 482" descr="http://s.wsj.net/public/resources/images/OB-YS845_0830fi_DV_201308301305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wsj.net/public/resources/images/OB-YS845_0830fi_DV_20130830130554.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02029" cy="1777666"/>
                    </a:xfrm>
                    <a:prstGeom prst="rect">
                      <a:avLst/>
                    </a:prstGeom>
                    <a:noFill/>
                    <a:ln>
                      <a:noFill/>
                    </a:ln>
                  </pic:spPr>
                </pic:pic>
              </a:graphicData>
            </a:graphic>
          </wp:inline>
        </w:drawing>
      </w:r>
    </w:p>
    <w:p w:rsidR="00BB7B36" w:rsidRPr="00174E71"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Angelo Mozilo fue el cofundador y presidente ejecutivo de Countrywide Financial Corp., uno de los mayores prestamistas del país y un proveedor de préstamos de alto riesgo antes de la crisis finan</w:t>
      </w:r>
      <w:r>
        <w:rPr>
          <w:rFonts w:ascii="Times New Roman" w:eastAsia="Times New Roman" w:hAnsi="Times New Roman" w:cs="Times New Roman"/>
          <w:sz w:val="24"/>
          <w:szCs w:val="24"/>
        </w:rPr>
        <w:t xml:space="preserve">ciera. </w:t>
      </w:r>
      <w:r w:rsidRPr="00174E71">
        <w:rPr>
          <w:rFonts w:ascii="Times New Roman" w:eastAsia="Times New Roman" w:hAnsi="Times New Roman" w:cs="Times New Roman"/>
          <w:sz w:val="24"/>
          <w:szCs w:val="24"/>
        </w:rPr>
        <w:t>Mozilo fue pionero de los créditos hipotecarios de alto riesgo y de tasas ajustables que contribuyeron a impulsar el auge inmobilia</w:t>
      </w:r>
      <w:r>
        <w:rPr>
          <w:rFonts w:ascii="Times New Roman" w:eastAsia="Times New Roman" w:hAnsi="Times New Roman" w:cs="Times New Roman"/>
          <w:sz w:val="24"/>
          <w:szCs w:val="24"/>
        </w:rPr>
        <w:t xml:space="preserve">rio en los años previos a 2008. </w:t>
      </w:r>
      <w:r w:rsidRPr="00174E71">
        <w:rPr>
          <w:rFonts w:ascii="Times New Roman" w:eastAsia="Times New Roman" w:hAnsi="Times New Roman" w:cs="Times New Roman"/>
          <w:sz w:val="24"/>
          <w:szCs w:val="24"/>
        </w:rPr>
        <w:t xml:space="preserve">Bank of America Corp. compró Countrywide a principios de 2008 conforme el prestamista batallaba con cesaciones </w:t>
      </w:r>
      <w:r>
        <w:rPr>
          <w:rFonts w:ascii="Times New Roman" w:eastAsia="Times New Roman" w:hAnsi="Times New Roman" w:cs="Times New Roman"/>
          <w:sz w:val="24"/>
          <w:szCs w:val="24"/>
        </w:rPr>
        <w:t xml:space="preserve">de pagos y pérdidas acumuladas. </w:t>
      </w:r>
      <w:r w:rsidRPr="00174E71">
        <w:rPr>
          <w:rFonts w:ascii="Times New Roman" w:eastAsia="Times New Roman" w:hAnsi="Times New Roman" w:cs="Times New Roman"/>
          <w:sz w:val="24"/>
          <w:szCs w:val="24"/>
        </w:rPr>
        <w:t>En 2010, Mozilo acordó pagar US$</w:t>
      </w:r>
      <w:r>
        <w:rPr>
          <w:rFonts w:ascii="Times New Roman" w:eastAsia="Times New Roman" w:hAnsi="Times New Roman" w:cs="Times New Roman"/>
          <w:sz w:val="24"/>
          <w:szCs w:val="24"/>
        </w:rPr>
        <w:t xml:space="preserve"> </w:t>
      </w:r>
      <w:r w:rsidRPr="00174E71">
        <w:rPr>
          <w:rFonts w:ascii="Times New Roman" w:eastAsia="Times New Roman" w:hAnsi="Times New Roman" w:cs="Times New Roman"/>
          <w:sz w:val="24"/>
          <w:szCs w:val="24"/>
        </w:rPr>
        <w:t>67,5 millones en multas para cerrar casos en su contra por fraude civil y uso indebido de información privilegiada. Mozilo, ahora de 74 años, no admitió ni negó haber cometido prácticas indebidas, pero aceptó una prohibición de por vida de ejercer el puesto de ejecutivo o director de u</w:t>
      </w:r>
      <w:r>
        <w:rPr>
          <w:rFonts w:ascii="Times New Roman" w:eastAsia="Times New Roman" w:hAnsi="Times New Roman" w:cs="Times New Roman"/>
          <w:sz w:val="24"/>
          <w:szCs w:val="24"/>
        </w:rPr>
        <w:t xml:space="preserve">na empresa que </w:t>
      </w:r>
      <w:r>
        <w:rPr>
          <w:rFonts w:ascii="Times New Roman" w:eastAsia="Times New Roman" w:hAnsi="Times New Roman" w:cs="Times New Roman"/>
          <w:sz w:val="24"/>
          <w:szCs w:val="24"/>
        </w:rPr>
        <w:lastRenderedPageBreak/>
        <w:t xml:space="preserve">cotiza en bolsa. </w:t>
      </w:r>
      <w:r w:rsidRPr="00174E71">
        <w:rPr>
          <w:rFonts w:ascii="Times New Roman" w:eastAsia="Times New Roman" w:hAnsi="Times New Roman" w:cs="Times New Roman"/>
          <w:sz w:val="24"/>
          <w:szCs w:val="24"/>
        </w:rPr>
        <w:t xml:space="preserve">Un abogado de Mozilo indicó que está jubilado y “dedicando su tiempo </w:t>
      </w:r>
      <w:r>
        <w:rPr>
          <w:rFonts w:ascii="Times New Roman" w:eastAsia="Times New Roman" w:hAnsi="Times New Roman" w:cs="Times New Roman"/>
          <w:sz w:val="24"/>
          <w:szCs w:val="24"/>
        </w:rPr>
        <w:t xml:space="preserve">a iniciativas filantrópicas”. </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Pr="00BD3CC1" w:rsidRDefault="00BB7B36" w:rsidP="00BB7B36">
      <w:pPr>
        <w:spacing w:after="0" w:line="240" w:lineRule="auto"/>
        <w:jc w:val="both"/>
        <w:rPr>
          <w:rFonts w:ascii="Times New Roman" w:eastAsia="Times New Roman" w:hAnsi="Times New Roman" w:cs="Times New Roman"/>
          <w:sz w:val="24"/>
          <w:szCs w:val="24"/>
          <w:lang w:val="en-US"/>
        </w:rPr>
      </w:pPr>
      <w:r w:rsidRPr="00BD3CC1">
        <w:rPr>
          <w:rFonts w:ascii="Times New Roman" w:eastAsia="Times New Roman" w:hAnsi="Times New Roman" w:cs="Times New Roman"/>
          <w:sz w:val="24"/>
          <w:szCs w:val="24"/>
          <w:lang w:val="en-US"/>
        </w:rPr>
        <w:t>Richard Fuld Jr.   Banquero</w:t>
      </w:r>
    </w:p>
    <w:p w:rsidR="00BB7B36" w:rsidRPr="00BD3CC1" w:rsidRDefault="00BB7B36" w:rsidP="00BB7B36">
      <w:pPr>
        <w:spacing w:after="0" w:line="240" w:lineRule="auto"/>
        <w:jc w:val="both"/>
        <w:rPr>
          <w:rFonts w:ascii="Times New Roman" w:eastAsia="Times New Roman" w:hAnsi="Times New Roman" w:cs="Times New Roman"/>
          <w:sz w:val="24"/>
          <w:szCs w:val="24"/>
          <w:lang w:val="en-US"/>
        </w:rPr>
      </w:pPr>
      <w:r w:rsidRPr="00BD3CC1">
        <w:rPr>
          <w:rFonts w:ascii="Times New Roman" w:eastAsia="Times New Roman" w:hAnsi="Times New Roman" w:cs="Times New Roman"/>
          <w:sz w:val="24"/>
          <w:szCs w:val="24"/>
          <w:lang w:val="en-US"/>
        </w:rPr>
        <w:t>Lehman</w:t>
      </w:r>
    </w:p>
    <w:p w:rsidR="00BB7B36" w:rsidRPr="00BD3CC1" w:rsidRDefault="00BB7B36" w:rsidP="00BB7B36">
      <w:pPr>
        <w:spacing w:after="0" w:line="240" w:lineRule="auto"/>
        <w:jc w:val="both"/>
        <w:rPr>
          <w:rFonts w:ascii="Times New Roman" w:eastAsia="Times New Roman" w:hAnsi="Times New Roman" w:cs="Times New Roman"/>
          <w:sz w:val="24"/>
          <w:szCs w:val="24"/>
          <w:lang w:val="en-US"/>
        </w:rPr>
      </w:pPr>
    </w:p>
    <w:p w:rsidR="00BB7B36" w:rsidRDefault="00BB7B36" w:rsidP="00BB7B36">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711C0A33" wp14:editId="5BC02ADB">
            <wp:extent cx="1850745" cy="1843430"/>
            <wp:effectExtent l="0" t="0" r="0" b="4445"/>
            <wp:docPr id="483" name="Imagen 483" descr="http://s.wsj.net/public/resources/images/OB-YS111_collap_DV_201308282125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sj.net/public/resources/images/OB-YS111_collap_DV_2013082821255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50821" cy="1843505"/>
                    </a:xfrm>
                    <a:prstGeom prst="rect">
                      <a:avLst/>
                    </a:prstGeom>
                    <a:noFill/>
                    <a:ln>
                      <a:noFill/>
                    </a:ln>
                  </pic:spPr>
                </pic:pic>
              </a:graphicData>
            </a:graphic>
          </wp:inline>
        </w:drawing>
      </w:r>
    </w:p>
    <w:p w:rsidR="00BB7B36" w:rsidRPr="00174E71" w:rsidRDefault="00BB7B36" w:rsidP="00BB7B36">
      <w:pPr>
        <w:spacing w:after="0" w:line="240" w:lineRule="auto"/>
        <w:jc w:val="both"/>
        <w:rPr>
          <w:rFonts w:ascii="Times New Roman" w:eastAsia="Times New Roman" w:hAnsi="Times New Roman" w:cs="Times New Roman"/>
          <w:sz w:val="24"/>
          <w:szCs w:val="24"/>
        </w:rPr>
      </w:pPr>
    </w:p>
    <w:p w:rsidR="00BB7B36" w:rsidRPr="00174E71" w:rsidRDefault="00BB7B36" w:rsidP="00BB7B36">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Richard Fuld fue presidente de Lehman Brothers Holdings Inc., un banco de inversión con enfoque en bonos que incursionó con gran ímpetu al mercado de inmuebles comerciales y los créditos apalancados en los años justo antes de la crisis. Las pérdidas se acumularon y los esfuerzos de vender la firma fracasaron en septiembre 14, de 2008, cuando el gobierno se negó a proporcionar un respaldo financiero. El 15 de septiembre, Lehman sol</w:t>
      </w:r>
      <w:r>
        <w:rPr>
          <w:rFonts w:ascii="Times New Roman" w:eastAsia="Times New Roman" w:hAnsi="Times New Roman" w:cs="Times New Roman"/>
          <w:sz w:val="24"/>
          <w:szCs w:val="24"/>
        </w:rPr>
        <w:t xml:space="preserve">icitó protección de bancarrota. </w:t>
      </w:r>
      <w:r w:rsidRPr="00174E71">
        <w:rPr>
          <w:rFonts w:ascii="Times New Roman" w:eastAsia="Times New Roman" w:hAnsi="Times New Roman" w:cs="Times New Roman"/>
          <w:sz w:val="24"/>
          <w:szCs w:val="24"/>
        </w:rPr>
        <w:t>Fuld permaneció en Lehman tras la solicitud de bancarrota para ayudar a liquidar los activos de la firma que quedaban. En abril de 2009, abrió Matrix Advisors LLC, una consultoría en Nueva York que asesora a empresa en temas desde tendencias económicas hasta gestión de riesgo.</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Pr="00174E71" w:rsidRDefault="00BB7B36" w:rsidP="00BB7B36">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John Thain</w:t>
      </w:r>
      <w:r>
        <w:rPr>
          <w:rFonts w:ascii="Times New Roman" w:eastAsia="Times New Roman" w:hAnsi="Times New Roman" w:cs="Times New Roman"/>
          <w:sz w:val="24"/>
          <w:szCs w:val="24"/>
        </w:rPr>
        <w:t xml:space="preserve">   </w:t>
      </w:r>
      <w:r w:rsidRPr="00174E71">
        <w:rPr>
          <w:rFonts w:ascii="Times New Roman" w:eastAsia="Times New Roman" w:hAnsi="Times New Roman" w:cs="Times New Roman"/>
          <w:sz w:val="24"/>
          <w:szCs w:val="24"/>
        </w:rPr>
        <w:t>Banquero</w:t>
      </w:r>
    </w:p>
    <w:p w:rsidR="00BB7B36" w:rsidRDefault="00BB7B36" w:rsidP="00BB7B36">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Merrill Lynch</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24BCE486" wp14:editId="7D97A944">
            <wp:extent cx="1777593" cy="1777594"/>
            <wp:effectExtent l="0" t="0" r="0" b="0"/>
            <wp:docPr id="507" name="Imagen 507" descr="http://s.wsj.net/public/resources/images/OB-YU316_0905fi_DV_20130905131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sj.net/public/resources/images/OB-YU316_0905fi_DV_2013090513175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77665" cy="1777666"/>
                    </a:xfrm>
                    <a:prstGeom prst="rect">
                      <a:avLst/>
                    </a:prstGeom>
                    <a:noFill/>
                    <a:ln>
                      <a:noFill/>
                    </a:ln>
                  </pic:spPr>
                </pic:pic>
              </a:graphicData>
            </a:graphic>
          </wp:inline>
        </w:drawing>
      </w:r>
    </w:p>
    <w:p w:rsidR="00BB7B36" w:rsidRPr="00174E71"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John Thain era presidente de Merrill Lynch &amp; Co., asumiendo el cargo en octubre de 2007 a medida que la crisis se intensificaba. Buscó proteger a la empresa de los problemas del mercado, al recaudar capital, purgar los activos tóxicos y vender participaciones grandes en la empresa. Pero Merrill se vio golpeada a principios de septiembre de 2008 por los inversionistas preocupados de que necesitaría capital. Tras 48 horas de negociaciones frenéticas, el 14 de septiembre Bank of America Corp. acordó comprar Merrill Lynch por US$</w:t>
      </w:r>
      <w:r>
        <w:rPr>
          <w:rFonts w:ascii="Times New Roman" w:eastAsia="Times New Roman" w:hAnsi="Times New Roman" w:cs="Times New Roman"/>
          <w:sz w:val="24"/>
          <w:szCs w:val="24"/>
        </w:rPr>
        <w:t xml:space="preserve"> </w:t>
      </w:r>
      <w:r w:rsidRPr="00174E71">
        <w:rPr>
          <w:rFonts w:ascii="Times New Roman" w:eastAsia="Times New Roman" w:hAnsi="Times New Roman" w:cs="Times New Roman"/>
          <w:sz w:val="24"/>
          <w:szCs w:val="24"/>
        </w:rPr>
        <w:t>50.000 millones en acciones, alrededor de 40% menos que el valor de mercado de Merrill en su mejor momento.</w:t>
      </w:r>
      <w:r>
        <w:rPr>
          <w:rFonts w:ascii="Times New Roman" w:eastAsia="Times New Roman" w:hAnsi="Times New Roman" w:cs="Times New Roman"/>
          <w:sz w:val="24"/>
          <w:szCs w:val="24"/>
        </w:rPr>
        <w:t xml:space="preserve"> </w:t>
      </w:r>
      <w:r w:rsidRPr="00174E71">
        <w:rPr>
          <w:rFonts w:ascii="Times New Roman" w:eastAsia="Times New Roman" w:hAnsi="Times New Roman" w:cs="Times New Roman"/>
          <w:sz w:val="24"/>
          <w:szCs w:val="24"/>
        </w:rPr>
        <w:t xml:space="preserve">Thain fue despedido de Bank of America a principios de 2009 en medio de polémicas en torno a las pérdidas </w:t>
      </w:r>
      <w:r w:rsidRPr="00174E71">
        <w:rPr>
          <w:rFonts w:ascii="Times New Roman" w:eastAsia="Times New Roman" w:hAnsi="Times New Roman" w:cs="Times New Roman"/>
          <w:sz w:val="24"/>
          <w:szCs w:val="24"/>
        </w:rPr>
        <w:lastRenderedPageBreak/>
        <w:t>en alza de Merrill y pagos de bonificaciones en las semanas antes</w:t>
      </w:r>
      <w:r>
        <w:rPr>
          <w:rFonts w:ascii="Times New Roman" w:eastAsia="Times New Roman" w:hAnsi="Times New Roman" w:cs="Times New Roman"/>
          <w:sz w:val="24"/>
          <w:szCs w:val="24"/>
        </w:rPr>
        <w:t xml:space="preserve"> de que se finalizara la venta. </w:t>
      </w:r>
      <w:r w:rsidRPr="00174E71">
        <w:rPr>
          <w:rFonts w:ascii="Times New Roman" w:eastAsia="Times New Roman" w:hAnsi="Times New Roman" w:cs="Times New Roman"/>
          <w:sz w:val="24"/>
          <w:szCs w:val="24"/>
        </w:rPr>
        <w:t>Thain, de 58 años, ahora dirige CIT Group, un prestamista para pequeñas y medianas empresas.</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Pr="00174E71" w:rsidRDefault="00BB7B36" w:rsidP="00BB7B36">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Robert Willumstad</w:t>
      </w:r>
      <w:r>
        <w:rPr>
          <w:rFonts w:ascii="Times New Roman" w:eastAsia="Times New Roman" w:hAnsi="Times New Roman" w:cs="Times New Roman"/>
          <w:sz w:val="24"/>
          <w:szCs w:val="24"/>
        </w:rPr>
        <w:t xml:space="preserve">   </w:t>
      </w:r>
      <w:r w:rsidRPr="00174E71">
        <w:rPr>
          <w:rFonts w:ascii="Times New Roman" w:eastAsia="Times New Roman" w:hAnsi="Times New Roman" w:cs="Times New Roman"/>
          <w:sz w:val="24"/>
          <w:szCs w:val="24"/>
        </w:rPr>
        <w:t>Banquero</w:t>
      </w:r>
    </w:p>
    <w:p w:rsidR="00BB7B36" w:rsidRDefault="00BB7B36" w:rsidP="00BB7B36">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AIG</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77306422" wp14:editId="167E68BC">
            <wp:extent cx="1967788" cy="1901952"/>
            <wp:effectExtent l="0" t="0" r="0" b="3175"/>
            <wp:docPr id="485" name="Imagen 485" descr="http://s.wsj.net/public/resources/images/OB-YU317_0905fi_DV_20130905131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wsj.net/public/resources/images/OB-YU317_0905fi_DV_2013090513180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75437" cy="1909345"/>
                    </a:xfrm>
                    <a:prstGeom prst="rect">
                      <a:avLst/>
                    </a:prstGeom>
                    <a:noFill/>
                    <a:ln>
                      <a:noFill/>
                    </a:ln>
                  </pic:spPr>
                </pic:pic>
              </a:graphicData>
            </a:graphic>
          </wp:inline>
        </w:drawing>
      </w:r>
    </w:p>
    <w:p w:rsidR="00BB7B36" w:rsidRPr="00174E71"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Robert Willumstad, presidente de la junta de American International Group Inc., asumió el cargo adicional de presidente ejecutivo en junio de 2008 cuando el ex presidente ejecutivo Martin Sullivan fue despedido debido a pérdidas en los derivados ligados a crédito</w:t>
      </w:r>
      <w:r>
        <w:rPr>
          <w:rFonts w:ascii="Times New Roman" w:eastAsia="Times New Roman" w:hAnsi="Times New Roman" w:cs="Times New Roman"/>
          <w:sz w:val="24"/>
          <w:szCs w:val="24"/>
        </w:rPr>
        <w:t xml:space="preserve">s hipotecarios de alto riesgos. </w:t>
      </w:r>
      <w:r w:rsidRPr="00174E71">
        <w:rPr>
          <w:rFonts w:ascii="Times New Roman" w:eastAsia="Times New Roman" w:hAnsi="Times New Roman" w:cs="Times New Roman"/>
          <w:sz w:val="24"/>
          <w:szCs w:val="24"/>
        </w:rPr>
        <w:t>El 16 de septiembre de 2008, el gobierno estadounidense tomó control de AIG, comunicando sus preocupaciones sobre el peligro que un colapso supondría para el sistema financiero. Como parte del acuerdo, el secretario del Tesoro, Henry Paulson, insistió que W</w:t>
      </w:r>
      <w:r>
        <w:rPr>
          <w:rFonts w:ascii="Times New Roman" w:eastAsia="Times New Roman" w:hAnsi="Times New Roman" w:cs="Times New Roman"/>
          <w:sz w:val="24"/>
          <w:szCs w:val="24"/>
        </w:rPr>
        <w:t xml:space="preserve">illumstad abandonara el puesto. </w:t>
      </w:r>
      <w:r w:rsidRPr="00174E71">
        <w:rPr>
          <w:rFonts w:ascii="Times New Roman" w:eastAsia="Times New Roman" w:hAnsi="Times New Roman" w:cs="Times New Roman"/>
          <w:sz w:val="24"/>
          <w:szCs w:val="24"/>
        </w:rPr>
        <w:t>Willumstad, ahora de 68 años, es socio en Brysam Global Partners, una firma de private equity que cofundó en 2007.</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Pr="00174E71" w:rsidRDefault="00BB7B36" w:rsidP="00BB7B36">
      <w:pPr>
        <w:spacing w:after="0" w:line="240" w:lineRule="auto"/>
        <w:jc w:val="both"/>
        <w:rPr>
          <w:rFonts w:ascii="Times New Roman" w:eastAsia="Times New Roman" w:hAnsi="Times New Roman" w:cs="Times New Roman"/>
          <w:sz w:val="24"/>
          <w:szCs w:val="24"/>
          <w:lang w:val="en-US"/>
        </w:rPr>
      </w:pPr>
      <w:r w:rsidRPr="00174E71">
        <w:rPr>
          <w:rFonts w:ascii="Times New Roman" w:eastAsia="Times New Roman" w:hAnsi="Times New Roman" w:cs="Times New Roman"/>
          <w:sz w:val="24"/>
          <w:szCs w:val="24"/>
          <w:lang w:val="en-US"/>
        </w:rPr>
        <w:t>Kenneth D. Lewis</w:t>
      </w:r>
      <w:r>
        <w:rPr>
          <w:rFonts w:ascii="Times New Roman" w:eastAsia="Times New Roman" w:hAnsi="Times New Roman" w:cs="Times New Roman"/>
          <w:sz w:val="24"/>
          <w:szCs w:val="24"/>
          <w:lang w:val="en-US"/>
        </w:rPr>
        <w:t xml:space="preserve">   </w:t>
      </w:r>
      <w:r w:rsidRPr="00174E71">
        <w:rPr>
          <w:rFonts w:ascii="Times New Roman" w:eastAsia="Times New Roman" w:hAnsi="Times New Roman" w:cs="Times New Roman"/>
          <w:sz w:val="24"/>
          <w:szCs w:val="24"/>
          <w:lang w:val="en-US"/>
        </w:rPr>
        <w:t>Banquero</w:t>
      </w:r>
    </w:p>
    <w:p w:rsidR="00BB7B36" w:rsidRDefault="00BB7B36" w:rsidP="00BB7B36">
      <w:pPr>
        <w:spacing w:after="0" w:line="240" w:lineRule="auto"/>
        <w:jc w:val="both"/>
        <w:rPr>
          <w:rFonts w:ascii="Times New Roman" w:eastAsia="Times New Roman" w:hAnsi="Times New Roman" w:cs="Times New Roman"/>
          <w:sz w:val="24"/>
          <w:szCs w:val="24"/>
          <w:lang w:val="en-US"/>
        </w:rPr>
      </w:pPr>
      <w:r w:rsidRPr="00174E71">
        <w:rPr>
          <w:rFonts w:ascii="Times New Roman" w:eastAsia="Times New Roman" w:hAnsi="Times New Roman" w:cs="Times New Roman"/>
          <w:sz w:val="24"/>
          <w:szCs w:val="24"/>
          <w:lang w:val="en-US"/>
        </w:rPr>
        <w:t>Bank of America</w:t>
      </w:r>
    </w:p>
    <w:p w:rsidR="00BB7B36" w:rsidRDefault="00BB7B36" w:rsidP="00BB7B36">
      <w:pPr>
        <w:spacing w:after="0" w:line="240" w:lineRule="auto"/>
        <w:jc w:val="both"/>
        <w:rPr>
          <w:rFonts w:ascii="Times New Roman" w:eastAsia="Times New Roman" w:hAnsi="Times New Roman" w:cs="Times New Roman"/>
          <w:sz w:val="24"/>
          <w:szCs w:val="24"/>
          <w:lang w:val="en-US"/>
        </w:rPr>
      </w:pPr>
    </w:p>
    <w:p w:rsidR="00BB7B36" w:rsidRDefault="00BB7B36" w:rsidP="00BB7B36">
      <w:pPr>
        <w:spacing w:after="0" w:line="240" w:lineRule="auto"/>
        <w:jc w:val="both"/>
        <w:rPr>
          <w:rFonts w:ascii="Times New Roman" w:eastAsia="Times New Roman" w:hAnsi="Times New Roman" w:cs="Times New Roman"/>
          <w:sz w:val="24"/>
          <w:szCs w:val="24"/>
          <w:lang w:val="en-US"/>
        </w:rPr>
      </w:pPr>
      <w:r>
        <w:rPr>
          <w:rFonts w:ascii="Arial" w:hAnsi="Arial" w:cs="Arial"/>
          <w:noProof/>
          <w:color w:val="333333"/>
          <w:sz w:val="15"/>
          <w:szCs w:val="15"/>
          <w:lang w:eastAsia="es-ES"/>
        </w:rPr>
        <w:drawing>
          <wp:inline distT="0" distB="0" distL="0" distR="0" wp14:anchorId="5406D1C8" wp14:editId="24AABD8D">
            <wp:extent cx="1967788" cy="1741018"/>
            <wp:effectExtent l="0" t="0" r="0" b="0"/>
            <wp:docPr id="486" name="Imagen 486" descr="http://s.wsj.net/public/resources/images/OB-YU320_0905fi_DV_20130905131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sj.net/public/resources/images/OB-YU320_0905fi_DV_2013090513194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67868" cy="1741089"/>
                    </a:xfrm>
                    <a:prstGeom prst="rect">
                      <a:avLst/>
                    </a:prstGeom>
                    <a:noFill/>
                    <a:ln>
                      <a:noFill/>
                    </a:ln>
                  </pic:spPr>
                </pic:pic>
              </a:graphicData>
            </a:graphic>
          </wp:inline>
        </w:drawing>
      </w:r>
    </w:p>
    <w:p w:rsidR="00BB7B36" w:rsidRPr="00174E71" w:rsidRDefault="00BB7B36" w:rsidP="00BB7B36">
      <w:pPr>
        <w:spacing w:after="0" w:line="240" w:lineRule="auto"/>
        <w:jc w:val="both"/>
        <w:rPr>
          <w:rFonts w:ascii="Times New Roman" w:eastAsia="Times New Roman" w:hAnsi="Times New Roman" w:cs="Times New Roman"/>
          <w:sz w:val="24"/>
          <w:szCs w:val="24"/>
          <w:lang w:val="en-US"/>
        </w:rPr>
      </w:pPr>
    </w:p>
    <w:p w:rsidR="00BB7B36" w:rsidRDefault="00BB7B36" w:rsidP="00BB7B36">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Kenneth Lewis, presidente de Bank of America Corp., orquestó una serie de adquisiciones durante la crisis financiera para crear un gigante bancario involucrado en casi todo segmento del sistema financiero. En 2008, compró al prestamista hipotecario Countrywide Financial y a Merrill Lynch.</w:t>
      </w:r>
      <w:r>
        <w:rPr>
          <w:rFonts w:ascii="Times New Roman" w:eastAsia="Times New Roman" w:hAnsi="Times New Roman" w:cs="Times New Roman"/>
          <w:sz w:val="24"/>
          <w:szCs w:val="24"/>
        </w:rPr>
        <w:t xml:space="preserve"> </w:t>
      </w:r>
      <w:r w:rsidRPr="00174E71">
        <w:rPr>
          <w:rFonts w:ascii="Times New Roman" w:eastAsia="Times New Roman" w:hAnsi="Times New Roman" w:cs="Times New Roman"/>
          <w:sz w:val="24"/>
          <w:szCs w:val="24"/>
        </w:rPr>
        <w:t>Tras las adquisiciones, sus pérdidas ascendieron y los litigios se dispararon. Los analistas calcularon en 2012 que Countrywide le había costado más de US$</w:t>
      </w:r>
      <w:r>
        <w:rPr>
          <w:rFonts w:ascii="Times New Roman" w:eastAsia="Times New Roman" w:hAnsi="Times New Roman" w:cs="Times New Roman"/>
          <w:sz w:val="24"/>
          <w:szCs w:val="24"/>
        </w:rPr>
        <w:t xml:space="preserve"> </w:t>
      </w:r>
      <w:r w:rsidRPr="00174E71">
        <w:rPr>
          <w:rFonts w:ascii="Times New Roman" w:eastAsia="Times New Roman" w:hAnsi="Times New Roman" w:cs="Times New Roman"/>
          <w:sz w:val="24"/>
          <w:szCs w:val="24"/>
        </w:rPr>
        <w:t>40.000 millones a Bank of America.</w:t>
      </w:r>
      <w:r>
        <w:rPr>
          <w:rFonts w:ascii="Times New Roman" w:eastAsia="Times New Roman" w:hAnsi="Times New Roman" w:cs="Times New Roman"/>
          <w:sz w:val="24"/>
          <w:szCs w:val="24"/>
        </w:rPr>
        <w:t xml:space="preserve"> Ante</w:t>
      </w:r>
      <w:r w:rsidRPr="00174E71">
        <w:rPr>
          <w:rFonts w:ascii="Times New Roman" w:eastAsia="Times New Roman" w:hAnsi="Times New Roman" w:cs="Times New Roman"/>
          <w:sz w:val="24"/>
          <w:szCs w:val="24"/>
        </w:rPr>
        <w:t xml:space="preserve"> crecientes críticas, Lewis, ahora de 66 años,</w:t>
      </w:r>
      <w:r>
        <w:rPr>
          <w:rFonts w:ascii="Times New Roman" w:eastAsia="Times New Roman" w:hAnsi="Times New Roman" w:cs="Times New Roman"/>
          <w:sz w:val="24"/>
          <w:szCs w:val="24"/>
        </w:rPr>
        <w:t xml:space="preserve"> anunció su jubilación en 2009. </w:t>
      </w:r>
      <w:r w:rsidRPr="00174E71">
        <w:rPr>
          <w:rFonts w:ascii="Times New Roman" w:eastAsia="Times New Roman" w:hAnsi="Times New Roman" w:cs="Times New Roman"/>
          <w:sz w:val="24"/>
          <w:szCs w:val="24"/>
        </w:rPr>
        <w:t xml:space="preserve">Ahora, </w:t>
      </w:r>
      <w:r w:rsidRPr="00174E71">
        <w:rPr>
          <w:rFonts w:ascii="Times New Roman" w:eastAsia="Times New Roman" w:hAnsi="Times New Roman" w:cs="Times New Roman"/>
          <w:sz w:val="24"/>
          <w:szCs w:val="24"/>
        </w:rPr>
        <w:lastRenderedPageBreak/>
        <w:t>Lewis divide su tiempo entre Carolina del Norte y Florida. Lo que más disfruta son días callados de lectura en casa, según una persona cercana.</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Pr="008D07FE" w:rsidRDefault="00BB7B36" w:rsidP="00BB7B36">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t>James Dimon</w:t>
      </w:r>
      <w:r>
        <w:rPr>
          <w:rFonts w:ascii="Times New Roman" w:eastAsia="Times New Roman" w:hAnsi="Times New Roman" w:cs="Times New Roman"/>
          <w:sz w:val="24"/>
          <w:szCs w:val="24"/>
        </w:rPr>
        <w:t xml:space="preserve">   </w:t>
      </w:r>
      <w:r w:rsidRPr="008D07FE">
        <w:rPr>
          <w:rFonts w:ascii="Times New Roman" w:eastAsia="Times New Roman" w:hAnsi="Times New Roman" w:cs="Times New Roman"/>
          <w:sz w:val="24"/>
          <w:szCs w:val="24"/>
        </w:rPr>
        <w:t>Banquero</w:t>
      </w:r>
    </w:p>
    <w:p w:rsidR="00BB7B36" w:rsidRDefault="00BB7B36" w:rsidP="00BB7B36">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t>J.P. Morgan Chase</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09B8048E" wp14:editId="73937953">
            <wp:extent cx="1975104" cy="1821485"/>
            <wp:effectExtent l="0" t="0" r="6350" b="7620"/>
            <wp:docPr id="487" name="Imagen 487" descr="http://s.wsj.net/public/resources/images/OB-YU321_0905fi_DV_2013090513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wsj.net/public/resources/images/OB-YU321_0905fi_DV_20130905132015.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75185" cy="1821560"/>
                    </a:xfrm>
                    <a:prstGeom prst="rect">
                      <a:avLst/>
                    </a:prstGeom>
                    <a:noFill/>
                    <a:ln>
                      <a:noFill/>
                    </a:ln>
                  </pic:spPr>
                </pic:pic>
              </a:graphicData>
            </a:graphic>
          </wp:inline>
        </w:drawing>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t>James Dimon, presidente de J.P. Morgan Chase &amp; Co., surgió como uno de los ejecutivos más poderosos del sector bancario durante la crisis financiera. J.P. Morgan compró Bear Stearns Cos. en marzo de 2008 mientras la firma de corretaje se desplomaba, y obtuvo un respaldo de US$</w:t>
      </w:r>
      <w:r>
        <w:rPr>
          <w:rFonts w:ascii="Times New Roman" w:eastAsia="Times New Roman" w:hAnsi="Times New Roman" w:cs="Times New Roman"/>
          <w:sz w:val="24"/>
          <w:szCs w:val="24"/>
        </w:rPr>
        <w:t xml:space="preserve"> 29.000 millones del gobierno. </w:t>
      </w:r>
      <w:r w:rsidRPr="008D07FE">
        <w:rPr>
          <w:rFonts w:ascii="Times New Roman" w:eastAsia="Times New Roman" w:hAnsi="Times New Roman" w:cs="Times New Roman"/>
          <w:sz w:val="24"/>
          <w:szCs w:val="24"/>
        </w:rPr>
        <w:t>En 2013, Dimon, ahora de 57 años, sobrevivió una propuesta de algunos accionistas de separar sus roles de presidente de la junta y presidente ejecutivo, tras enormes pérdidas</w:t>
      </w:r>
      <w:r>
        <w:rPr>
          <w:rFonts w:ascii="Times New Roman" w:eastAsia="Times New Roman" w:hAnsi="Times New Roman" w:cs="Times New Roman"/>
          <w:sz w:val="24"/>
          <w:szCs w:val="24"/>
        </w:rPr>
        <w:t xml:space="preserve"> </w:t>
      </w:r>
      <w:r w:rsidRPr="008D07FE">
        <w:rPr>
          <w:rFonts w:ascii="Times New Roman" w:eastAsia="Times New Roman" w:hAnsi="Times New Roman" w:cs="Times New Roman"/>
          <w:sz w:val="24"/>
          <w:szCs w:val="24"/>
        </w:rPr>
        <w:t>por un operador de la empresa en Londres y otros retos regulatorios para el banco.</w:t>
      </w:r>
      <w:r>
        <w:rPr>
          <w:rFonts w:ascii="Times New Roman" w:eastAsia="Times New Roman" w:hAnsi="Times New Roman" w:cs="Times New Roman"/>
          <w:sz w:val="24"/>
          <w:szCs w:val="24"/>
        </w:rPr>
        <w:t xml:space="preserve"> </w:t>
      </w:r>
      <w:r w:rsidRPr="008D07FE">
        <w:rPr>
          <w:rFonts w:ascii="Times New Roman" w:eastAsia="Times New Roman" w:hAnsi="Times New Roman" w:cs="Times New Roman"/>
          <w:sz w:val="24"/>
          <w:szCs w:val="24"/>
        </w:rPr>
        <w:t>Dimon sigue teniendo ambos cargos en el banco.</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Pr="008D07FE" w:rsidRDefault="00BB7B36" w:rsidP="00BB7B36">
      <w:pPr>
        <w:spacing w:after="0" w:line="240" w:lineRule="auto"/>
        <w:jc w:val="both"/>
        <w:rPr>
          <w:rFonts w:ascii="Times New Roman" w:eastAsia="Times New Roman" w:hAnsi="Times New Roman" w:cs="Times New Roman"/>
          <w:sz w:val="24"/>
          <w:szCs w:val="24"/>
          <w:lang w:val="en-US"/>
        </w:rPr>
      </w:pPr>
      <w:r w:rsidRPr="003B0D17">
        <w:rPr>
          <w:rFonts w:ascii="Times New Roman" w:eastAsia="Times New Roman" w:hAnsi="Times New Roman" w:cs="Times New Roman"/>
          <w:sz w:val="24"/>
          <w:szCs w:val="24"/>
        </w:rPr>
        <w:t xml:space="preserve">Robert E. Diamond Jr.   </w:t>
      </w:r>
      <w:r w:rsidRPr="008D07FE">
        <w:rPr>
          <w:rFonts w:ascii="Times New Roman" w:eastAsia="Times New Roman" w:hAnsi="Times New Roman" w:cs="Times New Roman"/>
          <w:sz w:val="24"/>
          <w:szCs w:val="24"/>
          <w:lang w:val="en-US"/>
        </w:rPr>
        <w:t>Banquero</w:t>
      </w:r>
    </w:p>
    <w:p w:rsidR="00BB7B36" w:rsidRDefault="00BB7B36" w:rsidP="00BB7B36">
      <w:pPr>
        <w:spacing w:after="0" w:line="240" w:lineRule="auto"/>
        <w:jc w:val="both"/>
        <w:rPr>
          <w:rFonts w:ascii="Times New Roman" w:eastAsia="Times New Roman" w:hAnsi="Times New Roman" w:cs="Times New Roman"/>
          <w:sz w:val="24"/>
          <w:szCs w:val="24"/>
          <w:lang w:val="en-US"/>
        </w:rPr>
      </w:pPr>
      <w:r w:rsidRPr="008D07FE">
        <w:rPr>
          <w:rFonts w:ascii="Times New Roman" w:eastAsia="Times New Roman" w:hAnsi="Times New Roman" w:cs="Times New Roman"/>
          <w:sz w:val="24"/>
          <w:szCs w:val="24"/>
          <w:lang w:val="en-US"/>
        </w:rPr>
        <w:t>Barclays</w:t>
      </w:r>
    </w:p>
    <w:p w:rsidR="00BB7B36" w:rsidRDefault="00BB7B36" w:rsidP="00BB7B36">
      <w:pPr>
        <w:spacing w:after="0" w:line="240" w:lineRule="auto"/>
        <w:jc w:val="both"/>
        <w:rPr>
          <w:rFonts w:ascii="Times New Roman" w:eastAsia="Times New Roman" w:hAnsi="Times New Roman" w:cs="Times New Roman"/>
          <w:sz w:val="24"/>
          <w:szCs w:val="24"/>
          <w:lang w:val="en-US"/>
        </w:rPr>
      </w:pPr>
    </w:p>
    <w:p w:rsidR="00BB7B36" w:rsidRDefault="00BB7B36" w:rsidP="00BB7B36">
      <w:pPr>
        <w:spacing w:after="0" w:line="240" w:lineRule="auto"/>
        <w:jc w:val="both"/>
        <w:rPr>
          <w:rFonts w:ascii="Times New Roman" w:eastAsia="Times New Roman" w:hAnsi="Times New Roman" w:cs="Times New Roman"/>
          <w:sz w:val="24"/>
          <w:szCs w:val="24"/>
          <w:lang w:val="en-US"/>
        </w:rPr>
      </w:pPr>
      <w:r>
        <w:rPr>
          <w:rFonts w:ascii="Arial" w:hAnsi="Arial" w:cs="Arial"/>
          <w:noProof/>
          <w:color w:val="333333"/>
          <w:sz w:val="15"/>
          <w:szCs w:val="15"/>
          <w:lang w:eastAsia="es-ES"/>
        </w:rPr>
        <w:drawing>
          <wp:inline distT="0" distB="0" distL="0" distR="0" wp14:anchorId="5D3B1AD9" wp14:editId="3F81E9B3">
            <wp:extent cx="1975104" cy="1872692"/>
            <wp:effectExtent l="0" t="0" r="6350" b="0"/>
            <wp:docPr id="488" name="Imagen 488" descr="http://s.wsj.net/public/resources/images/OB-YS850_0830fi_DV_201308301308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wsj.net/public/resources/images/OB-YS850_0830fi_DV_2013083013083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75184" cy="1872768"/>
                    </a:xfrm>
                    <a:prstGeom prst="rect">
                      <a:avLst/>
                    </a:prstGeom>
                    <a:noFill/>
                    <a:ln>
                      <a:noFill/>
                    </a:ln>
                  </pic:spPr>
                </pic:pic>
              </a:graphicData>
            </a:graphic>
          </wp:inline>
        </w:drawing>
      </w:r>
    </w:p>
    <w:p w:rsidR="00BB7B36" w:rsidRPr="008D07FE" w:rsidRDefault="00BB7B36" w:rsidP="00BB7B36">
      <w:pPr>
        <w:spacing w:after="0" w:line="240" w:lineRule="auto"/>
        <w:jc w:val="both"/>
        <w:rPr>
          <w:rFonts w:ascii="Times New Roman" w:eastAsia="Times New Roman" w:hAnsi="Times New Roman" w:cs="Times New Roman"/>
          <w:sz w:val="24"/>
          <w:szCs w:val="24"/>
          <w:lang w:val="en-US"/>
        </w:rPr>
      </w:pPr>
    </w:p>
    <w:p w:rsidR="00BB7B36" w:rsidRDefault="00BB7B36" w:rsidP="00BB7B36">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t>Robert Diamond, entonces presidente del banco de Reino Unido Barclays PLC, participó en la compra de la empresa de la mayoría de las operaciones de América del Norte de Lehman en 2008 por solo US$</w:t>
      </w:r>
      <w:r>
        <w:rPr>
          <w:rFonts w:ascii="Times New Roman" w:eastAsia="Times New Roman" w:hAnsi="Times New Roman" w:cs="Times New Roman"/>
          <w:sz w:val="24"/>
          <w:szCs w:val="24"/>
        </w:rPr>
        <w:t xml:space="preserve"> 1.750 millones. </w:t>
      </w:r>
      <w:r w:rsidRPr="008D07FE">
        <w:rPr>
          <w:rFonts w:ascii="Times New Roman" w:eastAsia="Times New Roman" w:hAnsi="Times New Roman" w:cs="Times New Roman"/>
          <w:sz w:val="24"/>
          <w:szCs w:val="24"/>
        </w:rPr>
        <w:t>Diamond, ahora de 62 años, se convirtió en presidente ejecutivo de Barclays en 2011 pero dimitió en 2012, después de que el banco admitió que intentó manipular tasas de interés d</w:t>
      </w:r>
      <w:r>
        <w:rPr>
          <w:rFonts w:ascii="Times New Roman" w:eastAsia="Times New Roman" w:hAnsi="Times New Roman" w:cs="Times New Roman"/>
          <w:sz w:val="24"/>
          <w:szCs w:val="24"/>
        </w:rPr>
        <w:t xml:space="preserve">e referencia durante la crisis. </w:t>
      </w:r>
      <w:r w:rsidRPr="008D07FE">
        <w:rPr>
          <w:rFonts w:ascii="Times New Roman" w:eastAsia="Times New Roman" w:hAnsi="Times New Roman" w:cs="Times New Roman"/>
          <w:sz w:val="24"/>
          <w:szCs w:val="24"/>
        </w:rPr>
        <w:t>Diamond planea lanzar su propio banco comercial con enfoque en África y Europa en los próximos meses, reportó Th</w:t>
      </w:r>
      <w:r>
        <w:rPr>
          <w:rFonts w:ascii="Times New Roman" w:eastAsia="Times New Roman" w:hAnsi="Times New Roman" w:cs="Times New Roman"/>
          <w:sz w:val="24"/>
          <w:szCs w:val="24"/>
        </w:rPr>
        <w:t>e Wall Street Journal en julio.</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lastRenderedPageBreak/>
        <w:t>John Paulson</w:t>
      </w:r>
      <w:r>
        <w:rPr>
          <w:rFonts w:ascii="Times New Roman" w:eastAsia="Times New Roman" w:hAnsi="Times New Roman" w:cs="Times New Roman"/>
          <w:sz w:val="24"/>
          <w:szCs w:val="24"/>
        </w:rPr>
        <w:t xml:space="preserve">   </w:t>
      </w:r>
      <w:r w:rsidRPr="008D07FE">
        <w:rPr>
          <w:rFonts w:ascii="Times New Roman" w:eastAsia="Times New Roman" w:hAnsi="Times New Roman" w:cs="Times New Roman"/>
          <w:sz w:val="24"/>
          <w:szCs w:val="24"/>
        </w:rPr>
        <w:t>Inversionista</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Pr="008D07FE" w:rsidRDefault="00BB7B36" w:rsidP="00BB7B36">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5EC70B58" wp14:editId="150B2296">
            <wp:extent cx="1916582" cy="1880006"/>
            <wp:effectExtent l="0" t="0" r="7620" b="6350"/>
            <wp:docPr id="489" name="Imagen 489" descr="http://s.wsj.net/public/resources/images/OB-YS854_0830fi_DV_20130830130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wsj.net/public/resources/images/OB-YS854_0830fi_DV_2013083013093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16660" cy="1880083"/>
                    </a:xfrm>
                    <a:prstGeom prst="rect">
                      <a:avLst/>
                    </a:prstGeom>
                    <a:noFill/>
                    <a:ln>
                      <a:noFill/>
                    </a:ln>
                  </pic:spPr>
                </pic:pic>
              </a:graphicData>
            </a:graphic>
          </wp:inline>
        </w:drawing>
      </w:r>
    </w:p>
    <w:p w:rsidR="00BB7B36" w:rsidRPr="008D07FE" w:rsidRDefault="00BB7B36" w:rsidP="00BB7B36">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t xml:space="preserve"> </w:t>
      </w:r>
    </w:p>
    <w:p w:rsidR="00BB7B36" w:rsidRDefault="00BB7B36" w:rsidP="00BB7B36">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t>John Paulson era un gerente de fondo de cobertura poc</w:t>
      </w:r>
      <w:r>
        <w:rPr>
          <w:rFonts w:ascii="Times New Roman" w:eastAsia="Times New Roman" w:hAnsi="Times New Roman" w:cs="Times New Roman"/>
          <w:sz w:val="24"/>
          <w:szCs w:val="24"/>
        </w:rPr>
        <w:t>o conocido que obtuvo renombre -</w:t>
      </w:r>
      <w:r w:rsidRPr="008D07FE">
        <w:rPr>
          <w:rFonts w:ascii="Times New Roman" w:eastAsia="Times New Roman" w:hAnsi="Times New Roman" w:cs="Times New Roman"/>
          <w:sz w:val="24"/>
          <w:szCs w:val="24"/>
        </w:rPr>
        <w:t>además de miles de m</w:t>
      </w:r>
      <w:r>
        <w:rPr>
          <w:rFonts w:ascii="Times New Roman" w:eastAsia="Times New Roman" w:hAnsi="Times New Roman" w:cs="Times New Roman"/>
          <w:sz w:val="24"/>
          <w:szCs w:val="24"/>
        </w:rPr>
        <w:t>illones de dólares en ganancias-</w:t>
      </w:r>
      <w:r w:rsidRPr="008D07FE">
        <w:rPr>
          <w:rFonts w:ascii="Times New Roman" w:eastAsia="Times New Roman" w:hAnsi="Times New Roman" w:cs="Times New Roman"/>
          <w:sz w:val="24"/>
          <w:szCs w:val="24"/>
        </w:rPr>
        <w:t xml:space="preserve"> con una apuesta contra corriente, apostando contra las hipotecas de alto riesgo. En 2007 y 2008, ganó unos US$</w:t>
      </w:r>
      <w:r>
        <w:rPr>
          <w:rFonts w:ascii="Times New Roman" w:eastAsia="Times New Roman" w:hAnsi="Times New Roman" w:cs="Times New Roman"/>
          <w:sz w:val="24"/>
          <w:szCs w:val="24"/>
        </w:rPr>
        <w:t xml:space="preserve"> </w:t>
      </w:r>
      <w:r w:rsidRPr="008D07FE">
        <w:rPr>
          <w:rFonts w:ascii="Times New Roman" w:eastAsia="Times New Roman" w:hAnsi="Times New Roman" w:cs="Times New Roman"/>
          <w:sz w:val="24"/>
          <w:szCs w:val="24"/>
        </w:rPr>
        <w:t>20.000 millones en ganancias por transacciones a medida que el mercado inmobiliario se venía abajo. Esta apuesta convirtió a Paulson en uno de los inversionistas más populares de Wall Street y los activos de su firma, Paulson &amp; Co., crecieron a US$</w:t>
      </w:r>
      <w:r>
        <w:rPr>
          <w:rFonts w:ascii="Times New Roman" w:eastAsia="Times New Roman" w:hAnsi="Times New Roman" w:cs="Times New Roman"/>
          <w:sz w:val="24"/>
          <w:szCs w:val="24"/>
        </w:rPr>
        <w:t xml:space="preserve"> </w:t>
      </w:r>
      <w:r w:rsidRPr="008D07FE">
        <w:rPr>
          <w:rFonts w:ascii="Times New Roman" w:eastAsia="Times New Roman" w:hAnsi="Times New Roman" w:cs="Times New Roman"/>
          <w:sz w:val="24"/>
          <w:szCs w:val="24"/>
        </w:rPr>
        <w:t>36.000</w:t>
      </w:r>
      <w:r>
        <w:rPr>
          <w:rFonts w:ascii="Times New Roman" w:eastAsia="Times New Roman" w:hAnsi="Times New Roman" w:cs="Times New Roman"/>
          <w:sz w:val="24"/>
          <w:szCs w:val="24"/>
        </w:rPr>
        <w:t xml:space="preserve"> millones al comienzo de 2012.  </w:t>
      </w:r>
      <w:r w:rsidRPr="008D07FE">
        <w:rPr>
          <w:rFonts w:ascii="Times New Roman" w:eastAsia="Times New Roman" w:hAnsi="Times New Roman" w:cs="Times New Roman"/>
          <w:sz w:val="24"/>
          <w:szCs w:val="24"/>
        </w:rPr>
        <w:t>El inversionista, de 57 años, ahora está apostando a un repunte en el mercado inmobiliario.</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t>Philip Falcone</w:t>
      </w:r>
      <w:r>
        <w:rPr>
          <w:rFonts w:ascii="Times New Roman" w:eastAsia="Times New Roman" w:hAnsi="Times New Roman" w:cs="Times New Roman"/>
          <w:sz w:val="24"/>
          <w:szCs w:val="24"/>
        </w:rPr>
        <w:t xml:space="preserve">   </w:t>
      </w:r>
      <w:r w:rsidRPr="008D07FE">
        <w:rPr>
          <w:rFonts w:ascii="Times New Roman" w:eastAsia="Times New Roman" w:hAnsi="Times New Roman" w:cs="Times New Roman"/>
          <w:sz w:val="24"/>
          <w:szCs w:val="24"/>
        </w:rPr>
        <w:t>Inversionista</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672024EF" wp14:editId="5735C10F">
            <wp:extent cx="1916582" cy="1799538"/>
            <wp:effectExtent l="0" t="0" r="7620" b="0"/>
            <wp:docPr id="490" name="Imagen 490" descr="http://s.wsj.net/public/resources/images/OB-YS855_0830fi_DV_20130830131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wsj.net/public/resources/images/OB-YS855_0830fi_DV_2013083013102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16660" cy="1799612"/>
                    </a:xfrm>
                    <a:prstGeom prst="rect">
                      <a:avLst/>
                    </a:prstGeom>
                    <a:noFill/>
                    <a:ln>
                      <a:noFill/>
                    </a:ln>
                  </pic:spPr>
                </pic:pic>
              </a:graphicData>
            </a:graphic>
          </wp:inline>
        </w:drawing>
      </w:r>
    </w:p>
    <w:p w:rsidR="00BB7B36" w:rsidRPr="008D07FE"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t>Philip Falcone se convirtió en uno de los inversionistas estrella de la crisis financiera al anticipar que la cesación de pagos en hipotecas se dispararía y que las empresa</w:t>
      </w:r>
      <w:r>
        <w:rPr>
          <w:rFonts w:ascii="Times New Roman" w:eastAsia="Times New Roman" w:hAnsi="Times New Roman" w:cs="Times New Roman"/>
          <w:sz w:val="24"/>
          <w:szCs w:val="24"/>
        </w:rPr>
        <w:t>s mineras aumentarían en valor.</w:t>
      </w:r>
      <w:r w:rsidRPr="008D07FE">
        <w:rPr>
          <w:rFonts w:ascii="Times New Roman" w:eastAsia="Times New Roman" w:hAnsi="Times New Roman" w:cs="Times New Roman"/>
          <w:sz w:val="24"/>
          <w:szCs w:val="24"/>
        </w:rPr>
        <w:t xml:space="preserve"> Falcone y su firma, Harbinger Capital Partners, enfrentaron cargos de fraude civil en 2012 por presuntamente otorgar un trato preferencial a su fundador y a algunos clientes. Falcone admitió haber cometido prácticas indebidas en un acuerdo civil con la Comisión de Bolsa y Valores en agosto de 2013, y aceptó una prohibición de la industria de va</w:t>
      </w:r>
      <w:r>
        <w:rPr>
          <w:rFonts w:ascii="Times New Roman" w:eastAsia="Times New Roman" w:hAnsi="Times New Roman" w:cs="Times New Roman"/>
          <w:sz w:val="24"/>
          <w:szCs w:val="24"/>
        </w:rPr>
        <w:t xml:space="preserve">lores por al menos cinco años. </w:t>
      </w:r>
      <w:r w:rsidRPr="008D07FE">
        <w:rPr>
          <w:rFonts w:ascii="Times New Roman" w:eastAsia="Times New Roman" w:hAnsi="Times New Roman" w:cs="Times New Roman"/>
          <w:sz w:val="24"/>
          <w:szCs w:val="24"/>
        </w:rPr>
        <w:t>Falcone dijo en un informe en ese momento que el acuerdo le permite seguir enfocándose en su empresa que cotiza en bolsa, Harbinger Group Inc., y en Lightsquared Inc., una iniciativa ambiciosa en la que Falcone invirtió miles de millones de dólares.</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Pr="008D07FE" w:rsidRDefault="00BB7B36" w:rsidP="00BB7B36">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lastRenderedPageBreak/>
        <w:t xml:space="preserve">Joseph Cassano </w:t>
      </w:r>
      <w:r>
        <w:rPr>
          <w:rFonts w:ascii="Times New Roman" w:eastAsia="Times New Roman" w:hAnsi="Times New Roman" w:cs="Times New Roman"/>
          <w:sz w:val="24"/>
          <w:szCs w:val="24"/>
        </w:rPr>
        <w:t xml:space="preserve">   </w:t>
      </w:r>
      <w:r w:rsidRPr="008D07FE">
        <w:rPr>
          <w:rFonts w:ascii="Times New Roman" w:eastAsia="Times New Roman" w:hAnsi="Times New Roman" w:cs="Times New Roman"/>
          <w:sz w:val="24"/>
          <w:szCs w:val="24"/>
        </w:rPr>
        <w:t>Financista</w:t>
      </w:r>
    </w:p>
    <w:p w:rsidR="00BB7B36" w:rsidRDefault="00BB7B36" w:rsidP="00BB7B36">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t>AIG</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25618A13" wp14:editId="29FACE73">
            <wp:extent cx="1865376" cy="1894636"/>
            <wp:effectExtent l="0" t="0" r="1905" b="0"/>
            <wp:docPr id="491" name="Imagen 491" descr="http://s.wsj.net/public/resources/images/OB-YS811_0830fi_DV_201308301239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wsj.net/public/resources/images/OB-YS811_0830fi_DV_20130830123916.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65452" cy="1894713"/>
                    </a:xfrm>
                    <a:prstGeom prst="rect">
                      <a:avLst/>
                    </a:prstGeom>
                    <a:noFill/>
                    <a:ln>
                      <a:noFill/>
                    </a:ln>
                  </pic:spPr>
                </pic:pic>
              </a:graphicData>
            </a:graphic>
          </wp:inline>
        </w:drawing>
      </w:r>
    </w:p>
    <w:p w:rsidR="00BB7B36" w:rsidRPr="008D07FE" w:rsidRDefault="00BB7B36" w:rsidP="00BB7B36">
      <w:pPr>
        <w:spacing w:after="0" w:line="240" w:lineRule="auto"/>
        <w:jc w:val="both"/>
        <w:rPr>
          <w:rFonts w:ascii="Times New Roman" w:eastAsia="Times New Roman" w:hAnsi="Times New Roman" w:cs="Times New Roman"/>
          <w:sz w:val="24"/>
          <w:szCs w:val="24"/>
        </w:rPr>
      </w:pPr>
    </w:p>
    <w:p w:rsidR="00BB7B36" w:rsidRPr="008D07FE" w:rsidRDefault="00BB7B36" w:rsidP="00BB7B36">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t>Como jefe de la división de productos financieros de AIG, Joseph Cassano estuvo en el centro de una apuesta realizada en las hipotecas que llevó al gigante de seguros a las manos del gobierno estadounidense. La división vendió miles de millones en seguros contra cesación de pagos para conjuntos de bonos respaldados por hipotecas, es decir seguros contra el colapso de los bonos, y después enfrentó miles de millones en llamadas para exigir avales cu</w:t>
      </w:r>
      <w:r>
        <w:rPr>
          <w:rFonts w:ascii="Times New Roman" w:eastAsia="Times New Roman" w:hAnsi="Times New Roman" w:cs="Times New Roman"/>
          <w:sz w:val="24"/>
          <w:szCs w:val="24"/>
        </w:rPr>
        <w:t xml:space="preserve">ando el mercado se vino abajo. </w:t>
      </w:r>
      <w:r w:rsidRPr="008D07FE">
        <w:rPr>
          <w:rFonts w:ascii="Times New Roman" w:eastAsia="Times New Roman" w:hAnsi="Times New Roman" w:cs="Times New Roman"/>
          <w:sz w:val="24"/>
          <w:szCs w:val="24"/>
        </w:rPr>
        <w:t>En 2010, Cassano, ahora de 58 años, comunic</w:t>
      </w:r>
      <w:r>
        <w:rPr>
          <w:rFonts w:ascii="Times New Roman" w:eastAsia="Times New Roman" w:hAnsi="Times New Roman" w:cs="Times New Roman"/>
          <w:sz w:val="24"/>
          <w:szCs w:val="24"/>
        </w:rPr>
        <w:t>ó a un panel del Congreso de EEUU</w:t>
      </w:r>
      <w:r w:rsidRPr="008D07FE">
        <w:rPr>
          <w:rFonts w:ascii="Times New Roman" w:eastAsia="Times New Roman" w:hAnsi="Times New Roman" w:cs="Times New Roman"/>
          <w:sz w:val="24"/>
          <w:szCs w:val="24"/>
        </w:rPr>
        <w:t xml:space="preserve"> que tomó decisiones “prudentes”, y defendió las acciones del gigante de seguros, agregando que al contribuyente estadounidense le hubiera ido mejor si él habría permanecido en AIG. </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Pr="00F22B93" w:rsidRDefault="00BB7B36" w:rsidP="00BB7B36">
      <w:pPr>
        <w:spacing w:after="0" w:line="240" w:lineRule="auto"/>
        <w:jc w:val="both"/>
        <w:rPr>
          <w:rFonts w:ascii="Times New Roman" w:eastAsia="Times New Roman" w:hAnsi="Times New Roman" w:cs="Times New Roman"/>
          <w:sz w:val="24"/>
          <w:szCs w:val="24"/>
          <w:lang w:val="en-US"/>
        </w:rPr>
      </w:pPr>
      <w:r w:rsidRPr="00F22B93">
        <w:rPr>
          <w:rFonts w:ascii="Times New Roman" w:eastAsia="Times New Roman" w:hAnsi="Times New Roman" w:cs="Times New Roman"/>
          <w:sz w:val="24"/>
          <w:szCs w:val="24"/>
          <w:lang w:val="en-US"/>
        </w:rPr>
        <w:t>Boaz Weinstein   Financista</w:t>
      </w:r>
    </w:p>
    <w:p w:rsidR="00BB7B36" w:rsidRPr="00F22B93" w:rsidRDefault="00BB7B36" w:rsidP="00BB7B36">
      <w:pPr>
        <w:spacing w:after="0" w:line="240" w:lineRule="auto"/>
        <w:jc w:val="both"/>
        <w:rPr>
          <w:rFonts w:ascii="Times New Roman" w:eastAsia="Times New Roman" w:hAnsi="Times New Roman" w:cs="Times New Roman"/>
          <w:sz w:val="24"/>
          <w:szCs w:val="24"/>
          <w:lang w:val="en-US"/>
        </w:rPr>
      </w:pPr>
      <w:r w:rsidRPr="00F22B93">
        <w:rPr>
          <w:rFonts w:ascii="Times New Roman" w:eastAsia="Times New Roman" w:hAnsi="Times New Roman" w:cs="Times New Roman"/>
          <w:sz w:val="24"/>
          <w:szCs w:val="24"/>
          <w:lang w:val="en-US"/>
        </w:rPr>
        <w:t xml:space="preserve">Deutsche Bank </w:t>
      </w:r>
    </w:p>
    <w:p w:rsidR="00BB7B36" w:rsidRPr="00F22B93" w:rsidRDefault="00BB7B36" w:rsidP="00BB7B36">
      <w:pPr>
        <w:spacing w:after="0" w:line="240" w:lineRule="auto"/>
        <w:jc w:val="both"/>
        <w:rPr>
          <w:rFonts w:ascii="Times New Roman" w:eastAsia="Times New Roman" w:hAnsi="Times New Roman" w:cs="Times New Roman"/>
          <w:sz w:val="24"/>
          <w:szCs w:val="24"/>
          <w:lang w:val="en-US"/>
        </w:rPr>
      </w:pPr>
    </w:p>
    <w:p w:rsidR="00BB7B36" w:rsidRDefault="00BB7B36" w:rsidP="00BB7B36">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4E6A4CAE" wp14:editId="5F0C8DEB">
            <wp:extent cx="1916582" cy="1843430"/>
            <wp:effectExtent l="0" t="0" r="7620" b="4445"/>
            <wp:docPr id="492" name="Imagen 492" descr="http://s.wsj.net/public/resources/images/OB-YS815_0830fi_DV_20130830124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wsj.net/public/resources/images/OB-YS815_0830fi_DV_20130830124304.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16660" cy="1843505"/>
                    </a:xfrm>
                    <a:prstGeom prst="rect">
                      <a:avLst/>
                    </a:prstGeom>
                    <a:noFill/>
                    <a:ln>
                      <a:noFill/>
                    </a:ln>
                  </pic:spPr>
                </pic:pic>
              </a:graphicData>
            </a:graphic>
          </wp:inline>
        </w:drawing>
      </w:r>
    </w:p>
    <w:p w:rsidR="00BB7B36" w:rsidRPr="008D07FE"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t>La adopción y el dominio de los seguros contra la cesación de pagos en Deutsche Bank por parte de Boaz Weinstein le ayudaron a obtener el puesto de director gerente a los 27 años. Dirigió un fondo de US$</w:t>
      </w:r>
      <w:r>
        <w:rPr>
          <w:rFonts w:ascii="Times New Roman" w:eastAsia="Times New Roman" w:hAnsi="Times New Roman" w:cs="Times New Roman"/>
          <w:sz w:val="24"/>
          <w:szCs w:val="24"/>
        </w:rPr>
        <w:t xml:space="preserve"> </w:t>
      </w:r>
      <w:r w:rsidRPr="008D07FE">
        <w:rPr>
          <w:rFonts w:ascii="Times New Roman" w:eastAsia="Times New Roman" w:hAnsi="Times New Roman" w:cs="Times New Roman"/>
          <w:sz w:val="24"/>
          <w:szCs w:val="24"/>
        </w:rPr>
        <w:t>10.000 millones y embolsó cientos de millones de dólares al año por el banco alemana, en donde fue codirector de tra</w:t>
      </w:r>
      <w:r>
        <w:rPr>
          <w:rFonts w:ascii="Times New Roman" w:eastAsia="Times New Roman" w:hAnsi="Times New Roman" w:cs="Times New Roman"/>
          <w:sz w:val="24"/>
          <w:szCs w:val="24"/>
        </w:rPr>
        <w:t xml:space="preserve">nsacciones globales de crédito. </w:t>
      </w:r>
      <w:r w:rsidRPr="008D07FE">
        <w:rPr>
          <w:rFonts w:ascii="Times New Roman" w:eastAsia="Times New Roman" w:hAnsi="Times New Roman" w:cs="Times New Roman"/>
          <w:sz w:val="24"/>
          <w:szCs w:val="24"/>
        </w:rPr>
        <w:t>Pero las apuestas del grupo en deuda corporativa se desmoronaron a finales de 2008, y el fondo terminó el año con un descenso de 18%, perdiendo unos US$</w:t>
      </w:r>
      <w:r>
        <w:rPr>
          <w:rFonts w:ascii="Times New Roman" w:eastAsia="Times New Roman" w:hAnsi="Times New Roman" w:cs="Times New Roman"/>
          <w:sz w:val="24"/>
          <w:szCs w:val="24"/>
        </w:rPr>
        <w:t xml:space="preserve"> </w:t>
      </w:r>
      <w:r w:rsidRPr="008D07FE">
        <w:rPr>
          <w:rFonts w:ascii="Times New Roman" w:eastAsia="Times New Roman" w:hAnsi="Times New Roman" w:cs="Times New Roman"/>
          <w:sz w:val="24"/>
          <w:szCs w:val="24"/>
        </w:rPr>
        <w:t>1.800 millones. Weinstein, ahora de 40 años, escindió su grupo de transacciones de crédito a principios de 2009.</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Pr="003B0D17" w:rsidRDefault="00BB7B36" w:rsidP="00BB7B36">
      <w:pPr>
        <w:spacing w:after="0" w:line="240" w:lineRule="auto"/>
        <w:jc w:val="both"/>
        <w:rPr>
          <w:rFonts w:ascii="Times New Roman" w:eastAsia="Times New Roman" w:hAnsi="Times New Roman" w:cs="Times New Roman"/>
          <w:sz w:val="24"/>
          <w:szCs w:val="24"/>
          <w:lang w:val="en-US"/>
        </w:rPr>
      </w:pPr>
      <w:r w:rsidRPr="003B0D17">
        <w:rPr>
          <w:rFonts w:ascii="Times New Roman" w:eastAsia="Times New Roman" w:hAnsi="Times New Roman" w:cs="Times New Roman"/>
          <w:sz w:val="24"/>
          <w:szCs w:val="24"/>
          <w:lang w:val="en-US"/>
        </w:rPr>
        <w:lastRenderedPageBreak/>
        <w:t>Ralph Cioffi &amp; Matthew Tannin   Financistas</w:t>
      </w:r>
    </w:p>
    <w:p w:rsidR="00BB7B36" w:rsidRPr="003B0D17" w:rsidRDefault="00BB7B36" w:rsidP="00BB7B36">
      <w:pPr>
        <w:spacing w:after="0" w:line="240" w:lineRule="auto"/>
        <w:jc w:val="both"/>
        <w:rPr>
          <w:rFonts w:ascii="Times New Roman" w:eastAsia="Times New Roman" w:hAnsi="Times New Roman" w:cs="Times New Roman"/>
          <w:sz w:val="24"/>
          <w:szCs w:val="24"/>
          <w:lang w:val="en-US"/>
        </w:rPr>
      </w:pPr>
      <w:r w:rsidRPr="003B0D17">
        <w:rPr>
          <w:rFonts w:ascii="Times New Roman" w:eastAsia="Times New Roman" w:hAnsi="Times New Roman" w:cs="Times New Roman"/>
          <w:sz w:val="24"/>
          <w:szCs w:val="24"/>
          <w:lang w:val="en-US"/>
        </w:rPr>
        <w:t>Bear Stearns</w:t>
      </w:r>
    </w:p>
    <w:p w:rsidR="00BB7B36" w:rsidRPr="003B0D17" w:rsidRDefault="00BB7B36" w:rsidP="00BB7B36">
      <w:pPr>
        <w:spacing w:after="0" w:line="240" w:lineRule="auto"/>
        <w:jc w:val="both"/>
        <w:rPr>
          <w:rFonts w:ascii="Times New Roman" w:eastAsia="Times New Roman" w:hAnsi="Times New Roman" w:cs="Times New Roman"/>
          <w:sz w:val="24"/>
          <w:szCs w:val="24"/>
          <w:lang w:val="en-US"/>
        </w:rPr>
      </w:pPr>
    </w:p>
    <w:p w:rsidR="00BB7B36" w:rsidRPr="000A57FD" w:rsidRDefault="00BB7B36" w:rsidP="00BB7B36">
      <w:pPr>
        <w:spacing w:after="0" w:line="240" w:lineRule="auto"/>
        <w:jc w:val="both"/>
        <w:rPr>
          <w:rFonts w:ascii="Times New Roman" w:eastAsia="Times New Roman" w:hAnsi="Times New Roman" w:cs="Times New Roman"/>
          <w:sz w:val="24"/>
          <w:szCs w:val="24"/>
        </w:rPr>
      </w:pPr>
      <w:r w:rsidRPr="000A57FD">
        <w:rPr>
          <w:rFonts w:ascii="Times New Roman" w:eastAsia="Times New Roman" w:hAnsi="Times New Roman" w:cs="Times New Roman"/>
          <w:sz w:val="24"/>
          <w:szCs w:val="24"/>
        </w:rPr>
        <w:t>El colapso de los fondos de cobertura altamente apalancados de US$</w:t>
      </w:r>
      <w:r>
        <w:rPr>
          <w:rFonts w:ascii="Times New Roman" w:eastAsia="Times New Roman" w:hAnsi="Times New Roman" w:cs="Times New Roman"/>
          <w:sz w:val="24"/>
          <w:szCs w:val="24"/>
        </w:rPr>
        <w:t xml:space="preserve"> </w:t>
      </w:r>
      <w:r w:rsidRPr="000A57FD">
        <w:rPr>
          <w:rFonts w:ascii="Times New Roman" w:eastAsia="Times New Roman" w:hAnsi="Times New Roman" w:cs="Times New Roman"/>
          <w:sz w:val="24"/>
          <w:szCs w:val="24"/>
        </w:rPr>
        <w:t xml:space="preserve">1.600 millones de Bear Stearns, gestionados por Ralph Cioffi y Matthew Tannin, fue una de las primeras señales de aflicción en los mercados de crédito. Los procuradores federales después avanzaron para levantar cargos criminales contra estos sujetos, declarando que habían engañado a los inversionistas sobre el portafolio de valores respaldados por hipotecas. </w:t>
      </w:r>
    </w:p>
    <w:p w:rsidR="00BB7B36" w:rsidRPr="000A57FD" w:rsidRDefault="00BB7B36" w:rsidP="00BB7B36">
      <w:pPr>
        <w:spacing w:after="0" w:line="240" w:lineRule="auto"/>
        <w:jc w:val="both"/>
        <w:rPr>
          <w:rFonts w:ascii="Times New Roman" w:eastAsia="Times New Roman" w:hAnsi="Times New Roman" w:cs="Times New Roman"/>
          <w:sz w:val="24"/>
          <w:szCs w:val="24"/>
        </w:rPr>
      </w:pPr>
    </w:p>
    <w:p w:rsidR="00BB7B36" w:rsidRPr="000A57FD" w:rsidRDefault="00BB7B36" w:rsidP="00BB7B36">
      <w:pPr>
        <w:spacing w:after="0" w:line="240" w:lineRule="auto"/>
        <w:jc w:val="both"/>
        <w:rPr>
          <w:rFonts w:ascii="Times New Roman" w:eastAsia="Times New Roman" w:hAnsi="Times New Roman" w:cs="Times New Roman"/>
          <w:sz w:val="24"/>
          <w:szCs w:val="24"/>
        </w:rPr>
      </w:pPr>
      <w:r w:rsidRPr="000A57FD">
        <w:rPr>
          <w:rFonts w:ascii="Times New Roman" w:eastAsia="Times New Roman" w:hAnsi="Times New Roman" w:cs="Times New Roman"/>
          <w:sz w:val="24"/>
          <w:szCs w:val="24"/>
        </w:rPr>
        <w:t xml:space="preserve">En noviembre de 2009, Cioffi, ahora de 57 años, y Tannin, de 52 años, fueron exonerados por el jurado. </w:t>
      </w:r>
    </w:p>
    <w:p w:rsidR="00BB7B36" w:rsidRPr="000A57FD"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sidRPr="000A57FD">
        <w:rPr>
          <w:rFonts w:ascii="Times New Roman" w:eastAsia="Times New Roman" w:hAnsi="Times New Roman" w:cs="Times New Roman"/>
          <w:sz w:val="24"/>
          <w:szCs w:val="24"/>
        </w:rPr>
        <w:t>Cioffi ahora vive en Florida con su familia y está invirtiendo su propio dinero.</w:t>
      </w:r>
    </w:p>
    <w:p w:rsidR="00BB7B36" w:rsidRDefault="00BB7B36" w:rsidP="00BB7B36">
      <w:pPr>
        <w:spacing w:after="0" w:line="240" w:lineRule="auto"/>
        <w:jc w:val="both"/>
        <w:rPr>
          <w:rFonts w:ascii="Times New Roman" w:eastAsia="Times New Roman" w:hAnsi="Times New Roman" w:cs="Times New Roman"/>
          <w:sz w:val="24"/>
          <w:szCs w:val="24"/>
        </w:rPr>
      </w:pPr>
    </w:p>
    <w:p w:rsidR="00BB7B36" w:rsidRDefault="00BB7B36" w:rsidP="00BB7B3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Arial" w:hAnsi="Arial" w:cs="Arial"/>
          <w:noProof/>
          <w:color w:val="333333"/>
          <w:sz w:val="15"/>
          <w:szCs w:val="15"/>
          <w:lang w:eastAsia="es-ES"/>
        </w:rPr>
        <w:drawing>
          <wp:inline distT="0" distB="0" distL="0" distR="0" wp14:anchorId="7C024551" wp14:editId="7E2A2E8E">
            <wp:extent cx="1938528" cy="2626156"/>
            <wp:effectExtent l="0" t="0" r="5080" b="3175"/>
            <wp:docPr id="493" name="Imagen 493" descr="http://s.wsj.net/public/resources/images/OB-YS840_0830fi_DV_20130830130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wsj.net/public/resources/images/OB-YS840_0830fi_DV_20130830130315.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38607" cy="2626263"/>
                    </a:xfrm>
                    <a:prstGeom prst="rect">
                      <a:avLst/>
                    </a:prstGeom>
                    <a:noFill/>
                    <a:ln>
                      <a:noFill/>
                    </a:ln>
                  </pic:spPr>
                </pic:pic>
              </a:graphicData>
            </a:graphic>
          </wp:inline>
        </w:drawing>
      </w:r>
    </w:p>
    <w:p w:rsidR="00BB7B36" w:rsidRDefault="00BB7B36" w:rsidP="00BB7B36">
      <w:pPr>
        <w:jc w:val="both"/>
        <w:rPr>
          <w:rFonts w:ascii="Times New Roman" w:hAnsi="Times New Roman"/>
          <w:sz w:val="24"/>
          <w:szCs w:val="24"/>
        </w:rPr>
      </w:pPr>
    </w:p>
    <w:p w:rsidR="00BB7B36" w:rsidRDefault="00BB7B36" w:rsidP="00BB7B36">
      <w:pPr>
        <w:pStyle w:val="Prrafodelista"/>
        <w:numPr>
          <w:ilvl w:val="1"/>
          <w:numId w:val="31"/>
        </w:numPr>
        <w:jc w:val="both"/>
        <w:rPr>
          <w:rFonts w:ascii="Times New Roman" w:hAnsi="Times New Roman" w:cs="Times New Roman"/>
          <w:b/>
          <w:sz w:val="24"/>
          <w:szCs w:val="24"/>
        </w:rPr>
      </w:pPr>
      <w:r w:rsidRPr="002F3510">
        <w:rPr>
          <w:rFonts w:ascii="Times New Roman" w:hAnsi="Times New Roman" w:cs="Times New Roman"/>
          <w:b/>
          <w:sz w:val="24"/>
          <w:szCs w:val="24"/>
        </w:rPr>
        <w:t xml:space="preserve">- La victoria del capital sobre el trabajo, de la economía financiera sobre la real </w:t>
      </w:r>
    </w:p>
    <w:p w:rsidR="00BB7B36" w:rsidRPr="003118A0" w:rsidRDefault="00BB7B36" w:rsidP="00BB7B36">
      <w:pPr>
        <w:jc w:val="both"/>
        <w:rPr>
          <w:rFonts w:ascii="Times New Roman" w:hAnsi="Times New Roman" w:cs="Times New Roman"/>
          <w:sz w:val="24"/>
          <w:szCs w:val="24"/>
          <w:u w:val="single"/>
        </w:rPr>
      </w:pPr>
      <w:r>
        <w:rPr>
          <w:rFonts w:ascii="Times New Roman" w:hAnsi="Times New Roman" w:cs="Times New Roman"/>
          <w:sz w:val="24"/>
          <w:szCs w:val="24"/>
          <w:u w:val="single"/>
        </w:rPr>
        <w:t>El “conundrum” de la crisis: ¿quién paga los platos rotos?</w:t>
      </w:r>
    </w:p>
    <w:p w:rsidR="00BB7B36" w:rsidRDefault="00BB7B36" w:rsidP="00BB7B36">
      <w:pPr>
        <w:pStyle w:val="NormalWeb"/>
        <w:jc w:val="both"/>
      </w:pPr>
      <w:r>
        <w:t xml:space="preserve">- </w:t>
      </w:r>
      <w:r w:rsidRPr="003F5E84">
        <w:rPr>
          <w:u w:val="single"/>
        </w:rPr>
        <w:t>Por qué duran tanto las crisis: nadie quiere pagar la cuenta</w:t>
      </w:r>
      <w:r>
        <w:t xml:space="preserve"> (The Wall Street Journal - </w:t>
      </w:r>
      <w:r w:rsidRPr="003F5E84">
        <w:rPr>
          <w:b/>
        </w:rPr>
        <w:t>10/11/11</w:t>
      </w:r>
      <w:r>
        <w:t>)</w:t>
      </w:r>
    </w:p>
    <w:p w:rsidR="00BB7B36" w:rsidRPr="002F3510" w:rsidRDefault="00BB7B36" w:rsidP="00BB7B36">
      <w:pPr>
        <w:pStyle w:val="NormalWeb"/>
        <w:jc w:val="both"/>
      </w:pPr>
      <w:r w:rsidRPr="002F3510">
        <w:t xml:space="preserve">(Por David Wessel)                                             </w:t>
      </w:r>
      <w:r>
        <w:t xml:space="preserve">                              </w:t>
      </w:r>
      <w:r w:rsidRPr="002F3510">
        <w:t>Lectura recomendada</w:t>
      </w:r>
    </w:p>
    <w:p w:rsidR="00BB7B36" w:rsidRPr="00CE172C" w:rsidRDefault="00BB7B36" w:rsidP="00BB7B36">
      <w:pPr>
        <w:pStyle w:val="NormalWeb"/>
        <w:jc w:val="both"/>
        <w:rPr>
          <w:color w:val="FF0000"/>
          <w:u w:val="single"/>
        </w:rPr>
      </w:pPr>
      <w:r w:rsidRPr="00CE172C">
        <w:rPr>
          <w:color w:val="FF0000"/>
          <w:u w:val="single"/>
        </w:rPr>
        <w:t>Ya han pasado dos años desde que las llamas aparecieron por primera vez en Grecia, y sin embargo el fuego aún no ha sido apagado. Ahora se ha propagado a Italia.</w:t>
      </w:r>
    </w:p>
    <w:p w:rsidR="00BB7B36" w:rsidRPr="00CE172C" w:rsidRDefault="00BB7B36" w:rsidP="00BB7B36">
      <w:pPr>
        <w:pStyle w:val="NormalWeb"/>
        <w:jc w:val="both"/>
        <w:rPr>
          <w:color w:val="FF0000"/>
          <w:u w:val="single"/>
        </w:rPr>
      </w:pPr>
      <w:r w:rsidRPr="00CE172C">
        <w:rPr>
          <w:color w:val="FF0000"/>
          <w:u w:val="single"/>
        </w:rPr>
        <w:t>Han pasado cinco años desde que reventó la burbuja inmobiliaria de Estados Unidos. El sector de la vivienda sigue siendo una de las principales razones por las que la economía del país tiene un desempeño tan débil.</w:t>
      </w:r>
    </w:p>
    <w:p w:rsidR="00BB7B36" w:rsidRPr="00CE172C" w:rsidRDefault="00BB7B36" w:rsidP="00BB7B36">
      <w:pPr>
        <w:pStyle w:val="NormalWeb"/>
        <w:jc w:val="both"/>
        <w:rPr>
          <w:color w:val="FF0000"/>
          <w:u w:val="single"/>
        </w:rPr>
      </w:pPr>
      <w:r w:rsidRPr="00CE172C">
        <w:rPr>
          <w:color w:val="FF0000"/>
          <w:u w:val="single"/>
        </w:rPr>
        <w:t xml:space="preserve">En ambos continentes, ya no quedan dudas sobre la severidad de la amenaza o la urgencia con la que se necesitan mejores políticas. Aun así, los jugadores parecen completamente incapaces de actuar. </w:t>
      </w:r>
    </w:p>
    <w:p w:rsidR="00BB7B36" w:rsidRPr="00CE172C" w:rsidRDefault="00BB7B36" w:rsidP="00BB7B36">
      <w:pPr>
        <w:pStyle w:val="NormalWeb"/>
        <w:jc w:val="both"/>
        <w:rPr>
          <w:b/>
          <w:color w:val="FF0000"/>
          <w:u w:val="single"/>
        </w:rPr>
      </w:pPr>
      <w:r w:rsidRPr="00CE172C">
        <w:rPr>
          <w:b/>
          <w:color w:val="FF0000"/>
          <w:u w:val="single"/>
        </w:rPr>
        <w:lastRenderedPageBreak/>
        <w:t>¿Qué les está llevando tanto tiempo? Decidir quién tendrá que pagar la cuenta.</w:t>
      </w:r>
    </w:p>
    <w:p w:rsidR="00BB7B36" w:rsidRPr="00CE172C" w:rsidRDefault="00BB7B36" w:rsidP="00BB7B36">
      <w:pPr>
        <w:pStyle w:val="NormalWeb"/>
        <w:jc w:val="both"/>
        <w:rPr>
          <w:b/>
          <w:color w:val="FF0000"/>
          <w:u w:val="single"/>
        </w:rPr>
      </w:pPr>
      <w:r>
        <w:rPr>
          <w:b/>
          <w:color w:val="FF0000"/>
          <w:u w:val="single"/>
        </w:rPr>
        <w:t>“</w:t>
      </w:r>
      <w:r w:rsidRPr="00CE172C">
        <w:rPr>
          <w:b/>
          <w:color w:val="FF0000"/>
          <w:u w:val="single"/>
        </w:rPr>
        <w:t>En todas las crisis, se deben repartir las pérdidas entre deudor</w:t>
      </w:r>
      <w:r>
        <w:rPr>
          <w:b/>
          <w:color w:val="FF0000"/>
          <w:u w:val="single"/>
        </w:rPr>
        <w:t>es, acreedores y contribuyentes”</w:t>
      </w:r>
      <w:r w:rsidRPr="00CE172C">
        <w:rPr>
          <w:b/>
          <w:color w:val="FF0000"/>
          <w:u w:val="single"/>
        </w:rPr>
        <w:t xml:space="preserve">, explica Anna Gelpern, profesora de derecho de la Universidad Americana y </w:t>
      </w:r>
      <w:r>
        <w:rPr>
          <w:b/>
          <w:color w:val="FF0000"/>
          <w:u w:val="single"/>
        </w:rPr>
        <w:t>ex funcionaria del Tesoro de EEUU. “</w:t>
      </w:r>
      <w:r w:rsidRPr="00CE172C">
        <w:rPr>
          <w:b/>
          <w:color w:val="FF0000"/>
          <w:u w:val="single"/>
        </w:rPr>
        <w:t xml:space="preserve">Es un concepto sorprendentemente simple, </w:t>
      </w:r>
      <w:r>
        <w:rPr>
          <w:b/>
          <w:color w:val="FF0000"/>
          <w:u w:val="single"/>
        </w:rPr>
        <w:t>y completamente irreconciliable”</w:t>
      </w:r>
      <w:r w:rsidRPr="00CE172C">
        <w:rPr>
          <w:b/>
          <w:color w:val="FF0000"/>
          <w:u w:val="single"/>
        </w:rPr>
        <w:t>.</w:t>
      </w:r>
    </w:p>
    <w:p w:rsidR="00BB7B36" w:rsidRPr="00CE172C" w:rsidRDefault="00BB7B36" w:rsidP="00BB7B36">
      <w:pPr>
        <w:pStyle w:val="NormalWeb"/>
        <w:jc w:val="both"/>
        <w:rPr>
          <w:b/>
          <w:color w:val="FF0000"/>
          <w:u w:val="single"/>
        </w:rPr>
      </w:pPr>
      <w:r>
        <w:rPr>
          <w:b/>
          <w:color w:val="FF0000"/>
          <w:u w:val="single"/>
        </w:rPr>
        <w:t>“</w:t>
      </w:r>
      <w:r w:rsidRPr="00CE172C">
        <w:rPr>
          <w:b/>
          <w:color w:val="FF0000"/>
          <w:u w:val="single"/>
        </w:rPr>
        <w:t>Por definición,</w:t>
      </w:r>
      <w:r>
        <w:rPr>
          <w:b/>
          <w:color w:val="FF0000"/>
          <w:u w:val="single"/>
        </w:rPr>
        <w:t xml:space="preserve"> es un problema político”, agrega. “</w:t>
      </w:r>
      <w:r w:rsidRPr="00CE172C">
        <w:rPr>
          <w:b/>
          <w:color w:val="FF0000"/>
          <w:u w:val="single"/>
        </w:rPr>
        <w:t>Incluso si surgiera la idea de una distribución óptima, si no es vendible polí</w:t>
      </w:r>
      <w:r>
        <w:rPr>
          <w:b/>
          <w:color w:val="FF0000"/>
          <w:u w:val="single"/>
        </w:rPr>
        <w:t>ticamente, no puede concretarse”</w:t>
      </w:r>
      <w:r w:rsidRPr="00CE172C">
        <w:rPr>
          <w:b/>
          <w:color w:val="FF0000"/>
          <w:u w:val="single"/>
        </w:rPr>
        <w:t>.</w:t>
      </w:r>
    </w:p>
    <w:p w:rsidR="00BB7B36" w:rsidRPr="00CE172C" w:rsidRDefault="00BB7B36" w:rsidP="00BB7B36">
      <w:pPr>
        <w:pStyle w:val="NormalWeb"/>
        <w:jc w:val="both"/>
        <w:rPr>
          <w:b/>
          <w:u w:val="single"/>
        </w:rPr>
      </w:pPr>
      <w:r w:rsidRPr="00CE172C">
        <w:rPr>
          <w:b/>
          <w:u w:val="single"/>
        </w:rPr>
        <w:t>Esta vez, la escala es intimidatoria. El Fondo Monetario Internacional estima que los tenedores de hipotecas</w:t>
      </w:r>
      <w:r>
        <w:rPr>
          <w:b/>
          <w:u w:val="single"/>
        </w:rPr>
        <w:t xml:space="preserve"> en EEUU</w:t>
      </w:r>
      <w:r w:rsidRPr="00CE172C">
        <w:rPr>
          <w:b/>
          <w:u w:val="single"/>
        </w:rPr>
        <w:t xml:space="preserve"> y otras deudas perdieron US$ 2,7 billones (millones de millones) en la fase estadounidense de la crisis global, parte de cuya suma ya fue trasladada a los contribuyentes. Las viviendas del país valen casi US$ 7 billones menos que hace cinco años, una caída de 25%.</w:t>
      </w:r>
    </w:p>
    <w:p w:rsidR="00BB7B36" w:rsidRPr="00CE172C" w:rsidRDefault="00BB7B36" w:rsidP="00BB7B36">
      <w:pPr>
        <w:pStyle w:val="NormalWeb"/>
        <w:jc w:val="both"/>
        <w:rPr>
          <w:b/>
          <w:u w:val="single"/>
        </w:rPr>
      </w:pPr>
      <w:r>
        <w:t xml:space="preserve">Se han hecho toda clase de intentos por reducir los pagos mensuales de hipotecas para algunos, por refinanciar créditos con intereses altos, por asegurarse de que los embargos se llevan a cabo correctamente, por recapitalizar bancos para que puedan absorber pérdidas, y demás. </w:t>
      </w:r>
      <w:r w:rsidRPr="00CE172C">
        <w:rPr>
          <w:b/>
          <w:u w:val="single"/>
        </w:rPr>
        <w:t>El gran paso que no se dio: reducir el principal sobre las hipotecas. El gran obstáculo: ¿quién paga los platos rotos? ¿Los bancos? ¿Los inversionistas hipotecarios? ¿Los contribuyentes?</w:t>
      </w:r>
    </w:p>
    <w:p w:rsidR="00BB7B36" w:rsidRPr="00CE172C" w:rsidRDefault="00BB7B36" w:rsidP="00BB7B36">
      <w:pPr>
        <w:pStyle w:val="NormalWeb"/>
        <w:jc w:val="both"/>
        <w:rPr>
          <w:b/>
          <w:u w:val="single"/>
        </w:rPr>
      </w:pPr>
      <w:r w:rsidRPr="00CE172C">
        <w:rPr>
          <w:b/>
          <w:u w:val="single"/>
        </w:rPr>
        <w:t>En Europa, los retrasos para admitir que Grecia pidió prestado demasiado convirtieron lo que hubiera sido un problema difícil pero manejable en una calamidad. Un gran motivo para el retraso: decidir quién pagaría la cuenta. ¿Los contribuyentes alemanes? ¿Los accionistas de bancos franceses? ¿Los tenedores de bonos extranjeros?</w:t>
      </w:r>
    </w:p>
    <w:p w:rsidR="00BB7B36" w:rsidRPr="00CE172C" w:rsidRDefault="00BB7B36" w:rsidP="00BB7B36">
      <w:pPr>
        <w:pStyle w:val="NormalWeb"/>
        <w:jc w:val="both"/>
        <w:rPr>
          <w:b/>
          <w:u w:val="single"/>
        </w:rPr>
      </w:pPr>
      <w:r>
        <w:rPr>
          <w:b/>
          <w:u w:val="single"/>
        </w:rPr>
        <w:t>Cuando un prestatario -un banco, una empresa, un país-</w:t>
      </w:r>
      <w:r w:rsidRPr="00CE172C">
        <w:rPr>
          <w:b/>
          <w:u w:val="single"/>
        </w:rPr>
        <w:t xml:space="preserve"> tiene problemas, la reacción inicial es decir, bueno, tienen el dinero, sólo que están cortos de efectivo. A menudo eso es verdad. Así que el prestamista le da un respiro al prestatario, la empresa empeñ</w:t>
      </w:r>
      <w:r>
        <w:rPr>
          <w:b/>
          <w:u w:val="single"/>
        </w:rPr>
        <w:t>a sus cuentas por cobrar, o el “acreedor de último recurso”</w:t>
      </w:r>
      <w:r w:rsidRPr="00CE172C">
        <w:rPr>
          <w:b/>
          <w:u w:val="single"/>
        </w:rPr>
        <w:t>, el banco central, otorga préstamos de emergencia porque está seguro de que le devolverán el diner</w:t>
      </w:r>
      <w:r>
        <w:rPr>
          <w:b/>
          <w:u w:val="single"/>
        </w:rPr>
        <w:t>o. El problema, se dice, es de “liquidez”</w:t>
      </w:r>
      <w:r w:rsidRPr="00CE172C">
        <w:rPr>
          <w:b/>
          <w:u w:val="single"/>
        </w:rPr>
        <w:t xml:space="preserve"> (lo que significa que nadie perderá dine</w:t>
      </w:r>
      <w:r>
        <w:rPr>
          <w:b/>
          <w:u w:val="single"/>
        </w:rPr>
        <w:t>ro al final) en lugar de decir “solvencia”</w:t>
      </w:r>
      <w:r w:rsidRPr="00CE172C">
        <w:rPr>
          <w:b/>
          <w:u w:val="single"/>
        </w:rPr>
        <w:t xml:space="preserve"> (lo que significa que alguien perderá dinero).</w:t>
      </w:r>
    </w:p>
    <w:p w:rsidR="00BB7B36" w:rsidRDefault="00BB7B36" w:rsidP="00BB7B36">
      <w:pPr>
        <w:pStyle w:val="NormalWeb"/>
        <w:jc w:val="both"/>
      </w:pPr>
      <w:r w:rsidRPr="00CE172C">
        <w:rPr>
          <w:u w:val="single"/>
        </w:rPr>
        <w:t>La tentación de extender esa lógica más allá de la razón es grande. Admitir que, por ejemplo, algunos gobiernos europeos no pagarán 100 centavos por cada dólar, o que algunos préstamos hipotecarios no valen lo que dicen los libros contables, obligaría a los prestamistas a asumir pérdidas</w:t>
      </w:r>
      <w:r>
        <w:t>. Si éstas son grandes, la solvencia de los bancos está en duda. En Francia, los mercados no están tan escépticos ante la capacidad del gobierno de pagar sus cuentas y cumplir con las obligaciones de intereses, sino que se preocupan más por un potencialmente costoso rescate gubernamental de los bancos que tienen mucha deuda de gobiernos extranjeros.</w:t>
      </w:r>
    </w:p>
    <w:p w:rsidR="00BB7B36" w:rsidRPr="00CE172C" w:rsidRDefault="00BB7B36" w:rsidP="00BB7B36">
      <w:pPr>
        <w:pStyle w:val="NormalWeb"/>
        <w:jc w:val="both"/>
        <w:rPr>
          <w:u w:val="single"/>
        </w:rPr>
      </w:pPr>
      <w:r>
        <w:t xml:space="preserve">Entonces, </w:t>
      </w:r>
      <w:r w:rsidRPr="00CE172C">
        <w:rPr>
          <w:u w:val="single"/>
        </w:rPr>
        <w:t>los bancos y los inversionistas igualmente prestan, a menudo a tasas de interés que reflejan el riesgo de que no cobren. Si todo sale bien, ganan mucho dinero. De lo contrario, y hay mucho dinero en juego, los contribuyentes pagan las cuentas.</w:t>
      </w:r>
    </w:p>
    <w:p w:rsidR="00BB7B36" w:rsidRPr="00CE172C" w:rsidRDefault="00BB7B36" w:rsidP="00BB7B36">
      <w:pPr>
        <w:pStyle w:val="NormalWeb"/>
        <w:jc w:val="both"/>
        <w:rPr>
          <w:b/>
          <w:color w:val="FF0000"/>
          <w:u w:val="single"/>
        </w:rPr>
      </w:pPr>
      <w:r>
        <w:rPr>
          <w:b/>
          <w:color w:val="FF0000"/>
          <w:u w:val="single"/>
        </w:rPr>
        <w:lastRenderedPageBreak/>
        <w:t>“</w:t>
      </w:r>
      <w:r w:rsidRPr="00CE172C">
        <w:rPr>
          <w:b/>
          <w:color w:val="FF0000"/>
          <w:u w:val="single"/>
        </w:rPr>
        <w:t>Las partes que tienen pérdidas contractuales intentan pasar esas pérdidas a otros, esp</w:t>
      </w:r>
      <w:r>
        <w:rPr>
          <w:b/>
          <w:color w:val="FF0000"/>
          <w:u w:val="single"/>
        </w:rPr>
        <w:t>ecialmente a los contribuyentes”</w:t>
      </w:r>
      <w:r w:rsidRPr="00CE172C">
        <w:rPr>
          <w:b/>
          <w:color w:val="FF0000"/>
          <w:u w:val="single"/>
        </w:rPr>
        <w:t>, afirma Edward Kane,</w:t>
      </w:r>
      <w:r>
        <w:rPr>
          <w:b/>
          <w:color w:val="FF0000"/>
          <w:u w:val="single"/>
        </w:rPr>
        <w:t xml:space="preserve"> economista de Boston College. “</w:t>
      </w:r>
      <w:r w:rsidRPr="00CE172C">
        <w:rPr>
          <w:b/>
          <w:color w:val="FF0000"/>
          <w:u w:val="single"/>
        </w:rPr>
        <w:t xml:space="preserve">Estas crisis tienden a prolongarse mientras haya una posibilidad de trasladar las pérdidas a </w:t>
      </w:r>
      <w:r>
        <w:rPr>
          <w:b/>
          <w:color w:val="FF0000"/>
          <w:u w:val="single"/>
        </w:rPr>
        <w:t>los contribuyentes”</w:t>
      </w:r>
      <w:r w:rsidRPr="00CE172C">
        <w:rPr>
          <w:b/>
          <w:color w:val="FF0000"/>
          <w:u w:val="single"/>
        </w:rPr>
        <w:t>.</w:t>
      </w:r>
    </w:p>
    <w:p w:rsidR="00BB7B36" w:rsidRDefault="00BB7B36" w:rsidP="00BB7B36">
      <w:pPr>
        <w:pStyle w:val="NormalWeb"/>
        <w:jc w:val="both"/>
      </w:pPr>
      <w:r w:rsidRPr="00CE172C">
        <w:rPr>
          <w:b/>
          <w:color w:val="FF0000"/>
          <w:u w:val="single"/>
        </w:rPr>
        <w:t>Entonces primero está la negación, luego los retrasos y por último, el disimulo. Esto tiene costos.</w:t>
      </w:r>
      <w:r>
        <w:t xml:space="preserve"> Los préstamos bancarios son uno. “Los bancos no están ansiosos de otorgar crédito, porque no saben cuánto capital tienen, y les resulta difícil levantar dinero, porque los inversionistas no están seguros de su condición financiera”, sostiene John Makin, del American Enterprise Institute.</w:t>
      </w:r>
    </w:p>
    <w:p w:rsidR="00BB7B36" w:rsidRDefault="00BB7B36" w:rsidP="00BB7B36">
      <w:pPr>
        <w:pStyle w:val="NormalWeb"/>
        <w:jc w:val="both"/>
        <w:rPr>
          <w:b/>
          <w:color w:val="FF0000"/>
          <w:u w:val="single"/>
        </w:rPr>
      </w:pPr>
      <w:r w:rsidRPr="00CE172C">
        <w:rPr>
          <w:b/>
          <w:color w:val="FF0000"/>
          <w:u w:val="single"/>
        </w:rPr>
        <w:t>Los contribuyentes van a pagar algunos platos rotos. ¿Cuántos? Hasta que no se decida eso, la crisis continuará.</w:t>
      </w:r>
    </w:p>
    <w:p w:rsidR="00BB7B36" w:rsidRDefault="00BB7B36" w:rsidP="00BB7B36">
      <w:pPr>
        <w:pStyle w:val="NormalWeb"/>
        <w:jc w:val="both"/>
        <w:rPr>
          <w:u w:val="single"/>
        </w:rPr>
      </w:pPr>
      <w:r>
        <w:rPr>
          <w:u w:val="single"/>
        </w:rPr>
        <w:t>El gasto social europeo (la imposibilidad europea de sobrevivir en una tierra “plana”)</w:t>
      </w:r>
    </w:p>
    <w:p w:rsidR="00BB7B36" w:rsidRPr="00E2240D" w:rsidRDefault="00BB7B36" w:rsidP="00BB7B36">
      <w:pPr>
        <w:pStyle w:val="NormalWeb"/>
        <w:jc w:val="both"/>
        <w:rPr>
          <w:u w:val="single"/>
        </w:rPr>
      </w:pPr>
      <w:r>
        <w:rPr>
          <w:noProof/>
        </w:rPr>
        <w:drawing>
          <wp:anchor distT="0" distB="0" distL="0" distR="0" simplePos="0" relativeHeight="251659264" behindDoc="0" locked="0" layoutInCell="1" allowOverlap="0" wp14:anchorId="042EF48F" wp14:editId="1868C713">
            <wp:simplePos x="0" y="0"/>
            <wp:positionH relativeFrom="column">
              <wp:posOffset>967740</wp:posOffset>
            </wp:positionH>
            <wp:positionV relativeFrom="line">
              <wp:posOffset>185420</wp:posOffset>
            </wp:positionV>
            <wp:extent cx="2856865" cy="3949700"/>
            <wp:effectExtent l="0" t="0" r="635" b="0"/>
            <wp:wrapSquare wrapText="bothSides"/>
            <wp:docPr id="509" name="Imagen 509" descr="2011022483grafico_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1022483grafico_in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6865" cy="3949700"/>
                    </a:xfrm>
                    <a:prstGeom prst="rect">
                      <a:avLst/>
                    </a:prstGeom>
                    <a:noFill/>
                    <a:ln>
                      <a:noFill/>
                    </a:ln>
                  </pic:spPr>
                </pic:pic>
              </a:graphicData>
            </a:graphic>
            <wp14:sizeRelH relativeFrom="page">
              <wp14:pctWidth>0</wp14:pctWidth>
            </wp14:sizeRelH>
            <wp14:sizeRelV relativeFrom="page">
              <wp14:pctHeight>0</wp14:pctHeight>
            </wp14:sizeRelV>
          </wp:anchor>
        </w:drawing>
      </w:r>
      <w:r>
        <w:rPr>
          <w:b/>
        </w:rPr>
        <w:tab/>
      </w:r>
      <w:r>
        <w:rPr>
          <w:b/>
        </w:rPr>
        <w:tab/>
      </w:r>
    </w:p>
    <w:p w:rsidR="00BB7B36" w:rsidRPr="00E04057" w:rsidRDefault="00BB7B36" w:rsidP="00BB7B36">
      <w:pPr>
        <w:pStyle w:val="NormalWeb"/>
        <w:jc w:val="both"/>
        <w:rPr>
          <w:b/>
        </w:rPr>
      </w:pPr>
    </w:p>
    <w:p w:rsidR="00BB7B36" w:rsidRDefault="00BB7B36" w:rsidP="00BB7B36">
      <w:pPr>
        <w:rPr>
          <w:rFonts w:ascii="Times New Roman" w:hAnsi="Times New Roman" w:cs="Times New Roman"/>
          <w:sz w:val="24"/>
          <w:szCs w:val="24"/>
        </w:rPr>
      </w:pPr>
    </w:p>
    <w:p w:rsidR="00BB7B36" w:rsidRDefault="00BB7B36" w:rsidP="00BB7B36">
      <w:pPr>
        <w:rPr>
          <w:rFonts w:ascii="Times New Roman" w:hAnsi="Times New Roman" w:cs="Times New Roman"/>
          <w:sz w:val="24"/>
          <w:szCs w:val="24"/>
        </w:rPr>
      </w:pPr>
    </w:p>
    <w:p w:rsidR="00BB7B36" w:rsidRDefault="00BB7B36" w:rsidP="00BB7B36">
      <w:pPr>
        <w:rPr>
          <w:rFonts w:ascii="Times New Roman" w:hAnsi="Times New Roman" w:cs="Times New Roman"/>
          <w:sz w:val="24"/>
          <w:szCs w:val="24"/>
        </w:rPr>
      </w:pPr>
    </w:p>
    <w:p w:rsidR="00BB7B36" w:rsidRDefault="00BB7B36" w:rsidP="00BB7B36">
      <w:pPr>
        <w:rPr>
          <w:rFonts w:ascii="Times New Roman" w:hAnsi="Times New Roman" w:cs="Times New Roman"/>
          <w:sz w:val="24"/>
          <w:szCs w:val="24"/>
        </w:rPr>
      </w:pPr>
    </w:p>
    <w:p w:rsidR="00BB7B36" w:rsidRDefault="00BB7B36" w:rsidP="00BB7B36">
      <w:pPr>
        <w:rPr>
          <w:rFonts w:ascii="Times New Roman" w:hAnsi="Times New Roman" w:cs="Times New Roman"/>
          <w:sz w:val="24"/>
          <w:szCs w:val="24"/>
        </w:rPr>
      </w:pPr>
    </w:p>
    <w:p w:rsidR="00BB7B36" w:rsidRDefault="00BB7B36" w:rsidP="00BB7B36">
      <w:pPr>
        <w:rPr>
          <w:rFonts w:ascii="Times New Roman" w:hAnsi="Times New Roman" w:cs="Times New Roman"/>
          <w:sz w:val="24"/>
          <w:szCs w:val="24"/>
        </w:rPr>
      </w:pPr>
    </w:p>
    <w:p w:rsidR="00BB7B36" w:rsidRDefault="00BB7B36" w:rsidP="00BB7B36">
      <w:pPr>
        <w:rPr>
          <w:rFonts w:ascii="Times New Roman" w:hAnsi="Times New Roman" w:cs="Times New Roman"/>
          <w:sz w:val="24"/>
          <w:szCs w:val="24"/>
        </w:rPr>
      </w:pPr>
    </w:p>
    <w:p w:rsidR="00BB7B36" w:rsidRDefault="00BB7B36" w:rsidP="00BB7B36">
      <w:pPr>
        <w:rPr>
          <w:rFonts w:ascii="Times New Roman" w:hAnsi="Times New Roman" w:cs="Times New Roman"/>
          <w:sz w:val="24"/>
          <w:szCs w:val="24"/>
        </w:rPr>
      </w:pPr>
    </w:p>
    <w:p w:rsidR="00BB7B36" w:rsidRDefault="00BB7B36" w:rsidP="00BB7B36">
      <w:pPr>
        <w:rPr>
          <w:rFonts w:ascii="Times New Roman" w:hAnsi="Times New Roman" w:cs="Times New Roman"/>
          <w:sz w:val="24"/>
          <w:szCs w:val="24"/>
        </w:rPr>
      </w:pPr>
    </w:p>
    <w:p w:rsidR="00BB7B36" w:rsidRDefault="00BB7B36" w:rsidP="00BB7B36">
      <w:pPr>
        <w:rPr>
          <w:rFonts w:ascii="Times New Roman" w:hAnsi="Times New Roman" w:cs="Times New Roman"/>
          <w:sz w:val="24"/>
          <w:szCs w:val="24"/>
        </w:rPr>
      </w:pPr>
    </w:p>
    <w:p w:rsidR="00BB7B36" w:rsidRDefault="00BB7B36" w:rsidP="00BB7B36">
      <w:pPr>
        <w:pStyle w:val="NormalWeb"/>
        <w:jc w:val="both"/>
        <w:rPr>
          <w:rFonts w:eastAsiaTheme="minorHAnsi"/>
          <w:lang w:eastAsia="en-US"/>
        </w:rPr>
      </w:pPr>
    </w:p>
    <w:p w:rsidR="00BB7B36" w:rsidRDefault="00BB7B36" w:rsidP="00BB7B36">
      <w:pPr>
        <w:pStyle w:val="NormalWeb"/>
        <w:jc w:val="both"/>
      </w:pPr>
      <w:r>
        <w:t xml:space="preserve">(El Confidencial - </w:t>
      </w:r>
      <w:r w:rsidRPr="008539F9">
        <w:rPr>
          <w:b/>
        </w:rPr>
        <w:t>25/2/11</w:t>
      </w:r>
      <w:r>
        <w:t>)</w:t>
      </w:r>
    </w:p>
    <w:p w:rsidR="00BB7B36" w:rsidRPr="00E2240D" w:rsidRDefault="00BB7B36" w:rsidP="00BB7B36">
      <w:pPr>
        <w:pStyle w:val="NormalWeb"/>
        <w:jc w:val="both"/>
        <w:rPr>
          <w:u w:val="single"/>
        </w:rPr>
      </w:pPr>
      <w:r w:rsidRPr="00E2240D">
        <w:rPr>
          <w:u w:val="single"/>
        </w:rPr>
        <w:t>¿Más Europa?</w:t>
      </w:r>
    </w:p>
    <w:p w:rsidR="00BB7B36" w:rsidRPr="002773E6" w:rsidRDefault="00BB7B36" w:rsidP="00BB7B36">
      <w:pPr>
        <w:pStyle w:val="NormalWeb"/>
        <w:jc w:val="both"/>
      </w:pPr>
      <w:r>
        <w:rPr>
          <w:i/>
        </w:rPr>
        <w:t>“</w:t>
      </w:r>
      <w:r w:rsidRPr="002F3510">
        <w:rPr>
          <w:i/>
        </w:rPr>
        <w:t>Los líderes europeos piden una mayor unión para salir de la crisis pero la opinión pública desconfía cada vez más de las instituciones comunes</w:t>
      </w:r>
      <w:r>
        <w:rPr>
          <w:i/>
        </w:rPr>
        <w:t xml:space="preserve">”… </w:t>
      </w:r>
      <w:r w:rsidRPr="007E648F">
        <w:rPr>
          <w:u w:val="single"/>
        </w:rPr>
        <w:t>¿Una Europa euroescéptica?</w:t>
      </w:r>
      <w:r>
        <w:t xml:space="preserve"> (El País - </w:t>
      </w:r>
      <w:r w:rsidRPr="007E648F">
        <w:rPr>
          <w:b/>
        </w:rPr>
        <w:t>25/11/11</w:t>
      </w:r>
      <w:r>
        <w:t>)</w:t>
      </w:r>
    </w:p>
    <w:p w:rsidR="00BB7B36" w:rsidRPr="00CC5EA4" w:rsidRDefault="00BB7B36" w:rsidP="00BB7B36">
      <w:pPr>
        <w:jc w:val="both"/>
        <w:rPr>
          <w:rFonts w:ascii="Times New Roman" w:hAnsi="Times New Roman"/>
          <w:sz w:val="24"/>
          <w:szCs w:val="24"/>
        </w:rPr>
      </w:pPr>
      <w:r w:rsidRPr="00CC5EA4">
        <w:rPr>
          <w:rFonts w:ascii="Times New Roman" w:hAnsi="Times New Roman"/>
          <w:sz w:val="24"/>
          <w:szCs w:val="24"/>
        </w:rPr>
        <w:lastRenderedPageBreak/>
        <w:t>¿Más Europa? Esa parece ser una de las soluciones propuestas a la crisis económica y política que asola al continente. La forma concreta que esa “mayor” Europa tome no está nada clara (creación de un tesoro europeo, establecimiento de impuestos europeos, fortalecimiento de los mecanismos de control fiscal por parte de las instancias supranacionales,…), pero todas ellas parecen pasar por una nueva ronda de transferencias de soberanía hacia las instituciones supranacionales en el ámbito de la política económica.</w:t>
      </w:r>
    </w:p>
    <w:p w:rsidR="00BB7B36" w:rsidRPr="00CC5EA4" w:rsidRDefault="00BB7B36" w:rsidP="00BB7B36">
      <w:pPr>
        <w:jc w:val="both"/>
        <w:rPr>
          <w:rFonts w:ascii="Times New Roman" w:hAnsi="Times New Roman"/>
          <w:sz w:val="24"/>
          <w:szCs w:val="24"/>
        </w:rPr>
      </w:pPr>
      <w:r w:rsidRPr="00CC5EA4">
        <w:rPr>
          <w:rFonts w:ascii="Times New Roman" w:hAnsi="Times New Roman"/>
          <w:sz w:val="24"/>
          <w:szCs w:val="24"/>
        </w:rPr>
        <w:t>Nada hace pensar que los líderes europeos encuentren en la opinión pública europea un aliado en este proceso. Según el Eurobarómetro (de inicios del año 2011), menos de la mitad de los europeos (un 47%) creen que la pertenencia de su país a la UE ha sido algo positivo (frente al 18% que piensa que ha sido algo malo y al 31% que considera que no ha sido ni bueno ni malo), y solo el 41% confía en la Unión Europea (frente a un 47% que desconfía). Si preguntamos a los europeos sobre algunas de las reformas propuestas, como un mayor papel de las instituciones supranacionales en la definición de la política fiscal, los resultados son incluso menos esperanzadores.</w:t>
      </w:r>
    </w:p>
    <w:p w:rsidR="00BB7B36" w:rsidRPr="00CC5EA4" w:rsidRDefault="00BB7B36" w:rsidP="00BB7B36">
      <w:pPr>
        <w:jc w:val="both"/>
        <w:rPr>
          <w:rFonts w:ascii="Times New Roman" w:hAnsi="Times New Roman"/>
          <w:sz w:val="24"/>
          <w:szCs w:val="24"/>
        </w:rPr>
      </w:pPr>
      <w:r w:rsidRPr="00CC5EA4">
        <w:rPr>
          <w:rFonts w:ascii="Times New Roman" w:hAnsi="Times New Roman"/>
          <w:sz w:val="24"/>
          <w:szCs w:val="24"/>
        </w:rPr>
        <w:t>En cierto sentido, que el euroescepticismo esté en auge no debería sorprendernos. Una de las regularidades empíricas más estables encontradas por los estudiosos de la opinión pública europea es que el apoyo al proceso de integración está muy correlacionado con el ciclo económico: los europeos apoyamos la integración en los años de bonanza económica y nos hacemos euroescépticos en las crisis. Si observamos la evolución de la desconfianza hacia la Unión Europea por países, se aprecia que son los países que están atravesando mayores dificultades económicas aquellos donde el ascenso del euroescepticismo es más acusado.</w:t>
      </w:r>
    </w:p>
    <w:p w:rsidR="00BB7B36" w:rsidRPr="00CC5EA4" w:rsidRDefault="00BB7B36" w:rsidP="00BB7B36">
      <w:pPr>
        <w:jc w:val="both"/>
        <w:rPr>
          <w:rFonts w:ascii="Times New Roman" w:hAnsi="Times New Roman"/>
          <w:sz w:val="24"/>
          <w:szCs w:val="24"/>
        </w:rPr>
      </w:pPr>
      <w:r w:rsidRPr="00CC5EA4">
        <w:rPr>
          <w:rFonts w:ascii="Times New Roman" w:hAnsi="Times New Roman"/>
          <w:sz w:val="24"/>
          <w:szCs w:val="24"/>
        </w:rPr>
        <w:t>Mientras que en los países escandinavos (con poblaciones tradicionalmente muy euroescépticas) la desconfianza de sus poblaciones hacia Europa de hecho se ha reducido ligeramente en la última década, en los países del centro del continente y, sobre todo, en la periferia más afectada por la crisis (los famosos PIIGS), se puede detectar un claro aumento de la desconfianza hacia la UE en los últimos cinco años. Por el papel central que, según algunos, la opinión pública alemana ha jugado en la capacidad de los líderes europeos de adoptar determinadas decisiones, es particularmente preocupante el aumento de la desconfianza hacia la UE en este país que, a pesar de no haber sufrido apenas la crisis económica, ha visto cómo su nivel de desconfiados hacia Europa ha aumentado en solo cuatro años en veinte puntos, hasta colocarse en un 55%.</w:t>
      </w:r>
    </w:p>
    <w:p w:rsidR="00BB7B36" w:rsidRPr="00CC5EA4" w:rsidRDefault="00BB7B36" w:rsidP="00BB7B36">
      <w:pPr>
        <w:jc w:val="both"/>
        <w:rPr>
          <w:rFonts w:ascii="Times New Roman" w:hAnsi="Times New Roman"/>
          <w:sz w:val="24"/>
          <w:szCs w:val="24"/>
        </w:rPr>
      </w:pPr>
      <w:r w:rsidRPr="00CC5EA4">
        <w:rPr>
          <w:rFonts w:ascii="Times New Roman" w:hAnsi="Times New Roman"/>
          <w:sz w:val="24"/>
          <w:szCs w:val="24"/>
        </w:rPr>
        <w:t>Menos de la mitad de la población europea cree que la UE ha sido positiva</w:t>
      </w:r>
    </w:p>
    <w:p w:rsidR="00BB7B36" w:rsidRPr="00CC5EA4" w:rsidRDefault="00BB7B36" w:rsidP="00BB7B36">
      <w:pPr>
        <w:jc w:val="both"/>
        <w:rPr>
          <w:rFonts w:ascii="Times New Roman" w:hAnsi="Times New Roman"/>
          <w:sz w:val="24"/>
          <w:szCs w:val="24"/>
        </w:rPr>
      </w:pPr>
      <w:r w:rsidRPr="00CC5EA4">
        <w:rPr>
          <w:rFonts w:ascii="Times New Roman" w:hAnsi="Times New Roman"/>
          <w:sz w:val="24"/>
          <w:szCs w:val="24"/>
        </w:rPr>
        <w:t xml:space="preserve">¿Qué papel ha jugado la existencia de la moneda única en este proceso de auge del euroescepticismo? Resulta complicado establecer nítidas relaciones de causalidad con estos datos, pero es llamativo que dos de los tres países que decidieron quedarse fuera de la unión monetaria tienen hoy índices de confianza en la UE mejores que hace una década, mientras que, con la excepción de Finlandia, todos los miembros de la eurozona han visto cómo el euroescepticismo crecía en sus poblaciones. El caso de Grecia es el </w:t>
      </w:r>
      <w:r w:rsidRPr="00CC5EA4">
        <w:rPr>
          <w:rFonts w:ascii="Times New Roman" w:hAnsi="Times New Roman"/>
          <w:sz w:val="24"/>
          <w:szCs w:val="24"/>
        </w:rPr>
        <w:lastRenderedPageBreak/>
        <w:t>más dramático de todos: mientras que en el 2001 tres cuartos de la población confiaban en la UE y un cuarto desconfiaba, en 2011 la relación se ha invertido: hoy sólo un tercio de la población confía en la UE, y dos tercios desconfían.</w:t>
      </w:r>
    </w:p>
    <w:p w:rsidR="00BB7B36" w:rsidRPr="00CC5EA4" w:rsidRDefault="00BB7B36" w:rsidP="00BB7B36">
      <w:pPr>
        <w:jc w:val="both"/>
        <w:rPr>
          <w:rFonts w:ascii="Times New Roman" w:hAnsi="Times New Roman"/>
          <w:sz w:val="24"/>
          <w:szCs w:val="24"/>
        </w:rPr>
      </w:pPr>
      <w:r w:rsidRPr="00CC5EA4">
        <w:rPr>
          <w:rFonts w:ascii="Times New Roman" w:hAnsi="Times New Roman"/>
          <w:sz w:val="24"/>
          <w:szCs w:val="24"/>
        </w:rPr>
        <w:t>¿Han cambiado las características de los individuos europeístas y euroescépticos a lo largo de esta década? Un análisis en detalle de los determinantes de la desconfianza a nivel individual revela que si bien muchas características de los individuos (edad, clase social) siguen estando asociadas de la misma forma que hace diez años con diferentes opiniones sobre la UE, el efecto de la ideología del individuo ha cambiado de dirección: en 2001 los europeos de izquierdas tendían, en media, a desconfiar menos de la UE que los de derechas. Hoy sucede lo contrario: ideológicamente, son los europeos de izquierdas los que más desconfían de la UE.</w:t>
      </w:r>
    </w:p>
    <w:p w:rsidR="00BB7B36" w:rsidRDefault="00BB7B36" w:rsidP="00BB7B36">
      <w:pPr>
        <w:jc w:val="both"/>
        <w:rPr>
          <w:rFonts w:ascii="Times New Roman" w:hAnsi="Times New Roman"/>
          <w:sz w:val="24"/>
          <w:szCs w:val="24"/>
        </w:rPr>
      </w:pPr>
      <w:r>
        <w:rPr>
          <w:rFonts w:ascii="Times New Roman" w:hAnsi="Times New Roman"/>
          <w:sz w:val="24"/>
          <w:szCs w:val="24"/>
        </w:rPr>
        <w:t xml:space="preserve">                              </w:t>
      </w:r>
      <w:r>
        <w:rPr>
          <w:noProof/>
          <w:lang w:eastAsia="es-ES"/>
        </w:rPr>
        <w:drawing>
          <wp:inline distT="0" distB="0" distL="0" distR="0" wp14:anchorId="3C74CAEF" wp14:editId="679A0205">
            <wp:extent cx="2859938" cy="4710988"/>
            <wp:effectExtent l="0" t="0" r="0" b="0"/>
            <wp:docPr id="508" name="Imagen 508" descr="1322245839_324287_1322250637_noticia_norm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322245839_324287_1322250637_noticia_normal"/>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60040" cy="4711155"/>
                    </a:xfrm>
                    <a:prstGeom prst="rect">
                      <a:avLst/>
                    </a:prstGeom>
                    <a:noFill/>
                    <a:ln>
                      <a:noFill/>
                    </a:ln>
                  </pic:spPr>
                </pic:pic>
              </a:graphicData>
            </a:graphic>
          </wp:inline>
        </w:drawing>
      </w:r>
    </w:p>
    <w:p w:rsidR="00BB7B36" w:rsidRPr="002773E6" w:rsidRDefault="00BB7B36" w:rsidP="00BB7B36">
      <w:pPr>
        <w:jc w:val="both"/>
        <w:rPr>
          <w:rFonts w:ascii="Times New Roman" w:hAnsi="Times New Roman"/>
          <w:sz w:val="24"/>
          <w:szCs w:val="24"/>
        </w:rPr>
      </w:pPr>
      <w:r w:rsidRPr="002773E6">
        <w:rPr>
          <w:rFonts w:ascii="Times New Roman" w:hAnsi="Times New Roman"/>
          <w:sz w:val="24"/>
          <w:szCs w:val="24"/>
        </w:rPr>
        <w:t>Si, como apuntan estos datos, la crisis económica y su gestión ha deteriorado el apoyo a la UE en los países más duramente afectados por la crisis y entre los sectores más progresistas de la población, ¿existen formas de recobrar la confianza de los europeos en la UE y de dotar de una legitimidad democrática a los intensificación del proceso de integración de la que ahora carece?</w:t>
      </w:r>
    </w:p>
    <w:p w:rsidR="00BB7B36" w:rsidRDefault="00BB7B36" w:rsidP="00BB7B36">
      <w:pPr>
        <w:jc w:val="both"/>
        <w:rPr>
          <w:rFonts w:ascii="Times New Roman" w:hAnsi="Times New Roman"/>
          <w:sz w:val="24"/>
          <w:szCs w:val="24"/>
        </w:rPr>
      </w:pPr>
      <w:r>
        <w:rPr>
          <w:rFonts w:ascii="Times New Roman" w:hAnsi="Times New Roman"/>
          <w:sz w:val="24"/>
          <w:szCs w:val="24"/>
        </w:rPr>
        <w:t>Es cierto que</w:t>
      </w:r>
      <w:r w:rsidRPr="002773E6">
        <w:rPr>
          <w:rFonts w:ascii="Times New Roman" w:hAnsi="Times New Roman"/>
          <w:sz w:val="24"/>
          <w:szCs w:val="24"/>
        </w:rPr>
        <w:t xml:space="preserve">, dada la heterogeneidad de intereses que conviven en la UE, la capacidad de adoptar políticas que agraden a amplios sectores de europeos y que hagan por tanto </w:t>
      </w:r>
      <w:r w:rsidRPr="002773E6">
        <w:rPr>
          <w:rFonts w:ascii="Times New Roman" w:hAnsi="Times New Roman"/>
          <w:sz w:val="24"/>
          <w:szCs w:val="24"/>
        </w:rPr>
        <w:lastRenderedPageBreak/>
        <w:t>recobrar la confianza de éstos en las instituciones supranacionales es limitada. Sin embargo, los propios datos de Eurobarómetro muestran que sí existen políticas demandadas de manera casi unánime por los europeos: la abrumadora mayoría de los europeos creen que la Unión Europea debería endurecer las políticas contra los paraísos fiscales (89%), regular los salarios en el sector financiero (82%), o establecer un impuesto a los beneficios de los bancos (84%) o a las transacciones financieras (el 72%). La UE puede aprovechar el amplio consenso ciudadano sobre estas cuestiones como una oportunidad para ganar la confianza ciudadana que ha perdido durante la crisis. O puede elegir ignorar estas demandas y agrandar los problemas de desconfianza ciudadana a medida que estas cuestiones sean cada vez más centrales en la agenda política de los europeos. Hagan ustedes sus apuestas.</w:t>
      </w:r>
    </w:p>
    <w:p w:rsidR="00BB7B36" w:rsidRPr="00CC5EA4" w:rsidRDefault="00BB7B36" w:rsidP="00BB7B36">
      <w:pPr>
        <w:jc w:val="both"/>
        <w:rPr>
          <w:rFonts w:ascii="Times New Roman" w:hAnsi="Times New Roman"/>
          <w:sz w:val="24"/>
          <w:szCs w:val="24"/>
          <w:u w:val="single"/>
        </w:rPr>
      </w:pPr>
      <w:r>
        <w:rPr>
          <w:rFonts w:ascii="Times New Roman" w:hAnsi="Times New Roman"/>
          <w:sz w:val="24"/>
          <w:szCs w:val="24"/>
          <w:u w:val="single"/>
        </w:rPr>
        <w:t>Si se sustituye</w:t>
      </w:r>
      <w:r w:rsidRPr="00CC5EA4">
        <w:rPr>
          <w:rFonts w:ascii="Times New Roman" w:hAnsi="Times New Roman"/>
          <w:sz w:val="24"/>
          <w:szCs w:val="24"/>
          <w:u w:val="single"/>
        </w:rPr>
        <w:t xml:space="preserve"> la economía real por la financiera</w:t>
      </w:r>
      <w:r>
        <w:rPr>
          <w:rFonts w:ascii="Times New Roman" w:hAnsi="Times New Roman"/>
          <w:sz w:val="24"/>
          <w:szCs w:val="24"/>
          <w:u w:val="single"/>
        </w:rPr>
        <w:t xml:space="preserve"> ¿p</w:t>
      </w:r>
      <w:r w:rsidRPr="00CC5EA4">
        <w:rPr>
          <w:rFonts w:ascii="Times New Roman" w:hAnsi="Times New Roman"/>
          <w:sz w:val="24"/>
          <w:szCs w:val="24"/>
          <w:u w:val="single"/>
        </w:rPr>
        <w:t>uede el capitalismo morir de éxito?</w:t>
      </w:r>
    </w:p>
    <w:p w:rsidR="00BB7B36" w:rsidRPr="00F04996" w:rsidRDefault="00BB7B36" w:rsidP="00BB7B36">
      <w:pPr>
        <w:jc w:val="both"/>
        <w:rPr>
          <w:rFonts w:ascii="Times New Roman" w:hAnsi="Times New Roman"/>
          <w:sz w:val="24"/>
          <w:szCs w:val="24"/>
        </w:rPr>
      </w:pPr>
      <w:r>
        <w:rPr>
          <w:rFonts w:ascii="Times New Roman" w:hAnsi="Times New Roman"/>
          <w:sz w:val="24"/>
          <w:szCs w:val="24"/>
        </w:rPr>
        <w:t xml:space="preserve">- </w:t>
      </w:r>
      <w:r w:rsidRPr="00715BE5">
        <w:rPr>
          <w:rFonts w:ascii="Times New Roman" w:hAnsi="Times New Roman"/>
          <w:sz w:val="24"/>
          <w:szCs w:val="24"/>
          <w:u w:val="single"/>
        </w:rPr>
        <w:t>¿Es sostenible el capitalismo moderno?</w:t>
      </w:r>
      <w:r>
        <w:rPr>
          <w:rFonts w:ascii="Times New Roman" w:hAnsi="Times New Roman"/>
          <w:sz w:val="24"/>
          <w:szCs w:val="24"/>
        </w:rPr>
        <w:t xml:space="preserve"> </w:t>
      </w:r>
      <w:r w:rsidRPr="00F04996">
        <w:rPr>
          <w:rFonts w:ascii="Times New Roman" w:hAnsi="Times New Roman"/>
          <w:sz w:val="24"/>
          <w:szCs w:val="24"/>
        </w:rPr>
        <w:t xml:space="preserve">(Project Syndicate - </w:t>
      </w:r>
      <w:r w:rsidRPr="00F04996">
        <w:rPr>
          <w:rFonts w:ascii="Times New Roman" w:hAnsi="Times New Roman"/>
          <w:b/>
          <w:sz w:val="24"/>
          <w:szCs w:val="24"/>
        </w:rPr>
        <w:t>2/12/11</w:t>
      </w:r>
      <w:r w:rsidRPr="00F04996">
        <w:rPr>
          <w:rFonts w:ascii="Times New Roman" w:hAnsi="Times New Roman"/>
          <w:sz w:val="24"/>
          <w:szCs w:val="24"/>
        </w:rPr>
        <w:t>)</w:t>
      </w:r>
    </w:p>
    <w:p w:rsidR="00BB7B36" w:rsidRPr="00F04996" w:rsidRDefault="00BB7B36" w:rsidP="00BB7B36">
      <w:pPr>
        <w:jc w:val="both"/>
        <w:rPr>
          <w:rFonts w:ascii="Times New Roman" w:hAnsi="Times New Roman"/>
          <w:sz w:val="24"/>
          <w:szCs w:val="24"/>
        </w:rPr>
      </w:pPr>
      <w:r w:rsidRPr="00F04996">
        <w:rPr>
          <w:rFonts w:ascii="Times New Roman" w:hAnsi="Times New Roman"/>
          <w:sz w:val="24"/>
          <w:szCs w:val="24"/>
        </w:rPr>
        <w:t>(Por Kenneth Rogoff)                                                                        Lectura recomendada</w:t>
      </w:r>
    </w:p>
    <w:p w:rsidR="00BB7B36" w:rsidRPr="00ED5476" w:rsidRDefault="00BB7B36" w:rsidP="00BB7B36">
      <w:pPr>
        <w:jc w:val="both"/>
        <w:rPr>
          <w:rFonts w:ascii="Times New Roman" w:hAnsi="Times New Roman"/>
          <w:color w:val="FF0000"/>
          <w:sz w:val="24"/>
          <w:szCs w:val="24"/>
          <w:u w:val="single"/>
        </w:rPr>
      </w:pPr>
      <w:r>
        <w:rPr>
          <w:rFonts w:ascii="Times New Roman" w:hAnsi="Times New Roman"/>
          <w:sz w:val="24"/>
          <w:szCs w:val="24"/>
        </w:rPr>
        <w:t>Cambridge.-</w:t>
      </w:r>
      <w:r w:rsidRPr="00715BE5">
        <w:rPr>
          <w:rFonts w:ascii="Times New Roman" w:hAnsi="Times New Roman"/>
          <w:sz w:val="24"/>
          <w:szCs w:val="24"/>
        </w:rPr>
        <w:t xml:space="preserve"> </w:t>
      </w:r>
      <w:r w:rsidRPr="00ED5476">
        <w:rPr>
          <w:rFonts w:ascii="Times New Roman" w:hAnsi="Times New Roman"/>
          <w:color w:val="FF0000"/>
          <w:sz w:val="24"/>
          <w:szCs w:val="24"/>
          <w:u w:val="single"/>
        </w:rPr>
        <w:t xml:space="preserve">A menudo me preguntan si la reciente crisis financiera global marca el comienzo del fin de la era del capitalismo moderno. Es una pregunta curiosa porque al parecer  se presupone que existe un sustituto viable esperando tomar el relevo. La verdad de las cosas es que, al menos por ahora, las únicas alternativas serias al paradigma anglo-estadounidense dominante actual son otras formas de capitalismo. </w:t>
      </w:r>
    </w:p>
    <w:p w:rsidR="00BB7B36" w:rsidRPr="00715BE5" w:rsidRDefault="00BB7B36" w:rsidP="00BB7B36">
      <w:pPr>
        <w:jc w:val="both"/>
        <w:rPr>
          <w:rFonts w:ascii="Times New Roman" w:hAnsi="Times New Roman"/>
          <w:sz w:val="24"/>
          <w:szCs w:val="24"/>
        </w:rPr>
      </w:pPr>
      <w:r w:rsidRPr="00ED5476">
        <w:rPr>
          <w:rFonts w:ascii="Times New Roman" w:hAnsi="Times New Roman"/>
          <w:b/>
          <w:color w:val="FF0000"/>
          <w:sz w:val="24"/>
          <w:szCs w:val="24"/>
          <w:u w:val="single"/>
        </w:rPr>
        <w:t xml:space="preserve">Pareciera que el capitalismo continental europeo, que combina generosos beneficios sociales y de salud; y un horario de trabajo razonable, aunado a periodos de vacaciones largos, una jubilación temprana; y distribuciones del ingreso relativamente equitativas, </w:t>
      </w:r>
      <w:r>
        <w:rPr>
          <w:rFonts w:ascii="Times New Roman" w:hAnsi="Times New Roman"/>
          <w:b/>
          <w:color w:val="FF0000"/>
          <w:sz w:val="24"/>
          <w:szCs w:val="24"/>
          <w:u w:val="single"/>
        </w:rPr>
        <w:t>parecería ser muy recomendable -</w:t>
      </w:r>
      <w:r w:rsidRPr="00ED5476">
        <w:rPr>
          <w:rFonts w:ascii="Times New Roman" w:hAnsi="Times New Roman"/>
          <w:b/>
          <w:color w:val="FF0000"/>
          <w:sz w:val="24"/>
          <w:szCs w:val="24"/>
          <w:u w:val="single"/>
        </w:rPr>
        <w:t>pero carece de sostenibilidad</w:t>
      </w:r>
      <w:r w:rsidRPr="00715BE5">
        <w:rPr>
          <w:rFonts w:ascii="Times New Roman" w:hAnsi="Times New Roman"/>
          <w:sz w:val="24"/>
          <w:szCs w:val="24"/>
        </w:rPr>
        <w:t xml:space="preserve">. </w:t>
      </w:r>
      <w:r w:rsidRPr="00ED5476">
        <w:rPr>
          <w:rFonts w:ascii="Times New Roman" w:hAnsi="Times New Roman"/>
          <w:sz w:val="24"/>
          <w:szCs w:val="24"/>
          <w:u w:val="single"/>
        </w:rPr>
        <w:t>Se afirma generalmente que el capitalismo darwiniano chino, con empresas de exportación que operan en un ambiente de encarnizada competencia, una frágil red de seguridad social y una extensa intervención gubernamental, es el heredero inevitable del capitalismo occidental, aunque solo sea por el enorme tamaño de China y su tasa de crecimiento proporcionalmente desmesurada</w:t>
      </w:r>
      <w:r w:rsidRPr="00715BE5">
        <w:rPr>
          <w:rFonts w:ascii="Times New Roman" w:hAnsi="Times New Roman"/>
          <w:sz w:val="24"/>
          <w:szCs w:val="24"/>
        </w:rPr>
        <w:t>. Con todo, el sistema económico chino está evolucionando continuamente</w:t>
      </w:r>
      <w:r>
        <w:rPr>
          <w:rFonts w:ascii="Times New Roman" w:hAnsi="Times New Roman"/>
          <w:sz w:val="24"/>
          <w:szCs w:val="24"/>
        </w:rPr>
        <w:t xml:space="preserve">. </w:t>
      </w:r>
    </w:p>
    <w:p w:rsidR="00BB7B36" w:rsidRPr="00715BE5" w:rsidRDefault="00BB7B36" w:rsidP="00BB7B36">
      <w:pPr>
        <w:jc w:val="both"/>
        <w:rPr>
          <w:rFonts w:ascii="Times New Roman" w:hAnsi="Times New Roman"/>
          <w:sz w:val="24"/>
          <w:szCs w:val="24"/>
        </w:rPr>
      </w:pPr>
      <w:r w:rsidRPr="00715BE5">
        <w:rPr>
          <w:rFonts w:ascii="Times New Roman" w:hAnsi="Times New Roman"/>
          <w:sz w:val="24"/>
          <w:szCs w:val="24"/>
        </w:rPr>
        <w:t>En efecto, no es claro cuánto más seguirán transformándose a sí mismas las estructuras financieras, económicas y  políticas chinas, y si ese país en  última instancia mutará en una nueva forma de capitalismo. En cualquier caso, a China todavía le aquejan las vulnerabilidades financieras, económicas y sociales comunes de un país de bajos ingresos de  rápido crecimiento.</w:t>
      </w:r>
    </w:p>
    <w:p w:rsidR="00BB7B36" w:rsidRPr="00507299" w:rsidRDefault="00BB7B36" w:rsidP="00BB7B36">
      <w:pPr>
        <w:jc w:val="both"/>
        <w:rPr>
          <w:rFonts w:ascii="Times New Roman" w:hAnsi="Times New Roman"/>
          <w:sz w:val="24"/>
          <w:szCs w:val="24"/>
          <w:u w:val="single"/>
        </w:rPr>
      </w:pPr>
      <w:r w:rsidRPr="00ED5476">
        <w:rPr>
          <w:rFonts w:ascii="Times New Roman" w:hAnsi="Times New Roman"/>
          <w:color w:val="FF0000"/>
          <w:sz w:val="24"/>
          <w:szCs w:val="24"/>
          <w:u w:val="single"/>
        </w:rPr>
        <w:t>Tal vez, el asunto central es que en todo el panorama histórico, todas las formas actuales de capitalismo son finalmente temporales.</w:t>
      </w:r>
      <w:r w:rsidRPr="00715BE5">
        <w:rPr>
          <w:rFonts w:ascii="Times New Roman" w:hAnsi="Times New Roman"/>
          <w:sz w:val="24"/>
          <w:szCs w:val="24"/>
        </w:rPr>
        <w:t xml:space="preserve"> El capitalismo moderno ha tenido resultados extraordinarios desde el comienzo de la Revolución Industrial hace dos siglos,  que sacó de la pobreza absoluta a miles de millones de personas. En términos comparativos, el marxismo y el socialismo autoritario han tenido resultados desastrosos. Sin embargo</w:t>
      </w:r>
      <w:r w:rsidRPr="00507299">
        <w:rPr>
          <w:rFonts w:ascii="Times New Roman" w:hAnsi="Times New Roman"/>
          <w:sz w:val="24"/>
          <w:szCs w:val="24"/>
          <w:u w:val="single"/>
        </w:rPr>
        <w:t xml:space="preserve">, a </w:t>
      </w:r>
      <w:r w:rsidRPr="00507299">
        <w:rPr>
          <w:rFonts w:ascii="Times New Roman" w:hAnsi="Times New Roman"/>
          <w:sz w:val="24"/>
          <w:szCs w:val="24"/>
          <w:u w:val="single"/>
        </w:rPr>
        <w:lastRenderedPageBreak/>
        <w:t>medida que la industrialización y el progreso económico se extienden en Asia (y ahora en África), algún día la lucha por la subsistencia ya no será un imperativo principal, y las numerosas fallas del capitalismo contemporáneo podrían parecer más importantes.</w:t>
      </w:r>
    </w:p>
    <w:p w:rsidR="00BB7B36" w:rsidRPr="00507299" w:rsidRDefault="00BB7B36" w:rsidP="00BB7B36">
      <w:pPr>
        <w:jc w:val="both"/>
        <w:rPr>
          <w:rFonts w:ascii="Times New Roman" w:hAnsi="Times New Roman"/>
          <w:color w:val="FF0000"/>
          <w:sz w:val="24"/>
          <w:szCs w:val="24"/>
          <w:u w:val="single"/>
        </w:rPr>
      </w:pPr>
      <w:r w:rsidRPr="00507299">
        <w:rPr>
          <w:rFonts w:ascii="Times New Roman" w:hAnsi="Times New Roman"/>
          <w:color w:val="FF0000"/>
          <w:sz w:val="24"/>
          <w:szCs w:val="24"/>
          <w:u w:val="single"/>
        </w:rPr>
        <w:t>Primero, incluso las principales economías capitalistas no han podido valorar efectivamente los bienes públicos como el aire limpio y el agua. El fracaso para lograr concluir un nuevo acuerdo global de cambio climático es sintomático de esta parálisis.</w:t>
      </w:r>
    </w:p>
    <w:p w:rsidR="00BB7B36" w:rsidRPr="00715BE5" w:rsidRDefault="00BB7B36" w:rsidP="00BB7B36">
      <w:pPr>
        <w:jc w:val="both"/>
        <w:rPr>
          <w:rFonts w:ascii="Times New Roman" w:hAnsi="Times New Roman"/>
          <w:sz w:val="24"/>
          <w:szCs w:val="24"/>
        </w:rPr>
      </w:pPr>
      <w:r w:rsidRPr="00507299">
        <w:rPr>
          <w:rFonts w:ascii="Times New Roman" w:hAnsi="Times New Roman"/>
          <w:color w:val="FF0000"/>
          <w:sz w:val="24"/>
          <w:szCs w:val="24"/>
          <w:u w:val="single"/>
        </w:rPr>
        <w:t>Segundo, el capitalismo ha producido una gran riqueza pero, al mismo tiempo, extraordinarios niveles de desigualdad. La creciente brecha es en parte solo un efecto secundario de la innovación y el espíritu empresarial</w:t>
      </w:r>
      <w:r w:rsidRPr="00715BE5">
        <w:rPr>
          <w:rFonts w:ascii="Times New Roman" w:hAnsi="Times New Roman"/>
          <w:sz w:val="24"/>
          <w:szCs w:val="24"/>
        </w:rPr>
        <w:t xml:space="preserve">. Las personas no se quejan del éxito de Steve Jobs; sus contribuciones son obvias. Sin embargo, no siempre resulta así: </w:t>
      </w:r>
      <w:r w:rsidRPr="00507299">
        <w:rPr>
          <w:rFonts w:ascii="Times New Roman" w:hAnsi="Times New Roman"/>
          <w:b/>
          <w:color w:val="FF0000"/>
          <w:sz w:val="24"/>
          <w:szCs w:val="24"/>
          <w:u w:val="single"/>
        </w:rPr>
        <w:t>una gran riqueza permite a los grupos e individuos comprar poder político e influencia, que a su vez ayuda a generar una mayor riqueza</w:t>
      </w:r>
      <w:r w:rsidRPr="00715BE5">
        <w:rPr>
          <w:rFonts w:ascii="Times New Roman" w:hAnsi="Times New Roman"/>
          <w:sz w:val="24"/>
          <w:szCs w:val="24"/>
        </w:rPr>
        <w:t>. Solamente pocos países –Suecia, por ejemplo, han podido interrumpir este círculo vicio</w:t>
      </w:r>
      <w:r>
        <w:rPr>
          <w:rFonts w:ascii="Times New Roman" w:hAnsi="Times New Roman"/>
          <w:sz w:val="24"/>
          <w:szCs w:val="24"/>
        </w:rPr>
        <w:t>so sin colapsar el crecimiento.</w:t>
      </w:r>
      <w:r w:rsidRPr="00715BE5">
        <w:rPr>
          <w:rFonts w:ascii="Times New Roman" w:hAnsi="Times New Roman"/>
          <w:sz w:val="24"/>
          <w:szCs w:val="24"/>
        </w:rPr>
        <w:t xml:space="preserve"> </w:t>
      </w:r>
    </w:p>
    <w:p w:rsidR="00BB7B36" w:rsidRPr="00507299" w:rsidRDefault="00BB7B36" w:rsidP="00BB7B36">
      <w:pPr>
        <w:jc w:val="both"/>
        <w:rPr>
          <w:rFonts w:ascii="Times New Roman" w:hAnsi="Times New Roman"/>
          <w:color w:val="FF0000"/>
          <w:sz w:val="24"/>
          <w:szCs w:val="24"/>
          <w:u w:val="single"/>
        </w:rPr>
      </w:pPr>
      <w:r w:rsidRPr="00507299">
        <w:rPr>
          <w:rFonts w:ascii="Times New Roman" w:hAnsi="Times New Roman"/>
          <w:color w:val="FF0000"/>
          <w:sz w:val="24"/>
          <w:szCs w:val="24"/>
          <w:u w:val="single"/>
        </w:rPr>
        <w:t>El tercer problema es la oferta y distribución de servicios médicos; un mercado que no logra satisfacer varios de los requisitos básicos necesarios para que el mecanismo de los precios genere eficiencia económica, empezando con la dificultad que encaran los consumidores para evaluar la calidad de su tratamiento.</w:t>
      </w:r>
    </w:p>
    <w:p w:rsidR="00BB7B36" w:rsidRPr="00715BE5" w:rsidRDefault="00BB7B36" w:rsidP="00BB7B36">
      <w:pPr>
        <w:jc w:val="both"/>
        <w:rPr>
          <w:rFonts w:ascii="Times New Roman" w:hAnsi="Times New Roman"/>
          <w:sz w:val="24"/>
          <w:szCs w:val="24"/>
        </w:rPr>
      </w:pPr>
      <w:r w:rsidRPr="00507299">
        <w:rPr>
          <w:rFonts w:ascii="Times New Roman" w:hAnsi="Times New Roman"/>
          <w:sz w:val="24"/>
          <w:szCs w:val="24"/>
          <w:u w:val="single"/>
        </w:rPr>
        <w:t>El problema se agravará</w:t>
      </w:r>
      <w:r w:rsidRPr="00715BE5">
        <w:rPr>
          <w:rFonts w:ascii="Times New Roman" w:hAnsi="Times New Roman"/>
          <w:sz w:val="24"/>
          <w:szCs w:val="24"/>
        </w:rPr>
        <w:t xml:space="preserve">: con seguridad aumentarán </w:t>
      </w:r>
      <w:r w:rsidRPr="00507299">
        <w:rPr>
          <w:rFonts w:ascii="Times New Roman" w:hAnsi="Times New Roman"/>
          <w:sz w:val="24"/>
          <w:szCs w:val="24"/>
          <w:u w:val="single"/>
        </w:rPr>
        <w:t>los costos de los servicios de salud</w:t>
      </w:r>
      <w:r w:rsidRPr="00715BE5">
        <w:rPr>
          <w:rFonts w:ascii="Times New Roman" w:hAnsi="Times New Roman"/>
          <w:sz w:val="24"/>
          <w:szCs w:val="24"/>
        </w:rPr>
        <w:t xml:space="preserve"> como proporción del ingreso a medida que las sociedades sean más ricas y más viejas, y </w:t>
      </w:r>
      <w:r w:rsidRPr="00507299">
        <w:rPr>
          <w:rFonts w:ascii="Times New Roman" w:hAnsi="Times New Roman"/>
          <w:sz w:val="24"/>
          <w:szCs w:val="24"/>
          <w:u w:val="single"/>
        </w:rPr>
        <w:t>probablemente rebasarán el 30% del PIB dentro de unas décadas</w:t>
      </w:r>
      <w:r w:rsidRPr="00715BE5">
        <w:rPr>
          <w:rFonts w:ascii="Times New Roman" w:hAnsi="Times New Roman"/>
          <w:sz w:val="24"/>
          <w:szCs w:val="24"/>
        </w:rPr>
        <w:t>. En el mercado de los servicios de salud, quizá más que en cualquier otro, muchos países están luchando con el dilema moral de cómo mantener los incentivos para producir y consumir eficientemente sin generar disparidades inaceptablemente grandes en el acceso a esos servicios.</w:t>
      </w:r>
    </w:p>
    <w:p w:rsidR="00BB7B36" w:rsidRPr="00715BE5" w:rsidRDefault="00BB7B36" w:rsidP="00BB7B36">
      <w:pPr>
        <w:jc w:val="both"/>
        <w:rPr>
          <w:rFonts w:ascii="Times New Roman" w:hAnsi="Times New Roman"/>
          <w:sz w:val="24"/>
          <w:szCs w:val="24"/>
        </w:rPr>
      </w:pPr>
      <w:r w:rsidRPr="00507299">
        <w:rPr>
          <w:rFonts w:ascii="Times New Roman" w:hAnsi="Times New Roman"/>
          <w:sz w:val="24"/>
          <w:szCs w:val="24"/>
          <w:u w:val="single"/>
        </w:rPr>
        <w:t>Es irónico que muchas sociedades capitalistas modernas realicen campañas públicas para instar a las personas a poner más atención a su salud, mientras se promueve un ecosistema económico que induce a muchos consumidores a una dieta extremadamente malsana</w:t>
      </w:r>
      <w:r w:rsidRPr="00715BE5">
        <w:rPr>
          <w:rFonts w:ascii="Times New Roman" w:hAnsi="Times New Roman"/>
          <w:sz w:val="24"/>
          <w:szCs w:val="24"/>
        </w:rPr>
        <w:t xml:space="preserve">. De acuerdo con los Centros para el Control y Prevención de Enfermedades de los Estados Unidos, un 34% de los estadounidenses son obesos. Es claro que la forma convencional de </w:t>
      </w:r>
      <w:r>
        <w:rPr>
          <w:rFonts w:ascii="Times New Roman" w:hAnsi="Times New Roman"/>
          <w:sz w:val="24"/>
          <w:szCs w:val="24"/>
        </w:rPr>
        <w:t>medir el crecimiento económico -</w:t>
      </w:r>
      <w:r w:rsidRPr="00715BE5">
        <w:rPr>
          <w:rFonts w:ascii="Times New Roman" w:hAnsi="Times New Roman"/>
          <w:sz w:val="24"/>
          <w:szCs w:val="24"/>
        </w:rPr>
        <w:t xml:space="preserve">que implica un mayor consumo- no puede ser un fin en sí mismo. </w:t>
      </w:r>
    </w:p>
    <w:p w:rsidR="00BB7B36" w:rsidRPr="00507299" w:rsidRDefault="00BB7B36" w:rsidP="00BB7B36">
      <w:pPr>
        <w:jc w:val="both"/>
        <w:rPr>
          <w:rFonts w:ascii="Times New Roman" w:hAnsi="Times New Roman"/>
          <w:sz w:val="24"/>
          <w:szCs w:val="24"/>
          <w:u w:val="single"/>
        </w:rPr>
      </w:pPr>
      <w:r w:rsidRPr="00507299">
        <w:rPr>
          <w:rFonts w:ascii="Times New Roman" w:hAnsi="Times New Roman"/>
          <w:color w:val="FF0000"/>
          <w:sz w:val="24"/>
          <w:szCs w:val="24"/>
          <w:u w:val="single"/>
        </w:rPr>
        <w:t>Cuarto, los sistemas capitalistas actuales subestiman considerablemente el bienestar de las generaciones futuras</w:t>
      </w:r>
      <w:r w:rsidRPr="00715BE5">
        <w:rPr>
          <w:rFonts w:ascii="Times New Roman" w:hAnsi="Times New Roman"/>
          <w:sz w:val="24"/>
          <w:szCs w:val="24"/>
        </w:rPr>
        <w:t xml:space="preserve">. Esto no ha sido importante en gran parte del periodo desde la Revolución Industrial, pues el continuo avance tecnológico ha superado las políticas miopes. </w:t>
      </w:r>
      <w:r w:rsidRPr="00507299">
        <w:rPr>
          <w:rFonts w:ascii="Times New Roman" w:hAnsi="Times New Roman"/>
          <w:sz w:val="24"/>
          <w:szCs w:val="24"/>
          <w:u w:val="single"/>
        </w:rPr>
        <w:t>En general, cada generación ha tenido mucho más éxito que la precedente. Sin embargo, como la población mundial está rebasando los siete mil millones, y los presagios de escasez de recursos se hacen cada vez más evidentes, no hay garantía de que se pueda mantener esta trayectoria.</w:t>
      </w:r>
    </w:p>
    <w:p w:rsidR="00BB7B36" w:rsidRPr="00715BE5" w:rsidRDefault="00BB7B36" w:rsidP="00BB7B36">
      <w:pPr>
        <w:jc w:val="both"/>
        <w:rPr>
          <w:rFonts w:ascii="Times New Roman" w:hAnsi="Times New Roman"/>
          <w:sz w:val="24"/>
          <w:szCs w:val="24"/>
        </w:rPr>
      </w:pPr>
      <w:r w:rsidRPr="00507299">
        <w:rPr>
          <w:rFonts w:ascii="Times New Roman" w:hAnsi="Times New Roman"/>
          <w:color w:val="FF0000"/>
          <w:sz w:val="24"/>
          <w:szCs w:val="24"/>
          <w:u w:val="single"/>
        </w:rPr>
        <w:lastRenderedPageBreak/>
        <w:t>Por supuesto, las crisis financieras son el quinto problema, tal vez el que recientemente ha provocado más exámenes de conciencia. En el mundo de las finanzas, la continua innovación tecnológica no ha reducido notoriamente los riesgos, y bien podría haberlos ampliado</w:t>
      </w:r>
      <w:r w:rsidRPr="00715BE5">
        <w:rPr>
          <w:rFonts w:ascii="Times New Roman" w:hAnsi="Times New Roman"/>
          <w:sz w:val="24"/>
          <w:szCs w:val="24"/>
        </w:rPr>
        <w:t>.</w:t>
      </w:r>
    </w:p>
    <w:p w:rsidR="00BB7B36" w:rsidRPr="00715BE5" w:rsidRDefault="00BB7B36" w:rsidP="00BB7B36">
      <w:pPr>
        <w:jc w:val="both"/>
        <w:rPr>
          <w:rFonts w:ascii="Times New Roman" w:hAnsi="Times New Roman"/>
          <w:sz w:val="24"/>
          <w:szCs w:val="24"/>
        </w:rPr>
      </w:pPr>
      <w:r w:rsidRPr="00715BE5">
        <w:rPr>
          <w:rFonts w:ascii="Times New Roman" w:hAnsi="Times New Roman"/>
          <w:sz w:val="24"/>
          <w:szCs w:val="24"/>
        </w:rPr>
        <w:t>En principio, ninguno de los problemas del capitalismo es insuperable, y los economistas han ofrecido una serie de soluciones basadas en el mercado. Un alto precio global del carbón induciría a las empresas y las personas a internalizar el costo de sus actividades contaminantes.  Se pueden diseñar sistemas fiscales que ofrezcan un mayor margen de redistribución del ingreso sin que ello conlleve necesariamente distorsiones paralizantes, mediante una minimización de los gastos fiscales no transparentes y manteniendo bajas las tasas marginales. Lograr precios efectivos de los servicios de salud, incluidos los de los tiempos de espera, podría fomentar un mejor equilibrio entre la equidad y la eficiencia. Los sistemas financieros podrían estar mejor regulados, dando una atención más rigurosa a las acumulaciones excesivas de deuda.</w:t>
      </w:r>
    </w:p>
    <w:p w:rsidR="00BB7B36" w:rsidRPr="00507299" w:rsidRDefault="00BB7B36" w:rsidP="00BB7B36">
      <w:pPr>
        <w:jc w:val="both"/>
        <w:rPr>
          <w:rFonts w:ascii="Times New Roman" w:hAnsi="Times New Roman"/>
          <w:color w:val="FF0000"/>
          <w:sz w:val="24"/>
          <w:szCs w:val="24"/>
          <w:u w:val="single"/>
        </w:rPr>
      </w:pPr>
      <w:r w:rsidRPr="00507299">
        <w:rPr>
          <w:rFonts w:ascii="Times New Roman" w:hAnsi="Times New Roman"/>
          <w:color w:val="FF0000"/>
          <w:sz w:val="24"/>
          <w:szCs w:val="24"/>
          <w:u w:val="single"/>
        </w:rPr>
        <w:t>¿Será el capitalismo víctima de su propio éxito en la producción masiva de riqueza? Por ahora, por muy de moda que pueda estar el tema de la desaparición del capitalismo, la posibilidad parece remota. No obstante, mientras sigan creciendo la contaminación, la inestabilidad financiera, los problemas de salud y la desigualdad, y mientras los sistemas políticos continúen paralizados, dentro de pocas décadas el futuro del capitalismo podría no parecer tan seguro como lo parece ahora.</w:t>
      </w:r>
    </w:p>
    <w:p w:rsidR="00BB7B36" w:rsidRDefault="00BB7B36" w:rsidP="00BB7B36">
      <w:pPr>
        <w:jc w:val="both"/>
        <w:rPr>
          <w:rFonts w:ascii="Times New Roman" w:hAnsi="Times New Roman"/>
          <w:sz w:val="24"/>
          <w:szCs w:val="24"/>
        </w:rPr>
      </w:pPr>
      <w:r>
        <w:rPr>
          <w:rFonts w:ascii="Times New Roman" w:hAnsi="Times New Roman"/>
          <w:sz w:val="24"/>
          <w:szCs w:val="24"/>
        </w:rPr>
        <w:t>(</w:t>
      </w:r>
      <w:r w:rsidRPr="00715BE5">
        <w:rPr>
          <w:rFonts w:ascii="Times New Roman" w:hAnsi="Times New Roman"/>
          <w:sz w:val="24"/>
          <w:szCs w:val="24"/>
        </w:rPr>
        <w:t>Kenneth Rogoff es profesor de Economía y Políticas Públicas de la Universidad de Harvard, fue economista en jefe del FMI. Cop</w:t>
      </w:r>
      <w:r>
        <w:rPr>
          <w:rFonts w:ascii="Times New Roman" w:hAnsi="Times New Roman"/>
          <w:sz w:val="24"/>
          <w:szCs w:val="24"/>
        </w:rPr>
        <w:t>yright: Project Syndicate, 2011)</w:t>
      </w:r>
    </w:p>
    <w:p w:rsidR="00BB7B36" w:rsidRPr="00CC5EA4" w:rsidRDefault="00BB7B36" w:rsidP="00BB7B36">
      <w:pPr>
        <w:jc w:val="both"/>
        <w:rPr>
          <w:rFonts w:ascii="Times New Roman" w:hAnsi="Times New Roman"/>
          <w:sz w:val="24"/>
          <w:szCs w:val="24"/>
          <w:u w:val="single"/>
        </w:rPr>
      </w:pPr>
      <w:r w:rsidRPr="00CC5EA4">
        <w:rPr>
          <w:rFonts w:ascii="Times New Roman" w:hAnsi="Times New Roman"/>
          <w:sz w:val="24"/>
          <w:szCs w:val="24"/>
          <w:u w:val="single"/>
        </w:rPr>
        <w:t>El fin de la socialdemocracia</w:t>
      </w:r>
      <w:r>
        <w:rPr>
          <w:rFonts w:ascii="Times New Roman" w:hAnsi="Times New Roman"/>
          <w:sz w:val="24"/>
          <w:szCs w:val="24"/>
          <w:u w:val="single"/>
        </w:rPr>
        <w:t>…</w:t>
      </w:r>
      <w:r w:rsidRPr="00CC5EA4">
        <w:rPr>
          <w:rFonts w:ascii="Times New Roman" w:hAnsi="Times New Roman"/>
          <w:sz w:val="24"/>
          <w:szCs w:val="24"/>
          <w:u w:val="single"/>
        </w:rPr>
        <w:t xml:space="preserve"> y lo que vendrá después</w:t>
      </w:r>
    </w:p>
    <w:p w:rsidR="00BB7B36" w:rsidRPr="00E224A6" w:rsidRDefault="00BB7B36" w:rsidP="00BB7B36">
      <w:pPr>
        <w:pStyle w:val="NormalWeb"/>
        <w:jc w:val="both"/>
      </w:pPr>
      <w:r w:rsidRPr="00CC5EA4">
        <w:rPr>
          <w:i/>
        </w:rPr>
        <w:t xml:space="preserve">“El lunes y el martes hubo mucha gente en las calles, muchos de ellos fueron arrestados. Y hoy habrá mucha más gente”. El periodista griego con el que había acordado una entrevista para analizar los sucesos que está viviendo su país (sólo en esta semana, una huelga general de 48 horas que se desarrolló ayer y anteayer, con numerosos incidentes tras la aprobación del plan de </w:t>
      </w:r>
      <w:r w:rsidRPr="00CC5EA4">
        <w:rPr>
          <w:bCs/>
          <w:i/>
        </w:rPr>
        <w:t>Papandreu</w:t>
      </w:r>
      <w:r w:rsidRPr="00CC5EA4">
        <w:rPr>
          <w:i/>
        </w:rPr>
        <w:t xml:space="preserve">) me canceló la cita: lo que estaba ocurriendo en la calle era demasiado significativo como para perdérselo. Y no es mal ejemplo de lo que está comenzando a ocurrir en toda Europa: quizá pueda entenderse el asunto griego como una excepción al orden de cosas general, como una situación causada por malos gobernantes o por haber vivido por encima de sus posibilidades durante mucho tiempo, pero lo cierto es que su malestar comparte causa con muchos de los conflictos europeos. Como señala </w:t>
      </w:r>
      <w:r w:rsidRPr="00CC5EA4">
        <w:rPr>
          <w:bCs/>
          <w:i/>
        </w:rPr>
        <w:t>Pablo Antonio Moreno</w:t>
      </w:r>
      <w:r w:rsidRPr="00CC5EA4">
        <w:rPr>
          <w:i/>
        </w:rPr>
        <w:t>, profesor de economía política de la Universidad CEU San Pablo, “los estados hoy no tienen dinero, por lo que toman medidas antipopulares. Parece que no hay otra solución. Estamos todos pagando los errores, y a España le va a pasar lo mismo”</w:t>
      </w:r>
      <w:r>
        <w:rPr>
          <w:i/>
        </w:rPr>
        <w:t>…</w:t>
      </w:r>
      <w:r w:rsidRPr="00CC5EA4">
        <w:rPr>
          <w:i/>
        </w:rPr>
        <w:t xml:space="preserve"> </w:t>
      </w:r>
      <w:r w:rsidRPr="00573B32">
        <w:rPr>
          <w:u w:val="single"/>
        </w:rPr>
        <w:t>Huelgas y represión: el futuro de la política europea</w:t>
      </w:r>
      <w:r>
        <w:t xml:space="preserve"> (El Confidencial - </w:t>
      </w:r>
      <w:r w:rsidRPr="00573B32">
        <w:rPr>
          <w:b/>
        </w:rPr>
        <w:t>30/6/11</w:t>
      </w:r>
      <w:r>
        <w:t>)</w:t>
      </w:r>
    </w:p>
    <w:p w:rsidR="00BB7B36" w:rsidRPr="00E224A6" w:rsidRDefault="00BB7B36" w:rsidP="00BB7B36">
      <w:pPr>
        <w:spacing w:before="100" w:beforeAutospacing="1" w:after="100" w:afterAutospacing="1" w:line="240" w:lineRule="auto"/>
        <w:jc w:val="both"/>
        <w:rPr>
          <w:rFonts w:ascii="Times New Roman" w:eastAsia="Times New Roman" w:hAnsi="Times New Roman"/>
          <w:sz w:val="24"/>
          <w:szCs w:val="24"/>
          <w:lang w:eastAsia="es-ES"/>
        </w:rPr>
      </w:pPr>
      <w:r w:rsidRPr="00E224A6">
        <w:rPr>
          <w:rFonts w:ascii="Times New Roman" w:eastAsia="Times New Roman" w:hAnsi="Times New Roman"/>
          <w:sz w:val="24"/>
          <w:szCs w:val="24"/>
          <w:lang w:eastAsia="es-ES"/>
        </w:rPr>
        <w:t xml:space="preserve">Por eso, las masivas manifestaciones helenas y las últimas movilizaciones británicas no son más que expresiones diferentes del mismo problema, el de los recortes que ambos gobiernos (en proporciones muy distintas) llevan tiempo aprobando. Y ese clima presupuestariamente restrictivo va a llevar a la calle a muchos ciudadanos europeos en </w:t>
      </w:r>
      <w:r w:rsidRPr="00E224A6">
        <w:rPr>
          <w:rFonts w:ascii="Times New Roman" w:eastAsia="Times New Roman" w:hAnsi="Times New Roman"/>
          <w:sz w:val="24"/>
          <w:szCs w:val="24"/>
          <w:lang w:eastAsia="es-ES"/>
        </w:rPr>
        <w:lastRenderedPageBreak/>
        <w:t xml:space="preserve">los próximos meses. También en España, afirma Moreno: “Como el país está económicamente en la ruina y tenemos una clase política descastada y desgastada, </w:t>
      </w:r>
      <w:r w:rsidRPr="00E224A6">
        <w:rPr>
          <w:rFonts w:ascii="Times New Roman" w:eastAsia="Times New Roman" w:hAnsi="Times New Roman"/>
          <w:bCs/>
          <w:sz w:val="24"/>
          <w:szCs w:val="24"/>
          <w:lang w:eastAsia="es-ES"/>
        </w:rPr>
        <w:t>el Gobierno que entre va a tener que tomar, sin lugar a dudas, medidas muy duras para reactivar la situación política económica y social de nuestro país”</w:t>
      </w:r>
      <w:r w:rsidRPr="00E224A6">
        <w:rPr>
          <w:rFonts w:ascii="Times New Roman" w:eastAsia="Times New Roman" w:hAnsi="Times New Roman"/>
          <w:sz w:val="24"/>
          <w:szCs w:val="24"/>
          <w:lang w:eastAsia="es-ES"/>
        </w:rPr>
        <w:t xml:space="preserve">. </w:t>
      </w:r>
    </w:p>
    <w:p w:rsidR="00BB7B36" w:rsidRPr="00E224A6" w:rsidRDefault="00BB7B36" w:rsidP="00BB7B36">
      <w:pPr>
        <w:spacing w:before="100" w:beforeAutospacing="1" w:after="100" w:afterAutospacing="1" w:line="240" w:lineRule="auto"/>
        <w:jc w:val="both"/>
        <w:rPr>
          <w:rFonts w:ascii="Times New Roman" w:eastAsia="Times New Roman" w:hAnsi="Times New Roman"/>
          <w:sz w:val="24"/>
          <w:szCs w:val="24"/>
          <w:lang w:eastAsia="es-ES"/>
        </w:rPr>
      </w:pPr>
      <w:r w:rsidRPr="00E224A6">
        <w:rPr>
          <w:rFonts w:ascii="Times New Roman" w:eastAsia="Times New Roman" w:hAnsi="Times New Roman"/>
          <w:sz w:val="24"/>
          <w:szCs w:val="24"/>
          <w:lang w:eastAsia="es-ES"/>
        </w:rPr>
        <w:t xml:space="preserve">En ese sentido, la huelga de funcionarios británicos prevista para el 30/6/11 es una buena muestra de algunos de los puntos futuros de conflictividad, que serán más notorios cuanto más avancen las políticas de austeridad. Uno de los aspectos materiales que más han empujado para que la huelga se convoque ha sido la reforma de las pensiones. Un tema importante, señala </w:t>
      </w:r>
      <w:r w:rsidRPr="00E224A6">
        <w:rPr>
          <w:rFonts w:ascii="Times New Roman" w:eastAsia="Times New Roman" w:hAnsi="Times New Roman"/>
          <w:bCs/>
          <w:sz w:val="24"/>
          <w:szCs w:val="24"/>
          <w:lang w:eastAsia="es-ES"/>
        </w:rPr>
        <w:t>Miguel Martínez Lucio</w:t>
      </w:r>
      <w:r w:rsidRPr="00E224A6">
        <w:rPr>
          <w:rFonts w:ascii="Times New Roman" w:eastAsia="Times New Roman" w:hAnsi="Times New Roman"/>
          <w:sz w:val="24"/>
          <w:szCs w:val="24"/>
          <w:lang w:eastAsia="es-ES"/>
        </w:rPr>
        <w:t xml:space="preserve">, profesor de Human Resources Management de la Manchester Business School, “porque supone una bajada indirecta de sueldos y porque las pensiones previstas para este colectivo son ya inferiores a las del sector privado. Pero sobre, todo porque hablamos de trabajos como los de asistente social, maestro de escuela o policía en los que el número de agresiones sufridas por los funcionarios públicos se están multiplicando. Y si no conservas una oferta económica decente, ¿cómo vas a atraer a la gente a un puesto donde la violencia es habitual? </w:t>
      </w:r>
      <w:r w:rsidRPr="00E224A6">
        <w:rPr>
          <w:rFonts w:ascii="Times New Roman" w:eastAsia="Times New Roman" w:hAnsi="Times New Roman"/>
          <w:bCs/>
          <w:sz w:val="24"/>
          <w:szCs w:val="24"/>
          <w:lang w:eastAsia="es-ES"/>
        </w:rPr>
        <w:t>Por eso hay apoyo a la huelga: la gente sabe que es duro ser hoy un profesor o un asistente social</w:t>
      </w:r>
      <w:r w:rsidRPr="00E224A6">
        <w:rPr>
          <w:rFonts w:ascii="Times New Roman" w:eastAsia="Times New Roman" w:hAnsi="Times New Roman"/>
          <w:sz w:val="24"/>
          <w:szCs w:val="24"/>
          <w:lang w:eastAsia="es-ES"/>
        </w:rPr>
        <w:t>”.</w:t>
      </w:r>
    </w:p>
    <w:p w:rsidR="00BB7B36" w:rsidRPr="00E224A6" w:rsidRDefault="00BB7B36" w:rsidP="00BB7B36">
      <w:pPr>
        <w:spacing w:before="100" w:beforeAutospacing="1" w:after="100" w:afterAutospacing="1" w:line="240" w:lineRule="auto"/>
        <w:jc w:val="both"/>
        <w:rPr>
          <w:rFonts w:ascii="Times New Roman" w:eastAsia="Times New Roman" w:hAnsi="Times New Roman"/>
          <w:sz w:val="24"/>
          <w:szCs w:val="24"/>
          <w:lang w:eastAsia="es-ES"/>
        </w:rPr>
      </w:pPr>
      <w:r w:rsidRPr="00E224A6">
        <w:rPr>
          <w:rFonts w:ascii="Times New Roman" w:eastAsia="Times New Roman" w:hAnsi="Times New Roman"/>
          <w:sz w:val="24"/>
          <w:szCs w:val="24"/>
          <w:lang w:eastAsia="es-ES"/>
        </w:rPr>
        <w:t xml:space="preserve">A pesar de no ser una huelga general, todo está preparado para que sea una gran movilización. Los sindicatos convocantes son cuatro, tres de la educación, NUT (National Union of Teachers 200.000 afiliados), ATL (Association of Teachers and Lecturers, 160.000) y UCU (University and College Union, 120.000) y uno de los servicios públicos, PCS (Public and Commercial Services Union, 300.000), cuyos afiliados se han manifestado masivamente a favor de la huelga, lo cual hace pensar en un seguimiento elevado. Para </w:t>
      </w:r>
      <w:r w:rsidRPr="00E224A6">
        <w:rPr>
          <w:rFonts w:ascii="Times New Roman" w:eastAsia="Times New Roman" w:hAnsi="Times New Roman"/>
          <w:bCs/>
          <w:sz w:val="24"/>
          <w:szCs w:val="24"/>
          <w:lang w:eastAsia="es-ES"/>
        </w:rPr>
        <w:t>Andrew Richards</w:t>
      </w:r>
      <w:r w:rsidRPr="00E224A6">
        <w:rPr>
          <w:rFonts w:ascii="Times New Roman" w:eastAsia="Times New Roman" w:hAnsi="Times New Roman"/>
          <w:sz w:val="24"/>
          <w:szCs w:val="24"/>
          <w:lang w:eastAsia="es-ES"/>
        </w:rPr>
        <w:t xml:space="preserve">, profesor de Ciencia Política en el Centro de Estudios Avanzados en Ciencias Sociales de la Fundación Juan March, “tras 20 años en los que los niveles de conflicto industrial han sido bastante bajos, una movilización como esta es significativa, aun cuando no llegue a los niveles mucho más elevados de una huelga general”. No obstante, el panorama apunta hacia un ambiente generalizado de confrontación. Por una parte, apunta Martínez Lucio, en septiembre (2011) está prevista la movilización de académicos y de estudiantes universitarios, y </w:t>
      </w:r>
      <w:r w:rsidRPr="00E224A6">
        <w:rPr>
          <w:rFonts w:ascii="Times New Roman" w:eastAsia="Times New Roman" w:hAnsi="Times New Roman"/>
          <w:bCs/>
          <w:sz w:val="24"/>
          <w:szCs w:val="24"/>
          <w:lang w:eastAsia="es-ES"/>
        </w:rPr>
        <w:t xml:space="preserve">para octubre, señala Richards, los dos sindicatos más grandes del sector público, UNISON (con más de 1.375.000 afiliados) y UNITE (más de 1.000.000) están planificando huelgas. </w:t>
      </w:r>
    </w:p>
    <w:p w:rsidR="00BB7B36" w:rsidRPr="00E224A6" w:rsidRDefault="00BB7B36" w:rsidP="00BB7B36">
      <w:pPr>
        <w:spacing w:before="100" w:beforeAutospacing="1" w:after="100" w:afterAutospacing="1" w:line="240" w:lineRule="auto"/>
        <w:jc w:val="both"/>
        <w:rPr>
          <w:rFonts w:ascii="Times New Roman" w:eastAsia="Times New Roman" w:hAnsi="Times New Roman"/>
          <w:sz w:val="24"/>
          <w:szCs w:val="24"/>
          <w:lang w:eastAsia="es-ES"/>
        </w:rPr>
      </w:pPr>
      <w:r w:rsidRPr="00E224A6">
        <w:rPr>
          <w:rFonts w:ascii="Times New Roman" w:eastAsia="Times New Roman" w:hAnsi="Times New Roman"/>
          <w:sz w:val="24"/>
          <w:szCs w:val="24"/>
          <w:lang w:eastAsia="es-ES"/>
        </w:rPr>
        <w:t xml:space="preserve">En todo caso, estas movilizaciones “no son más que expresiones específicas de un conflicto más general, ya que todo proviene del problema de la crisis económica y de cómo la están resolviendo a base de recortes”. Y ello no sólo supone la rearticulación de muchas posiciones sociales, sino también la reordenación o desaparición de muchos de los viejos actores, En ese contexto, </w:t>
      </w:r>
      <w:r w:rsidRPr="00E224A6">
        <w:rPr>
          <w:rFonts w:ascii="Times New Roman" w:eastAsia="Times New Roman" w:hAnsi="Times New Roman"/>
          <w:bCs/>
          <w:sz w:val="24"/>
          <w:szCs w:val="24"/>
          <w:lang w:eastAsia="es-ES"/>
        </w:rPr>
        <w:t>los partidos socialdemócratas aparecen especialmente desubicados, ya que han de aplicar políticas que no coinciden con su ideario y que son ampliamente rechazadas por muchos de sus votantes</w:t>
      </w:r>
      <w:r w:rsidRPr="00E224A6">
        <w:rPr>
          <w:rFonts w:ascii="Times New Roman" w:eastAsia="Times New Roman" w:hAnsi="Times New Roman"/>
          <w:sz w:val="24"/>
          <w:szCs w:val="24"/>
          <w:lang w:eastAsia="es-ES"/>
        </w:rPr>
        <w:t xml:space="preserve">. En el caso británico, señala Richards, “el comportamiento del partido laborista ha decepcionado notablemente a los sindicatos, ya que su líder, </w:t>
      </w:r>
      <w:r w:rsidRPr="00E224A6">
        <w:rPr>
          <w:rFonts w:ascii="Times New Roman" w:eastAsia="Times New Roman" w:hAnsi="Times New Roman"/>
          <w:bCs/>
          <w:sz w:val="24"/>
          <w:szCs w:val="24"/>
          <w:lang w:eastAsia="es-ES"/>
        </w:rPr>
        <w:t>Ed Milliban</w:t>
      </w:r>
      <w:r w:rsidRPr="00E224A6">
        <w:rPr>
          <w:rFonts w:ascii="Times New Roman" w:eastAsia="Times New Roman" w:hAnsi="Times New Roman"/>
          <w:sz w:val="24"/>
          <w:szCs w:val="24"/>
          <w:lang w:eastAsia="es-ES"/>
        </w:rPr>
        <w:t xml:space="preserve">, se ha manifestado en contra de la huelga, perdiendo así una gran oportunidad de articular un discurso narrativo que refleje las preocupaciones de una sociedad”. </w:t>
      </w:r>
    </w:p>
    <w:p w:rsidR="00BB7B36" w:rsidRPr="00E224A6" w:rsidRDefault="00BB7B36" w:rsidP="00BB7B36">
      <w:pPr>
        <w:spacing w:before="100" w:beforeAutospacing="1" w:after="100" w:afterAutospacing="1" w:line="240" w:lineRule="auto"/>
        <w:jc w:val="both"/>
        <w:rPr>
          <w:rFonts w:ascii="Times New Roman" w:eastAsia="Times New Roman" w:hAnsi="Times New Roman"/>
          <w:sz w:val="24"/>
          <w:szCs w:val="24"/>
          <w:lang w:eastAsia="es-ES"/>
        </w:rPr>
      </w:pPr>
      <w:r w:rsidRPr="00E224A6">
        <w:rPr>
          <w:rFonts w:ascii="Times New Roman" w:eastAsia="Times New Roman" w:hAnsi="Times New Roman"/>
          <w:sz w:val="24"/>
          <w:szCs w:val="24"/>
          <w:lang w:eastAsia="es-ES"/>
        </w:rPr>
        <w:t xml:space="preserve">Para Richards, hubiera sido mucho más coherente que el pequeño de los Milliband hubiera afirmado que, a pesar de vivir una solución económicamente grave, habrían de </w:t>
      </w:r>
      <w:r w:rsidRPr="00E224A6">
        <w:rPr>
          <w:rFonts w:ascii="Times New Roman" w:eastAsia="Times New Roman" w:hAnsi="Times New Roman"/>
          <w:sz w:val="24"/>
          <w:szCs w:val="24"/>
          <w:lang w:eastAsia="es-ES"/>
        </w:rPr>
        <w:lastRenderedPageBreak/>
        <w:t xml:space="preserve">buscarse soluciones que no pasaran por la confrontación con los sindicatos y los trabajadores. “Al no hacerlo así, </w:t>
      </w:r>
      <w:r w:rsidRPr="00E224A6">
        <w:rPr>
          <w:rFonts w:ascii="Times New Roman" w:eastAsia="Times New Roman" w:hAnsi="Times New Roman"/>
          <w:bCs/>
          <w:sz w:val="24"/>
          <w:szCs w:val="24"/>
          <w:lang w:eastAsia="es-ES"/>
        </w:rPr>
        <w:t>es probable que muchos de quienes van a la huelga acaben pensando, al igual que ocurría en las movilizaciones españoles, que apenas hay diferencia entre los dos principales partidos</w:t>
      </w:r>
      <w:r w:rsidRPr="00E224A6">
        <w:rPr>
          <w:rFonts w:ascii="Times New Roman" w:eastAsia="Times New Roman" w:hAnsi="Times New Roman"/>
          <w:sz w:val="24"/>
          <w:szCs w:val="24"/>
          <w:lang w:eastAsia="es-ES"/>
        </w:rPr>
        <w:t xml:space="preserve">”. </w:t>
      </w:r>
    </w:p>
    <w:p w:rsidR="00BB7B36" w:rsidRPr="00E224A6" w:rsidRDefault="00BB7B36" w:rsidP="00BB7B36">
      <w:pPr>
        <w:spacing w:before="100" w:beforeAutospacing="1" w:after="100" w:afterAutospacing="1" w:line="240" w:lineRule="auto"/>
        <w:jc w:val="both"/>
        <w:rPr>
          <w:rFonts w:ascii="Times New Roman" w:eastAsia="Times New Roman" w:hAnsi="Times New Roman"/>
          <w:sz w:val="24"/>
          <w:szCs w:val="24"/>
          <w:lang w:eastAsia="es-ES"/>
        </w:rPr>
      </w:pPr>
      <w:r w:rsidRPr="00E224A6">
        <w:rPr>
          <w:rFonts w:ascii="Times New Roman" w:eastAsia="Times New Roman" w:hAnsi="Times New Roman"/>
          <w:sz w:val="24"/>
          <w:szCs w:val="24"/>
          <w:lang w:eastAsia="es-ES"/>
        </w:rPr>
        <w:t>Lo que ha ocurrido a los laboristas es que su líder no ha querido aparecer como un político que apoya las huelgas, sino como una alternativa creíble de los conservadores, señala Martínez Lucio, “</w:t>
      </w:r>
      <w:r w:rsidRPr="00E224A6">
        <w:rPr>
          <w:rFonts w:ascii="Times New Roman" w:eastAsia="Times New Roman" w:hAnsi="Times New Roman"/>
          <w:bCs/>
          <w:sz w:val="24"/>
          <w:szCs w:val="24"/>
          <w:lang w:eastAsia="es-ES"/>
        </w:rPr>
        <w:t>alineándose con la tendencia general de los partidos socialdemócratas europeos, que tiene miedo de aliarse con las propuestas radicales contra la crisis</w:t>
      </w:r>
      <w:r w:rsidRPr="00E224A6">
        <w:rPr>
          <w:rFonts w:ascii="Times New Roman" w:eastAsia="Times New Roman" w:hAnsi="Times New Roman"/>
          <w:sz w:val="24"/>
          <w:szCs w:val="24"/>
          <w:lang w:eastAsia="es-ES"/>
        </w:rPr>
        <w:t xml:space="preserve">. Sin embargo, en este caso han perdido una gran oportunidad, no sólo porque haya mucho apoyo para los sindicatos en la sociedad británica sino porque no estamos hablando de una huelga de trabajadores bien pagados con condiciones laborales de lujo que defienden sus privilegios, sino de empleados que trabajan en condiciones muy complicadas”. </w:t>
      </w:r>
    </w:p>
    <w:p w:rsidR="00BB7B36" w:rsidRPr="00E224A6" w:rsidRDefault="00BB7B36" w:rsidP="00BB7B36">
      <w:pPr>
        <w:spacing w:before="100" w:beforeAutospacing="1" w:after="100" w:afterAutospacing="1" w:line="240" w:lineRule="auto"/>
        <w:jc w:val="both"/>
        <w:rPr>
          <w:rFonts w:ascii="Times New Roman" w:eastAsia="Times New Roman" w:hAnsi="Times New Roman"/>
          <w:sz w:val="24"/>
          <w:szCs w:val="24"/>
          <w:lang w:eastAsia="es-ES"/>
        </w:rPr>
      </w:pPr>
      <w:r w:rsidRPr="00E224A6">
        <w:rPr>
          <w:rFonts w:ascii="Times New Roman" w:eastAsia="Times New Roman" w:hAnsi="Times New Roman"/>
          <w:sz w:val="24"/>
          <w:szCs w:val="24"/>
          <w:lang w:eastAsia="es-ES"/>
        </w:rPr>
        <w:t xml:space="preserve">El problema de fondo, afirma Martínez Lucio, es que los socialdemócratas europeos han aceptado en gran medida el discurso liberal-conservador sobre los orígenes de la crisis y sobre cuáles deben ser las soluciones. Y, por eso, la crisis parece estar dejando sin sitio a una socialdemocracia cada vez más cuestionada. De una parte, </w:t>
      </w:r>
      <w:r w:rsidRPr="00E224A6">
        <w:rPr>
          <w:rFonts w:ascii="Times New Roman" w:eastAsia="Times New Roman" w:hAnsi="Times New Roman"/>
          <w:bCs/>
          <w:sz w:val="24"/>
          <w:szCs w:val="24"/>
          <w:lang w:eastAsia="es-ES"/>
        </w:rPr>
        <w:t>los poderes financieros que les demandan austeridad tienden a no fiarse de la voluntad de hacer reformas de los partidos de centro izquierda;</w:t>
      </w:r>
      <w:r w:rsidRPr="00E224A6">
        <w:rPr>
          <w:rFonts w:ascii="Times New Roman" w:eastAsia="Times New Roman" w:hAnsi="Times New Roman"/>
          <w:sz w:val="24"/>
          <w:szCs w:val="24"/>
          <w:lang w:eastAsia="es-ES"/>
        </w:rPr>
        <w:t xml:space="preserve"> por otra, sus electores no coinciden ni en la necesidad de los recortes ni en el modo en que están actuando respecto de esos mismos poderes financieros. Desde esta perspectiva, las movilizaciones están siendo perjudiciales para los partidos de izquierda parlamentaria, situados en una tierra de nadie que les obliga a hacer cada vez mayores equilibrios.</w:t>
      </w:r>
    </w:p>
    <w:p w:rsidR="00BB7B36" w:rsidRPr="00E224A6" w:rsidRDefault="00BB7B36" w:rsidP="00BB7B36">
      <w:pPr>
        <w:spacing w:before="100" w:beforeAutospacing="1" w:after="100" w:afterAutospacing="1" w:line="240" w:lineRule="auto"/>
        <w:jc w:val="both"/>
        <w:rPr>
          <w:rFonts w:ascii="Times New Roman" w:eastAsia="Times New Roman" w:hAnsi="Times New Roman"/>
          <w:sz w:val="24"/>
          <w:szCs w:val="24"/>
          <w:lang w:eastAsia="es-ES"/>
        </w:rPr>
      </w:pPr>
      <w:r w:rsidRPr="00E224A6">
        <w:rPr>
          <w:rFonts w:ascii="Times New Roman" w:eastAsia="Times New Roman" w:hAnsi="Times New Roman"/>
          <w:sz w:val="24"/>
          <w:szCs w:val="24"/>
          <w:lang w:eastAsia="es-ES"/>
        </w:rPr>
        <w:t>La cuestión es dónde va a ir a parar ese caudal de descontento. El descreimiento y el alejamiento de la política es una opción y el aumento de la presencia social del populismo es otra, pero la hipótesis que más suele manejarse es el surgimiento de un nuevo tipo de izquierda. Moreno descarta esta posibilidad, ya que, afirma, “</w:t>
      </w:r>
      <w:r w:rsidRPr="00E224A6">
        <w:rPr>
          <w:rFonts w:ascii="Times New Roman" w:eastAsia="Times New Roman" w:hAnsi="Times New Roman"/>
          <w:bCs/>
          <w:sz w:val="24"/>
          <w:szCs w:val="24"/>
          <w:lang w:eastAsia="es-ES"/>
        </w:rPr>
        <w:t>la izquierda lleva años estancada, ni ha dado el perfil ni ha ofrecido programas ni ha hecho nada. Y los sindicatos ahí están, chupando del frasco del Estado</w:t>
      </w:r>
      <w:r w:rsidRPr="00E224A6">
        <w:rPr>
          <w:rFonts w:ascii="Times New Roman" w:eastAsia="Times New Roman" w:hAnsi="Times New Roman"/>
          <w:sz w:val="24"/>
          <w:szCs w:val="24"/>
          <w:lang w:eastAsia="es-ES"/>
        </w:rPr>
        <w:t xml:space="preserve">, sin que sepamos dónde va a parar el dinero que se les da”. </w:t>
      </w:r>
    </w:p>
    <w:p w:rsidR="00BB7B36" w:rsidRPr="00E224A6" w:rsidRDefault="00BB7B36" w:rsidP="00BB7B36">
      <w:pPr>
        <w:spacing w:before="100" w:beforeAutospacing="1" w:after="100" w:afterAutospacing="1" w:line="240" w:lineRule="auto"/>
        <w:jc w:val="both"/>
        <w:rPr>
          <w:rFonts w:ascii="Times New Roman" w:eastAsia="Times New Roman" w:hAnsi="Times New Roman"/>
          <w:sz w:val="24"/>
          <w:szCs w:val="24"/>
          <w:lang w:eastAsia="es-ES"/>
        </w:rPr>
      </w:pPr>
      <w:r w:rsidRPr="00E224A6">
        <w:rPr>
          <w:rFonts w:ascii="Times New Roman" w:eastAsia="Times New Roman" w:hAnsi="Times New Roman"/>
          <w:sz w:val="24"/>
          <w:szCs w:val="24"/>
          <w:lang w:eastAsia="es-ES"/>
        </w:rPr>
        <w:t xml:space="preserve">Sin embargo, lo que nos está diciendo la experiencia de las movilizaciones europeas es que, más allá del signo que tengan, </w:t>
      </w:r>
      <w:r w:rsidRPr="00E224A6">
        <w:rPr>
          <w:rFonts w:ascii="Times New Roman" w:eastAsia="Times New Roman" w:hAnsi="Times New Roman"/>
          <w:bCs/>
          <w:sz w:val="24"/>
          <w:szCs w:val="24"/>
          <w:lang w:eastAsia="es-ES"/>
        </w:rPr>
        <w:t>están apareciendo novedades sustanciales en la política</w:t>
      </w:r>
      <w:r w:rsidRPr="00E224A6">
        <w:rPr>
          <w:rFonts w:ascii="Times New Roman" w:eastAsia="Times New Roman" w:hAnsi="Times New Roman"/>
          <w:sz w:val="24"/>
          <w:szCs w:val="24"/>
          <w:lang w:eastAsia="es-ES"/>
        </w:rPr>
        <w:t xml:space="preserve"> que tiene poco que ver con las claves bajo las que estábamos acostumbrados a analizarla. Entre ellas: </w:t>
      </w:r>
    </w:p>
    <w:p w:rsidR="00BB7B36" w:rsidRPr="00E224A6" w:rsidRDefault="00BB7B36" w:rsidP="00BB7B36">
      <w:pPr>
        <w:spacing w:before="100" w:beforeAutospacing="1" w:after="100" w:afterAutospacing="1" w:line="240" w:lineRule="auto"/>
        <w:jc w:val="both"/>
        <w:rPr>
          <w:rFonts w:ascii="Times New Roman" w:eastAsia="Times New Roman" w:hAnsi="Times New Roman"/>
          <w:sz w:val="24"/>
          <w:szCs w:val="24"/>
          <w:lang w:eastAsia="es-ES"/>
        </w:rPr>
      </w:pPr>
      <w:r w:rsidRPr="00E224A6">
        <w:rPr>
          <w:rFonts w:ascii="Times New Roman" w:eastAsia="Times New Roman" w:hAnsi="Times New Roman"/>
          <w:sz w:val="24"/>
          <w:szCs w:val="24"/>
          <w:lang w:eastAsia="es-ES"/>
        </w:rPr>
        <w:t xml:space="preserve">1 En países como el Reino Unido, señala Martínez Lucio, </w:t>
      </w:r>
      <w:r w:rsidRPr="00E224A6">
        <w:rPr>
          <w:rFonts w:ascii="Times New Roman" w:eastAsia="Times New Roman" w:hAnsi="Times New Roman"/>
          <w:bCs/>
          <w:sz w:val="24"/>
          <w:szCs w:val="24"/>
          <w:lang w:eastAsia="es-ES"/>
        </w:rPr>
        <w:t>está aumentando tanto la afiliación a los sindicatos c</w:t>
      </w:r>
      <w:r w:rsidRPr="00E224A6">
        <w:rPr>
          <w:rFonts w:ascii="Times New Roman" w:eastAsia="Times New Roman" w:hAnsi="Times New Roman"/>
          <w:sz w:val="24"/>
          <w:szCs w:val="24"/>
          <w:lang w:eastAsia="es-ES"/>
        </w:rPr>
        <w:t xml:space="preserve">omo su presencia social. “Dado que el sistema electoral británico dificulta la existencia de partidos minoritarios y prácticamente imposibilita un espacio de izquierda fuera del partido laborista, </w:t>
      </w:r>
      <w:r w:rsidRPr="00E224A6">
        <w:rPr>
          <w:rFonts w:ascii="Times New Roman" w:eastAsia="Times New Roman" w:hAnsi="Times New Roman"/>
          <w:bCs/>
          <w:sz w:val="24"/>
          <w:szCs w:val="24"/>
          <w:lang w:eastAsia="es-ES"/>
        </w:rPr>
        <w:t>son las formaciones sindicales las que están empezando a jugar este papel de izquierda alternativa</w:t>
      </w:r>
      <w:r w:rsidRPr="00E224A6">
        <w:rPr>
          <w:rFonts w:ascii="Times New Roman" w:eastAsia="Times New Roman" w:hAnsi="Times New Roman"/>
          <w:sz w:val="24"/>
          <w:szCs w:val="24"/>
          <w:lang w:eastAsia="es-ES"/>
        </w:rPr>
        <w:t xml:space="preserve">. Desde hace unos años están apareciendo nuevos líderes sindicales, algunos de los cuales siguen militando en el partido laborista, que están ocupando claramente ese espacio”. Lo que está por verse es cómo transforman esa presencia en algún tipo de poder político. </w:t>
      </w:r>
    </w:p>
    <w:p w:rsidR="00BB7B36" w:rsidRPr="00E224A6" w:rsidRDefault="00BB7B36" w:rsidP="00BB7B36">
      <w:pPr>
        <w:spacing w:after="0" w:line="240" w:lineRule="auto"/>
        <w:jc w:val="both"/>
        <w:rPr>
          <w:rFonts w:ascii="Times New Roman" w:eastAsia="Times New Roman" w:hAnsi="Times New Roman"/>
          <w:sz w:val="24"/>
          <w:szCs w:val="24"/>
          <w:lang w:eastAsia="es-ES"/>
        </w:rPr>
      </w:pPr>
      <w:r w:rsidRPr="00E224A6">
        <w:rPr>
          <w:rFonts w:ascii="Times New Roman" w:eastAsia="Times New Roman" w:hAnsi="Times New Roman"/>
          <w:sz w:val="24"/>
          <w:szCs w:val="24"/>
          <w:lang w:eastAsia="es-ES"/>
        </w:rPr>
        <w:t xml:space="preserve">2. </w:t>
      </w:r>
      <w:r w:rsidRPr="00E224A6">
        <w:rPr>
          <w:rFonts w:ascii="Times New Roman" w:eastAsia="Times New Roman" w:hAnsi="Times New Roman"/>
          <w:bCs/>
          <w:sz w:val="24"/>
          <w:szCs w:val="24"/>
          <w:lang w:eastAsia="es-ES"/>
        </w:rPr>
        <w:t>Las alternativas son cada vez más numerosas y fragmentadas</w:t>
      </w:r>
      <w:r w:rsidRPr="00E224A6">
        <w:rPr>
          <w:rFonts w:ascii="Times New Roman" w:eastAsia="Times New Roman" w:hAnsi="Times New Roman"/>
          <w:sz w:val="24"/>
          <w:szCs w:val="24"/>
          <w:lang w:eastAsia="es-ES"/>
        </w:rPr>
        <w:t xml:space="preserve">, como demuestran múltiples ejemplos europeos (los últimos, España y Grecia). En un sentido, porque están </w:t>
      </w:r>
      <w:r w:rsidRPr="00E224A6">
        <w:rPr>
          <w:rFonts w:ascii="Times New Roman" w:eastAsia="Times New Roman" w:hAnsi="Times New Roman"/>
          <w:sz w:val="24"/>
          <w:szCs w:val="24"/>
          <w:lang w:eastAsia="es-ES"/>
        </w:rPr>
        <w:lastRenderedPageBreak/>
        <w:t xml:space="preserve">apareciendo nuevos jugadores políticos, que van desde UPyD hasta el Frente Nacional francés pasando por la apuesta centrista de </w:t>
      </w:r>
      <w:r w:rsidRPr="00E224A6">
        <w:rPr>
          <w:rFonts w:ascii="Times New Roman" w:eastAsia="Times New Roman" w:hAnsi="Times New Roman"/>
          <w:bCs/>
          <w:sz w:val="24"/>
          <w:szCs w:val="24"/>
          <w:lang w:eastAsia="es-ES"/>
        </w:rPr>
        <w:t>François Bayrou</w:t>
      </w:r>
      <w:r w:rsidRPr="00E224A6">
        <w:rPr>
          <w:rFonts w:ascii="Times New Roman" w:eastAsia="Times New Roman" w:hAnsi="Times New Roman"/>
          <w:sz w:val="24"/>
          <w:szCs w:val="24"/>
          <w:lang w:eastAsia="es-ES"/>
        </w:rPr>
        <w:t>, el ascenso de los Liberal Demócratas en el Reino Unido o por la recomposición de la izquierda alemana en Die Linke, lo cual está produciendo un juego</w:t>
      </w:r>
      <w:r>
        <w:rPr>
          <w:rFonts w:ascii="Times New Roman" w:eastAsia="Times New Roman" w:hAnsi="Times New Roman"/>
          <w:sz w:val="24"/>
          <w:szCs w:val="24"/>
          <w:lang w:eastAsia="es-ES"/>
        </w:rPr>
        <w:t xml:space="preserve"> de intereses político cada vez</w:t>
      </w:r>
      <w:r w:rsidRPr="00E224A6">
        <w:rPr>
          <w:rFonts w:ascii="Times New Roman" w:eastAsia="Times New Roman" w:hAnsi="Times New Roman"/>
          <w:sz w:val="24"/>
          <w:szCs w:val="24"/>
          <w:lang w:eastAsia="es-ES"/>
        </w:rPr>
        <w:t xml:space="preserve"> más fluido. </w:t>
      </w:r>
      <w:r w:rsidRPr="00E224A6">
        <w:rPr>
          <w:rFonts w:ascii="Times New Roman" w:eastAsia="Times New Roman" w:hAnsi="Times New Roman"/>
          <w:bCs/>
          <w:sz w:val="24"/>
          <w:szCs w:val="24"/>
          <w:lang w:eastAsia="es-ES"/>
        </w:rPr>
        <w:t>Pero, en otro, porque se está generando un magma de organizaciones jóvenes, bien estructuradas, que están potenciando cada vez más la sociedad civil (como se ha notado en el 15 M español) pero que carecen de un conductor articulado”</w:t>
      </w:r>
      <w:r w:rsidRPr="00E224A6">
        <w:rPr>
          <w:rFonts w:ascii="Times New Roman" w:eastAsia="Times New Roman" w:hAnsi="Times New Roman"/>
          <w:sz w:val="24"/>
          <w:szCs w:val="24"/>
          <w:lang w:eastAsia="es-ES"/>
        </w:rPr>
        <w:t xml:space="preserve">. Sin embargo, y aunque “este no sea un fenómeno nuevo, porque llevamos en esa situación fragmentada un periodo relativamente largo”, está cobrando cada vez más importancia, lo que está haciendo fermentar un caldo de cultivo del que va a surgir algo, aun cuando no pueda adivinarse todavía el qué. </w:t>
      </w:r>
    </w:p>
    <w:p w:rsidR="00BB7B36" w:rsidRDefault="00BB7B36" w:rsidP="00BB7B36">
      <w:pPr>
        <w:jc w:val="both"/>
        <w:rPr>
          <w:rFonts w:ascii="Times New Roman" w:hAnsi="Times New Roman"/>
          <w:sz w:val="24"/>
          <w:szCs w:val="24"/>
        </w:rPr>
      </w:pPr>
    </w:p>
    <w:p w:rsidR="00BB7B36" w:rsidRPr="00DC1E75" w:rsidRDefault="00BB7B36" w:rsidP="00BB7B36">
      <w:pPr>
        <w:pStyle w:val="Prrafodelista"/>
        <w:numPr>
          <w:ilvl w:val="1"/>
          <w:numId w:val="31"/>
        </w:numPr>
        <w:jc w:val="both"/>
        <w:rPr>
          <w:rFonts w:ascii="Times New Roman" w:hAnsi="Times New Roman" w:cs="Times New Roman"/>
          <w:b/>
          <w:sz w:val="24"/>
          <w:szCs w:val="24"/>
        </w:rPr>
      </w:pPr>
      <w:r w:rsidRPr="00DC1E75">
        <w:rPr>
          <w:rFonts w:ascii="Times New Roman" w:hAnsi="Times New Roman"/>
          <w:b/>
          <w:sz w:val="24"/>
          <w:szCs w:val="24"/>
        </w:rPr>
        <w:t>-</w:t>
      </w:r>
      <w:r w:rsidRPr="00DC1E75">
        <w:rPr>
          <w:rFonts w:ascii="Times New Roman" w:hAnsi="Times New Roman"/>
          <w:sz w:val="24"/>
          <w:szCs w:val="24"/>
        </w:rPr>
        <w:t xml:space="preserve"> </w:t>
      </w:r>
      <w:r w:rsidRPr="00DC1E75">
        <w:rPr>
          <w:rFonts w:ascii="Times New Roman" w:hAnsi="Times New Roman" w:cs="Times New Roman"/>
          <w:b/>
          <w:sz w:val="24"/>
          <w:szCs w:val="24"/>
        </w:rPr>
        <w:t xml:space="preserve">Del “conservadurismo compasivo” del Imperator George W. Bush, a la “sociedad participativa” del Koning Willem Alexander I </w:t>
      </w:r>
    </w:p>
    <w:p w:rsidR="00BB7B36" w:rsidRPr="00C32841" w:rsidRDefault="00BB7B36" w:rsidP="00BB7B36">
      <w:pPr>
        <w:jc w:val="both"/>
        <w:rPr>
          <w:rFonts w:ascii="Times New Roman" w:hAnsi="Times New Roman" w:cs="Times New Roman"/>
          <w:sz w:val="24"/>
          <w:szCs w:val="24"/>
          <w:u w:val="single"/>
        </w:rPr>
      </w:pPr>
      <w:r w:rsidRPr="00C32841">
        <w:rPr>
          <w:rFonts w:ascii="Times New Roman" w:hAnsi="Times New Roman" w:cs="Times New Roman"/>
          <w:sz w:val="24"/>
          <w:szCs w:val="24"/>
          <w:u w:val="single"/>
        </w:rPr>
        <w:t xml:space="preserve">El Gobierno gestionó de forma generosa la protección social hasta la crisis. Holanda aboga por sustituir el Estado del bienestar por una “sociedad participativa” </w:t>
      </w:r>
    </w:p>
    <w:p w:rsidR="00BB7B36" w:rsidRPr="00E9313A" w:rsidRDefault="00BB7B36" w:rsidP="00BB7B36">
      <w:pPr>
        <w:jc w:val="both"/>
        <w:rPr>
          <w:rFonts w:ascii="Times New Roman" w:hAnsi="Times New Roman" w:cs="Times New Roman"/>
          <w:sz w:val="24"/>
          <w:szCs w:val="24"/>
        </w:rPr>
      </w:pPr>
      <w:r>
        <w:rPr>
          <w:rFonts w:ascii="Times New Roman" w:hAnsi="Times New Roman" w:cs="Times New Roman"/>
          <w:i/>
          <w:sz w:val="24"/>
          <w:szCs w:val="24"/>
        </w:rPr>
        <w:t>“</w:t>
      </w:r>
      <w:r w:rsidRPr="00E9313A">
        <w:rPr>
          <w:rFonts w:ascii="Times New Roman" w:hAnsi="Times New Roman" w:cs="Times New Roman"/>
          <w:i/>
          <w:sz w:val="24"/>
          <w:szCs w:val="24"/>
        </w:rPr>
        <w:t>La apertura oficial del año parlamentario en Holanda ha sido el escenario escogido por el actual Gobierno, de centro izquierda, para anunciar la sustitución del “clásico estado de bienestar de la segunda mitad del siglo XX por una sociedad participativa”. Una forma aséptica de advertir a la ciudadanía de que la crisis sigue golpeando, y “cada holandés debe adaptarse a los cambios que se avecinan”</w:t>
      </w:r>
      <w:r>
        <w:rPr>
          <w:rFonts w:ascii="Times New Roman" w:hAnsi="Times New Roman" w:cs="Times New Roman"/>
          <w:i/>
          <w:sz w:val="24"/>
          <w:szCs w:val="24"/>
        </w:rPr>
        <w:t>”..</w:t>
      </w:r>
      <w:r w:rsidRPr="00E9313A">
        <w:rPr>
          <w:rFonts w:ascii="Times New Roman" w:hAnsi="Times New Roman" w:cs="Times New Roman"/>
          <w:i/>
          <w:sz w:val="24"/>
          <w:szCs w:val="24"/>
        </w:rPr>
        <w:t>.</w:t>
      </w:r>
      <w:r>
        <w:rPr>
          <w:rFonts w:ascii="Times New Roman" w:hAnsi="Times New Roman" w:cs="Times New Roman"/>
          <w:sz w:val="24"/>
          <w:szCs w:val="24"/>
        </w:rPr>
        <w:t xml:space="preserve"> </w:t>
      </w:r>
      <w:r w:rsidRPr="000B043B">
        <w:rPr>
          <w:rFonts w:ascii="Times New Roman" w:hAnsi="Times New Roman" w:cs="Times New Roman"/>
          <w:sz w:val="24"/>
          <w:szCs w:val="24"/>
          <w:u w:val="single"/>
        </w:rPr>
        <w:t>Holanda aboga por sustituir el Estado del bienestar por una “sociedad participativa”</w:t>
      </w:r>
      <w:r>
        <w:rPr>
          <w:rFonts w:ascii="Times New Roman" w:hAnsi="Times New Roman" w:cs="Times New Roman"/>
          <w:sz w:val="24"/>
          <w:szCs w:val="24"/>
        </w:rPr>
        <w:t xml:space="preserve"> (El País - </w:t>
      </w:r>
      <w:r w:rsidRPr="000B043B">
        <w:rPr>
          <w:rFonts w:ascii="Times New Roman" w:hAnsi="Times New Roman" w:cs="Times New Roman"/>
          <w:b/>
          <w:sz w:val="24"/>
          <w:szCs w:val="24"/>
        </w:rPr>
        <w:t>17/9/13</w:t>
      </w:r>
      <w:r>
        <w:rPr>
          <w:rFonts w:ascii="Times New Roman" w:hAnsi="Times New Roman" w:cs="Times New Roman"/>
          <w:sz w:val="24"/>
          <w:szCs w:val="24"/>
        </w:rPr>
        <w:t>)</w:t>
      </w:r>
    </w:p>
    <w:p w:rsidR="00BB7B36" w:rsidRPr="00E9313A" w:rsidRDefault="00BB7B36" w:rsidP="00BB7B36">
      <w:pPr>
        <w:jc w:val="both"/>
        <w:rPr>
          <w:rFonts w:ascii="Times New Roman" w:hAnsi="Times New Roman" w:cs="Times New Roman"/>
          <w:sz w:val="24"/>
          <w:szCs w:val="24"/>
        </w:rPr>
      </w:pPr>
      <w:r w:rsidRPr="00E9313A">
        <w:rPr>
          <w:rFonts w:ascii="Times New Roman" w:hAnsi="Times New Roman" w:cs="Times New Roman"/>
          <w:sz w:val="24"/>
          <w:szCs w:val="24"/>
        </w:rPr>
        <w:t>El entrecomillado procede del discurso de la Corona, pronunciado por primera vez por el nuevo rey, Guillermo Alejandro, pero escrito por un Ejecutivo en horas bajas. “El paso hacia una sociedad participativa es particularmente notable en la seguridad social y en los que necesiten cuidados de larga duración. Es precisamente en esos sectores donde el clásico Estado del bienestar de la segunda mitad del siglo XX ha producido sistemas que en su forma actual ni son sostenibles ni están adaptados a las expectativas de los ciudadanos”, agregó el monarca.</w:t>
      </w:r>
    </w:p>
    <w:p w:rsidR="00BB7B36" w:rsidRPr="00E9313A" w:rsidRDefault="00BB7B36" w:rsidP="00BB7B36">
      <w:pPr>
        <w:jc w:val="both"/>
        <w:rPr>
          <w:rFonts w:ascii="Times New Roman" w:hAnsi="Times New Roman" w:cs="Times New Roman"/>
          <w:sz w:val="24"/>
          <w:szCs w:val="24"/>
        </w:rPr>
      </w:pPr>
      <w:r w:rsidRPr="00E9313A">
        <w:rPr>
          <w:rFonts w:ascii="Times New Roman" w:hAnsi="Times New Roman" w:cs="Times New Roman"/>
          <w:sz w:val="24"/>
          <w:szCs w:val="24"/>
        </w:rPr>
        <w:t xml:space="preserve">Una coalición de liberales y socialdemócratas, cuyos planes son considerados nefastos por un 80% de la población, según la encuesta más reciente, encargada por la televisión nacional (NOS). Del mismo sondeo de urgencia se deduce que los holandeses confían más en el mundo empresarial, y la propia regeneración de la economía mundial, que en la capacidad de sus políticos para salir de la crisis. La razón de su desánimo responde al anuncio de un nuevo ajuste de 6.000 millones de euros y el duro cálculo económico de la Oficina Central de Planificación para 2014: el paro llegará hasta el 7,5%; el déficit sumara un 3,3%, superando el límite del 3% exigido por Bruselas, y el poder adquisitivo bajará un 0,5%. La Oficina es el órgano de referencia en cuestiones de macroeconomía, y el Gobierno remite los presupuestos generales a sus expertos para su estudio. De ahí que las previsiones hayan sido publicadas sin problemas, y Mark Rutte, primer ministro liberal, y Diederik Samsom, líder socialdemócrata, hayan podido aferrarse a otro dato esencial. El que cifra el crecimiento económico en un 0,5% y ha permitido al rey </w:t>
      </w:r>
      <w:r w:rsidRPr="00E9313A">
        <w:rPr>
          <w:rFonts w:ascii="Times New Roman" w:hAnsi="Times New Roman" w:cs="Times New Roman"/>
          <w:sz w:val="24"/>
          <w:szCs w:val="24"/>
        </w:rPr>
        <w:lastRenderedPageBreak/>
        <w:t>Guillermo lanzar un tímido mensaje esperanzador. “Si bien la crisis sigue notándose, hay señales positivas que llevan a pensar que está llegando a su fin y hay perspectivas de mejora para Holanda”, ha dicho.</w:t>
      </w:r>
    </w:p>
    <w:p w:rsidR="00BB7B36" w:rsidRPr="00E9313A" w:rsidRDefault="00BB7B36" w:rsidP="00BB7B36">
      <w:pPr>
        <w:jc w:val="both"/>
        <w:rPr>
          <w:rFonts w:ascii="Times New Roman" w:hAnsi="Times New Roman" w:cs="Times New Roman"/>
          <w:sz w:val="24"/>
          <w:szCs w:val="24"/>
        </w:rPr>
      </w:pPr>
      <w:r w:rsidRPr="00E9313A">
        <w:rPr>
          <w:rFonts w:ascii="Times New Roman" w:hAnsi="Times New Roman" w:cs="Times New Roman"/>
          <w:sz w:val="24"/>
          <w:szCs w:val="24"/>
        </w:rPr>
        <w:t>Vestido de gala pero no de uniforme militar, y flanqueado por su esposa, la reina consorte Máxima, el monarca ha querido contribuir a la sobriedad general. Es verdad que había gran expectación por ver a Máxima sentada en un trono, aunque fuera más pequeño. Después de cuatro soberanas seguidas, es la primera vez en 126 años que una consorte real acompaña al rey de Holanda en la apertura parlamentaria. Las calles estaban llenas para verles pasar en carroza, pero dentro no ha habido cortejo. A la Sala de los Caballeros del antiguo Parlamento medieval de La Haya le ha acompañado su hermano, el príncipe Constantino, y su mujer, Laurentien. Solo los cuatro han aparecido luego en la tradicional escena del balcón, su estreno desde la abdicación de Beatriz, actual princesa. Pero que nadie se engañe. El nuevo modelo social que se avecina, cada vez menos ideológico y más cercano a la tecnocracia, afectará a todos.</w:t>
      </w:r>
    </w:p>
    <w:p w:rsidR="00BB7B36" w:rsidRPr="00E9313A" w:rsidRDefault="00BB7B36" w:rsidP="00BB7B36">
      <w:pPr>
        <w:jc w:val="both"/>
        <w:rPr>
          <w:rFonts w:ascii="Times New Roman" w:hAnsi="Times New Roman" w:cs="Times New Roman"/>
          <w:sz w:val="24"/>
          <w:szCs w:val="24"/>
        </w:rPr>
      </w:pPr>
      <w:r w:rsidRPr="00E9313A">
        <w:rPr>
          <w:rFonts w:ascii="Times New Roman" w:hAnsi="Times New Roman" w:cs="Times New Roman"/>
          <w:sz w:val="24"/>
          <w:szCs w:val="24"/>
        </w:rPr>
        <w:t>El rey ha recordado el endeudamiento de las familias, la delicada situación de los bancos y la necesidad de reducir el déficit. Ha subrayado la idoneidad de “unas reformas que requieren tiempo” y ha señalado que su país debe ser “un pueblo fuerte y consciente capaz de adaptar los cambios a su vida”. A continuación, ha explicado por qué se descentraliza de este modo: “La gente quiere decidir por sí misma, organizar su vida y cuidar unos de otros”. ¿Cómo se traduce todo ello a pie de calle?</w:t>
      </w:r>
    </w:p>
    <w:p w:rsidR="00BB7B36" w:rsidRPr="00E9313A" w:rsidRDefault="00BB7B36" w:rsidP="00BB7B36">
      <w:pPr>
        <w:jc w:val="both"/>
        <w:rPr>
          <w:rFonts w:ascii="Times New Roman" w:hAnsi="Times New Roman" w:cs="Times New Roman"/>
          <w:sz w:val="24"/>
          <w:szCs w:val="24"/>
        </w:rPr>
      </w:pPr>
      <w:r w:rsidRPr="00E9313A">
        <w:rPr>
          <w:rFonts w:ascii="Times New Roman" w:hAnsi="Times New Roman" w:cs="Times New Roman"/>
          <w:sz w:val="24"/>
          <w:szCs w:val="24"/>
        </w:rPr>
        <w:t>Parte de los costes de los dependientes y enfermos crónicos, asistencia social y programas de reintegración laboral pasarán a manos municipales. Se trata de mejorar el servicio, pero los ayuntamientos disponen para estas partidas de la mitad del presupuesto estatal. Otro ejemplo son los subsidios para menores de seis años, y a partir de esa edad, que se uniformarán a la baja; el salario de los funcionarios se congela aunque pagaran menos primas sanitarias; el Ejército recortará 2.300 puestos (en 2011 ya se aprobó una reducción de 12.000 militares); el Estado ahorrará 750 millones en medicinas al reducir las pagadas por el seguro; los declarados incapaces para trabajar recibirán menos ayudas extra y todos los ministerios ahorraran, en conjunto, 165 millones de euros, entre otras medidas.</w:t>
      </w:r>
    </w:p>
    <w:p w:rsidR="00BB7B36" w:rsidRPr="00E9313A" w:rsidRDefault="00BB7B36" w:rsidP="00BB7B36">
      <w:pPr>
        <w:jc w:val="both"/>
        <w:rPr>
          <w:rFonts w:ascii="Times New Roman" w:hAnsi="Times New Roman" w:cs="Times New Roman"/>
          <w:sz w:val="24"/>
          <w:szCs w:val="24"/>
        </w:rPr>
      </w:pPr>
      <w:r w:rsidRPr="00E9313A">
        <w:rPr>
          <w:rFonts w:ascii="Times New Roman" w:hAnsi="Times New Roman" w:cs="Times New Roman"/>
          <w:sz w:val="24"/>
          <w:szCs w:val="24"/>
        </w:rPr>
        <w:t xml:space="preserve">Las reacciones fueron inmediatas y repartieron alabanzas y críticas a partes iguales. Las primeras, para Guillermo, que estuvo “impecable al añadir lo personal recordando a su madre y a su hermano muerto, el príncipe Friso, a un discurso de peso”, según Sybrand Buma, líder democristiano, que resumió el sentir del resto de sus colegas parlamentarios. Las críticas se las llevó la sociedad participativa promovida por el Gobierno. “Es una ofensa para la gente y una política destructiva”, dijo Emile Roemer, jefe del Partido Socialista, radical. “Holanda es el enfermo de Europa porque no se reforma”, añadió el propio Buma, en cuanto pasó del rey a política. “No hay soluciones rápidas e indoloras. La economía se recupera más despacio de lo esperado. Aunque seguimos entre los países más ricos y competitivos del mundo, en términos de bienestar estamos como en 2007. Pero hay perspectivas, y estas reformas sientan la base de una </w:t>
      </w:r>
      <w:r w:rsidRPr="00E9313A">
        <w:rPr>
          <w:rFonts w:ascii="Times New Roman" w:hAnsi="Times New Roman" w:cs="Times New Roman"/>
          <w:sz w:val="24"/>
          <w:szCs w:val="24"/>
        </w:rPr>
        <w:lastRenderedPageBreak/>
        <w:t>recuperación sostenida”, contestó el ministro de Finanzas, Jeroen Dijsselbloem, al depositar su cartera con los presupuestos en el Parlamento, que la discutirá en la tercera semana de septiembre (2013).</w:t>
      </w:r>
    </w:p>
    <w:p w:rsidR="00BB7B36" w:rsidRPr="000B043B" w:rsidRDefault="00BB7B36" w:rsidP="00BB7B36">
      <w:pPr>
        <w:jc w:val="both"/>
        <w:rPr>
          <w:rFonts w:ascii="Times New Roman" w:hAnsi="Times New Roman" w:cs="Times New Roman"/>
          <w:sz w:val="24"/>
          <w:szCs w:val="24"/>
        </w:rPr>
      </w:pPr>
      <w:r>
        <w:rPr>
          <w:rFonts w:ascii="Times New Roman" w:hAnsi="Times New Roman" w:cs="Times New Roman"/>
          <w:i/>
          <w:sz w:val="24"/>
          <w:szCs w:val="24"/>
        </w:rPr>
        <w:t>“</w:t>
      </w:r>
      <w:r w:rsidRPr="00E9313A">
        <w:rPr>
          <w:rFonts w:ascii="Times New Roman" w:hAnsi="Times New Roman" w:cs="Times New Roman"/>
          <w:i/>
          <w:sz w:val="24"/>
          <w:szCs w:val="24"/>
        </w:rPr>
        <w:t>La ironía enseña los dientes en esta crisis de nunca acabar. La próspera y calvinista Holanda, firme aliada de Berlín y Bruselas para imponer políticas de austeridad a rajatabla a todo el continente, empieza a caer en su propia trampa. Nadie presionó tanto para impulsar la rectitud con las cuentas públicas de la eurozona: Holanda se ve obligada ahora a probar su propia medicina, el pacto fiscal y los denominados Six Pack y Two Pack, una especie de Sagradas Escrituras de la austeridad para dificultar que los Gobiernos tomen medidas anticíclicas (en plata, que en medio de una recesión el Estado gaste y se endeude para compensar el hundimiento de la demanda privada). El Ejecutivo aprobó ayer un nuevo recorte para el año próximo, de 6.000 millones de euros -el 1% del PIB-, para tratar de cumplir los objetivos fiscales marcados por la Comisión Europea. No parece capaz de lograrlo: la prestigiosa DCP, el centro oficial de planificación económica, lleva tiempo avisando de que la tijera agravará la recesión e impedirá, por tanto, alcanzar las metas fiscales. Salvando las distancias, algo parecido a lo que ocurre más al sur, en toda la periferia</w:t>
      </w:r>
      <w:r>
        <w:rPr>
          <w:rFonts w:ascii="Times New Roman" w:hAnsi="Times New Roman" w:cs="Times New Roman"/>
          <w:i/>
          <w:sz w:val="24"/>
          <w:szCs w:val="24"/>
        </w:rPr>
        <w:t>”..</w:t>
      </w:r>
      <w:r w:rsidRPr="00E9313A">
        <w:rPr>
          <w:rFonts w:ascii="Times New Roman" w:hAnsi="Times New Roman" w:cs="Times New Roman"/>
          <w:i/>
          <w:sz w:val="24"/>
          <w:szCs w:val="24"/>
        </w:rPr>
        <w:t>.</w:t>
      </w:r>
      <w:r>
        <w:rPr>
          <w:rFonts w:ascii="Times New Roman" w:hAnsi="Times New Roman" w:cs="Times New Roman"/>
          <w:i/>
          <w:sz w:val="24"/>
          <w:szCs w:val="24"/>
        </w:rPr>
        <w:t xml:space="preserve"> </w:t>
      </w:r>
      <w:r w:rsidRPr="000B043B">
        <w:rPr>
          <w:rFonts w:ascii="Times New Roman" w:hAnsi="Times New Roman" w:cs="Times New Roman"/>
          <w:sz w:val="24"/>
          <w:szCs w:val="24"/>
          <w:u w:val="single"/>
        </w:rPr>
        <w:t>El Gobierno de Rutte se enfrenta a su propia trampa de la austeridad</w:t>
      </w:r>
      <w:r>
        <w:rPr>
          <w:rFonts w:ascii="Times New Roman" w:hAnsi="Times New Roman" w:cs="Times New Roman"/>
          <w:sz w:val="24"/>
          <w:szCs w:val="24"/>
        </w:rPr>
        <w:t xml:space="preserve"> (El País - </w:t>
      </w:r>
      <w:r w:rsidRPr="000B043B">
        <w:rPr>
          <w:rFonts w:ascii="Times New Roman" w:hAnsi="Times New Roman" w:cs="Times New Roman"/>
          <w:b/>
          <w:sz w:val="24"/>
          <w:szCs w:val="24"/>
        </w:rPr>
        <w:t>17/9/13</w:t>
      </w:r>
      <w:r>
        <w:rPr>
          <w:rFonts w:ascii="Times New Roman" w:hAnsi="Times New Roman" w:cs="Times New Roman"/>
          <w:sz w:val="24"/>
          <w:szCs w:val="24"/>
        </w:rPr>
        <w:t>)</w:t>
      </w:r>
    </w:p>
    <w:p w:rsidR="00BB7B36" w:rsidRPr="00E9313A" w:rsidRDefault="00BB7B36" w:rsidP="00BB7B36">
      <w:pPr>
        <w:jc w:val="both"/>
        <w:rPr>
          <w:rFonts w:ascii="Times New Roman" w:hAnsi="Times New Roman" w:cs="Times New Roman"/>
          <w:sz w:val="24"/>
          <w:szCs w:val="24"/>
        </w:rPr>
      </w:pPr>
      <w:r w:rsidRPr="00E9313A">
        <w:rPr>
          <w:rFonts w:ascii="Times New Roman" w:hAnsi="Times New Roman" w:cs="Times New Roman"/>
          <w:sz w:val="24"/>
          <w:szCs w:val="24"/>
        </w:rPr>
        <w:t>El comisario de Asuntos Económicos, Olli Rehn, concedió en mayo (2013) un año extra -hasta 2014- al país para alcanzar un déficit del 3% del PIB, ante el deterioro de la economía y en línea con la nueva retórica en boga en Bruselas, más suave con los recortes y más proclive a las reformas. Pero el pinchazo de la burbuja inmobiliaria empieza a hacer estragos, la crisis financiera afecta a tres de los cuatro grandes bancos, el paro sigue al alza (en niveles bajos, en torno al 7%, pero creciendo a toda velocidad) y la confianza de consumidores y empresas va de mal en peor. Rehn reclamó justo antes del verano que La Haya hiciera “un esfuerzo fiscal adicional de al menos un 1% del PIB”, exactamente la cifra aprobada, para bajar de ese listón del déficit del 3% en 2014. Pura ficción: ese tijeretazo provocará un agravamiento de la crisis e impedirá a Holanda cumplir con los objetivos fijados por la Comisión, según el citado DCP. El déficit se irá hasta el 3,3% en 2014, medio punto más de lo previsto. La economía caerá el 1,25% en el año 2013.</w:t>
      </w:r>
    </w:p>
    <w:p w:rsidR="00BB7B36" w:rsidRPr="00E9313A" w:rsidRDefault="00BB7B36" w:rsidP="00BB7B36">
      <w:pPr>
        <w:jc w:val="both"/>
        <w:rPr>
          <w:rFonts w:ascii="Times New Roman" w:hAnsi="Times New Roman" w:cs="Times New Roman"/>
          <w:sz w:val="24"/>
          <w:szCs w:val="24"/>
        </w:rPr>
      </w:pPr>
      <w:r w:rsidRPr="00E9313A">
        <w:rPr>
          <w:rFonts w:ascii="Times New Roman" w:hAnsi="Times New Roman" w:cs="Times New Roman"/>
          <w:sz w:val="24"/>
          <w:szCs w:val="24"/>
        </w:rPr>
        <w:t>“La única vía para que España e Italia salgan de la crisis es que hagan cambios en el mercado de trabajo y sigan aprobando reformas y recortes”, decía un impulsivo Mark Rutte, el primer ministro holandés, en junio del año pasado. Ahora le toca a él: su Gobierno ha aplazado algunas reformas para no agravar la recesión, y se ha visto obligado a desistir de un recorte más ambicioso, tras coquetear con un tijeretazo aún mayor para cumplir con Bruselas.</w:t>
      </w:r>
    </w:p>
    <w:p w:rsidR="00BB7B36" w:rsidRPr="00E9313A" w:rsidRDefault="00BB7B36" w:rsidP="00BB7B36">
      <w:pPr>
        <w:jc w:val="both"/>
        <w:rPr>
          <w:rFonts w:ascii="Times New Roman" w:hAnsi="Times New Roman" w:cs="Times New Roman"/>
          <w:sz w:val="24"/>
          <w:szCs w:val="24"/>
        </w:rPr>
      </w:pPr>
      <w:r w:rsidRPr="00E9313A">
        <w:rPr>
          <w:rFonts w:ascii="Times New Roman" w:hAnsi="Times New Roman" w:cs="Times New Roman"/>
          <w:sz w:val="24"/>
          <w:szCs w:val="24"/>
        </w:rPr>
        <w:t xml:space="preserve">El malestar ciudadano crece: la coalición de Gobierno se desploma en las encuestas, víctima de esa política económica. El ministro de Finanzas y presidente del Eurogrupo, Jeroen Dijsselbloem, avisa de que el país debe recuperar el impulso reformista y defiende los recortes como la única vía para conseguir un crecimiento sostenible, un </w:t>
      </w:r>
      <w:r w:rsidRPr="00E9313A">
        <w:rPr>
          <w:rFonts w:ascii="Times New Roman" w:hAnsi="Times New Roman" w:cs="Times New Roman"/>
          <w:sz w:val="24"/>
          <w:szCs w:val="24"/>
        </w:rPr>
        <w:lastRenderedPageBreak/>
        <w:t>discurso calcado al que dedica al sur de Europa. Pero las agencias de calificación ya han amenazado con retirar la triple A (la máxima nota crediticia), una auténtica obsesión en La Haya. Y ni siquiera los economistas más conservadores apoyan el abuso de tijera: Coen Teulings, del DCP, aseguraba hace unas semanas que rebajas adicionales del gasto “pueden decapitar la recuperación”. “Holanda se ve obligada a ser más papista que el Papa: se le caen los ingresos públicos por la recesión, el consumo se desploma por efecto precaución y las propias políticas que ellos han dictado a la UE les llevan ahora a esos nuevos recortes que pueden ser contraproducentes”, explica Luis Garicano, profesor de la London School of Economics afincado en Holanda. “Lo que necesita el país es lo contrario: de alguna manera, este es un ejemplo paradigmático de las consecuencias del triunfo de la ideología sobre la razón”, cierra.</w:t>
      </w:r>
    </w:p>
    <w:p w:rsidR="00BB7B36" w:rsidRPr="00C32841" w:rsidRDefault="00BB7B36" w:rsidP="00BB7B36">
      <w:pPr>
        <w:jc w:val="both"/>
        <w:rPr>
          <w:rFonts w:ascii="Times New Roman" w:hAnsi="Times New Roman" w:cs="Times New Roman"/>
          <w:sz w:val="24"/>
          <w:szCs w:val="24"/>
        </w:rPr>
      </w:pPr>
      <w:r>
        <w:rPr>
          <w:rFonts w:ascii="Times New Roman" w:hAnsi="Times New Roman" w:cs="Times New Roman"/>
          <w:i/>
          <w:sz w:val="24"/>
          <w:szCs w:val="24"/>
        </w:rPr>
        <w:t>“</w:t>
      </w:r>
      <w:r w:rsidRPr="00C32841">
        <w:rPr>
          <w:rFonts w:ascii="Times New Roman" w:hAnsi="Times New Roman" w:cs="Times New Roman"/>
          <w:i/>
          <w:sz w:val="24"/>
          <w:szCs w:val="24"/>
        </w:rPr>
        <w:t>Femke tiene 78 años, padece diabetes y dos de sus mayores problemas asociados: hipertensión y limitaciones funcionales porque no camina bien. Vive sola en el norte de Holanda, recibe una pensión estatal y es ayudada en su aseo personal, comida, limpieza de la casa y paseos por una asistenta especializada pagada por la sanidad pública. Femke, que no quiere dar más datos privados, forma parte del segmento de población necesitado de cuidados de larga duración, que serán recortados en la nueva sociedad surgida de la crisis. Basada en la solidaridad y la iniciativa privada, cuenta con las familias para hacerse cargo de sus mayores y dependientes. De los ayuntamientos y los propios vecinos, espera a su vez que regulen servicios antes generales. En suma, un modelo social con menos subsidios y ayudas más costosas, en lugar del Estado de bienestar levantado durante los últimos sesenta años</w:t>
      </w:r>
      <w:r>
        <w:rPr>
          <w:rFonts w:ascii="Times New Roman" w:hAnsi="Times New Roman" w:cs="Times New Roman"/>
          <w:i/>
          <w:sz w:val="24"/>
          <w:szCs w:val="24"/>
        </w:rPr>
        <w:t>”..</w:t>
      </w:r>
      <w:r w:rsidRPr="00C32841">
        <w:rPr>
          <w:rFonts w:ascii="Times New Roman" w:hAnsi="Times New Roman" w:cs="Times New Roman"/>
          <w:i/>
          <w:sz w:val="24"/>
          <w:szCs w:val="24"/>
        </w:rPr>
        <w:t>.</w:t>
      </w:r>
      <w:r>
        <w:rPr>
          <w:rFonts w:ascii="Times New Roman" w:hAnsi="Times New Roman" w:cs="Times New Roman"/>
          <w:i/>
          <w:sz w:val="24"/>
          <w:szCs w:val="24"/>
        </w:rPr>
        <w:t xml:space="preserve">  </w:t>
      </w:r>
      <w:r w:rsidRPr="00E81460">
        <w:rPr>
          <w:rFonts w:ascii="Times New Roman" w:hAnsi="Times New Roman" w:cs="Times New Roman"/>
          <w:sz w:val="24"/>
          <w:szCs w:val="24"/>
          <w:u w:val="single"/>
        </w:rPr>
        <w:t>Holanda se prepara para pasar del bienestar a la solidaridad ciudadana</w:t>
      </w:r>
      <w:r>
        <w:rPr>
          <w:rFonts w:ascii="Times New Roman" w:hAnsi="Times New Roman" w:cs="Times New Roman"/>
          <w:sz w:val="24"/>
          <w:szCs w:val="24"/>
        </w:rPr>
        <w:t xml:space="preserve"> (El País - </w:t>
      </w:r>
      <w:r w:rsidRPr="000B043B">
        <w:rPr>
          <w:rFonts w:ascii="Times New Roman" w:hAnsi="Times New Roman" w:cs="Times New Roman"/>
          <w:b/>
          <w:sz w:val="24"/>
          <w:szCs w:val="24"/>
        </w:rPr>
        <w:t>21/9/13</w:t>
      </w:r>
      <w:r>
        <w:rPr>
          <w:rFonts w:ascii="Times New Roman" w:hAnsi="Times New Roman" w:cs="Times New Roman"/>
          <w:sz w:val="24"/>
          <w:szCs w:val="24"/>
        </w:rPr>
        <w:t>)</w:t>
      </w:r>
    </w:p>
    <w:p w:rsidR="00BB7B36" w:rsidRPr="00D80328" w:rsidRDefault="00BB7B36" w:rsidP="00BB7B36">
      <w:pPr>
        <w:jc w:val="both"/>
        <w:rPr>
          <w:rFonts w:ascii="Times New Roman" w:hAnsi="Times New Roman" w:cs="Times New Roman"/>
          <w:sz w:val="24"/>
          <w:szCs w:val="24"/>
        </w:rPr>
      </w:pPr>
      <w:r w:rsidRPr="00D80328">
        <w:rPr>
          <w:rFonts w:ascii="Times New Roman" w:hAnsi="Times New Roman" w:cs="Times New Roman"/>
          <w:sz w:val="24"/>
          <w:szCs w:val="24"/>
        </w:rPr>
        <w:t>La transición no será fácil. El Gobierno de centro izquierda tendrá que pactar con la oposición para sacar adelante un ajuste (6.000 millones de euros añadidos a los 46.000 millones aprobados desde 2010) que afectará sobre todo a los pensionistas, y reducirá las subvenciones para familias con niños pequeños. Estas últimas varían en función de los ingresos y el número de hijos, y facilitan el pago de las guarderías. Pero la mayor revolución no será contable. Hasta que la recesión y el paro asomaron con fuerza, el Estado ha gestionado la protección social de forma generosa (los subsidios abarcan a la prole menor de edad, residente en el extranjero, de los padres inmigrantes asentados en Holanda). A cambio de pagar sus seguros e impuestos, el contribuyente lo tiene todo regulado.</w:t>
      </w:r>
    </w:p>
    <w:p w:rsidR="00BB7B36" w:rsidRPr="00D80328" w:rsidRDefault="00BB7B36" w:rsidP="00BB7B36">
      <w:pPr>
        <w:jc w:val="both"/>
        <w:rPr>
          <w:rFonts w:ascii="Times New Roman" w:hAnsi="Times New Roman" w:cs="Times New Roman"/>
          <w:sz w:val="24"/>
          <w:szCs w:val="24"/>
        </w:rPr>
      </w:pPr>
      <w:r w:rsidRPr="00D80328">
        <w:rPr>
          <w:rFonts w:ascii="Times New Roman" w:hAnsi="Times New Roman" w:cs="Times New Roman"/>
          <w:sz w:val="24"/>
          <w:szCs w:val="24"/>
        </w:rPr>
        <w:t>Es lo que Sadik Harchaoui, presidente del Consejo para el Desarrollo Social, órgano asesor del Gobierno, denomina “solidaridad indirecta”. “Al estar todo cubierto, ha subido el estándar de vida y la sensación de felicidad. Pero este sistema es anónimo y ha generado a su vez individualismo. Ha erosionado el papel de los ciudadanos en la sociedad. Porque la solidaridad directa, la del apoyo mutuo, tiene un fuerte componente emocional. Ahora que ya no hay dinero público como antes, el Ejecutivo apela justamente a la solidaridad directa”, dice.</w:t>
      </w:r>
    </w:p>
    <w:p w:rsidR="00BB7B36" w:rsidRPr="00D80328" w:rsidRDefault="00BB7B36" w:rsidP="00BB7B36">
      <w:pPr>
        <w:jc w:val="both"/>
        <w:rPr>
          <w:rFonts w:ascii="Times New Roman" w:hAnsi="Times New Roman" w:cs="Times New Roman"/>
          <w:sz w:val="24"/>
          <w:szCs w:val="24"/>
        </w:rPr>
      </w:pPr>
      <w:r w:rsidRPr="00D80328">
        <w:rPr>
          <w:rFonts w:ascii="Times New Roman" w:hAnsi="Times New Roman" w:cs="Times New Roman"/>
          <w:sz w:val="24"/>
          <w:szCs w:val="24"/>
        </w:rPr>
        <w:lastRenderedPageBreak/>
        <w:t>Con parientes lejanos, Femke no sabe qué será de ella. ¿Perderá la asistenta que le ayuda a moverse para evitar problemas circulatorios? ¿Irá menos horas a la semana, o será un grupo de vecinas, con o sin apoyo municipal, el que se cubra sus necesidades? Ella entiende que la crisis manda, pero pregunta quién pagará por los servicios.</w:t>
      </w:r>
    </w:p>
    <w:p w:rsidR="00BB7B36" w:rsidRPr="00D80328" w:rsidRDefault="00BB7B36" w:rsidP="00BB7B36">
      <w:pPr>
        <w:jc w:val="both"/>
        <w:rPr>
          <w:rFonts w:ascii="Times New Roman" w:hAnsi="Times New Roman" w:cs="Times New Roman"/>
          <w:sz w:val="24"/>
          <w:szCs w:val="24"/>
        </w:rPr>
      </w:pPr>
      <w:r w:rsidRPr="00D80328">
        <w:rPr>
          <w:rFonts w:ascii="Times New Roman" w:hAnsi="Times New Roman" w:cs="Times New Roman"/>
          <w:sz w:val="24"/>
          <w:szCs w:val="24"/>
        </w:rPr>
        <w:t>“El Estado ha gestionado el bienestar en las últimas décadas y su obligación era evitar las diferencias. Las iniciativas cívicas no son nuevas, pero en cuanto entren en juego fondos privados y locales, puede haber desigualdades. Y los holandeses no están acostumbrados a ello. Por eso es fundamental organizar bien el cambio de mentalidad propuesto. Pasar de recibir un subsidio, sin más, a la solidaridad directa, no es fácil”, añade Harchaoui. Wim y Mariette Brugge, ambos de 36 años, con dos niños de cuatro y dos años, son el prototipo de ciudadano capaz de adaptarse al nuevo orden. Su generación ha ejercido con naturalidad la solidaridad del voluntariado y las campañas humanitarias, buen dato. Sus dudas, sin embargo, son parecidas a las de Femke. Tenían a los dos pequeños en la guardería tres días, y ahora solo va el mayor. Sus padres viven en otra región, y Mariette, que trabaja en una tienda de modas, ha visto reducida su jornada a los fines de semana por la crisis. Wim es taxista sin coche propio y el domingo no circula, así que una vecina se ocupa el sábado de los niños. “Es un momento de incertidumbre. Han subido el precio de la guardería porque hay menos niños. Ya veremos qué pasa”, dicen, desde el comedor de su piso en Haarlem.</w:t>
      </w:r>
    </w:p>
    <w:p w:rsidR="00BB7B36" w:rsidRPr="00D80328" w:rsidRDefault="00BB7B36" w:rsidP="00BB7B36">
      <w:pPr>
        <w:jc w:val="both"/>
        <w:rPr>
          <w:rFonts w:ascii="Times New Roman" w:hAnsi="Times New Roman" w:cs="Times New Roman"/>
          <w:sz w:val="24"/>
          <w:szCs w:val="24"/>
        </w:rPr>
      </w:pPr>
      <w:r w:rsidRPr="00D80328">
        <w:rPr>
          <w:rFonts w:ascii="Times New Roman" w:hAnsi="Times New Roman" w:cs="Times New Roman"/>
          <w:sz w:val="24"/>
          <w:szCs w:val="24"/>
        </w:rPr>
        <w:t>“Todos sabemos que hay que recortar gastos sociales. Cómo lograrlo es otra cosa”, asegura Paul Schnabel, sociólogo y exdirector de la Oficina Central de Planificación económica, asesora por excelencia del Gobierno. “Este Gabinete es poco popular, pero a gran parte de la oposición no le conviene que caiga. Quedaría todo en manos de los que suben ahora: la derecha (del líder xenófobo) Geert Wilders, el socialismo radical y el partido de los pensionistas. Ninguno está capacitado para gobernar”, afirma. Schnabel subraya la importancia del Estado de bienestar y el rechazo que genera su merma, pero recuerda que “el PIB no sube, la recesión se alarga ya cinco años, y no hay dinero para pagar; la gente tendrá que adaptarse”. Harchaoui está de acuerdo, aunque intenta suavizar el golpe en la despedida: “Si el Estado traslada sus tareas de protección social a los particulares, tal vez podrían bajarse algo los impuestos”, sugiere.</w:t>
      </w:r>
    </w:p>
    <w:p w:rsidR="00BB7B36" w:rsidRPr="000803A1" w:rsidRDefault="00BB7B36" w:rsidP="00BB7B36">
      <w:pPr>
        <w:pStyle w:val="NormalWeb"/>
        <w:jc w:val="both"/>
      </w:pPr>
      <w:r>
        <w:rPr>
          <w:i/>
        </w:rPr>
        <w:t>“</w:t>
      </w:r>
      <w:r w:rsidRPr="000803A1">
        <w:rPr>
          <w:i/>
        </w:rPr>
        <w:t>Es uno de los países que mejor representa el Estado de bienestar europeo, ese sistema de seguridad social estatal promovido a partir de la posguerra que garantizó altos niveles de equidad en el viejo continente. Pero el nuevo rey de Holanda, Guillermo Alejandro, manifestó en su primer discurso ante el Parlamento que el “Estado de bienestar clásico de la segunda mitad del siglo XX está terminado” y debe ser sustituido por “una sociedad participativa”</w:t>
      </w:r>
      <w:r>
        <w:rPr>
          <w:i/>
        </w:rPr>
        <w:t xml:space="preserve">… </w:t>
      </w:r>
      <w:r w:rsidRPr="00311F69">
        <w:rPr>
          <w:u w:val="single"/>
        </w:rPr>
        <w:t>El adiós de Holanda a uno de sus pilares: el Estado de bienestar</w:t>
      </w:r>
      <w:r>
        <w:t xml:space="preserve"> (BBCMundo - </w:t>
      </w:r>
      <w:r w:rsidRPr="00311F69">
        <w:rPr>
          <w:b/>
        </w:rPr>
        <w:t>30/9/13</w:t>
      </w:r>
      <w:r>
        <w:t>)</w:t>
      </w:r>
    </w:p>
    <w:p w:rsidR="00BB7B36" w:rsidRDefault="00BB7B36" w:rsidP="00BB7B36">
      <w:pPr>
        <w:pStyle w:val="NormalWeb"/>
        <w:jc w:val="both"/>
      </w:pPr>
      <w:r>
        <w:t xml:space="preserve">Obviamente, el monarca no hablaba a título personal sino en representación del gobierno de coalición entre liberales (derecha) y laboristas (centro-izquierda) que ganó las elecciones a fines del año pasado con un mensaje de austeridad. </w:t>
      </w:r>
    </w:p>
    <w:p w:rsidR="00BB7B36" w:rsidRPr="00E46126" w:rsidRDefault="00BB7B36" w:rsidP="00BB7B36">
      <w:pPr>
        <w:pStyle w:val="NormalWeb"/>
        <w:jc w:val="both"/>
      </w:pPr>
      <w:r w:rsidRPr="00E46126">
        <w:lastRenderedPageBreak/>
        <w:t>Según Diederik Boomsma, de la conservadora Fundación Edmund Burke en Holanda, el mensaje apunta a un cambio impostergable. “El Estado no puede ocuparse de todo. Cuando el gobierno habla de una sociedad participativa está promoviendo que una red de ciudadanos se haga cargo de cosas que hasta ahora suministraba el Estado. Si alguien está desempleado, su red familiar y de amigos pueden darle los contactos para encontrar trabajo en vez de esperar que lo haga el Estado con impuestos que pagamos todos y afectan el crecimiento económico”, le dice Boomsma a BBC Mundo.</w:t>
      </w:r>
    </w:p>
    <w:p w:rsidR="00BB7B36" w:rsidRPr="00E46126" w:rsidRDefault="00BB7B36" w:rsidP="00BB7B36">
      <w:pPr>
        <w:pStyle w:val="NormalWeb"/>
        <w:jc w:val="both"/>
      </w:pPr>
      <w:r w:rsidRPr="00E46126">
        <w:t>El Estado de Bienestar se consolidó en Europa como un intento de garantizar que el conjunto de la sociedad, incluidos los más pobres, tuviera acceso a servicios básicos como salud, educación, pensión y seguro de desempleo, todo financiado con impuestos. La actual crisis sobrevino cuando a la carga impositiva se le añadió la profunda crisis económica que sacudió a Europa a partir del estallido financiero mundial de 2008. Las anécdotas de excesos en el Estado de bienestar, siempre jugosas, se multiplicaron por los medios de comunicación y los partidos políticos holandeses que reivindicaban la austeridad.</w:t>
      </w:r>
    </w:p>
    <w:p w:rsidR="00BB7B36" w:rsidRPr="00E46126" w:rsidRDefault="00BB7B36" w:rsidP="00BB7B36">
      <w:pPr>
        <w:pStyle w:val="NormalWeb"/>
        <w:jc w:val="both"/>
      </w:pPr>
      <w:r w:rsidRPr="00E46126">
        <w:t>Una de las más citadas se refiere a los que cobran el seguro de desempleo, aunque no lo necesitan o trabajan en negro. “El Estado de bienestar corrompe a la gente que recibe los beneficios porque los hace dependientes de esta ayuda, al Estado porque crea una burocracia gigantesca y a la sociedad porque nadie hace nada por el resto”, comenta Boosma.</w:t>
      </w:r>
    </w:p>
    <w:p w:rsidR="00BB7B36" w:rsidRPr="00E46126" w:rsidRDefault="00BB7B36" w:rsidP="00BB7B36">
      <w:pPr>
        <w:pStyle w:val="NormalWeb"/>
        <w:jc w:val="both"/>
      </w:pPr>
      <w:r w:rsidRPr="00E46126">
        <w:t>El primer ministro Mark Rutte reprendió recientemente a los holandeses que trataban al Estado como una “maquinita de la felicidad”. Según los críticos, uno de los más acabados ejemplos de esta “maquinita” es la propuesta del socialista Alderman Peter Verschuren en 2008 para que se aumentara la ayuda estatal de modo que los beneficiarios pudieran reemplazar sus viejos televisores por los más modernos de pantalla plana.</w:t>
      </w:r>
    </w:p>
    <w:p w:rsidR="00BB7B36" w:rsidRPr="00E46126" w:rsidRDefault="00BB7B36" w:rsidP="00BB7B36">
      <w:pPr>
        <w:pStyle w:val="NormalWeb"/>
        <w:jc w:val="both"/>
      </w:pPr>
      <w:r w:rsidRPr="00E46126">
        <w:t>Desde la coalición gubernamental el Partido Laborista alerta que no se trata de abolir el sistema sino de mejorarlo, como le indica a BBC Mundo René Cuperus, de la fundación laborista Wiardi Beckman Stichting.  “La necesidad de reforma no viene sólo de ahora. En los 90 había un millón de receptores del beneficio de invalidez para un país con una población de 16 millones de personas. Esto se ajustó y cambió. Algo similar se está haciendo ahora”, añade.</w:t>
      </w:r>
    </w:p>
    <w:p w:rsidR="00BB7B36" w:rsidRPr="00E46126" w:rsidRDefault="00BB7B36" w:rsidP="00BB7B36">
      <w:pPr>
        <w:pStyle w:val="NormalWeb"/>
        <w:jc w:val="both"/>
      </w:pPr>
      <w:r w:rsidRPr="00E46126">
        <w:t>Pero si bien los excesos existen, el discurso del rey no cayó del cielo. Este septiembre (2013) el parlamento de Holanda se embarca en una incierta batalla para la aprobación de un ajuste de 6.000 millones de euros, que incluye una reducción de los subsidios de salud, las pensiones y las ayudas por desempleo. Con la crisis de la deuda soberana europea desatada por Grecia en 2010, Holanda se ha comportado como el alumno modelo de la Austeridad recortando el gasto público por más de 46.000 millones de euros. Lejos de subsanar el déficit fiscal o volver al crecimiento, hoy atraviesa la tercera recesión en tres años.</w:t>
      </w:r>
    </w:p>
    <w:p w:rsidR="00BB7B36" w:rsidRPr="00E46126" w:rsidRDefault="00BB7B36" w:rsidP="00BB7B36">
      <w:pPr>
        <w:pStyle w:val="NormalWeb"/>
        <w:jc w:val="both"/>
      </w:pPr>
      <w:r w:rsidRPr="00E46126">
        <w:t>El círculo vicioso es típico de los programas de ajuste. Al recortar el gasto cae la actividad económica, se recauda menos (por menor consumo y producción) y se gasta más (por creciente desempleo), todo lo cual termina con un agujero mayor de las cuentas fiscales.</w:t>
      </w:r>
    </w:p>
    <w:p w:rsidR="00BB7B36" w:rsidRPr="00E46126" w:rsidRDefault="00BB7B36" w:rsidP="00BB7B36">
      <w:pPr>
        <w:pStyle w:val="NormalWeb"/>
        <w:jc w:val="both"/>
      </w:pPr>
      <w:r w:rsidRPr="00E46126">
        <w:lastRenderedPageBreak/>
        <w:t>El líder del Partido Socialista, Emile Roemer, advirtió que en realidad no se busca modernizar el Estado de bienestar, sino cerrar las cuentas. “Es una política destructiva, una ofensa para la gente que no da esperanza alguna”, agregó. Según los socialistas, la sociedad participativa que promueve el gobierno es un intento de hacer creer que los servicios que presta el Estado no van a desaparecer, sino que van a ser suministrados por organizaciones caritativas, ONG y el mismo tejido familiar o de relaciones sociales.</w:t>
      </w:r>
    </w:p>
    <w:p w:rsidR="00BB7B36" w:rsidRPr="00E46126" w:rsidRDefault="00BB7B36" w:rsidP="00BB7B36">
      <w:pPr>
        <w:pStyle w:val="NormalWeb"/>
        <w:jc w:val="both"/>
      </w:pPr>
      <w:r w:rsidRPr="00E46126">
        <w:t xml:space="preserve">Esta reforma del Estado de bienestar mediante el uso del sector privado no se limita a Holanda. En Reino Unido la coalición conservadora-liberal demócrata de David Cameron ha impulsado un concepto similar -la Big Society- para cubrir los huecos abiertos por su programa de recortes, uno de los más radicales de toda la Unión Europea. </w:t>
      </w:r>
    </w:p>
    <w:p w:rsidR="00BB7B36" w:rsidRPr="00E46126" w:rsidRDefault="00BB7B36" w:rsidP="00BB7B36">
      <w:pPr>
        <w:pStyle w:val="NormalWeb"/>
        <w:jc w:val="both"/>
      </w:pPr>
      <w:r w:rsidRPr="00E46126">
        <w:t xml:space="preserve">Según el profesor de la London School of Economics, Howard Glennester, el objetivo de fondo es deshacerse del Estado de bienestar. </w:t>
      </w:r>
    </w:p>
    <w:p w:rsidR="00BB7B36" w:rsidRPr="00E46126" w:rsidRDefault="00BB7B36" w:rsidP="00BB7B36">
      <w:pPr>
        <w:pStyle w:val="NormalWeb"/>
        <w:jc w:val="both"/>
      </w:pPr>
      <w:r w:rsidRPr="00E46126">
        <w:t>“Las organizaciones caritativas son pequeñas, funcionan con gente que trabaja medio tiempo de manera voluntaria y no tienen los fondos necesarios para reemplazar al Estado”, le dice a BBC Mundo. “Lo que hay detrás es un proyecto político de desmantelamiento del Estado benefactor basado en la idea de que el estado hace todo mal y que las cosas funcionaban mejor en un pasado idílico, el siglo XIX, cuando las organizaciones caritativas tenían que cubrir esas necesidades sociales como podían. La realidad es que históricamente el Estado benefactor surgió por las deficiencias de este modelo”.</w:t>
      </w:r>
    </w:p>
    <w:p w:rsidR="00BB7B36" w:rsidRPr="00E46126" w:rsidRDefault="00BB7B36" w:rsidP="00BB7B36">
      <w:pPr>
        <w:pStyle w:val="NormalWeb"/>
        <w:jc w:val="both"/>
      </w:pPr>
      <w:r w:rsidRPr="00E46126">
        <w:t>Autor de History of Social Policy Since the Second World War (“Historia de las políticas sociales desde la Segunda Guerra Mundial”), Glennester explica que el Estado de bienestar no ha dejado de cambiar y adaptarse.  “No existe un modelo clásico inmóvil como plantea Holanda. El modelo se ha adaptado todo el tiempo para lidiar con cambios demográficos o problemas como el fraude o la dependencia que son usados para denigrar el sistema cuando, en realidad, son casos aislados sin incidencia real en el conjunto”, dice. “En este sentido las organizaciones caritativas pueden tener un papel auxiliar para una diversificación administrativa del sistema, pero no para sustituirlo o justificar recortes”.</w:t>
      </w:r>
    </w:p>
    <w:p w:rsidR="00BB7B36" w:rsidRDefault="00BB7B36" w:rsidP="00BB7B36">
      <w:pPr>
        <w:jc w:val="both"/>
        <w:rPr>
          <w:rFonts w:ascii="Times New Roman" w:hAnsi="Times New Roman" w:cs="Times New Roman"/>
          <w:b/>
          <w:sz w:val="24"/>
          <w:szCs w:val="24"/>
        </w:rPr>
      </w:pPr>
      <w:r>
        <w:rPr>
          <w:rFonts w:ascii="Times New Roman" w:hAnsi="Times New Roman" w:cs="Times New Roman"/>
          <w:b/>
          <w:sz w:val="24"/>
          <w:szCs w:val="24"/>
        </w:rPr>
        <w:t xml:space="preserve">1.3 - </w:t>
      </w:r>
      <w:r w:rsidRPr="00683E51">
        <w:rPr>
          <w:rFonts w:ascii="Times New Roman" w:hAnsi="Times New Roman" w:cs="Times New Roman"/>
          <w:b/>
          <w:sz w:val="24"/>
          <w:szCs w:val="24"/>
        </w:rPr>
        <w:t>Análisis de un nuevo enfoque</w:t>
      </w:r>
      <w:r>
        <w:rPr>
          <w:rFonts w:ascii="Times New Roman" w:hAnsi="Times New Roman" w:cs="Times New Roman"/>
          <w:b/>
          <w:sz w:val="24"/>
          <w:szCs w:val="24"/>
        </w:rPr>
        <w:t xml:space="preserve"> (el fin de la “maquinita de la felicidad”)</w:t>
      </w:r>
    </w:p>
    <w:p w:rsidR="00BB7B36" w:rsidRPr="00C67263" w:rsidRDefault="00BB7B36" w:rsidP="00BB7B36">
      <w:pPr>
        <w:jc w:val="both"/>
        <w:rPr>
          <w:rFonts w:ascii="Times New Roman" w:hAnsi="Times New Roman" w:cs="Times New Roman"/>
          <w:sz w:val="24"/>
          <w:szCs w:val="24"/>
        </w:rPr>
      </w:pPr>
      <w:r>
        <w:rPr>
          <w:rFonts w:ascii="Times New Roman" w:hAnsi="Times New Roman" w:cs="Times New Roman"/>
          <w:sz w:val="24"/>
          <w:szCs w:val="24"/>
        </w:rPr>
        <w:t xml:space="preserve">- </w:t>
      </w:r>
      <w:r w:rsidRPr="00C67263">
        <w:rPr>
          <w:rFonts w:ascii="Times New Roman" w:hAnsi="Times New Roman" w:cs="Times New Roman"/>
          <w:sz w:val="24"/>
          <w:szCs w:val="24"/>
          <w:u w:val="single"/>
        </w:rPr>
        <w:t>¿Ha muerto el Estado del Bienestar?</w:t>
      </w:r>
      <w:r>
        <w:rPr>
          <w:rFonts w:ascii="Times New Roman" w:hAnsi="Times New Roman" w:cs="Times New Roman"/>
          <w:sz w:val="24"/>
          <w:szCs w:val="24"/>
        </w:rPr>
        <w:t xml:space="preserve"> (Libertad Digital - </w:t>
      </w:r>
      <w:r w:rsidRPr="00C67263">
        <w:rPr>
          <w:rFonts w:ascii="Times New Roman" w:hAnsi="Times New Roman" w:cs="Times New Roman"/>
          <w:b/>
          <w:sz w:val="24"/>
          <w:szCs w:val="24"/>
        </w:rPr>
        <w:t>21/9/13</w:t>
      </w:r>
      <w:r>
        <w:rPr>
          <w:rFonts w:ascii="Times New Roman" w:hAnsi="Times New Roman" w:cs="Times New Roman"/>
          <w:sz w:val="24"/>
          <w:szCs w:val="24"/>
        </w:rPr>
        <w:t>) Lectura recomendada</w:t>
      </w:r>
    </w:p>
    <w:p w:rsidR="00BB7B36" w:rsidRPr="0003416D" w:rsidRDefault="00BB7B36" w:rsidP="00BB7B36">
      <w:pPr>
        <w:jc w:val="both"/>
        <w:rPr>
          <w:rFonts w:ascii="Times New Roman" w:hAnsi="Times New Roman" w:cs="Times New Roman"/>
          <w:color w:val="FF0000"/>
          <w:sz w:val="24"/>
          <w:szCs w:val="24"/>
        </w:rPr>
      </w:pPr>
      <w:r w:rsidRPr="0003416D">
        <w:rPr>
          <w:rFonts w:ascii="Times New Roman" w:hAnsi="Times New Roman" w:cs="Times New Roman"/>
          <w:color w:val="FF0000"/>
          <w:sz w:val="24"/>
          <w:szCs w:val="24"/>
        </w:rPr>
        <w:t>Europa se enfrenta al reto demográfico. Los expertos se preguntan cómo financiar unos servicios públicos más caros sin ahuyentar al contribuyente.</w:t>
      </w:r>
    </w:p>
    <w:p w:rsidR="00BB7B36" w:rsidRPr="00C67263" w:rsidRDefault="00BB7B36" w:rsidP="00BB7B36">
      <w:pPr>
        <w:jc w:val="both"/>
        <w:rPr>
          <w:rFonts w:ascii="Times New Roman" w:hAnsi="Times New Roman" w:cs="Times New Roman"/>
          <w:sz w:val="24"/>
          <w:szCs w:val="24"/>
        </w:rPr>
      </w:pPr>
      <w:r>
        <w:rPr>
          <w:rFonts w:ascii="Times New Roman" w:hAnsi="Times New Roman" w:cs="Times New Roman"/>
          <w:sz w:val="24"/>
          <w:szCs w:val="24"/>
        </w:rPr>
        <w:t>(Por Domingo Soriano)</w:t>
      </w:r>
    </w:p>
    <w:p w:rsidR="00BB7B36" w:rsidRPr="0003416D" w:rsidRDefault="00BB7B36" w:rsidP="00BB7B36">
      <w:pPr>
        <w:jc w:val="both"/>
        <w:rPr>
          <w:rFonts w:ascii="Times New Roman" w:hAnsi="Times New Roman" w:cs="Times New Roman"/>
          <w:color w:val="FF0000"/>
          <w:sz w:val="24"/>
          <w:szCs w:val="24"/>
          <w:u w:val="single"/>
        </w:rPr>
      </w:pPr>
      <w:r w:rsidRPr="0003416D">
        <w:rPr>
          <w:rFonts w:ascii="Times New Roman" w:hAnsi="Times New Roman" w:cs="Times New Roman"/>
          <w:color w:val="FF0000"/>
          <w:sz w:val="24"/>
          <w:szCs w:val="24"/>
          <w:u w:val="single"/>
        </w:rPr>
        <w:t>El paso hacia una sociedad participativa es particularmente notable en la seguridad social y en los que necesiten cuidados de larga duración. Es precisamente en esos sectores donde el clásico Estado del bienestar de la segunda mitad del siglo XX ha producido sistemas que en su forma actual ni son sostenibles ni están adaptados a las expectativas de los ciudadanos.</w:t>
      </w:r>
    </w:p>
    <w:p w:rsidR="00BB7B36" w:rsidRPr="0003416D" w:rsidRDefault="00BB7B36" w:rsidP="00BB7B36">
      <w:pPr>
        <w:jc w:val="both"/>
        <w:rPr>
          <w:rFonts w:ascii="Times New Roman" w:hAnsi="Times New Roman" w:cs="Times New Roman"/>
          <w:color w:val="FF0000"/>
          <w:sz w:val="24"/>
          <w:szCs w:val="24"/>
          <w:u w:val="single"/>
        </w:rPr>
      </w:pPr>
      <w:r w:rsidRPr="0003416D">
        <w:rPr>
          <w:rFonts w:ascii="Times New Roman" w:hAnsi="Times New Roman" w:cs="Times New Roman"/>
          <w:sz w:val="24"/>
          <w:szCs w:val="24"/>
          <w:u w:val="single"/>
        </w:rPr>
        <w:lastRenderedPageBreak/>
        <w:t>Con estas palabras, leídas por su nuevo rey, Guillermo Alejandro I, pero escritas por el Gobierno liberal-socialdemócrata, Holanda se ponía este martes a la cabeza de un debate que desde hace años recorre Europa</w:t>
      </w:r>
      <w:r w:rsidRPr="00C67263">
        <w:rPr>
          <w:rFonts w:ascii="Times New Roman" w:hAnsi="Times New Roman" w:cs="Times New Roman"/>
          <w:sz w:val="24"/>
          <w:szCs w:val="24"/>
        </w:rPr>
        <w:t xml:space="preserve">: </w:t>
      </w:r>
      <w:r w:rsidRPr="0003416D">
        <w:rPr>
          <w:rFonts w:ascii="Times New Roman" w:hAnsi="Times New Roman" w:cs="Times New Roman"/>
          <w:color w:val="FF0000"/>
          <w:sz w:val="24"/>
          <w:szCs w:val="24"/>
          <w:u w:val="single"/>
        </w:rPr>
        <w:t>¿cómo mantener, si es que es posible, el Estado del Bienestar creado tras la Segunda Guerra Mundial?</w:t>
      </w:r>
    </w:p>
    <w:p w:rsidR="00BB7B36" w:rsidRPr="0003416D" w:rsidRDefault="00BB7B36" w:rsidP="00BB7B36">
      <w:pPr>
        <w:jc w:val="both"/>
        <w:rPr>
          <w:rFonts w:ascii="Times New Roman" w:hAnsi="Times New Roman" w:cs="Times New Roman"/>
          <w:color w:val="FF0000"/>
          <w:sz w:val="24"/>
          <w:szCs w:val="24"/>
          <w:u w:val="single"/>
        </w:rPr>
      </w:pPr>
      <w:r w:rsidRPr="0003416D">
        <w:rPr>
          <w:rFonts w:ascii="Times New Roman" w:hAnsi="Times New Roman" w:cs="Times New Roman"/>
          <w:color w:val="FF0000"/>
          <w:sz w:val="24"/>
          <w:szCs w:val="24"/>
          <w:u w:val="single"/>
        </w:rPr>
        <w:t>La crisis económica ha puesto las cuentas públicas de un buen número de países de la UE al borde del precipicio. Todo el mundo es consciente en los casos de España, Italia, Portugal o Grecia. Pero también en el norte de Europa existe preocupación por la sostenibilidad financiera de los servicios públicos y las prestaciones sociales. Dinamarca, Suecia, Finlandia o el Reino Unido llevan años (en algunos casos décadas) implementando reformas en pensiones, educación o sanidad.</w:t>
      </w:r>
    </w:p>
    <w:p w:rsidR="00BB7B36" w:rsidRPr="0003416D" w:rsidRDefault="00BB7B36" w:rsidP="00BB7B36">
      <w:pPr>
        <w:jc w:val="both"/>
        <w:rPr>
          <w:rFonts w:ascii="Times New Roman" w:hAnsi="Times New Roman" w:cs="Times New Roman"/>
          <w:sz w:val="24"/>
          <w:szCs w:val="24"/>
          <w:u w:val="single"/>
        </w:rPr>
      </w:pPr>
      <w:r w:rsidRPr="0003416D">
        <w:rPr>
          <w:rFonts w:ascii="Times New Roman" w:hAnsi="Times New Roman" w:cs="Times New Roman"/>
          <w:sz w:val="24"/>
          <w:szCs w:val="24"/>
          <w:u w:val="single"/>
        </w:rPr>
        <w:t>De esta manera, mientras en el sur de Europa los manifestantes claman por la elevación de la edad de jubilación, el copago sanitario o la reducción del número de funcionarios, a los contribuyentes alemanes o finlandeses, que han puesto el dinero para rescatar a los PIIGS, ya se les aplican estas medidas desde hace años.</w:t>
      </w:r>
    </w:p>
    <w:p w:rsidR="00BB7B36" w:rsidRPr="00C67263" w:rsidRDefault="00BB7B36" w:rsidP="00BB7B36">
      <w:pPr>
        <w:jc w:val="both"/>
        <w:rPr>
          <w:rFonts w:ascii="Times New Roman" w:hAnsi="Times New Roman" w:cs="Times New Roman"/>
          <w:sz w:val="24"/>
          <w:szCs w:val="24"/>
        </w:rPr>
      </w:pPr>
      <w:r>
        <w:rPr>
          <w:rFonts w:ascii="Times New Roman" w:hAnsi="Times New Roman" w:cs="Times New Roman"/>
          <w:sz w:val="24"/>
          <w:szCs w:val="24"/>
        </w:rPr>
        <w:t>“Abrir el melón”</w:t>
      </w:r>
    </w:p>
    <w:p w:rsidR="00BB7B36" w:rsidRPr="0003416D" w:rsidRDefault="00BB7B36" w:rsidP="00BB7B36">
      <w:pPr>
        <w:jc w:val="both"/>
        <w:rPr>
          <w:rFonts w:ascii="Times New Roman" w:hAnsi="Times New Roman" w:cs="Times New Roman"/>
          <w:color w:val="FF0000"/>
          <w:sz w:val="24"/>
          <w:szCs w:val="24"/>
          <w:u w:val="single"/>
        </w:rPr>
      </w:pPr>
      <w:r w:rsidRPr="0003416D">
        <w:rPr>
          <w:rFonts w:ascii="Times New Roman" w:hAnsi="Times New Roman" w:cs="Times New Roman"/>
          <w:color w:val="FF0000"/>
          <w:sz w:val="24"/>
          <w:szCs w:val="24"/>
          <w:u w:val="single"/>
        </w:rPr>
        <w:t>Ahora le toca el turno a Holanda, en una débil situación económica, de abrir el melón.</w:t>
      </w:r>
      <w:r w:rsidRPr="0003416D">
        <w:rPr>
          <w:rFonts w:ascii="Times New Roman" w:hAnsi="Times New Roman" w:cs="Times New Roman"/>
          <w:color w:val="FF0000"/>
          <w:sz w:val="24"/>
          <w:szCs w:val="24"/>
        </w:rPr>
        <w:t xml:space="preserve"> </w:t>
      </w:r>
      <w:r w:rsidRPr="00C67263">
        <w:rPr>
          <w:rFonts w:ascii="Times New Roman" w:hAnsi="Times New Roman" w:cs="Times New Roman"/>
          <w:sz w:val="24"/>
          <w:szCs w:val="24"/>
        </w:rPr>
        <w:t xml:space="preserve">No será sencillo. La oposición ya ha puesto el grito en el cielo. Y el Gobierno asegura que no es una elección sencilla, simplemente, es que no hay dinero. </w:t>
      </w:r>
      <w:r w:rsidRPr="0003416D">
        <w:rPr>
          <w:rFonts w:ascii="Times New Roman" w:hAnsi="Times New Roman" w:cs="Times New Roman"/>
          <w:color w:val="FF0000"/>
          <w:sz w:val="24"/>
          <w:szCs w:val="24"/>
          <w:u w:val="single"/>
        </w:rPr>
        <w:t>El diario progresista De Volkskrant encabezaba su portada del viernes c</w:t>
      </w:r>
      <w:r>
        <w:rPr>
          <w:rFonts w:ascii="Times New Roman" w:hAnsi="Times New Roman" w:cs="Times New Roman"/>
          <w:color w:val="FF0000"/>
          <w:sz w:val="24"/>
          <w:szCs w:val="24"/>
          <w:u w:val="single"/>
        </w:rPr>
        <w:t>on una contundente afirmación: “</w:t>
      </w:r>
      <w:r w:rsidRPr="0003416D">
        <w:rPr>
          <w:rFonts w:ascii="Times New Roman" w:hAnsi="Times New Roman" w:cs="Times New Roman"/>
          <w:color w:val="FF0000"/>
          <w:sz w:val="24"/>
          <w:szCs w:val="24"/>
          <w:u w:val="single"/>
        </w:rPr>
        <w:t>El Estado del Bienestar ha muerto,</w:t>
      </w:r>
      <w:r>
        <w:rPr>
          <w:rFonts w:ascii="Times New Roman" w:hAnsi="Times New Roman" w:cs="Times New Roman"/>
          <w:color w:val="FF0000"/>
          <w:sz w:val="24"/>
          <w:szCs w:val="24"/>
          <w:u w:val="single"/>
        </w:rPr>
        <w:t xml:space="preserve"> viva la sociedad participativa”</w:t>
      </w:r>
      <w:r w:rsidRPr="0003416D">
        <w:rPr>
          <w:rFonts w:ascii="Times New Roman" w:hAnsi="Times New Roman" w:cs="Times New Roman"/>
          <w:color w:val="FF0000"/>
          <w:sz w:val="24"/>
          <w:szCs w:val="24"/>
          <w:u w:val="single"/>
        </w:rPr>
        <w:t>. ¿Será verdad?</w:t>
      </w:r>
    </w:p>
    <w:p w:rsidR="00BB7B36" w:rsidRPr="0003416D" w:rsidRDefault="00BB7B36" w:rsidP="00BB7B36">
      <w:pPr>
        <w:jc w:val="both"/>
        <w:rPr>
          <w:rFonts w:ascii="Times New Roman" w:hAnsi="Times New Roman" w:cs="Times New Roman"/>
          <w:sz w:val="24"/>
          <w:szCs w:val="24"/>
          <w:u w:val="single"/>
        </w:rPr>
      </w:pPr>
      <w:r w:rsidRPr="0003416D">
        <w:rPr>
          <w:rFonts w:ascii="Times New Roman" w:hAnsi="Times New Roman" w:cs="Times New Roman"/>
          <w:sz w:val="24"/>
          <w:szCs w:val="24"/>
          <w:u w:val="single"/>
        </w:rPr>
        <w:t>Mucho antes de la caída de Lehman Brothers en septiembre de 2008, la sostenibilidad del Estado del Bienestar europeo era puesta en duda por numerosos expertos. El modelo, nacido a comienzos del siglo XX y llevado a su máxima expresión tras la Segunda Guerra Mundial, daba muestras de agotamiento.</w:t>
      </w:r>
    </w:p>
    <w:p w:rsidR="00BB7B36" w:rsidRPr="00C67263" w:rsidRDefault="00BB7B36" w:rsidP="00BB7B36">
      <w:pPr>
        <w:jc w:val="both"/>
        <w:rPr>
          <w:rFonts w:ascii="Times New Roman" w:hAnsi="Times New Roman" w:cs="Times New Roman"/>
          <w:sz w:val="24"/>
          <w:szCs w:val="24"/>
        </w:rPr>
      </w:pPr>
      <w:r>
        <w:rPr>
          <w:rFonts w:ascii="Times New Roman" w:hAnsi="Times New Roman" w:cs="Times New Roman"/>
          <w:sz w:val="24"/>
          <w:szCs w:val="24"/>
        </w:rPr>
        <w:t>Más beneficiarios y más caros</w:t>
      </w:r>
    </w:p>
    <w:p w:rsidR="00BB7B36" w:rsidRPr="00031800" w:rsidRDefault="00BB7B36" w:rsidP="00BB7B36">
      <w:pPr>
        <w:jc w:val="both"/>
        <w:rPr>
          <w:rFonts w:ascii="Times New Roman" w:hAnsi="Times New Roman" w:cs="Times New Roman"/>
          <w:sz w:val="24"/>
          <w:szCs w:val="24"/>
          <w:u w:val="single"/>
        </w:rPr>
      </w:pPr>
      <w:r w:rsidRPr="00C67263">
        <w:rPr>
          <w:rFonts w:ascii="Times New Roman" w:hAnsi="Times New Roman" w:cs="Times New Roman"/>
          <w:sz w:val="24"/>
          <w:szCs w:val="24"/>
        </w:rPr>
        <w:t xml:space="preserve">Cuando se habla del envejecimiento de la población europea y del coste que tendrá, se piensa siempre en las pensiones; pero no es éste el único ámbito en el que el cambio de la pirámide poblacional tendrá consecuencias. </w:t>
      </w:r>
      <w:r w:rsidRPr="00031800">
        <w:rPr>
          <w:rFonts w:ascii="Times New Roman" w:hAnsi="Times New Roman" w:cs="Times New Roman"/>
          <w:sz w:val="24"/>
          <w:szCs w:val="24"/>
          <w:u w:val="single"/>
        </w:rPr>
        <w:t>Se espera que en 2050 más del 25% de los ciudadanos europeos tengan más de 65 años. Esto quiere decir menos personas trabajando y más recibiendo prestaciones sociales cada vez más caras.</w:t>
      </w:r>
    </w:p>
    <w:p w:rsidR="00BB7B36" w:rsidRPr="00031800" w:rsidRDefault="00BB7B36" w:rsidP="00BB7B36">
      <w:pPr>
        <w:jc w:val="both"/>
        <w:rPr>
          <w:rFonts w:ascii="Times New Roman" w:hAnsi="Times New Roman" w:cs="Times New Roman"/>
          <w:color w:val="FF0000"/>
          <w:sz w:val="24"/>
          <w:szCs w:val="24"/>
          <w:u w:val="single"/>
        </w:rPr>
      </w:pPr>
      <w:r w:rsidRPr="00031800">
        <w:rPr>
          <w:rFonts w:ascii="Times New Roman" w:hAnsi="Times New Roman" w:cs="Times New Roman"/>
          <w:sz w:val="24"/>
          <w:szCs w:val="24"/>
          <w:u w:val="single"/>
        </w:rPr>
        <w:t xml:space="preserve">Según los expertos, el gasto en sanidad, por ejemplo, se mantiene más o menos estable desde los 10 a los 60 años. A partir de esa edad, comienza a crecer de forma casi exponencial. </w:t>
      </w:r>
      <w:r w:rsidRPr="00031800">
        <w:rPr>
          <w:rFonts w:ascii="Times New Roman" w:hAnsi="Times New Roman" w:cs="Times New Roman"/>
          <w:color w:val="FF0000"/>
          <w:sz w:val="24"/>
          <w:szCs w:val="24"/>
          <w:u w:val="single"/>
        </w:rPr>
        <w:t>Los estudios dicen que en el año 2025, tratar a un paciente de menos de 65 años costará unos 2.200 euros (a precios constantes de 2010). Para los que tengan entre 65 y 79, esta cantidad se multiplica por cuatro, hasta los 8.570 euros. Para los que tengan entre 80 y 94 años, el coste será de 15.000 euros (siete veces más que al paciente convencional). Y para los mayores de 95 el coste será de 28.500 euros (catorce veces más).</w:t>
      </w:r>
    </w:p>
    <w:p w:rsidR="00BB7B36" w:rsidRPr="00031800" w:rsidRDefault="00BB7B36" w:rsidP="00BB7B36">
      <w:pPr>
        <w:jc w:val="both"/>
        <w:rPr>
          <w:rFonts w:ascii="Times New Roman" w:hAnsi="Times New Roman" w:cs="Times New Roman"/>
          <w:sz w:val="24"/>
          <w:szCs w:val="24"/>
          <w:u w:val="single"/>
        </w:rPr>
      </w:pPr>
      <w:r w:rsidRPr="00031800">
        <w:rPr>
          <w:rFonts w:ascii="Times New Roman" w:hAnsi="Times New Roman" w:cs="Times New Roman"/>
          <w:sz w:val="24"/>
          <w:szCs w:val="24"/>
          <w:u w:val="single"/>
        </w:rPr>
        <w:lastRenderedPageBreak/>
        <w:t xml:space="preserve">Habrá quien diga que a cambio se gastará menos en educación, porque no nacen niños. </w:t>
      </w:r>
      <w:r w:rsidRPr="00C67263">
        <w:rPr>
          <w:rFonts w:ascii="Times New Roman" w:hAnsi="Times New Roman" w:cs="Times New Roman"/>
          <w:sz w:val="24"/>
          <w:szCs w:val="24"/>
        </w:rPr>
        <w:t xml:space="preserve">Y que hay cierto margen para subir el número total de la población activa, cuando finalice la plena incorporación de la mujer al mercado de trabajo (ahora mismo, entre las mayores de 50 años, aún hay un importante grupo al margen, una situación que irá diluyéndose con el paso de los años). </w:t>
      </w:r>
      <w:r w:rsidRPr="00031800">
        <w:rPr>
          <w:rFonts w:ascii="Times New Roman" w:hAnsi="Times New Roman" w:cs="Times New Roman"/>
          <w:sz w:val="24"/>
          <w:szCs w:val="24"/>
          <w:u w:val="single"/>
        </w:rPr>
        <w:t>En cualquier caso, ni el ahorro no será suficiente para cubrir los incrementos del gasto sanitario, ni las nuevas incorporaciones suplirán a las bajas.</w:t>
      </w:r>
    </w:p>
    <w:p w:rsidR="00BB7B36" w:rsidRPr="00031800" w:rsidRDefault="00BB7B36" w:rsidP="00BB7B36">
      <w:pPr>
        <w:jc w:val="both"/>
        <w:rPr>
          <w:rFonts w:ascii="Times New Roman" w:hAnsi="Times New Roman" w:cs="Times New Roman"/>
          <w:color w:val="FF0000"/>
          <w:sz w:val="24"/>
          <w:szCs w:val="24"/>
          <w:u w:val="single"/>
        </w:rPr>
      </w:pPr>
      <w:r w:rsidRPr="00031800">
        <w:rPr>
          <w:rFonts w:ascii="Times New Roman" w:hAnsi="Times New Roman" w:cs="Times New Roman"/>
          <w:sz w:val="24"/>
          <w:szCs w:val="24"/>
          <w:u w:val="single"/>
        </w:rPr>
        <w:t>Además, hay que tener en cuenta que las prestaciones sociales cada día alcanzan a más individuos. En Alemania, por ejemplo, antes de la crisis, se estimaba que más del 70% de los hogares recibían algún tipo de ayuda pública. En un país con una renta per cápita que en la actualidad es ¡de más de 32.600 euros!</w:t>
      </w:r>
      <w:r w:rsidRPr="00C67263">
        <w:rPr>
          <w:rFonts w:ascii="Times New Roman" w:hAnsi="Times New Roman" w:cs="Times New Roman"/>
          <w:sz w:val="24"/>
          <w:szCs w:val="24"/>
        </w:rPr>
        <w:t xml:space="preserve"> </w:t>
      </w:r>
      <w:r w:rsidRPr="00031800">
        <w:rPr>
          <w:rFonts w:ascii="Times New Roman" w:hAnsi="Times New Roman" w:cs="Times New Roman"/>
          <w:color w:val="FF0000"/>
          <w:sz w:val="24"/>
          <w:szCs w:val="24"/>
          <w:u w:val="single"/>
        </w:rPr>
        <w:t>En Libertad de Eleg</w:t>
      </w:r>
      <w:r>
        <w:rPr>
          <w:rFonts w:ascii="Times New Roman" w:hAnsi="Times New Roman" w:cs="Times New Roman"/>
          <w:color w:val="FF0000"/>
          <w:sz w:val="24"/>
          <w:szCs w:val="24"/>
          <w:u w:val="single"/>
        </w:rPr>
        <w:t>ir, Milton Friedman, apuntaba “</w:t>
      </w:r>
      <w:r w:rsidRPr="00031800">
        <w:rPr>
          <w:rFonts w:ascii="Times New Roman" w:hAnsi="Times New Roman" w:cs="Times New Roman"/>
          <w:color w:val="FF0000"/>
          <w:sz w:val="24"/>
          <w:szCs w:val="24"/>
          <w:u w:val="single"/>
        </w:rPr>
        <w:t xml:space="preserve">al comienzo de los programas de bienestar, los individuos que se beneficiaban eran pocos y los contribuyentes que financiaban los programas muchos. Ahora, todos pagamos programas con el dinero de uno de nuestros bolsillos intentando </w:t>
      </w:r>
      <w:r>
        <w:rPr>
          <w:rFonts w:ascii="Times New Roman" w:hAnsi="Times New Roman" w:cs="Times New Roman"/>
          <w:color w:val="FF0000"/>
          <w:sz w:val="24"/>
          <w:szCs w:val="24"/>
          <w:u w:val="single"/>
        </w:rPr>
        <w:t>llenar el otro de los bolsillos”</w:t>
      </w:r>
      <w:r w:rsidRPr="00031800">
        <w:rPr>
          <w:rFonts w:ascii="Times New Roman" w:hAnsi="Times New Roman" w:cs="Times New Roman"/>
          <w:color w:val="FF0000"/>
          <w:sz w:val="24"/>
          <w:szCs w:val="24"/>
          <w:u w:val="single"/>
        </w:rPr>
        <w:t>.</w:t>
      </w:r>
    </w:p>
    <w:p w:rsidR="00BB7B36" w:rsidRPr="00C67263" w:rsidRDefault="00BB7B36" w:rsidP="00BB7B36">
      <w:pPr>
        <w:jc w:val="both"/>
        <w:rPr>
          <w:rFonts w:ascii="Times New Roman" w:hAnsi="Times New Roman" w:cs="Times New Roman"/>
          <w:sz w:val="24"/>
          <w:szCs w:val="24"/>
        </w:rPr>
      </w:pPr>
      <w:r>
        <w:rPr>
          <w:rFonts w:ascii="Times New Roman" w:hAnsi="Times New Roman" w:cs="Times New Roman"/>
          <w:sz w:val="24"/>
          <w:szCs w:val="24"/>
        </w:rPr>
        <w:t>Incentivos perversos</w:t>
      </w:r>
    </w:p>
    <w:p w:rsidR="00BB7B36" w:rsidRPr="00031800" w:rsidRDefault="00BB7B36" w:rsidP="00BB7B36">
      <w:pPr>
        <w:jc w:val="both"/>
        <w:rPr>
          <w:rFonts w:ascii="Times New Roman" w:hAnsi="Times New Roman" w:cs="Times New Roman"/>
          <w:sz w:val="24"/>
          <w:szCs w:val="24"/>
          <w:u w:val="single"/>
        </w:rPr>
      </w:pPr>
      <w:r w:rsidRPr="00031800">
        <w:rPr>
          <w:rFonts w:ascii="Times New Roman" w:hAnsi="Times New Roman" w:cs="Times New Roman"/>
          <w:sz w:val="24"/>
          <w:szCs w:val="24"/>
          <w:u w:val="single"/>
        </w:rPr>
        <w:t>El Estado del Bienestar se asocia a la ayuda a los necesitados. El problema e</w:t>
      </w:r>
      <w:r>
        <w:rPr>
          <w:rFonts w:ascii="Times New Roman" w:hAnsi="Times New Roman" w:cs="Times New Roman"/>
          <w:sz w:val="24"/>
          <w:szCs w:val="24"/>
          <w:u w:val="single"/>
        </w:rPr>
        <w:t>s que dar dinero a alguien por “ser algo” o por “</w:t>
      </w:r>
      <w:r w:rsidRPr="00031800">
        <w:rPr>
          <w:rFonts w:ascii="Times New Roman" w:hAnsi="Times New Roman" w:cs="Times New Roman"/>
          <w:sz w:val="24"/>
          <w:szCs w:val="24"/>
          <w:u w:val="single"/>
        </w:rPr>
        <w:t>est</w:t>
      </w:r>
      <w:r>
        <w:rPr>
          <w:rFonts w:ascii="Times New Roman" w:hAnsi="Times New Roman" w:cs="Times New Roman"/>
          <w:sz w:val="24"/>
          <w:szCs w:val="24"/>
          <w:u w:val="single"/>
        </w:rPr>
        <w:t>ar en una determinada situación”</w:t>
      </w:r>
      <w:r w:rsidRPr="00031800">
        <w:rPr>
          <w:rFonts w:ascii="Times New Roman" w:hAnsi="Times New Roman" w:cs="Times New Roman"/>
          <w:sz w:val="24"/>
          <w:szCs w:val="24"/>
          <w:u w:val="single"/>
        </w:rPr>
        <w:t xml:space="preserve"> implica generar incentivos que pueden llegar a ser perversos</w:t>
      </w:r>
      <w:r w:rsidRPr="00C67263">
        <w:rPr>
          <w:rFonts w:ascii="Times New Roman" w:hAnsi="Times New Roman" w:cs="Times New Roman"/>
          <w:sz w:val="24"/>
          <w:szCs w:val="24"/>
        </w:rPr>
        <w:t xml:space="preserve">. En Dinamarca, por ejemplo, en los últimos meses, se ha generado una gran polémica a raíz de determinados casos aparecidos en los medios de comunicación de personas que vivían sin trabajar durante años, aunque eran perfectamente capaces de valerse por sí mismos; como el de esa madre soltera con dos hijas que vive en una casa pública, gana 2.700 dólares al mes y no ha trabajado nunca. </w:t>
      </w:r>
      <w:r w:rsidRPr="00031800">
        <w:rPr>
          <w:rFonts w:ascii="Times New Roman" w:hAnsi="Times New Roman" w:cs="Times New Roman"/>
          <w:sz w:val="24"/>
          <w:szCs w:val="24"/>
          <w:u w:val="single"/>
        </w:rPr>
        <w:t>En el país nórdico, casi el 9% de la población activa está oficialmente considerada como discapacitada y recibe una prestación del Estado. Con todo esto, sólo en 3 de 98 municipios la mayoría de los residentes trabajan (contando niños y ancianos, claro). Y eso en un país con una tasa de paro de menos del 5%.</w:t>
      </w:r>
    </w:p>
    <w:p w:rsidR="00BB7B36" w:rsidRPr="00031800" w:rsidRDefault="00BB7B36" w:rsidP="00BB7B36">
      <w:pPr>
        <w:jc w:val="both"/>
        <w:rPr>
          <w:rFonts w:ascii="Times New Roman" w:hAnsi="Times New Roman" w:cs="Times New Roman"/>
          <w:color w:val="FF0000"/>
          <w:sz w:val="24"/>
          <w:szCs w:val="24"/>
          <w:u w:val="single"/>
        </w:rPr>
      </w:pPr>
      <w:r w:rsidRPr="00C67263">
        <w:rPr>
          <w:rFonts w:ascii="Times New Roman" w:hAnsi="Times New Roman" w:cs="Times New Roman"/>
          <w:sz w:val="24"/>
          <w:szCs w:val="24"/>
        </w:rPr>
        <w:t xml:space="preserve">Es muy difícil sostener una situación así. </w:t>
      </w:r>
      <w:r w:rsidRPr="00031800">
        <w:rPr>
          <w:rFonts w:ascii="Times New Roman" w:hAnsi="Times New Roman" w:cs="Times New Roman"/>
          <w:sz w:val="24"/>
          <w:szCs w:val="24"/>
          <w:u w:val="single"/>
        </w:rPr>
        <w:t>En España, por ejemplo, hay menos de 19 millones de trabajadores con una población de 47 millones de habitantes. Nadie quiere estar en el paro ni ser pobre, pero si los incentivos no están alineados, se pueden acabar propiciando situaciones indeseadas.</w:t>
      </w:r>
      <w:r w:rsidRPr="00C67263">
        <w:rPr>
          <w:rFonts w:ascii="Times New Roman" w:hAnsi="Times New Roman" w:cs="Times New Roman"/>
          <w:sz w:val="24"/>
          <w:szCs w:val="24"/>
        </w:rPr>
        <w:t xml:space="preserve"> </w:t>
      </w:r>
      <w:r w:rsidRPr="00031800">
        <w:rPr>
          <w:rFonts w:ascii="Times New Roman" w:hAnsi="Times New Roman" w:cs="Times New Roman"/>
          <w:color w:val="FF0000"/>
          <w:sz w:val="24"/>
          <w:szCs w:val="24"/>
          <w:u w:val="single"/>
        </w:rPr>
        <w:t>Según los datos del Observatorio Laboral de la Crisis de Fedea, aquellos parados que no cobran el subsidio de desempleo tienen el doble de posibilidades de encontrar trabajo que aquellos otros con sus mismas características pero que sí tienen derecho a una paga mensual. Todos los parados quieren un empleo, pero el diseño de la prestación es clave para motivar y facilitar que lo encuentren lo antes posible.</w:t>
      </w:r>
    </w:p>
    <w:p w:rsidR="00BB7B36" w:rsidRPr="00031800" w:rsidRDefault="00BB7B36" w:rsidP="00BB7B36">
      <w:pPr>
        <w:jc w:val="both"/>
        <w:rPr>
          <w:rFonts w:ascii="Times New Roman" w:hAnsi="Times New Roman" w:cs="Times New Roman"/>
          <w:color w:val="FF0000"/>
          <w:sz w:val="24"/>
          <w:szCs w:val="24"/>
          <w:u w:val="single"/>
        </w:rPr>
      </w:pPr>
      <w:r w:rsidRPr="00031800">
        <w:rPr>
          <w:rFonts w:ascii="Times New Roman" w:hAnsi="Times New Roman" w:cs="Times New Roman"/>
          <w:color w:val="FF0000"/>
          <w:sz w:val="24"/>
          <w:szCs w:val="24"/>
          <w:u w:val="single"/>
        </w:rPr>
        <w:t>En este sentido, el Estado del Bienestar ha generado una clase propia, de personas que han vivido durante décadas de ayudas estatales que no quieren perder. En EEUU, hay mucha literatura académica sobre personas que no buscan empleo porque temen que les quiten sus beneficios. Un estudio del Cato Institute apunta que en 39 estados, la paga social del receptor medio es superior, por ejemplo, al salario inicial de una secretaria.</w:t>
      </w:r>
    </w:p>
    <w:p w:rsidR="00BB7B36" w:rsidRPr="00C67263" w:rsidRDefault="00BB7B36" w:rsidP="00BB7B36">
      <w:pPr>
        <w:jc w:val="both"/>
        <w:rPr>
          <w:rFonts w:ascii="Times New Roman" w:hAnsi="Times New Roman" w:cs="Times New Roman"/>
          <w:sz w:val="24"/>
          <w:szCs w:val="24"/>
        </w:rPr>
      </w:pPr>
      <w:r w:rsidRPr="00031800">
        <w:rPr>
          <w:rFonts w:ascii="Times New Roman" w:hAnsi="Times New Roman" w:cs="Times New Roman"/>
          <w:color w:val="FF0000"/>
          <w:sz w:val="24"/>
          <w:szCs w:val="24"/>
          <w:u w:val="single"/>
        </w:rPr>
        <w:lastRenderedPageBreak/>
        <w:t>Las estadísticas muestran que cuando una persona comienza a recibir ayudas sociales, lo normal es que salga con relativa facilidad de esa situación: tiene relaciones laborales, está dentro de la dinámica del mercado laboral,... Pero si se mantiene más de un año, se multiplican las posibilidades de que se perpetúe en ese estado.</w:t>
      </w:r>
      <w:r w:rsidRPr="00C67263">
        <w:rPr>
          <w:rFonts w:ascii="Times New Roman" w:hAnsi="Times New Roman" w:cs="Times New Roman"/>
          <w:sz w:val="24"/>
          <w:szCs w:val="24"/>
        </w:rPr>
        <w:t xml:space="preserve"> </w:t>
      </w:r>
      <w:r w:rsidRPr="00031800">
        <w:rPr>
          <w:rFonts w:ascii="Times New Roman" w:hAnsi="Times New Roman" w:cs="Times New Roman"/>
          <w:sz w:val="24"/>
          <w:szCs w:val="24"/>
          <w:u w:val="single"/>
        </w:rPr>
        <w:t>En España, los parados con menos de tres meses en esa situación tienen más del 50% de posibilidades de encontrar un empleo en el trimestre siguiente; los de más de un año, menos del 15%.</w:t>
      </w:r>
      <w:r w:rsidRPr="00C67263">
        <w:rPr>
          <w:rFonts w:ascii="Times New Roman" w:hAnsi="Times New Roman" w:cs="Times New Roman"/>
          <w:sz w:val="24"/>
          <w:szCs w:val="24"/>
        </w:rPr>
        <w:t xml:space="preserve"> Por lo tanto, los expertos apuntan a que las ayudas deberían diseñarse para ser una ayuda para momentos difíciles, que incluyan incentivos para salir de esa situación, no un derecho sin ninguna contrap</w:t>
      </w:r>
      <w:r>
        <w:rPr>
          <w:rFonts w:ascii="Times New Roman" w:hAnsi="Times New Roman" w:cs="Times New Roman"/>
          <w:sz w:val="24"/>
          <w:szCs w:val="24"/>
        </w:rPr>
        <w:t>restación para el beneficiario.</w:t>
      </w:r>
    </w:p>
    <w:p w:rsidR="00BB7B36" w:rsidRPr="00C67263" w:rsidRDefault="00BB7B36" w:rsidP="00BB7B36">
      <w:pPr>
        <w:jc w:val="both"/>
        <w:rPr>
          <w:rFonts w:ascii="Times New Roman" w:hAnsi="Times New Roman" w:cs="Times New Roman"/>
          <w:sz w:val="24"/>
          <w:szCs w:val="24"/>
        </w:rPr>
      </w:pPr>
      <w:r>
        <w:rPr>
          <w:rFonts w:ascii="Times New Roman" w:hAnsi="Times New Roman" w:cs="Times New Roman"/>
          <w:sz w:val="24"/>
          <w:szCs w:val="24"/>
        </w:rPr>
        <w:t>Y esto, ¿quién lo paga?</w:t>
      </w:r>
    </w:p>
    <w:p w:rsidR="00BB7B36" w:rsidRPr="00031800" w:rsidRDefault="00BB7B36" w:rsidP="00BB7B36">
      <w:pPr>
        <w:jc w:val="both"/>
        <w:rPr>
          <w:rFonts w:ascii="Times New Roman" w:hAnsi="Times New Roman" w:cs="Times New Roman"/>
          <w:sz w:val="24"/>
          <w:szCs w:val="24"/>
          <w:u w:val="single"/>
        </w:rPr>
      </w:pPr>
      <w:r w:rsidRPr="00031800">
        <w:rPr>
          <w:rFonts w:ascii="Times New Roman" w:hAnsi="Times New Roman" w:cs="Times New Roman"/>
          <w:color w:val="FF0000"/>
          <w:sz w:val="24"/>
          <w:szCs w:val="24"/>
          <w:u w:val="single"/>
        </w:rPr>
        <w:t>Aunque a veces se olvida, los contribuyentes son la otra cara de la moneda del Estado del Bienestar</w:t>
      </w:r>
      <w:r w:rsidRPr="00031800">
        <w:rPr>
          <w:rFonts w:ascii="Times New Roman" w:hAnsi="Times New Roman" w:cs="Times New Roman"/>
          <w:sz w:val="24"/>
          <w:szCs w:val="24"/>
          <w:u w:val="single"/>
        </w:rPr>
        <w:t>. Las pensiones, los sueldos de los médicos, los ordenadores para los colegios y los subsidios del paro cuestan dinero. Esta cuestión es una obviedad, pero casi nunca entra en el debate</w:t>
      </w:r>
      <w:r w:rsidRPr="00C67263">
        <w:rPr>
          <w:rFonts w:ascii="Times New Roman" w:hAnsi="Times New Roman" w:cs="Times New Roman"/>
          <w:sz w:val="24"/>
          <w:szCs w:val="24"/>
        </w:rPr>
        <w:t xml:space="preserve">. En ocasiones, parece como si las arcas del Estado fueran infinitas. Pero no lo son. </w:t>
      </w:r>
      <w:r w:rsidRPr="00031800">
        <w:rPr>
          <w:rFonts w:ascii="Times New Roman" w:hAnsi="Times New Roman" w:cs="Times New Roman"/>
          <w:color w:val="FF0000"/>
          <w:sz w:val="24"/>
          <w:szCs w:val="24"/>
          <w:u w:val="single"/>
        </w:rPr>
        <w:t>Cada euro que se gasta en prestaciones (sean las que sean, justas o injustas, para necesitados o aprovechados) se ha sacado antes del bolsillo de un ciudadano a través de sus impuestos</w:t>
      </w:r>
      <w:r w:rsidRPr="00C67263">
        <w:rPr>
          <w:rFonts w:ascii="Times New Roman" w:hAnsi="Times New Roman" w:cs="Times New Roman"/>
          <w:sz w:val="24"/>
          <w:szCs w:val="24"/>
        </w:rPr>
        <w:t xml:space="preserve">. </w:t>
      </w:r>
      <w:r w:rsidRPr="00031800">
        <w:rPr>
          <w:rFonts w:ascii="Times New Roman" w:hAnsi="Times New Roman" w:cs="Times New Roman"/>
          <w:sz w:val="24"/>
          <w:szCs w:val="24"/>
          <w:u w:val="single"/>
        </w:rPr>
        <w:t>El discurso tradicional afirmaba que a cambio de las generosas prestaciones públicas, los europeos estaban dispuestos a pagar elevados tributos. Sin embargo, todo tiene un límite.</w:t>
      </w:r>
    </w:p>
    <w:p w:rsidR="00BB7B36" w:rsidRPr="00C67263" w:rsidRDefault="00BB7B36" w:rsidP="00BB7B36">
      <w:pPr>
        <w:jc w:val="both"/>
        <w:rPr>
          <w:rFonts w:ascii="Times New Roman" w:hAnsi="Times New Roman" w:cs="Times New Roman"/>
          <w:sz w:val="24"/>
          <w:szCs w:val="24"/>
        </w:rPr>
      </w:pPr>
      <w:r w:rsidRPr="00C67263">
        <w:rPr>
          <w:rFonts w:ascii="Times New Roman" w:hAnsi="Times New Roman" w:cs="Times New Roman"/>
          <w:sz w:val="24"/>
          <w:szCs w:val="24"/>
        </w:rPr>
        <w:t>En este sentido, casi siempre queda el recurso al clá</w:t>
      </w:r>
      <w:r>
        <w:rPr>
          <w:rFonts w:ascii="Times New Roman" w:hAnsi="Times New Roman" w:cs="Times New Roman"/>
          <w:sz w:val="24"/>
          <w:szCs w:val="24"/>
        </w:rPr>
        <w:t>sico eslogan que exige que los “ricos”</w:t>
      </w:r>
      <w:r w:rsidRPr="00C67263">
        <w:rPr>
          <w:rFonts w:ascii="Times New Roman" w:hAnsi="Times New Roman" w:cs="Times New Roman"/>
          <w:sz w:val="24"/>
          <w:szCs w:val="24"/>
        </w:rPr>
        <w:t xml:space="preserve"> paguen más. Pero lo cierto es que los ricos ya pagan una parte sustancial de los impuestos. A pesar de las noticias puntuales (y muy llamativas) sobre millonarios que esquivan a Hacienda en los llamados paraísos fiscales, lo cierto es que la mayor parte de la recaudación llega de las clases</w:t>
      </w:r>
      <w:r>
        <w:rPr>
          <w:rFonts w:ascii="Times New Roman" w:hAnsi="Times New Roman" w:cs="Times New Roman"/>
          <w:sz w:val="24"/>
          <w:szCs w:val="24"/>
        </w:rPr>
        <w:t xml:space="preserve"> altas. Y con mucha diferencia.</w:t>
      </w:r>
    </w:p>
    <w:p w:rsidR="00BB7B36" w:rsidRPr="00C67263" w:rsidRDefault="00BB7B36" w:rsidP="00BB7B36">
      <w:pPr>
        <w:jc w:val="both"/>
        <w:rPr>
          <w:rFonts w:ascii="Times New Roman" w:hAnsi="Times New Roman" w:cs="Times New Roman"/>
          <w:sz w:val="24"/>
          <w:szCs w:val="24"/>
        </w:rPr>
      </w:pPr>
      <w:r w:rsidRPr="00C67263">
        <w:rPr>
          <w:rFonts w:ascii="Times New Roman" w:hAnsi="Times New Roman" w:cs="Times New Roman"/>
          <w:sz w:val="24"/>
          <w:szCs w:val="24"/>
        </w:rPr>
        <w:t xml:space="preserve">En España, el 28% de los contribuyentes, los que tenían una base imponible de más de 28.500 euros, aportaron el 70% de la recaudación del IPRF en 2010. Y esa tendencia aumenta con la renta. El 5% de las declaraciones (las que tenían una base imponible superior a los 60.000 euros) sumaba el 31% de la recaudación. Es decir, que casi un tercio de lo que se paga en el Impuesto sobre </w:t>
      </w:r>
      <w:r>
        <w:rPr>
          <w:rFonts w:ascii="Times New Roman" w:hAnsi="Times New Roman" w:cs="Times New Roman"/>
          <w:sz w:val="24"/>
          <w:szCs w:val="24"/>
        </w:rPr>
        <w:t>la Renta llega del 5% más rico.</w:t>
      </w:r>
    </w:p>
    <w:p w:rsidR="00BB7B36" w:rsidRPr="00C67263" w:rsidRDefault="00BB7B36" w:rsidP="00BB7B36">
      <w:pPr>
        <w:jc w:val="both"/>
        <w:rPr>
          <w:rFonts w:ascii="Times New Roman" w:hAnsi="Times New Roman" w:cs="Times New Roman"/>
          <w:sz w:val="24"/>
          <w:szCs w:val="24"/>
        </w:rPr>
      </w:pPr>
      <w:r w:rsidRPr="00C67263">
        <w:rPr>
          <w:rFonts w:ascii="Times New Roman" w:hAnsi="Times New Roman" w:cs="Times New Roman"/>
          <w:sz w:val="24"/>
          <w:szCs w:val="24"/>
        </w:rPr>
        <w:t>Tras las últimas subidas, estos contribuyentes ya pagan tipos marginales que van del 47 al 52%. Subir aún más los impuestos implica un doble riesgo: desincentivos al trabajo y fuga de talentos. Respecto a lo primero, hay que recordar que también en Europa está vigente la Curva de Laffer: a partir de un determinado nivel, subir los impuestos reduce la recaudación, porque se produce menos riqueza, ya que no merece la pena trabajar para que se lo lleve todo Hacienda. En España, según los cálculos de José Félix Sanz para FAES, ya hemos rebasado ese nivel, por lo que los incrementos en tributos sobre el trabajo (sobre todo IRPF) acaban incluso perju</w:t>
      </w:r>
      <w:r>
        <w:rPr>
          <w:rFonts w:ascii="Times New Roman" w:hAnsi="Times New Roman" w:cs="Times New Roman"/>
          <w:sz w:val="24"/>
          <w:szCs w:val="24"/>
        </w:rPr>
        <w:t>dicando a las arcas del Estado.</w:t>
      </w:r>
    </w:p>
    <w:p w:rsidR="00BB7B36" w:rsidRPr="00C67263" w:rsidRDefault="00BB7B36" w:rsidP="00BB7B36">
      <w:pPr>
        <w:jc w:val="both"/>
        <w:rPr>
          <w:rFonts w:ascii="Times New Roman" w:hAnsi="Times New Roman" w:cs="Times New Roman"/>
          <w:sz w:val="24"/>
          <w:szCs w:val="24"/>
        </w:rPr>
      </w:pPr>
      <w:r w:rsidRPr="00C67263">
        <w:rPr>
          <w:rFonts w:ascii="Times New Roman" w:hAnsi="Times New Roman" w:cs="Times New Roman"/>
          <w:sz w:val="24"/>
          <w:szCs w:val="24"/>
        </w:rPr>
        <w:t xml:space="preserve">En segundo lugar, los países europeos tienen que tener en cuenta que ni las fronteras ni las distancias son como antes. Más allá de casos muy mediáticos, como el de Gerard Depardieu en Francia, lo cierto es que ahora es mucho más fácil escapar del fisco de tu </w:t>
      </w:r>
      <w:r w:rsidRPr="00C67263">
        <w:rPr>
          <w:rFonts w:ascii="Times New Roman" w:hAnsi="Times New Roman" w:cs="Times New Roman"/>
          <w:sz w:val="24"/>
          <w:szCs w:val="24"/>
        </w:rPr>
        <w:lastRenderedPageBreak/>
        <w:t>país si el nivel de presión llega a niveles intolerables. Los países emergentes, Asia, EEUU, Reino Unido o los llamados paraísos fis</w:t>
      </w:r>
      <w:r>
        <w:rPr>
          <w:rFonts w:ascii="Times New Roman" w:hAnsi="Times New Roman" w:cs="Times New Roman"/>
          <w:sz w:val="24"/>
          <w:szCs w:val="24"/>
        </w:rPr>
        <w:t>cales: hay decenas de opciones.</w:t>
      </w:r>
    </w:p>
    <w:p w:rsidR="00BB7B36" w:rsidRPr="00753003" w:rsidRDefault="00BB7B36" w:rsidP="00BB7B36">
      <w:pPr>
        <w:jc w:val="both"/>
        <w:rPr>
          <w:rFonts w:ascii="Times New Roman" w:hAnsi="Times New Roman" w:cs="Times New Roman"/>
          <w:color w:val="FF0000"/>
          <w:sz w:val="24"/>
          <w:szCs w:val="24"/>
          <w:u w:val="single"/>
        </w:rPr>
      </w:pPr>
      <w:r w:rsidRPr="00031800">
        <w:rPr>
          <w:rFonts w:ascii="Times New Roman" w:hAnsi="Times New Roman" w:cs="Times New Roman"/>
          <w:color w:val="FF0000"/>
          <w:sz w:val="24"/>
          <w:szCs w:val="24"/>
          <w:u w:val="single"/>
        </w:rPr>
        <w:t xml:space="preserve">Europa sabe que para mantener su Estado del Bienestar necesita alguien que lo pague. </w:t>
      </w:r>
      <w:r w:rsidRPr="00C67263">
        <w:rPr>
          <w:rFonts w:ascii="Times New Roman" w:hAnsi="Times New Roman" w:cs="Times New Roman"/>
          <w:sz w:val="24"/>
          <w:szCs w:val="24"/>
        </w:rPr>
        <w:t xml:space="preserve">Atacar tributariamente a las rentas altas es perjudicial para su competitividad, porque son estos trabajadores los que más aportan al crecimiento de un país. Cuando se habla de inversión en I+D o de ingenieros o de start-ups, hay que recordar que estos trabajadores ganan mucho dinero y tienen muchos destinos para escoger. Si ellos van a pagar la factura, necesitan saber que merece la pena hacerlo. </w:t>
      </w:r>
      <w:r w:rsidRPr="00753003">
        <w:rPr>
          <w:rFonts w:ascii="Times New Roman" w:hAnsi="Times New Roman" w:cs="Times New Roman"/>
          <w:color w:val="FF0000"/>
          <w:sz w:val="24"/>
          <w:szCs w:val="24"/>
          <w:u w:val="single"/>
        </w:rPr>
        <w:t>Alrededor de este dilema, se plantea el futuro de un Viejo Continente que cada día es más viejo.</w:t>
      </w:r>
    </w:p>
    <w:p w:rsidR="00BB7B36" w:rsidRPr="006536C2" w:rsidRDefault="00BB7B36" w:rsidP="00BB7B36">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“Sociedad participativa”</w:t>
      </w:r>
      <w:r w:rsidRPr="006536C2">
        <w:rPr>
          <w:rFonts w:ascii="Times New Roman" w:hAnsi="Times New Roman" w:cs="Times New Roman"/>
          <w:sz w:val="24"/>
          <w:szCs w:val="24"/>
          <w:u w:val="single"/>
        </w:rPr>
        <w:t>: ¿la solución a la crisis del Estado del Bienestar?</w:t>
      </w:r>
      <w:r>
        <w:rPr>
          <w:rFonts w:ascii="Times New Roman" w:hAnsi="Times New Roman" w:cs="Times New Roman"/>
          <w:sz w:val="24"/>
          <w:szCs w:val="24"/>
        </w:rPr>
        <w:t xml:space="preserve"> (Libertad Digital - </w:t>
      </w:r>
      <w:r w:rsidRPr="006536C2">
        <w:rPr>
          <w:rFonts w:ascii="Times New Roman" w:hAnsi="Times New Roman" w:cs="Times New Roman"/>
          <w:b/>
          <w:sz w:val="24"/>
          <w:szCs w:val="24"/>
        </w:rPr>
        <w:t>22/9/13</w:t>
      </w:r>
      <w:r>
        <w:rPr>
          <w:rFonts w:ascii="Times New Roman" w:hAnsi="Times New Roman" w:cs="Times New Roman"/>
          <w:sz w:val="24"/>
          <w:szCs w:val="24"/>
        </w:rPr>
        <w:t>)                                                                               Lectura recomendada</w:t>
      </w:r>
    </w:p>
    <w:p w:rsidR="00BB7B36" w:rsidRDefault="00BB7B36" w:rsidP="00BB7B36">
      <w:pPr>
        <w:jc w:val="both"/>
        <w:rPr>
          <w:rFonts w:ascii="Times New Roman" w:hAnsi="Times New Roman" w:cs="Times New Roman"/>
          <w:sz w:val="24"/>
          <w:szCs w:val="24"/>
        </w:rPr>
      </w:pPr>
      <w:r w:rsidRPr="006536C2">
        <w:rPr>
          <w:rFonts w:ascii="Times New Roman" w:hAnsi="Times New Roman" w:cs="Times New Roman"/>
          <w:sz w:val="24"/>
          <w:szCs w:val="24"/>
        </w:rPr>
        <w:t>Los países del norte de Europa exploran cambios en los servicios públicos y nuevas formas de relación entre Estado y ciudadanos.</w:t>
      </w:r>
    </w:p>
    <w:p w:rsidR="00BB7B36" w:rsidRDefault="00BB7B36" w:rsidP="00BB7B36">
      <w:pPr>
        <w:jc w:val="both"/>
        <w:rPr>
          <w:rFonts w:ascii="Times New Roman" w:hAnsi="Times New Roman" w:cs="Times New Roman"/>
          <w:sz w:val="24"/>
          <w:szCs w:val="24"/>
        </w:rPr>
      </w:pPr>
      <w:r>
        <w:rPr>
          <w:rFonts w:ascii="Times New Roman" w:hAnsi="Times New Roman" w:cs="Times New Roman"/>
          <w:sz w:val="24"/>
          <w:szCs w:val="24"/>
        </w:rPr>
        <w:t>(Por D. Soriano)</w:t>
      </w:r>
    </w:p>
    <w:p w:rsidR="00BB7B36" w:rsidRPr="00C32841" w:rsidRDefault="00BB7B36" w:rsidP="00BB7B36">
      <w:pPr>
        <w:pStyle w:val="NormalWeb"/>
        <w:jc w:val="both"/>
      </w:pPr>
      <w:r>
        <w:t>Guillermo de Holanda lo llamó “</w:t>
      </w:r>
      <w:hyperlink r:id="rId26" w:history="1">
        <w:r w:rsidRPr="00E46126">
          <w:rPr>
            <w:rStyle w:val="Hipervnculo"/>
            <w:rFonts w:eastAsiaTheme="majorEastAsia"/>
            <w:color w:val="FF0000"/>
          </w:rPr>
          <w:t>sociedad participativa</w:t>
        </w:r>
      </w:hyperlink>
      <w:r>
        <w:t>”</w:t>
      </w:r>
      <w:r w:rsidRPr="00C32841">
        <w:t>. David Cameron lleva más de un lustro hablando d</w:t>
      </w:r>
      <w:r>
        <w:t>e “</w:t>
      </w:r>
      <w:hyperlink r:id="rId27" w:history="1">
        <w:r w:rsidRPr="00E46126">
          <w:rPr>
            <w:rStyle w:val="Hipervnculo"/>
            <w:rFonts w:eastAsiaTheme="majorEastAsia"/>
            <w:color w:val="FF0000"/>
          </w:rPr>
          <w:t>gran sociedad</w:t>
        </w:r>
      </w:hyperlink>
      <w:r>
        <w:t>”</w:t>
      </w:r>
      <w:r w:rsidRPr="00C32841">
        <w:t>. Y Mauricio Rojas, uno de los teóricos más imp</w:t>
      </w:r>
      <w:r>
        <w:t>ortantes del tema, habla de la “</w:t>
      </w:r>
      <w:hyperlink r:id="rId28" w:history="1">
        <w:r w:rsidRPr="00E46126">
          <w:rPr>
            <w:rStyle w:val="Hipervnculo"/>
            <w:rFonts w:eastAsiaTheme="majorEastAsia"/>
            <w:color w:val="FF0000"/>
          </w:rPr>
          <w:t>reinvención del Estado del Bienestar</w:t>
        </w:r>
      </w:hyperlink>
      <w:r>
        <w:t>”</w:t>
      </w:r>
      <w:r w:rsidRPr="00C32841">
        <w:t xml:space="preserve"> sueco.</w:t>
      </w:r>
    </w:p>
    <w:p w:rsidR="00BB7B36" w:rsidRPr="00CF2808" w:rsidRDefault="00BB7B36" w:rsidP="00BB7B36">
      <w:pPr>
        <w:pStyle w:val="NormalWeb"/>
        <w:jc w:val="both"/>
        <w:rPr>
          <w:color w:val="FF0000"/>
          <w:u w:val="single"/>
        </w:rPr>
      </w:pPr>
      <w:r>
        <w:t xml:space="preserve">A pesar de las diferentes denominaciones, todos estos planteamientos tienen numerosos elementos en común. </w:t>
      </w:r>
      <w:r>
        <w:rPr>
          <w:rStyle w:val="Textoennegrita"/>
        </w:rPr>
        <w:t>A lo largo del Viejo Continente</w:t>
      </w:r>
      <w:r>
        <w:t xml:space="preserve">, </w:t>
      </w:r>
      <w:r w:rsidRPr="00CF2808">
        <w:rPr>
          <w:u w:val="single"/>
        </w:rPr>
        <w:t>el debate sobre los retos a los que se enfrenta el modelo europeo cobra cada día más fuerza</w:t>
      </w:r>
      <w:r>
        <w:t xml:space="preserve">. </w:t>
      </w:r>
      <w:r w:rsidRPr="00CF2808">
        <w:rPr>
          <w:color w:val="FF0000"/>
          <w:u w:val="single"/>
        </w:rPr>
        <w:t>Como explicaba el monarca de los Países Bajos esta misma semana, el inc</w:t>
      </w:r>
      <w:r>
        <w:rPr>
          <w:color w:val="FF0000"/>
          <w:u w:val="single"/>
        </w:rPr>
        <w:t>remento en el gasto público es “insostenible”</w:t>
      </w:r>
      <w:r w:rsidRPr="00CF2808">
        <w:rPr>
          <w:color w:val="FF0000"/>
          <w:u w:val="single"/>
        </w:rPr>
        <w:t xml:space="preserve">. O se hace algo o todo el </w:t>
      </w:r>
      <w:r w:rsidRPr="00CF2808">
        <w:rPr>
          <w:rStyle w:val="nfasis"/>
          <w:color w:val="FF0000"/>
          <w:u w:val="single"/>
        </w:rPr>
        <w:t>edificio</w:t>
      </w:r>
      <w:r w:rsidRPr="00CF2808">
        <w:rPr>
          <w:color w:val="FF0000"/>
          <w:u w:val="single"/>
        </w:rPr>
        <w:t xml:space="preserve"> puede venirse abajo.</w:t>
      </w:r>
    </w:p>
    <w:p w:rsidR="00BB7B36" w:rsidRPr="00C32841" w:rsidRDefault="00BB7B36" w:rsidP="00BB7B36">
      <w:pPr>
        <w:pStyle w:val="Ttulo3"/>
        <w:jc w:val="both"/>
        <w:rPr>
          <w:rFonts w:ascii="Times New Roman" w:hAnsi="Times New Roman" w:cs="Times New Roman"/>
          <w:color w:val="auto"/>
          <w:sz w:val="24"/>
          <w:szCs w:val="24"/>
        </w:rPr>
      </w:pPr>
      <w:r w:rsidRPr="00C32841">
        <w:rPr>
          <w:rStyle w:val="Textoennegrita"/>
          <w:rFonts w:ascii="Times New Roman" w:hAnsi="Times New Roman" w:cs="Times New Roman"/>
          <w:color w:val="auto"/>
          <w:sz w:val="24"/>
          <w:szCs w:val="24"/>
        </w:rPr>
        <w:t>Derechos y ayudas</w:t>
      </w:r>
    </w:p>
    <w:p w:rsidR="00BB7B36" w:rsidRPr="00CF2808" w:rsidRDefault="00BB7B36" w:rsidP="00BB7B36">
      <w:pPr>
        <w:pStyle w:val="NormalWeb"/>
        <w:jc w:val="both"/>
        <w:rPr>
          <w:u w:val="single"/>
        </w:rPr>
      </w:pPr>
      <w:r w:rsidRPr="00CF2808">
        <w:rPr>
          <w:u w:val="single"/>
        </w:rPr>
        <w:t xml:space="preserve">Como </w:t>
      </w:r>
      <w:hyperlink r:id="rId29" w:history="1">
        <w:r w:rsidRPr="008170B3">
          <w:rPr>
            <w:rStyle w:val="Hipervnculo"/>
            <w:rFonts w:eastAsiaTheme="majorEastAsia"/>
            <w:color w:val="auto"/>
          </w:rPr>
          <w:t>apuntábamos ayer sábado</w:t>
        </w:r>
      </w:hyperlink>
      <w:r w:rsidRPr="008170B3">
        <w:rPr>
          <w:u w:val="single"/>
        </w:rPr>
        <w:t>, un</w:t>
      </w:r>
      <w:r w:rsidRPr="00CF2808">
        <w:rPr>
          <w:u w:val="single"/>
        </w:rPr>
        <w:t>o de los problemas del Estado del Bienestar es que ha ido creando una clase dependiente que vive de las ayudas públicas, que</w:t>
      </w:r>
      <w:r>
        <w:rPr>
          <w:rStyle w:val="Textoennegrita"/>
        </w:rPr>
        <w:t xml:space="preserve"> se otorgan como “derechos”</w:t>
      </w:r>
      <w:r w:rsidRPr="00CF2808">
        <w:rPr>
          <w:rStyle w:val="Textoennegrita"/>
        </w:rPr>
        <w:t xml:space="preserve"> </w:t>
      </w:r>
      <w:r w:rsidRPr="00CF2808">
        <w:rPr>
          <w:u w:val="single"/>
        </w:rPr>
        <w:t>a los que cumplen con determinados requisitos, con todos los efectos perversos que eso tiene: se perpetúa una situación que debería ser temporal y en vez de ayudar a que salgan de ella acaban propiciando su enquistamiento.</w:t>
      </w:r>
    </w:p>
    <w:p w:rsidR="00BB7B36" w:rsidRPr="00CF2808" w:rsidRDefault="00BB7B36" w:rsidP="00BB7B36">
      <w:pPr>
        <w:pStyle w:val="NormalWeb"/>
        <w:jc w:val="both"/>
        <w:rPr>
          <w:u w:val="single"/>
        </w:rPr>
      </w:pPr>
      <w:r w:rsidRPr="00CF2808">
        <w:rPr>
          <w:u w:val="single"/>
        </w:rPr>
        <w:t>En este sentido, la labor que determinadas organizaciones privadas realizan (como Caritas en España) puede ser un buen punto de partida para rediseñar el trabajo del Estado. En general, las instituciones públicas y privadas enfocan la ayuda a sus beneficiarios de una forma muy diferente.</w:t>
      </w:r>
    </w:p>
    <w:p w:rsidR="00BB7B36" w:rsidRDefault="00BB7B36" w:rsidP="00BB7B36">
      <w:pPr>
        <w:pStyle w:val="NormalWeb"/>
        <w:jc w:val="both"/>
      </w:pPr>
      <w:r>
        <w:t>Para alguien que se encuentra en una</w:t>
      </w:r>
      <w:r>
        <w:rPr>
          <w:rStyle w:val="Textoennegrita"/>
        </w:rPr>
        <w:t xml:space="preserve"> situación puntual de necesidad </w:t>
      </w:r>
      <w:r>
        <w:t>es relativamente sencillo conseguir asistencia en una institución privada. Éstas no suelen exigir ningún requisito y son rápidas en la asistencia. Eso sí, normalmente, para mantener esta ayuda, el beneficiario debe intentar salir de la situación en la que ha caído. Es decir, no tiene garantizado que, haga lo que haga, seguirá siendo favorecido.</w:t>
      </w:r>
    </w:p>
    <w:p w:rsidR="00BB7B36" w:rsidRDefault="00BB7B36" w:rsidP="00BB7B36">
      <w:pPr>
        <w:pStyle w:val="NormalWeb"/>
        <w:jc w:val="both"/>
      </w:pPr>
      <w:r>
        <w:lastRenderedPageBreak/>
        <w:t xml:space="preserve">Mientras tanto, </w:t>
      </w:r>
      <w:r>
        <w:rPr>
          <w:rStyle w:val="Textoennegrita"/>
        </w:rPr>
        <w:t>lograr una ayuda pública</w:t>
      </w:r>
      <w:r>
        <w:t xml:space="preserve"> suele ser mucho más complicado. Hay que demostrar ante el organismo oficial de turno que se cumple con los requisitos, rellenar formularios, convencer a la administración de que realmente entra dentro del grupo previsto legalmente... Eso sí, una vez que se alcanza el objetivo, mantenerla es relativamente fácil. Sólo hay que seguir en la situación de dependencia que dio origen a la concesión del derecho.</w:t>
      </w:r>
    </w:p>
    <w:p w:rsidR="00BB7B36" w:rsidRPr="0080618D" w:rsidRDefault="00BB7B36" w:rsidP="00BB7B36">
      <w:pPr>
        <w:pStyle w:val="NormalWeb"/>
        <w:jc w:val="both"/>
        <w:rPr>
          <w:color w:val="FF0000"/>
          <w:u w:val="single"/>
        </w:rPr>
      </w:pPr>
      <w:r w:rsidRPr="0080618D">
        <w:rPr>
          <w:color w:val="FF0000"/>
          <w:u w:val="single"/>
        </w:rPr>
        <w:t>Una de las c</w:t>
      </w:r>
      <w:r>
        <w:rPr>
          <w:color w:val="FF0000"/>
          <w:u w:val="single"/>
        </w:rPr>
        <w:t>laves en este cambio hacia una “</w:t>
      </w:r>
      <w:r w:rsidRPr="0080618D">
        <w:rPr>
          <w:rStyle w:val="Textoennegrita"/>
          <w:color w:val="FF0000"/>
        </w:rPr>
        <w:t>sociedad participativa o gran sociedad</w:t>
      </w:r>
      <w:r>
        <w:rPr>
          <w:color w:val="FF0000"/>
          <w:u w:val="single"/>
        </w:rPr>
        <w:t>”</w:t>
      </w:r>
      <w:r w:rsidRPr="0080618D">
        <w:rPr>
          <w:color w:val="FF0000"/>
          <w:u w:val="single"/>
        </w:rPr>
        <w:t xml:space="preserve"> pasa por impulsar un cambio de actitud en los beneficiarios. Éstas ya no serán más derechos, sino ayudas que tienen como objetivo la salida de esa situación. Y por lo tanto, tendrán una contraprestación en forma de obligaciones que tendrán que cumplir, con la amenaza implícita de perder la prestación correspondiente.</w:t>
      </w:r>
    </w:p>
    <w:p w:rsidR="00BB7B36" w:rsidRDefault="00BB7B36" w:rsidP="00BB7B36">
      <w:pPr>
        <w:pStyle w:val="NormalWeb"/>
        <w:jc w:val="both"/>
      </w:pPr>
      <w:r w:rsidRPr="0080618D">
        <w:rPr>
          <w:color w:val="FF0000"/>
          <w:u w:val="single"/>
        </w:rPr>
        <w:t xml:space="preserve">Además, está la cuestión del montante de las ayudas. No puede ser que salga más rentable no trabajar que trabajar. Y, como veíamos ayer, hay ejemplos en los medios de personas que han hecho del </w:t>
      </w:r>
      <w:r w:rsidRPr="0080618D">
        <w:rPr>
          <w:rStyle w:val="nfasis"/>
          <w:color w:val="FF0000"/>
          <w:u w:val="single"/>
        </w:rPr>
        <w:t>welfare</w:t>
      </w:r>
      <w:r w:rsidRPr="0080618D">
        <w:rPr>
          <w:color w:val="FF0000"/>
          <w:u w:val="single"/>
        </w:rPr>
        <w:t xml:space="preserve"> su forma de vida</w:t>
      </w:r>
      <w:r>
        <w:t xml:space="preserve">. En este sentido, una de las medidas más comentadas y más polémicas </w:t>
      </w:r>
      <w:r w:rsidRPr="008170B3">
        <w:t xml:space="preserve">de </w:t>
      </w:r>
      <w:hyperlink r:id="rId30" w:history="1">
        <w:r w:rsidRPr="008170B3">
          <w:rPr>
            <w:rStyle w:val="Hipervnculo"/>
            <w:rFonts w:eastAsiaTheme="majorEastAsia"/>
            <w:color w:val="auto"/>
          </w:rPr>
          <w:t>David Cameron</w:t>
        </w:r>
      </w:hyperlink>
      <w:r w:rsidRPr="008170B3">
        <w:t xml:space="preserve"> fue </w:t>
      </w:r>
      <w:r>
        <w:t>poner un límite a lo que una familia puede cobrar. Ningún hogar de dos miembros tendrá más de 500 libras a la semana en ayudas públicas.</w:t>
      </w:r>
    </w:p>
    <w:p w:rsidR="00BB7B36" w:rsidRPr="000803A1" w:rsidRDefault="00BB7B36" w:rsidP="00BB7B36">
      <w:pPr>
        <w:pStyle w:val="Ttulo3"/>
        <w:jc w:val="both"/>
        <w:rPr>
          <w:rFonts w:ascii="Times New Roman" w:hAnsi="Times New Roman" w:cs="Times New Roman"/>
          <w:color w:val="auto"/>
          <w:sz w:val="24"/>
          <w:szCs w:val="24"/>
        </w:rPr>
      </w:pPr>
      <w:r w:rsidRPr="000803A1">
        <w:rPr>
          <w:rStyle w:val="Textoennegrita"/>
          <w:rFonts w:ascii="Times New Roman" w:hAnsi="Times New Roman" w:cs="Times New Roman"/>
          <w:color w:val="auto"/>
          <w:sz w:val="24"/>
          <w:szCs w:val="24"/>
        </w:rPr>
        <w:t>Más opciones</w:t>
      </w:r>
    </w:p>
    <w:p w:rsidR="00BB7B36" w:rsidRPr="0080618D" w:rsidRDefault="00BB7B36" w:rsidP="00BB7B36">
      <w:pPr>
        <w:pStyle w:val="NormalWeb"/>
        <w:jc w:val="both"/>
        <w:rPr>
          <w:u w:val="single"/>
        </w:rPr>
      </w:pPr>
      <w:r w:rsidRPr="0080618D">
        <w:rPr>
          <w:u w:val="single"/>
        </w:rPr>
        <w:t xml:space="preserve">No es sólo una cuestión de costes. En una sociedad como la actual, cada vez con </w:t>
      </w:r>
      <w:r w:rsidRPr="0080618D">
        <w:rPr>
          <w:rStyle w:val="Textoennegrita"/>
        </w:rPr>
        <w:t>más opciones al alcance de los ciudadanos</w:t>
      </w:r>
      <w:r w:rsidRPr="0080618D">
        <w:rPr>
          <w:u w:val="single"/>
        </w:rPr>
        <w:t>, quizás no tenga mucho sentido que todo lo que hace referencia a las pensiones, la salud o la educación, entre otros temas, sea escogido por un ministro o por su equipo de expertos.</w:t>
      </w:r>
    </w:p>
    <w:p w:rsidR="00BB7B36" w:rsidRPr="0080618D" w:rsidRDefault="00BB7B36" w:rsidP="00BB7B36">
      <w:pPr>
        <w:pStyle w:val="NormalWeb"/>
        <w:jc w:val="both"/>
        <w:rPr>
          <w:color w:val="FF0000"/>
          <w:u w:val="single"/>
        </w:rPr>
      </w:pPr>
      <w:r w:rsidRPr="0080618D">
        <w:rPr>
          <w:color w:val="FF0000"/>
          <w:u w:val="single"/>
        </w:rPr>
        <w:t>Los países del norte de Europa han puesto en marcha un proceso de descentralización en la toma de decisiones. La idea consiste en acercar lo más posib</w:t>
      </w:r>
      <w:r>
        <w:rPr>
          <w:color w:val="FF0000"/>
          <w:u w:val="single"/>
        </w:rPr>
        <w:t>le los servicios al ciudadano (“empoderar”</w:t>
      </w:r>
      <w:r w:rsidRPr="0080618D">
        <w:rPr>
          <w:color w:val="FF0000"/>
          <w:u w:val="single"/>
        </w:rPr>
        <w:t xml:space="preserve"> es el feo término de moda). En este sentido, el Gobierno británico quiere entregar algunas de sus competencias en su poder a los municipios y condados, en los que el control del vecino es mucho más estricto.</w:t>
      </w:r>
    </w:p>
    <w:p w:rsidR="00BB7B36" w:rsidRPr="0080618D" w:rsidRDefault="00BB7B36" w:rsidP="00BB7B36">
      <w:pPr>
        <w:pStyle w:val="NormalWeb"/>
        <w:jc w:val="both"/>
        <w:rPr>
          <w:color w:val="FF0000"/>
          <w:u w:val="single"/>
        </w:rPr>
      </w:pPr>
      <w:r w:rsidRPr="0080618D">
        <w:rPr>
          <w:color w:val="FF0000"/>
          <w:u w:val="single"/>
        </w:rPr>
        <w:t xml:space="preserve">Pero algunos países han ido más allá. En </w:t>
      </w:r>
      <w:hyperlink r:id="rId31" w:history="1">
        <w:r w:rsidRPr="0080618D">
          <w:rPr>
            <w:rStyle w:val="Hipervnculo"/>
            <w:rFonts w:eastAsiaTheme="majorEastAsia"/>
            <w:color w:val="FF0000"/>
          </w:rPr>
          <w:t>Suecia o Dinamarca</w:t>
        </w:r>
      </w:hyperlink>
      <w:r w:rsidRPr="0080618D">
        <w:rPr>
          <w:rStyle w:val="Textoennegrita"/>
          <w:color w:val="FF0000"/>
        </w:rPr>
        <w:t xml:space="preserve"> están vigentes</w:t>
      </w:r>
      <w:r w:rsidRPr="0080618D">
        <w:rPr>
          <w:color w:val="FF0000"/>
          <w:u w:val="single"/>
        </w:rPr>
        <w:t xml:space="preserve"> sistemas educativos cercanos al cheque escolar, quizás no con todas sus características, pero sí con algunas de las más importantes: autonomía para los centros, control de resultados, premios para los que mejor lo hagan,... Es decir, que tanto profesores como familias empiezan a dominar lo que pasa en la escuela. Ya no son burócratas los que deciden cómo, cuándo, dónde y qué estudia exactamente cada niño.</w:t>
      </w:r>
    </w:p>
    <w:p w:rsidR="00BB7B36" w:rsidRPr="0080618D" w:rsidRDefault="00BB7B36" w:rsidP="00BB7B36">
      <w:pPr>
        <w:pStyle w:val="NormalWeb"/>
        <w:jc w:val="both"/>
        <w:rPr>
          <w:color w:val="FF0000"/>
          <w:u w:val="single"/>
        </w:rPr>
      </w:pPr>
      <w:r w:rsidRPr="0080618D">
        <w:rPr>
          <w:color w:val="FF0000"/>
          <w:u w:val="single"/>
        </w:rPr>
        <w:t xml:space="preserve">Los cambios no sólo se ciñen a la educación. En </w:t>
      </w:r>
      <w:hyperlink r:id="rId32" w:history="1">
        <w:r w:rsidRPr="0080618D">
          <w:rPr>
            <w:rStyle w:val="Hipervnculo"/>
            <w:rFonts w:eastAsiaTheme="majorEastAsia"/>
            <w:color w:val="FF0000"/>
          </w:rPr>
          <w:t>Holanda</w:t>
        </w:r>
      </w:hyperlink>
      <w:r w:rsidRPr="0080618D">
        <w:rPr>
          <w:color w:val="FF0000"/>
          <w:u w:val="single"/>
        </w:rPr>
        <w:t xml:space="preserve">, por ejemplo, a mediados de la pasada década se puso en marcha una </w:t>
      </w:r>
      <w:r w:rsidRPr="0080618D">
        <w:rPr>
          <w:rStyle w:val="Textoennegrita"/>
          <w:color w:val="FF0000"/>
        </w:rPr>
        <w:t>reforma sanitaria revolucionaria</w:t>
      </w:r>
      <w:r w:rsidRPr="0080618D">
        <w:rPr>
          <w:color w:val="FF0000"/>
          <w:u w:val="single"/>
        </w:rPr>
        <w:t xml:space="preserve"> que ha logrado uno de los sistemas más elogiados del continente. Básicamente, consiste en que cada ciudadano está obligado a escoger al asegurador de su conveniencia. El Gobierno se limita a establecer el catálogo de servicios básicos que todos deben ofertar y prohíbe la discriminación por el historial médico. Además, hay ayudas públicas para aquellos que no pueden pagarse el seguro obligatorio. Pero en todo caso la decisión final queda en manos de cada familia.</w:t>
      </w:r>
    </w:p>
    <w:p w:rsidR="00BB7B36" w:rsidRPr="0080618D" w:rsidRDefault="00BB7B36" w:rsidP="00BB7B36">
      <w:pPr>
        <w:pStyle w:val="NormalWeb"/>
        <w:jc w:val="both"/>
        <w:rPr>
          <w:color w:val="FF0000"/>
          <w:u w:val="single"/>
        </w:rPr>
      </w:pPr>
      <w:r w:rsidRPr="0080618D">
        <w:rPr>
          <w:color w:val="FF0000"/>
          <w:u w:val="single"/>
        </w:rPr>
        <w:lastRenderedPageBreak/>
        <w:t xml:space="preserve">Y </w:t>
      </w:r>
      <w:hyperlink r:id="rId33" w:history="1">
        <w:r w:rsidRPr="0080618D">
          <w:rPr>
            <w:rStyle w:val="Hipervnculo"/>
            <w:rFonts w:eastAsiaTheme="majorEastAsia"/>
            <w:color w:val="FF0000"/>
          </w:rPr>
          <w:t>en Suecia</w:t>
        </w:r>
      </w:hyperlink>
      <w:r w:rsidRPr="0080618D">
        <w:rPr>
          <w:color w:val="FF0000"/>
          <w:u w:val="single"/>
        </w:rPr>
        <w:t>, uno de los países más innovadores en la materia, el sistema de pensiones público ya incluye un elemento de capitalización, que premia el ahorro individual. Además, se fomentan los planes privados y los de empresa, con importantes incentivos para su contratación.</w:t>
      </w:r>
    </w:p>
    <w:p w:rsidR="00BB7B36" w:rsidRPr="0080618D" w:rsidRDefault="00BB7B36" w:rsidP="00BB7B36">
      <w:pPr>
        <w:pStyle w:val="NormalWeb"/>
        <w:jc w:val="both"/>
        <w:rPr>
          <w:color w:val="FF0000"/>
          <w:u w:val="single"/>
        </w:rPr>
      </w:pPr>
      <w:r w:rsidRPr="0080618D">
        <w:rPr>
          <w:color w:val="FF0000"/>
          <w:u w:val="single"/>
        </w:rPr>
        <w:t xml:space="preserve">Este tipo de soluciones </w:t>
      </w:r>
      <w:r w:rsidRPr="0080618D">
        <w:rPr>
          <w:rStyle w:val="Textoennegrita"/>
          <w:color w:val="FF0000"/>
        </w:rPr>
        <w:t>no son un bálsamo mágico</w:t>
      </w:r>
      <w:r w:rsidRPr="0080618D">
        <w:rPr>
          <w:color w:val="FF0000"/>
          <w:u w:val="single"/>
        </w:rPr>
        <w:t xml:space="preserve"> que sana todos los males. Pero al menos permiten que los ciudadanos vuelvan a tomar el control de partes muy importantes de sus vidas. Digamos que el Estado se asegura de que todo el mundo tiene acceso a los servicios básicos, pero permite que sea cada familia la que decida cómo aprovecharse de ellos.</w:t>
      </w:r>
    </w:p>
    <w:p w:rsidR="00BB7B36" w:rsidRPr="0080618D" w:rsidRDefault="00BB7B36" w:rsidP="00BB7B36">
      <w:pPr>
        <w:pStyle w:val="NormalWeb"/>
        <w:jc w:val="both"/>
        <w:rPr>
          <w:u w:val="single"/>
        </w:rPr>
      </w:pPr>
      <w:r>
        <w:t xml:space="preserve">Muy vinculada con todo este fenómeno está la cuestión de cómo controlar a un poder político que cada día acumula más control sobre la vida de sus ciudadanos. Cameron apunta a la transparencia y la rendición de cuentas como dos claves para el desarrollo de su Gran Sociedad. Pero además, </w:t>
      </w:r>
      <w:r w:rsidRPr="0080618D">
        <w:rPr>
          <w:u w:val="single"/>
        </w:rPr>
        <w:t>si buena parte del presupuesto se gasta según los criterios de cada ciudadano particular, lo lógico es que desaparezcan también parte de los peores incentivos de la política. Ya no es el mandatario el que decide, sino que se convierte en un mero coordinador.</w:t>
      </w:r>
    </w:p>
    <w:p w:rsidR="00BB7B36" w:rsidRPr="000803A1" w:rsidRDefault="00BB7B36" w:rsidP="00BB7B36">
      <w:pPr>
        <w:pStyle w:val="Ttulo3"/>
        <w:jc w:val="both"/>
        <w:rPr>
          <w:rFonts w:ascii="Times New Roman" w:hAnsi="Times New Roman" w:cs="Times New Roman"/>
          <w:color w:val="auto"/>
          <w:sz w:val="24"/>
          <w:szCs w:val="24"/>
        </w:rPr>
      </w:pPr>
      <w:r w:rsidRPr="000803A1">
        <w:rPr>
          <w:rStyle w:val="Textoennegrita"/>
          <w:rFonts w:ascii="Times New Roman" w:hAnsi="Times New Roman" w:cs="Times New Roman"/>
          <w:color w:val="auto"/>
          <w:sz w:val="24"/>
          <w:szCs w:val="24"/>
        </w:rPr>
        <w:t>La factura</w:t>
      </w:r>
    </w:p>
    <w:p w:rsidR="00BB7B36" w:rsidRPr="0080618D" w:rsidRDefault="00BB7B36" w:rsidP="00BB7B36">
      <w:pPr>
        <w:pStyle w:val="NormalWeb"/>
        <w:jc w:val="both"/>
        <w:rPr>
          <w:color w:val="FF0000"/>
          <w:u w:val="single"/>
        </w:rPr>
      </w:pPr>
      <w:r w:rsidRPr="0080618D">
        <w:rPr>
          <w:color w:val="FF0000"/>
          <w:u w:val="single"/>
        </w:rPr>
        <w:t xml:space="preserve">Probablemente, el </w:t>
      </w:r>
      <w:r w:rsidRPr="0080618D">
        <w:rPr>
          <w:rStyle w:val="Textoennegrita"/>
          <w:color w:val="FF0000"/>
        </w:rPr>
        <w:t>gran problema del Estado del Bienestar</w:t>
      </w:r>
      <w:r w:rsidRPr="0080618D">
        <w:rPr>
          <w:color w:val="FF0000"/>
          <w:u w:val="single"/>
        </w:rPr>
        <w:t xml:space="preserve"> está en su financiación. Los costes han ido subiendo y ha llegado un momento en el que los ciudadanos se preguntan si merece la pena soportar este nivel de impuestos a cambio de los servicios que reciben. Para pagar todas estas prestaciones es imprescindible subir los tributos, pero eso tiene un peligro aparejado: puede espantar a los creadores de riqueza.</w:t>
      </w:r>
    </w:p>
    <w:p w:rsidR="00BB7B36" w:rsidRDefault="00BB7B36" w:rsidP="00BB7B36">
      <w:pPr>
        <w:pStyle w:val="NormalWeb"/>
        <w:jc w:val="both"/>
      </w:pPr>
      <w:r>
        <w:t xml:space="preserve">¿Qué pasaría si todos los trabajadores con sueldos superiores a 60.000 euros decidieran quedarse en sus casas o irse a otros países con una fiscalidad más ventajosa? De un día para otro, cualquier Estado europeo entraría en quiebra. Son estos contribuyentes, de clase media-alta, los que sostienen sus sistemas públicos. Y si desaparece el que paga la factura, se viene abajo el </w:t>
      </w:r>
      <w:r>
        <w:rPr>
          <w:rStyle w:val="nfasis"/>
        </w:rPr>
        <w:t>chiringuito</w:t>
      </w:r>
      <w:r>
        <w:t>.</w:t>
      </w:r>
    </w:p>
    <w:p w:rsidR="00BB7B36" w:rsidRPr="0080618D" w:rsidRDefault="00BB7B36" w:rsidP="00BB7B36">
      <w:pPr>
        <w:pStyle w:val="NormalWeb"/>
        <w:jc w:val="both"/>
        <w:rPr>
          <w:u w:val="single"/>
        </w:rPr>
      </w:pPr>
      <w:r w:rsidRPr="0080618D">
        <w:rPr>
          <w:u w:val="single"/>
        </w:rPr>
        <w:t xml:space="preserve">En este sentido, hay que traer de nuevo a colación la </w:t>
      </w:r>
      <w:hyperlink r:id="rId34" w:history="1">
        <w:r w:rsidRPr="008170B3">
          <w:rPr>
            <w:rStyle w:val="Hipervnculo"/>
            <w:rFonts w:eastAsiaTheme="majorEastAsia"/>
            <w:color w:val="auto"/>
          </w:rPr>
          <w:t>famosa Curva de Laffer</w:t>
        </w:r>
      </w:hyperlink>
      <w:r w:rsidRPr="008170B3">
        <w:rPr>
          <w:u w:val="single"/>
        </w:rPr>
        <w:t>.</w:t>
      </w:r>
      <w:r w:rsidRPr="0080618D">
        <w:rPr>
          <w:u w:val="single"/>
        </w:rPr>
        <w:t xml:space="preserve"> Si los impuestos estuvieran en el 0%, no se recaudaría nada. Pero si estuvieran en el 100%, tampoco, porque nadie trabajaría. Por lo tanto, hay un punto en el que seguir subiendo los tributos comienza a ser perjudicial para la Hacienda de un país. ¿Cuál? No se sabe con exactitud. Pero en Europa, parece claro que casi todos los países están cerca.</w:t>
      </w:r>
    </w:p>
    <w:p w:rsidR="00BB7B36" w:rsidRPr="0080618D" w:rsidRDefault="00BB7B36" w:rsidP="00BB7B36">
      <w:pPr>
        <w:pStyle w:val="NormalWeb"/>
        <w:jc w:val="both"/>
        <w:rPr>
          <w:u w:val="single"/>
        </w:rPr>
      </w:pPr>
      <w:r w:rsidRPr="0080618D">
        <w:rPr>
          <w:color w:val="FF0000"/>
          <w:u w:val="single"/>
        </w:rPr>
        <w:t xml:space="preserve">Exceptuando a los estados ex comunistas, el </w:t>
      </w:r>
      <w:r w:rsidRPr="0080618D">
        <w:rPr>
          <w:rStyle w:val="Textoennegrita"/>
          <w:color w:val="FF0000"/>
        </w:rPr>
        <w:t>nivel de presión fiscal</w:t>
      </w:r>
      <w:r w:rsidRPr="0080618D">
        <w:rPr>
          <w:color w:val="FF0000"/>
          <w:u w:val="single"/>
        </w:rPr>
        <w:t xml:space="preserve"> en una situación de normalidad (en crisis puede haber grandes fluctuaciones) está entre el 40 y el 55%.</w:t>
      </w:r>
      <w:r w:rsidRPr="0080618D">
        <w:rPr>
          <w:color w:val="FF0000"/>
        </w:rPr>
        <w:t xml:space="preserve"> </w:t>
      </w:r>
      <w:r w:rsidRPr="0080618D">
        <w:rPr>
          <w:u w:val="single"/>
        </w:rPr>
        <w:t>Parece complicado subir más este nivel sin provocar una fuga de cerebros. De hecho, son habituales las historias de alemanes, franceses o españoles que encuentran en Silicon Valley las facilidades que no existen en sus países.</w:t>
      </w:r>
    </w:p>
    <w:p w:rsidR="00BB7B36" w:rsidRPr="0080618D" w:rsidRDefault="00BB7B36" w:rsidP="00BB7B36">
      <w:pPr>
        <w:pStyle w:val="NormalWeb"/>
        <w:jc w:val="both"/>
        <w:rPr>
          <w:u w:val="single"/>
        </w:rPr>
      </w:pPr>
      <w:r w:rsidRPr="0080618D">
        <w:rPr>
          <w:u w:val="single"/>
        </w:rPr>
        <w:t xml:space="preserve">De nuevo, los </w:t>
      </w:r>
      <w:r w:rsidRPr="0080618D">
        <w:rPr>
          <w:rStyle w:val="Textoennegrita"/>
        </w:rPr>
        <w:t>países nórdicos aparecen a la cabeza de las innovaciones</w:t>
      </w:r>
      <w:r w:rsidRPr="0080618D">
        <w:rPr>
          <w:u w:val="single"/>
        </w:rPr>
        <w:t xml:space="preserve">. Por una parte, el nivel de presión fiscal se ha reducido en ellos de forma notable. Sí, siguen siendo los estados más voraces del mundo, pero a niveles muy inferiores a los de comienzos de los noventa. Y si </w:t>
      </w:r>
      <w:hyperlink r:id="rId35" w:history="1">
        <w:r w:rsidRPr="008170B3">
          <w:rPr>
            <w:rStyle w:val="Hipervnculo"/>
            <w:rFonts w:eastAsiaTheme="majorEastAsia"/>
            <w:color w:val="auto"/>
          </w:rPr>
          <w:t>medimos el esfuerzo fiscal</w:t>
        </w:r>
      </w:hyperlink>
      <w:r w:rsidRPr="0080618D">
        <w:rPr>
          <w:u w:val="single"/>
        </w:rPr>
        <w:t xml:space="preserve"> (es decir, presión fiscal en función del nivel de riqueza), éste es menor que en muchos países del sur de Europa.</w:t>
      </w:r>
    </w:p>
    <w:p w:rsidR="00BB7B36" w:rsidRPr="0080618D" w:rsidRDefault="00BB7B36" w:rsidP="00BB7B36">
      <w:pPr>
        <w:pStyle w:val="NormalWeb"/>
        <w:jc w:val="both"/>
        <w:rPr>
          <w:u w:val="single"/>
        </w:rPr>
      </w:pPr>
      <w:r w:rsidRPr="0080618D">
        <w:rPr>
          <w:u w:val="single"/>
        </w:rPr>
        <w:lastRenderedPageBreak/>
        <w:t>Pero hay otra cuestión relevante. Suecia, Holanda o Dinamarca encabezan de forma recurrente los</w:t>
      </w:r>
      <w:r w:rsidRPr="0080618D">
        <w:rPr>
          <w:rStyle w:val="Textoennegrita"/>
        </w:rPr>
        <w:t xml:space="preserve"> rankings de libertad económica </w:t>
      </w:r>
      <w:r w:rsidRPr="0080618D">
        <w:rPr>
          <w:u w:val="single"/>
        </w:rPr>
        <w:t>junto a Singapur, Hong Kong, Nueva Zelanda o Australia. Esto es notable, porque una de las cuestiones que más en cuenta tienen estos índices es el nivel impositivo y ya hemos visto que su puntuación en este apartado no es demasiado buena. Lo que quiere decir esto es que en el resto de aspectos, sus economías son muy competitivas, lo que les permite compensar (en parte) lo que pierden en materia tributaria. En cuestiones laborales, regulatorias, comerciales o de respeto a los derechos de propiedad tienen unas excelentes calificaciones.</w:t>
      </w:r>
    </w:p>
    <w:p w:rsidR="00BB7B36" w:rsidRPr="0036481B" w:rsidRDefault="00BB7B36" w:rsidP="00BB7B36">
      <w:pPr>
        <w:pStyle w:val="NormalWeb"/>
        <w:jc w:val="both"/>
        <w:rPr>
          <w:color w:val="FF0000"/>
          <w:u w:val="single"/>
        </w:rPr>
      </w:pPr>
      <w:r>
        <w:t xml:space="preserve">En general, en todos estos países, el </w:t>
      </w:r>
      <w:r>
        <w:rPr>
          <w:rStyle w:val="Textoennegrita"/>
        </w:rPr>
        <w:t>debate sigue abierto</w:t>
      </w:r>
      <w:r>
        <w:t xml:space="preserve">. Y las actitudes hacia los cambios son mucho más positivas que en España. </w:t>
      </w:r>
      <w:r w:rsidRPr="0036481B">
        <w:rPr>
          <w:color w:val="FF0000"/>
          <w:u w:val="single"/>
        </w:rPr>
        <w:t>Las preguntas no son sencillas de contestar. ¿Cómo conseguir un sistema impositivo que pueda pagar las prestaciones sociales actuales sin disparar una fuga de talento? ¿Qué hacer para evitar la aparición de una clase parasitaria que desanime al conjunto de la sociedad? ¿Es posible rebajar la factura de los servicios públicos? ¿Se puede competir con las economías avanzadas del resto del mundo con un 50% de presión fiscal? ¿Qué incentivos hay para innovar, arriesgarse o crear riqueza en unos estados que le garantizan al ciudadano que cuidarán de él "de la cuna a la tumba"? La respuesta a estos interrogantes marcará el éxito o el fracaso de los países europeos en las próximas décadas.</w:t>
      </w:r>
    </w:p>
    <w:p w:rsidR="00BB7B36" w:rsidRPr="00683E51" w:rsidRDefault="00BB7B36" w:rsidP="00BB7B36">
      <w:pPr>
        <w:pStyle w:val="NormalWeb"/>
        <w:jc w:val="both"/>
        <w:rPr>
          <w:b/>
        </w:rPr>
      </w:pPr>
      <w:r>
        <w:rPr>
          <w:b/>
        </w:rPr>
        <w:t xml:space="preserve">1.4 - </w:t>
      </w:r>
      <w:r w:rsidRPr="00683E51">
        <w:rPr>
          <w:b/>
        </w:rPr>
        <w:t xml:space="preserve">Reinventando el Estado del Bienestar </w:t>
      </w:r>
    </w:p>
    <w:p w:rsidR="00BB7B36" w:rsidRDefault="00BB7B36" w:rsidP="00BB7B36">
      <w:pPr>
        <w:pStyle w:val="NormalWeb"/>
        <w:jc w:val="both"/>
      </w:pPr>
      <w:r>
        <w:t xml:space="preserve">- </w:t>
      </w:r>
      <w:r w:rsidRPr="008E17DE">
        <w:rPr>
          <w:u w:val="single"/>
        </w:rPr>
        <w:t>Otro Estado del bienestar. El nuevo modelo sueco</w:t>
      </w:r>
      <w:r>
        <w:t xml:space="preserve"> (RdL - </w:t>
      </w:r>
      <w:r w:rsidRPr="008E17DE">
        <w:rPr>
          <w:b/>
        </w:rPr>
        <w:t>2008</w:t>
      </w:r>
      <w:r>
        <w:t xml:space="preserve">)  Lectura recomendada </w:t>
      </w:r>
    </w:p>
    <w:p w:rsidR="00BB7B36" w:rsidRDefault="00BB7B36" w:rsidP="00BB7B36">
      <w:pPr>
        <w:pStyle w:val="NormalWeb"/>
        <w:jc w:val="both"/>
      </w:pPr>
      <w:r>
        <w:t>(Por Fernando Eguidazu)</w:t>
      </w:r>
    </w:p>
    <w:p w:rsidR="00BB7B36" w:rsidRDefault="00BB7B36" w:rsidP="00BB7B36">
      <w:pPr>
        <w:pStyle w:val="NormalWeb"/>
        <w:jc w:val="both"/>
      </w:pPr>
      <w:r>
        <w:t>El debate sobre el Estado del bienestar, su sostenibilidad y su futuro suscita, por desgracia, más pasiones que razonamientos. Para quienes creen posible la permanente reivindicación de nuevas conquistas sociales y defienden un modelo de gestión pública, el cuestionamiento de este modelo, o la reflexión sobre sus costes y consecuencias, constituyen una expresión de insensibilidad social que excluye la posibilidad de diálogo.</w:t>
      </w:r>
    </w:p>
    <w:p w:rsidR="00BB7B36" w:rsidRDefault="00BB7B36" w:rsidP="00BB7B36">
      <w:pPr>
        <w:pStyle w:val="NormalWeb"/>
        <w:jc w:val="both"/>
      </w:pPr>
      <w:r>
        <w:t>Posturas tan extremas no son hoy ya, afortunadamente, generales, pero aún existen. Y sobre todo, perviven todavía dos ideas muy arraigadas, y que ofrecen tenaz resistencia al debate: la primera es la convicción de que los bienes y servicios propios del Estado del bienestar (sanidad, educación, servicios sociales...) deben ser provistos directamente por el sector público, como única forma de asegurar su carácter universal e igualitario (cualquier participación privada se mira con desconfianza, por su riesgo de “mercantilizar” o, incluso, de “parasitar” el campo de lo social). La segunda tiene que ver con una falta de preocupación respecto de los costes, y de sus consecuencias para el crecimiento económico y el empleo. No es que se consideren inexistentes o irrelevantes (aunque haya quien piense que casi cualquier tamaño del Estado del bienestar es viable), pero sí se tiende a minimizar la importancia de esta cuestión.</w:t>
      </w:r>
    </w:p>
    <w:p w:rsidR="00BB7B36" w:rsidRPr="005B522D" w:rsidRDefault="00BB7B36" w:rsidP="00BB7B36">
      <w:pPr>
        <w:pStyle w:val="NormalWeb"/>
        <w:jc w:val="both"/>
        <w:rPr>
          <w:u w:val="single"/>
        </w:rPr>
      </w:pPr>
      <w:r w:rsidRPr="005B522D">
        <w:rPr>
          <w:u w:val="single"/>
        </w:rPr>
        <w:t xml:space="preserve">Entendámonos. Un Estado que asegure a sus ciudadanos la igualdad de oportunidades (a través, fundamentalmente, de una educación universal y gratuita) y la protección frente a la adversidad (a través de un sistema sanitario universal y gratuito, y una cobertura de las contingencias de jubilación, invalidez, viudedad y orfandad, entre otras) es algo universalmente aceptado, que goza de un respaldo social pleno, y que aun en los países </w:t>
      </w:r>
      <w:r w:rsidRPr="005B522D">
        <w:rPr>
          <w:u w:val="single"/>
        </w:rPr>
        <w:lastRenderedPageBreak/>
        <w:t>más reticentes a la intervención de los poderes públicos en la vida económica se acepta sin reservas. Son, en definitiva, ideas que han dejado de ser ya patrimonio de la izquierda. Pero que el Estado del bienestar sea hoy indiscutible e indiscutido no significa que lo sea también su tamaño. Muy al contrario, sus límites son actualmente tema de vivo debate en Europa.</w:t>
      </w:r>
    </w:p>
    <w:p w:rsidR="00BB7B36" w:rsidRDefault="00BB7B36" w:rsidP="00BB7B36">
      <w:pPr>
        <w:pStyle w:val="NormalWeb"/>
        <w:jc w:val="both"/>
      </w:pPr>
      <w:r w:rsidRPr="005B522D">
        <w:rPr>
          <w:u w:val="single"/>
        </w:rPr>
        <w:t>El primer problema que plantea el Estado del bienestar es su propensión estructural al crecimiento. Por una parte, las demandas sociales son, por definición, infinitas. Por amplias y generosas que sean las prestaciones sanitarias, educativas o asistenciales, siempre será posible exigir más. Siempre podrán plantearse nuevas conquistas sociales, nuevos “pilares” del Estado del bienestar, sobre todo si existe el criterio de que toda necesidad genera necesariamente un derecho. Y, por otra parte, los costes de las prestaciones son crecientes.</w:t>
      </w:r>
      <w:r>
        <w:t xml:space="preserve"> En materia sanitaria, por ejemplo, los avances médicos y los nuevos tratamientos permiten salvar más vidas y mejorar la salud de los ciudadanos, pero a costes cada vez más altos. Por último, el factor demográfico genera también mayores costes: más jubilados, y con mayor esperanza de vida, suponen pensiones de jubilación más prolongadas, mayores gastos médicos y mayores gastos asistenciales.</w:t>
      </w:r>
    </w:p>
    <w:p w:rsidR="00BB7B36" w:rsidRPr="005B522D" w:rsidRDefault="00BB7B36" w:rsidP="00BB7B36">
      <w:pPr>
        <w:pStyle w:val="NormalWeb"/>
        <w:jc w:val="both"/>
        <w:rPr>
          <w:u w:val="single"/>
        </w:rPr>
      </w:pPr>
      <w:r w:rsidRPr="005B522D">
        <w:rPr>
          <w:u w:val="single"/>
        </w:rPr>
        <w:t>A todo esto debe sumarse un electoralismo no siempre responsable</w:t>
      </w:r>
      <w:r>
        <w:t xml:space="preserve">. Una forma primaria de buscar votos consiste en ofrecer nuevos y mayores “derechos” (más prestaciones, más ayudas, más cheques asistenciales...), porque “nuestro nivel de desarrollo lo permite”. Si tal cosa fuera siempre cierta, poco habría que discutir. </w:t>
      </w:r>
      <w:r w:rsidRPr="005B522D">
        <w:rPr>
          <w:u w:val="single"/>
        </w:rPr>
        <w:t>Pero el hecho es que en buena parte de Europa (y, muy en concreto, en Alemania y Francia) se ha llegado, tiempo ha, a la conclusión de que su actual volumen de gasto social está estrangulando el crecimiento económico. Que su financiación, vía presión fiscal creciente y deuda pública disparada, está frenando el desarrollo y afectando seriamente al empleo. Y que, en consecuencia, un país debe atenerse no al gasto social que le gustaría, sino al que puede permitirse.</w:t>
      </w:r>
    </w:p>
    <w:p w:rsidR="00BB7B36" w:rsidRPr="005B522D" w:rsidRDefault="00BB7B36" w:rsidP="00BB7B36">
      <w:pPr>
        <w:pStyle w:val="NormalWeb"/>
        <w:jc w:val="both"/>
        <w:rPr>
          <w:u w:val="single"/>
        </w:rPr>
      </w:pPr>
      <w:r w:rsidRPr="005B522D">
        <w:rPr>
          <w:u w:val="single"/>
        </w:rPr>
        <w:t>Determinar los límites del Estado del bienestar no es tarea fácil. No existen ecuaciones que nos indiquen cuál es el gasto social óptimo compatible con tasas aceptables de crecimiento de la renta y el empleo. En este terreno, como en otros, debemos guiarnos por el sistema de prueba y error</w:t>
      </w:r>
      <w:r>
        <w:t xml:space="preserve">. Podemos saber cuándo ese nivel de gasto social tiene efectos negativos sobre la renta y el empleo (caso de Francia y Alemania), o cuándo la bonanza económica deja un margen para aumentos de ese gasto. </w:t>
      </w:r>
      <w:r w:rsidRPr="005B522D">
        <w:rPr>
          <w:u w:val="single"/>
        </w:rPr>
        <w:t>Pero sobre cuál sea el nivel adecuado, el porcentaje óptimo de gasto social sobre el PIB, no cabe sino aspirar a una intuición razonable.</w:t>
      </w:r>
    </w:p>
    <w:p w:rsidR="00BB7B36" w:rsidRPr="005B522D" w:rsidRDefault="00BB7B36" w:rsidP="00BB7B36">
      <w:pPr>
        <w:pStyle w:val="NormalWeb"/>
        <w:jc w:val="both"/>
        <w:rPr>
          <w:u w:val="single"/>
        </w:rPr>
      </w:pPr>
      <w:r w:rsidRPr="005B522D">
        <w:rPr>
          <w:u w:val="single"/>
        </w:rPr>
        <w:t>No puede, por otra parte, abordarse el problema de la cuantía del gasto social sin abordar a la vez la cuestión de sus formas de gestión. Subsiste en buena parte de la izquierda la convicción de que los bienes y servicios públicos deben ser provistos por las Administraciones públicas. La gestión privada se contempla con indisimulada hostilidad por dos razones: primera, por un claro prejuicio ideológico, ya que hay algo intrínsecamente inmoral en la obtención de beneficios en este tipo de actividades; y, segunda, porque se piensa que sólo la gestión pública puede garantizar la igualdad y la ausencia de discriminación entre los beneficiarios.</w:t>
      </w:r>
    </w:p>
    <w:p w:rsidR="00BB7B36" w:rsidRDefault="00BB7B36" w:rsidP="00BB7B36">
      <w:pPr>
        <w:pStyle w:val="NormalWeb"/>
        <w:jc w:val="both"/>
      </w:pPr>
      <w:r w:rsidRPr="005B522D">
        <w:rPr>
          <w:u w:val="single"/>
        </w:rPr>
        <w:t xml:space="preserve">Pero esta gestión pública de las prestaciones sociales presenta inconvenientes que no deberían obviarse. Ante todo, la limitación de recursos y la peor capacidad gestora del sector público suelen redundar, desgraciadamente, en una pérdida de calidad. O, al </w:t>
      </w:r>
      <w:r w:rsidRPr="005B522D">
        <w:rPr>
          <w:u w:val="single"/>
        </w:rPr>
        <w:lastRenderedPageBreak/>
        <w:t>menos, en una calidad que no es la que los beneficiarios desearían</w:t>
      </w:r>
      <w:r>
        <w:t xml:space="preserve">. </w:t>
      </w:r>
      <w:r w:rsidRPr="005B522D">
        <w:rPr>
          <w:u w:val="single"/>
        </w:rPr>
        <w:t>Nos encontramos, así, con un sistema sanitario poco satisfactorio (con listas de espera superiores a las razonables), un sistema educativo con resultados decepcionantes (en términos de fracaso escolar y bajo nivel de conocimientos), o un sistema de pensiones con mensualidades insuficientes.</w:t>
      </w:r>
      <w:r>
        <w:t xml:space="preserve"> Podemos extendernos hasta el infinito en la discusión sobre el nivel de calidad de estas prestaciones, pero sobre lo que cabe, creo, poca discusión es sobre la percepción social de que esa calidad no es la que los beneficiarios reclaman.</w:t>
      </w:r>
    </w:p>
    <w:p w:rsidR="00BB7B36" w:rsidRDefault="00BB7B36" w:rsidP="00BB7B36">
      <w:pPr>
        <w:pStyle w:val="NormalWeb"/>
        <w:jc w:val="both"/>
      </w:pPr>
      <w:r w:rsidRPr="005B522D">
        <w:rPr>
          <w:u w:val="single"/>
        </w:rPr>
        <w:t>Si de lo que se trata es de asegurar la igualdad, aunque sea a costa de una calidad discreta, algunos podrían defender que la ecuación merece la pena. Pero el hecho es que el deterioro en la calidad de estas prestaciones contribuye al crecimiento de las desigualdades</w:t>
      </w:r>
      <w:r>
        <w:t>. Los más pudientes siempre podrán recurrir, por supuesto, a servicios sanitarios y educativos privados de mayor calidad, y podrán suscribir planes privados de pensiones más generosos. Nada hay de malo en ello si el nivel de lo que reciben quienes dependen de las prestaciones públicas es razonable. Pero cuanto más bajo sea este último, mayor será el número de personas que deban destinar una parte de sus recursos a asegurarse unas prestaciones privadas mejores. Y con ello se abrirá el camino a una desigualdad creciente.</w:t>
      </w:r>
    </w:p>
    <w:p w:rsidR="00BB7B36" w:rsidRDefault="00BB7B36" w:rsidP="00BB7B36">
      <w:pPr>
        <w:pStyle w:val="NormalWeb"/>
        <w:jc w:val="both"/>
      </w:pPr>
      <w:r w:rsidRPr="005B522D">
        <w:rPr>
          <w:u w:val="single"/>
        </w:rPr>
        <w:t>La educación es un ejemplo evidente</w:t>
      </w:r>
      <w:r>
        <w:t>. Durante muchas décadas la educación en España ha sido un gran factor de igualación social. Insuficiente, posiblemente, y con importantes defectos pero, con todo, el sistema educativo ha constituido una palanca de promoción económica y social para muchos ciudadanos. Ahora bien, en los últimos tiempos diversos indicadores evidencian serias deficiencias (y aun un deterioro) en nuestro sistema educativo. Y ello es preocupante, porque puede acabar por llevarnos a una situación de hecho discriminatoria e injusta, en que quienes disponen de recursos para ello pueden obtener una educación privada de calidad, y quienes no los tienen deben conformarse con una formación deficiente -o en todo caso, peor- que les colocará en inferioridad de condiciones en su vida laboral.</w:t>
      </w:r>
    </w:p>
    <w:p w:rsidR="00BB7B36" w:rsidRDefault="00BB7B36" w:rsidP="00BB7B36">
      <w:pPr>
        <w:pStyle w:val="NormalWeb"/>
        <w:jc w:val="both"/>
      </w:pPr>
      <w:r w:rsidRPr="005B522D">
        <w:rPr>
          <w:u w:val="single"/>
        </w:rPr>
        <w:t>Aún cabe otra reflexión. Un monopolio público de las prestaciones sociales, aunque asegurara la igualdad -cosa discutible, como antes se argumentó-, lo haría a costa de una pérdida de libertad para el beneficiario</w:t>
      </w:r>
      <w:r>
        <w:t xml:space="preserve">. La posibilidad de elegir entre diversas opciones, en este campo de las prestaciones sociales, no es algo que deba descartarse por principio, ni tampoco algo imposible de conseguir. </w:t>
      </w:r>
      <w:r w:rsidRPr="00281B0B">
        <w:rPr>
          <w:u w:val="single"/>
        </w:rPr>
        <w:t>Y, sin embargo, el Estado paternalista tiende a rechazar cualquier posibilidad en este sentido: se garantiza a los ciudadanos unas determinadas prestaciones, pero en régimen de monopolio y sin posibilidad de elegir.</w:t>
      </w:r>
      <w:r>
        <w:t xml:space="preserve"> Nos encontramos con que somos libres para decidir qué automóvil o televisor compraremos, o en qué hotel pasaremos nuestras vacaciones, pero en cambio no lo somos para elegir en qué colegio educaremos a nuestros hijos, o en qué hospital atenderán nuestras enfermedades (salvo que lo paguemos aparte, claro), pese a ser estos últimos supuestos bastante más importantes. </w:t>
      </w:r>
      <w:r w:rsidRPr="00281B0B">
        <w:rPr>
          <w:u w:val="single"/>
        </w:rPr>
        <w:t>La libertad de elección es una parte consustancial de la libertad a secas, y es un privilegio irrenunciable del ciudadano. Y la igualdad de derechos, o la universalidad de la cobertura en materia sanitaria o educativa, no deberían ser incompatibles con la posibilidad de los usuarios de elegir entre diversas opciones.</w:t>
      </w:r>
      <w:r>
        <w:t xml:space="preserve"> Ahora bien, ¿es posible en la práctica esta libertad de elección? De todo ello trata el libro de Mauricio Rojas Reinventar el Estado del bienestar.</w:t>
      </w:r>
    </w:p>
    <w:p w:rsidR="00BB7B36" w:rsidRDefault="00BB7B36" w:rsidP="00BB7B36">
      <w:pPr>
        <w:pStyle w:val="NormalWeb"/>
        <w:jc w:val="both"/>
      </w:pPr>
      <w:r>
        <w:lastRenderedPageBreak/>
        <w:t>La obra tiene un grave inconveniente: está prologada por José María Aznar. Y eso, en un país tan maniqueo como el nuestro, la descalificará a priori para muchos. Pero si uno es capaz de superar los prejuicios y de prescindir de las etiquetas, se encontrará con una lúcida y revulsiva reflexión sobre el Estado del bienestar y sus posibilidades.</w:t>
      </w:r>
    </w:p>
    <w:p w:rsidR="00BB7B36" w:rsidRPr="00281B0B" w:rsidRDefault="00BB7B36" w:rsidP="00BB7B36">
      <w:pPr>
        <w:pStyle w:val="NormalWeb"/>
        <w:jc w:val="both"/>
        <w:rPr>
          <w:u w:val="single"/>
        </w:rPr>
      </w:pPr>
      <w:r w:rsidRPr="00281B0B">
        <w:rPr>
          <w:u w:val="single"/>
        </w:rPr>
        <w:t>Mauricio Rojas es un economista chileno autor de numerosos ensayos, entre ellos uno espléndido sobre la economía argentina. (“Ajá, chileno -dirán algunos-, otro cachorro de Pinochet”. Pues no: Rojas se afincó en Suecia en 1974 huyendo de la dictadura), y en el libro que comentamos analiza la experiencia de Suecia en materia de derechos sociales.</w:t>
      </w:r>
    </w:p>
    <w:p w:rsidR="00BB7B36" w:rsidRPr="00281B0B" w:rsidRDefault="00BB7B36" w:rsidP="00BB7B36">
      <w:pPr>
        <w:pStyle w:val="NormalWeb"/>
        <w:jc w:val="both"/>
        <w:rPr>
          <w:u w:val="single"/>
        </w:rPr>
      </w:pPr>
      <w:r w:rsidRPr="00281B0B">
        <w:rPr>
          <w:u w:val="single"/>
        </w:rPr>
        <w:t>Durante mucho tiempo, Suecia ha sido un admirado ejemplo de modelo social avanzado, compatible con la economía de mercado, una prueba palpable de que era posible disfrutar de un Estado del bienestar generoso en un marco de economía de mercado con libertad de empresa y progreso económico. Un ejemplo a imitar, como alternativa tanto frente al comunismo que asegura la igualdad a costa de la prosperidad, como frente al capitalismo que asegura la prosperidad a costa de la igualdad.</w:t>
      </w:r>
    </w:p>
    <w:p w:rsidR="00BB7B36" w:rsidRPr="00281B0B" w:rsidRDefault="00BB7B36" w:rsidP="00BB7B36">
      <w:pPr>
        <w:pStyle w:val="NormalWeb"/>
        <w:jc w:val="both"/>
        <w:rPr>
          <w:u w:val="single"/>
        </w:rPr>
      </w:pPr>
      <w:r>
        <w:t xml:space="preserve">Lo que nos cuenta Rojas es que ese modelo sueco pertenece ya a la historia. Aunque una parte de la izquierda no parezca haberlo percibido, </w:t>
      </w:r>
      <w:r w:rsidRPr="00281B0B">
        <w:rPr>
          <w:u w:val="single"/>
        </w:rPr>
        <w:t>el actual modelo sueco tiene ya muy poco que ver con aquel que durante tanto tiempo encandiló a los socialdemócratas y que ha venido señalándose como meta a alcanzar.</w:t>
      </w:r>
    </w:p>
    <w:p w:rsidR="00BB7B36" w:rsidRPr="00281B0B" w:rsidRDefault="00BB7B36" w:rsidP="00BB7B36">
      <w:pPr>
        <w:pStyle w:val="NormalWeb"/>
        <w:jc w:val="both"/>
        <w:rPr>
          <w:u w:val="single"/>
        </w:rPr>
      </w:pPr>
      <w:r w:rsidRPr="00281B0B">
        <w:rPr>
          <w:u w:val="single"/>
        </w:rPr>
        <w:t>Este gran Estado benefactor sueco, tan admirado por la izquierda europea, y que se instauró en los años sesenta, entró en los años noventa en una profunda crisis que provocó profundas reformas, hasta desembocar en un modelo que es hoy bien distinto del que aún perdura en la imaginación de muchos.</w:t>
      </w:r>
    </w:p>
    <w:p w:rsidR="00BB7B36" w:rsidRDefault="00BB7B36" w:rsidP="00BB7B36">
      <w:pPr>
        <w:pStyle w:val="NormalWeb"/>
        <w:jc w:val="both"/>
      </w:pPr>
      <w:r>
        <w:t>Hasta los años sesenta Suecia había sido un país que disfrutaba de altas tasas de crecimiento (la segunda mayor de Europa, detrás de Suiza, entre 1870 y 1950), con un nivel impositivo bajo (inferior al de Francia, Alemania o Reino Unido, e incluso al de Estados Unidos), y con un sector público de reducido tamaño (inferior incluso al británico o al estadounidense). En este período se construyó un sistema de seguridad y servicios sociales básicos, y se logró un consenso entre los agentes sociales que dio estabilidad al mercado laboral. Esta vía de reformismo prudente fue la línea predominante de la socialdemocracia sueca durante la primera mitad del siglo xx.</w:t>
      </w:r>
    </w:p>
    <w:p w:rsidR="00BB7B36" w:rsidRPr="00281B0B" w:rsidRDefault="00BB7B36" w:rsidP="00BB7B36">
      <w:pPr>
        <w:pStyle w:val="NormalWeb"/>
        <w:jc w:val="both"/>
        <w:rPr>
          <w:u w:val="single"/>
        </w:rPr>
      </w:pPr>
      <w:r w:rsidRPr="00281B0B">
        <w:rPr>
          <w:u w:val="single"/>
        </w:rPr>
        <w:t>A partir de los años sesenta, sin embargo, se impuso un viraje en la socialdemocracia sueca hacia fórmulas más radicales. La carga tributaria creció entre 1960 y 1990, pasando del 28 al 56% del PIB (de ser inferior en un 2,1% a la de la OCDE pasó a ser superior en un 54,1%). Con este descomunal incremento de los recursos públicos se financió un Estado del bienestar gigantesco (el gasto público pasó de ser el 31% del PIB a ser el 60%), caracterizado por la gestión pública exclusiva de las prestaciones sociales (con ello el empleo público se triplicó durante el período). Paralelamente aumentó el intervencionismo del Estado en la economía, se rompió el delicado equilibrio de consenso de la etapa anterior, con un clima de confrontación creciente, y se abrió la puerta a reivindicaciones salariales permanentes. El resultado fue la rápida expansión de la economía planificada a costa de la economía de mercado. Como botón de muestra, entre 1965 y 1985 el empleo en el sector privado se redujo en 274.000 personas y el empleo en el sector público aumentó en 850.000.</w:t>
      </w:r>
    </w:p>
    <w:p w:rsidR="00BB7B36" w:rsidRPr="00281B0B" w:rsidRDefault="00BB7B36" w:rsidP="00BB7B36">
      <w:pPr>
        <w:pStyle w:val="NormalWeb"/>
        <w:jc w:val="both"/>
        <w:rPr>
          <w:u w:val="single"/>
        </w:rPr>
      </w:pPr>
      <w:r w:rsidRPr="00281B0B">
        <w:rPr>
          <w:u w:val="single"/>
        </w:rPr>
        <w:lastRenderedPageBreak/>
        <w:t>El propósito del modelo era asegurar a todos los ciudadanos una amplia y generosa cobertura social (atención sanitaria, educación, prestaciones por desempleo, pensiones...) financiada públicamente y gestionada también públicamente. Pero para que tal cosa pueda cumplirse se requiere, por una parte, una carga tributaria muy elevada y, por otra, una favorable relación entre cotizantes y beneficiarios. Y esta ecuación tiene límites</w:t>
      </w:r>
      <w:r>
        <w:t xml:space="preserve">. Un gasto social creciente que exige, para financiarlo, impuestos y cargas sociales crecientes, en la medida en que desincentiva el trabajo termina por alterar negativamente la mencionada relación entre población activa y pasiva. </w:t>
      </w:r>
      <w:r w:rsidRPr="00281B0B">
        <w:rPr>
          <w:u w:val="single"/>
        </w:rPr>
        <w:t>La elevada tributación, unida a los estímulos al no trabajo (las prestaciones sociales, entre ellas un generoso subsidio de desempleo) desincentivan la oferta de trabajo, mientras que unas excesivas cargas sociales desincentivan la contratación por parte de las empresas.</w:t>
      </w:r>
    </w:p>
    <w:p w:rsidR="00BB7B36" w:rsidRPr="00281B0B" w:rsidRDefault="00BB7B36" w:rsidP="00BB7B36">
      <w:pPr>
        <w:pStyle w:val="NormalWeb"/>
        <w:jc w:val="both"/>
        <w:rPr>
          <w:u w:val="single"/>
        </w:rPr>
      </w:pPr>
      <w:r w:rsidRPr="00281B0B">
        <w:rPr>
          <w:u w:val="single"/>
        </w:rPr>
        <w:t>Esto es lo que terminó por suceder en Suecia a partir de los años setenta. La carga tributaria fue aumentando hasta llegar, a fines de los años ochenta, al 56,2% del PIB. Esta alta tributación afectó incluso a los perceptores de salarios más bajos (los impuestos más cargas sociales para este segmento de población llegaron al 55% del coste laboral). Y, paralelamente, el sistema de acuerdos salariales con escala rígida castigó especialmente a los sectores con menor productividad y, por ende, a los trabajadores menos cualificados.</w:t>
      </w:r>
    </w:p>
    <w:p w:rsidR="00BB7B36" w:rsidRPr="00281B0B" w:rsidRDefault="00BB7B36" w:rsidP="00BB7B36">
      <w:pPr>
        <w:pStyle w:val="NormalWeb"/>
        <w:jc w:val="both"/>
        <w:rPr>
          <w:u w:val="single"/>
        </w:rPr>
      </w:pPr>
      <w:r w:rsidRPr="00281B0B">
        <w:rPr>
          <w:u w:val="single"/>
        </w:rPr>
        <w:t>El resultado fue que el aumento del empleo entre 1960 y 1990 fue de sólo el 25%, frente al 81% de Estados Unidos, y este aumento, además, fue esencialmente empleo público. Y en cuanto al PIB per cápita, que en 1975 era el 90% del de Estados Unidos (y el más alto de la Europa Occidental), en 1995 había bajado al 75% (por debajo del de Alemania, Francia, Bélgica, Austria o Reino Unido).</w:t>
      </w:r>
    </w:p>
    <w:p w:rsidR="00BB7B36" w:rsidRPr="00281B0B" w:rsidRDefault="00BB7B36" w:rsidP="00BB7B36">
      <w:pPr>
        <w:pStyle w:val="NormalWeb"/>
        <w:jc w:val="both"/>
        <w:rPr>
          <w:color w:val="FF0000"/>
          <w:u w:val="single"/>
        </w:rPr>
      </w:pPr>
      <w:r w:rsidRPr="00281B0B">
        <w:rPr>
          <w:color w:val="FF0000"/>
          <w:u w:val="single"/>
        </w:rPr>
        <w:t>A principios de los años noventa, Suecia experimentó la crisis económica más grave desde los años treinta. Entre 1990 y 1993 el PIB per cápita cayó en más del 6%. Se perdieron más de medio millón de puestos de trabajo. El paro pasó del 2,6% en 1989 al 13% en 1994. Como consecuencia de la crisis, los ingresos fiscales cayeron en picado. Y, paralelamente, el gasto público se disparó hasta alcanzar, en 1993, el 72,4% del PIB.</w:t>
      </w:r>
    </w:p>
    <w:p w:rsidR="00BB7B36" w:rsidRPr="00281B0B" w:rsidRDefault="00BB7B36" w:rsidP="00BB7B36">
      <w:pPr>
        <w:pStyle w:val="NormalWeb"/>
        <w:jc w:val="both"/>
        <w:rPr>
          <w:u w:val="single"/>
        </w:rPr>
      </w:pPr>
      <w:r w:rsidRPr="00281B0B">
        <w:rPr>
          <w:color w:val="FF0000"/>
          <w:u w:val="single"/>
        </w:rPr>
        <w:t>Estos datos evidenciaban que el sistema era insostenible</w:t>
      </w:r>
      <w:r>
        <w:t xml:space="preserve">. </w:t>
      </w:r>
      <w:r w:rsidRPr="00281B0B">
        <w:rPr>
          <w:u w:val="single"/>
        </w:rPr>
        <w:t>El nuevo gobierno debió acometer por ello un duro programa de ajuste, con reducción del gasto público, limitación o reducción de los subsidios, reducción del empleo público, control de costes en los servicios públicos e introducción en estos últimos de un cierto nivel de competencia, dando acceso a los mismos al sector privado.</w:t>
      </w:r>
    </w:p>
    <w:p w:rsidR="00BB7B36" w:rsidRDefault="00BB7B36" w:rsidP="00BB7B36">
      <w:pPr>
        <w:pStyle w:val="NormalWeb"/>
        <w:jc w:val="both"/>
      </w:pPr>
      <w:r>
        <w:t>No profundizaremos aquí sobre el programa de reformas económicas del gobierno sueco a partir de 1991, que permitió superar la crisis, y al que Rojas dedica interesantes páginas. Lo que nos interesa, a efectos de este comentario, es la reforma acometida en el modelo del Estado del bienestar.</w:t>
      </w:r>
    </w:p>
    <w:p w:rsidR="00BB7B36" w:rsidRPr="00281B0B" w:rsidRDefault="00BB7B36" w:rsidP="00BB7B36">
      <w:pPr>
        <w:pStyle w:val="NormalWeb"/>
        <w:jc w:val="both"/>
        <w:rPr>
          <w:color w:val="FF0000"/>
          <w:u w:val="single"/>
        </w:rPr>
      </w:pPr>
      <w:r w:rsidRPr="00281B0B">
        <w:rPr>
          <w:color w:val="FF0000"/>
          <w:u w:val="single"/>
        </w:rPr>
        <w:t xml:space="preserve">Los ejes de la reforma del Estado benefactor sueco, excelentemente sintetizados por Rojas, han sido los siguientes: 1) ruptura del monopolio estatal sobre la provisión de servicios del bienestar, abriendo dicha provisión al sector empresarial privado, con el propósito de mejorar la gestión y reducir los costes gracias a la competencia; 2) como consecuencia de lo anterior, posibilidad de elección para los beneficiarios de tales servicios, con un doble resultado: primero, mayores dosis de libertad para el ciudadano </w:t>
      </w:r>
      <w:r w:rsidRPr="00281B0B">
        <w:rPr>
          <w:color w:val="FF0000"/>
          <w:u w:val="single"/>
        </w:rPr>
        <w:lastRenderedPageBreak/>
        <w:t>(cosa deseable en sí), y segundo, mejora en la calidad de los servicios ofertados, gracias precisamente a la competencia entre los prestadores de los mismos; 3) reforma tanto del sistema fiscal como del sistema de subsidios, a fin de incentivar el trabajo y el empleo, y reducir el efecto desincentivador del anterior nivel de subsidios.</w:t>
      </w:r>
    </w:p>
    <w:p w:rsidR="00BB7B36" w:rsidRDefault="00BB7B36" w:rsidP="00BB7B36">
      <w:pPr>
        <w:pStyle w:val="NormalWeb"/>
        <w:jc w:val="both"/>
      </w:pPr>
      <w:r>
        <w:t>Refirámonos inicialmente a los dos primeros puntos mencionados. La apertura del sector de los servicios de bienestar a la iniciativa privada se efectuó progresivamente (y a ritmo desigual, según las regiones y municipios, dado el grado de descentralización del sistema político sueco). Ello permitió la creciente aparición de un pujante sector empresarial de servicios sociales que introdujo en el mismo, criterios de gestión privada y ahorro de costes, así como estímulos a la mejora de la calidad y atención al usuario como consecuencia de la aparición de la competencia.</w:t>
      </w:r>
    </w:p>
    <w:p w:rsidR="00BB7B36" w:rsidRDefault="00BB7B36" w:rsidP="00BB7B36">
      <w:pPr>
        <w:pStyle w:val="NormalWeb"/>
        <w:jc w:val="both"/>
      </w:pPr>
      <w:r w:rsidRPr="00281B0B">
        <w:rPr>
          <w:u w:val="single"/>
        </w:rPr>
        <w:t>La apertura de escuelas, centros sanitarios y empresas de servicios sociales (guarderías, residencias de ancianos, servicios de atención a discapacitados, etc.) de titularidad privada en régimen de competencia permitió además a los ciudadanos disponer de una diversidad de opciones donde antes sólo había una</w:t>
      </w:r>
      <w:r>
        <w:t>. Como señala Rojas, bajo el anterior sistema de monopolio estatal, uno “le pertenecía” a un hospital público, y los hijos de uno “le pertenecían” a una escuela pública determinada, aquella que se les había asignado de acuerdo al área donde residían: “El Estado benefactor les aseguraba a los ciudadanos un nivel comparativamente alto de bienestar, pero al precio de una casi total falta de diversidad y libertad de elección” (pp. 17 y 18).</w:t>
      </w:r>
    </w:p>
    <w:p w:rsidR="00BB7B36" w:rsidRPr="00281B0B" w:rsidRDefault="00BB7B36" w:rsidP="00BB7B36">
      <w:pPr>
        <w:pStyle w:val="NormalWeb"/>
        <w:jc w:val="both"/>
        <w:rPr>
          <w:color w:val="FF0000"/>
          <w:u w:val="single"/>
        </w:rPr>
      </w:pPr>
      <w:r w:rsidRPr="00281B0B">
        <w:rPr>
          <w:u w:val="single"/>
        </w:rPr>
        <w:t>El modelo de estandarización de las condiciones de vida de los ciudadanos es el que fue siendo sustituido por otro que otorgaba a esos mismos ciudadanos una efectiva libertad de elección, lo que posibilitó, en frase de Rojas, el desarrollo de un auténtico “poder ciudadano”.</w:t>
      </w:r>
      <w:r>
        <w:t xml:space="preserve"> </w:t>
      </w:r>
      <w:r w:rsidRPr="00281B0B">
        <w:rPr>
          <w:color w:val="FF0000"/>
          <w:u w:val="single"/>
        </w:rPr>
        <w:t>El ciudadano sueco, hasta entonces súbdito de un Estado benefactor que le ofrecía amplias prestaciones sociales, pero a cambio de negarle toda capacidad de elección, se convertía en un ciudadano libre que podía comparar entre distintos oferentes, y elegir aquel que le ofreciera mayor calidad o que, por alguna razón, mereciera su preferencia.</w:t>
      </w:r>
    </w:p>
    <w:p w:rsidR="00BB7B36" w:rsidRPr="00281B0B" w:rsidRDefault="00BB7B36" w:rsidP="00BB7B36">
      <w:pPr>
        <w:pStyle w:val="NormalWeb"/>
        <w:jc w:val="both"/>
        <w:rPr>
          <w:color w:val="FF0000"/>
          <w:u w:val="single"/>
        </w:rPr>
      </w:pPr>
      <w:r w:rsidRPr="00281B0B">
        <w:rPr>
          <w:color w:val="FF0000"/>
          <w:u w:val="single"/>
        </w:rPr>
        <w:t>La clave de este nuevo modelo era lo que podríamos denominar el “desplazamiento de la financiación”. Ésta seguía siendo pública, es decir, el gasto dedicado a estos servicios sociales continuaba sufragándose con recursos públicos, pero el receptor de la misma ya no sería el oferente (la escuela o el hospital), sino el demandante, es decir, el ciudadano.</w:t>
      </w:r>
      <w:r w:rsidRPr="00281B0B">
        <w:rPr>
          <w:color w:val="FF0000"/>
        </w:rPr>
        <w:t xml:space="preserve"> </w:t>
      </w:r>
      <w:r w:rsidRPr="00281B0B">
        <w:rPr>
          <w:color w:val="FF0000"/>
          <w:u w:val="single"/>
        </w:rPr>
        <w:t>Tal cosa se materializaba en un bono o voucher que el ciudadano recibía y que podía emplear para el pago de los servicios médicos o educativos que la escuela u hospital de su libre elección le proporcionase. A su vez, y para evitar cualquier vía a la discriminación, las escuelas o clínicas privadas no podrían cobrar cantidad adicional alguna por sus servicios, sino que sólo podrían financiarse con los bonos de sus usuarios. El beneficio de tales empresas se obtendría, por tanto, de sus ganancias de eficiencia, por la vía de reducción de costes. Y la competencia entre ellas aseguraría que ese ahorro de costes no se produjera a costa de un deterioro de la calidad.</w:t>
      </w:r>
    </w:p>
    <w:p w:rsidR="00BB7B36" w:rsidRPr="00415071" w:rsidRDefault="00BB7B36" w:rsidP="00BB7B36">
      <w:pPr>
        <w:pStyle w:val="NormalWeb"/>
        <w:jc w:val="both"/>
        <w:rPr>
          <w:u w:val="single"/>
        </w:rPr>
      </w:pPr>
      <w:r w:rsidRPr="00415071">
        <w:rPr>
          <w:u w:val="single"/>
        </w:rPr>
        <w:t xml:space="preserve">Todo esto no significó que el Estado abandonase toda implicación en la provisión de los servicios del bienestar. Primero, porque persistían empresas y centros sanitarios de titularidad pública (sólo que ahora debían competir y preocuparse por costes y calidad), y segundo porque el Estado ejercía importantes funciones de control y supervisión (la apertura de centros privados requería, para su autorización, el cumplimiento de </w:t>
      </w:r>
      <w:r w:rsidRPr="00415071">
        <w:rPr>
          <w:u w:val="single"/>
        </w:rPr>
        <w:lastRenderedPageBreak/>
        <w:t>condiciones estrictas en cuanto a medios, ausencia de discriminación, renuncia al cobro de cantidades adicionales, etc.).</w:t>
      </w:r>
    </w:p>
    <w:p w:rsidR="00BB7B36" w:rsidRDefault="00BB7B36" w:rsidP="00BB7B36">
      <w:pPr>
        <w:pStyle w:val="NormalWeb"/>
        <w:jc w:val="both"/>
      </w:pPr>
      <w:r>
        <w:t>Rojas expone con detalle las condiciones de este nuevo modelo en los campos de la sanidad, la educación y otros como las guarderías, atención a discapacitados o residencias de ancianos. Dedica a su explicación un buen número de páginas que, dadas las limitaciones de este comentario, no expondremos aquí, pero cuya lectura me parece muy recomendable.</w:t>
      </w:r>
    </w:p>
    <w:p w:rsidR="00BB7B36" w:rsidRDefault="00BB7B36" w:rsidP="00BB7B36">
      <w:pPr>
        <w:pStyle w:val="NormalWeb"/>
        <w:jc w:val="both"/>
      </w:pPr>
      <w:r w:rsidRPr="00415071">
        <w:rPr>
          <w:u w:val="single"/>
        </w:rPr>
        <w:t>Rojas advierte que aún es pronto para evaluar con solvencia los resultados de la reforma, aunque las primeras valoraciones son positivas y, sobre todo, han suscitado la plena aprobación de los usuarios, es decir, los ciudadanos</w:t>
      </w:r>
      <w:r>
        <w:t>. Es significativo que el camino de reformas iniciado por los conservadores en 1991 fuera continuado decididamente por los socialdemócratas una vez recuperado el poder en 1994, cosa que habla a favor tanto del pragmatismo y ausencia de dogmatismos ideológicos de estos últimos como del grado de consenso social suscitado por el cambio de modelo.</w:t>
      </w:r>
    </w:p>
    <w:p w:rsidR="00BB7B36" w:rsidRPr="00415071" w:rsidRDefault="00BB7B36" w:rsidP="00BB7B36">
      <w:pPr>
        <w:pStyle w:val="NormalWeb"/>
        <w:jc w:val="both"/>
        <w:rPr>
          <w:color w:val="FF0000"/>
          <w:u w:val="single"/>
        </w:rPr>
      </w:pPr>
      <w:r w:rsidRPr="00415071">
        <w:rPr>
          <w:color w:val="FF0000"/>
          <w:u w:val="single"/>
        </w:rPr>
        <w:t>Las reformas hasta aquí comentadas supusieron un cambio de modelo radical. El abandono del monopolio público en la provisión de servicios sociales, y la apertura a la iniciativa privada no sólo supusieron la renuncia a un dogma propio de la izquierda clásica en aras de una mayor eficiencia y un ahorro de costes (cosa vital para evitar el colapso del sistema), sino que, en realidad, provocaron un salto cualitativo en la propia concepción del Estado del bienestar. Éste no sólo no se desmantelaba -como habrían podido temer los partidarios del modelo anterior- sino que se potenciaba y reforzaba sus, diríamos, “fundamentos éticos” al reconocer a los ciudadanos el ejercicio pleno de su libertad.</w:t>
      </w:r>
    </w:p>
    <w:p w:rsidR="00BB7B36" w:rsidRPr="00415071" w:rsidRDefault="00BB7B36" w:rsidP="00BB7B36">
      <w:pPr>
        <w:pStyle w:val="NormalWeb"/>
        <w:jc w:val="both"/>
        <w:rPr>
          <w:u w:val="single"/>
        </w:rPr>
      </w:pPr>
      <w:r w:rsidRPr="00415071">
        <w:rPr>
          <w:u w:val="single"/>
        </w:rPr>
        <w:t>Por supuesto, esta reforma, con ser trascendente, no resolvía el problema del peso del Estado del bienestar sobre la economía, del enorme nivel del gasto público, del efecto desincentivador de impuestos y cargas sociales sobre el factor trabajo, de los estímulos al no trabajo añadidos por unas prestaciones sociales excesivamente permisivas y, como consecuencia de todo lo anterior, de unas decrecientes productividad y competitividad de la economía sueca.</w:t>
      </w:r>
    </w:p>
    <w:p w:rsidR="00BB7B36" w:rsidRPr="00415071" w:rsidRDefault="00BB7B36" w:rsidP="00BB7B36">
      <w:pPr>
        <w:pStyle w:val="NormalWeb"/>
        <w:jc w:val="both"/>
        <w:rPr>
          <w:color w:val="FF0000"/>
          <w:u w:val="single"/>
        </w:rPr>
      </w:pPr>
      <w:r w:rsidRPr="00415071">
        <w:rPr>
          <w:color w:val="FF0000"/>
          <w:u w:val="single"/>
        </w:rPr>
        <w:t>A hacer frente a estos problemas es a lo que se orientó el tercer eje de la reforma, ya mencionado más arriba, el replanteamiento del sistema de transferencias: las del Estado a los ciudadanos vía subsidios, y las de los ciudadanos al Estado vía impuestos y cargas sociales.</w:t>
      </w:r>
    </w:p>
    <w:p w:rsidR="00BB7B36" w:rsidRDefault="00BB7B36" w:rsidP="00BB7B36">
      <w:pPr>
        <w:pStyle w:val="NormalWeb"/>
        <w:jc w:val="both"/>
      </w:pPr>
      <w:r>
        <w:t>Como ya se ha señalado, el mantenimiento de un Estado del bienestar generoso requiere un gasto público elevado que sólo puede mantenerse con una elevada fiscalidad y un elevado nivel de empleo que asegure una fuerte base recaudatoria. Pero, a su vez, una excesiva fiscalidad y unas cotizaciones sociales altas desincentivan tanto la oferta como la demanda de trabajo, y reducen, al penalizar el empleo, tal base recaudatoria.</w:t>
      </w:r>
    </w:p>
    <w:p w:rsidR="00BB7B36" w:rsidRPr="00415071" w:rsidRDefault="00BB7B36" w:rsidP="00BB7B36">
      <w:pPr>
        <w:pStyle w:val="NormalWeb"/>
        <w:jc w:val="both"/>
        <w:rPr>
          <w:color w:val="FF0000"/>
          <w:u w:val="single"/>
        </w:rPr>
      </w:pPr>
      <w:r w:rsidRPr="00415071">
        <w:rPr>
          <w:color w:val="FF0000"/>
          <w:u w:val="single"/>
        </w:rPr>
        <w:t xml:space="preserve">Por ello era evidente la necesidad de fomentar el crecimiento económico y el crecimiento del empleo. La vía elegida fue doble: por una parte, se trabajó en la reducción de los incentivos al no trabajo endureciendo las condiciones de acceso y permanencia en el subsidio de paro, a fin de estimular la búsqueda de empleo, todo ello unido a otras medidas en la misma dirección en materia de prestaciones sociales, como </w:t>
      </w:r>
      <w:r w:rsidRPr="00415071">
        <w:rPr>
          <w:color w:val="FF0000"/>
          <w:u w:val="single"/>
        </w:rPr>
        <w:lastRenderedPageBreak/>
        <w:t>el seguro de enfermedad (aumentando el control sobre la duración y justificación de las bajas laborales). Por otra, se redujeron los impuestos, especialmente los que gravaban los ingresos más bajos, y se abarataron los gastos de contratación, especialmente también los correspondientes a los empleos peor remunerados.</w:t>
      </w:r>
    </w:p>
    <w:p w:rsidR="00BB7B36" w:rsidRPr="00415071" w:rsidRDefault="00BB7B36" w:rsidP="00BB7B36">
      <w:pPr>
        <w:pStyle w:val="NormalWeb"/>
        <w:jc w:val="both"/>
        <w:rPr>
          <w:u w:val="single"/>
        </w:rPr>
      </w:pPr>
      <w:r w:rsidRPr="00415071">
        <w:rPr>
          <w:u w:val="single"/>
        </w:rPr>
        <w:t>Aún cabe hacer referencia a otra reforma nada desdeñable: la relativa al sistema de pensiones. La reforma de este sistema ha venido a crear dos sistemas complementarios, uno colectivo y básicamente de reparto, aunque con elementos de capitalización, y otro individual y de capitalización pura. Se trata de un sistema original, que ha merecido el elogio de organismos como el Banco Mundial, y que resulta plenamente exportable a otros países. Del ahorro obligatorio para pensiones, que es el 18,5% del salario bruto, el 16% debe destinarse al sistema colectivo, y el 2,5% restante puede dedicarse libremente por cada ciudadano a suscribir un fondo de pensiones, a su elección entre los más de setecientos autorizados (que son objeto de supervisión por un ente estatal).</w:t>
      </w:r>
    </w:p>
    <w:p w:rsidR="00BB7B36" w:rsidRDefault="00BB7B36" w:rsidP="00BB7B36">
      <w:pPr>
        <w:pStyle w:val="NormalWeb"/>
        <w:jc w:val="both"/>
      </w:pPr>
      <w:r w:rsidRPr="00415071">
        <w:rPr>
          <w:color w:val="FF0000"/>
          <w:u w:val="single"/>
        </w:rPr>
        <w:t>Especialmente interesante es el funcionamiento del sistema colectivo. En él, la pensión recibida por el jubilado es el resultado de dividir la suma de las cotizaciones que ha pagado a lo largo de toda su vida laboral, con sus intereses, por el número de años de expectativa de vida que se le supone en función de su grupo o cohorte de edad. La ventaja de este sistema es que incentiva la postergación de la edad de retiro, puesto que con ella disminuye el divisor y, en consecuencia, incrementa la pensión resultante</w:t>
      </w:r>
      <w:r>
        <w:t>. Otras fórmulas persiguen asegurar el equilibrio financiero del sistema a largo plazo, aunque su descripción alargaría en exceso estas páginas. Remito al lector al libro de Rojas.</w:t>
      </w:r>
    </w:p>
    <w:p w:rsidR="00BB7B36" w:rsidRPr="00415071" w:rsidRDefault="00BB7B36" w:rsidP="00BB7B36">
      <w:pPr>
        <w:pStyle w:val="NormalWeb"/>
        <w:jc w:val="both"/>
        <w:rPr>
          <w:color w:val="FF0000"/>
          <w:u w:val="single"/>
        </w:rPr>
      </w:pPr>
      <w:r w:rsidRPr="00415071">
        <w:rPr>
          <w:u w:val="single"/>
        </w:rPr>
        <w:t>El poco tiempo de vida de todas estas reformas dificulta un juicio definitivo sobre los frutos de la misma</w:t>
      </w:r>
      <w:r>
        <w:t xml:space="preserve">. La positiva evolución del empleo a partir de 2005 (especialmente entre los de más edad y los de menos) y el crecimiento del PIB parecen ser tributarios en buena medida de tales reformas, aunque no sea aún posible determinar en qué proporción. Lo que sí cabe asegurar es que las reformas cuentan con un amplísimo respaldo social. Y, por otra parte, nos ofrecen una importante enseñanza: </w:t>
      </w:r>
      <w:r w:rsidRPr="00415071">
        <w:rPr>
          <w:color w:val="FF0000"/>
          <w:u w:val="single"/>
        </w:rPr>
        <w:t>Suecia ha transitado desde un modelo de Estado benefactor, paternalista, monopolista, con escaso margen para la libertad de elección de los beneficiarios, hacia lo que Rojas llama un “Estado posibilitador”, que preserva los beneficios sociales del Estado del bienestar, en términos de protección social e igualdad, pero con mayor eficiencia, menores costes y mayores márgenes de libertad para los ciudadanos.</w:t>
      </w:r>
    </w:p>
    <w:p w:rsidR="00BB7B36" w:rsidRPr="00415071" w:rsidRDefault="00BB7B36" w:rsidP="00BB7B36">
      <w:pPr>
        <w:pStyle w:val="NormalWeb"/>
        <w:jc w:val="both"/>
        <w:rPr>
          <w:color w:val="FF0000"/>
          <w:u w:val="single"/>
        </w:rPr>
      </w:pPr>
      <w:r w:rsidRPr="00415071">
        <w:rPr>
          <w:color w:val="FF0000"/>
          <w:u w:val="single"/>
        </w:rPr>
        <w:t>Ello demuestra que es posible un Estado del bienestar que compatibilice la universalidad de la sanidad, educación y prestaciones sociales, con la igualdad de los ciudadanos a la hora de acceder a tales servicios, la colaboración entre el sector público y privado, la participación de la iniciativa privada y la libertad de elección que devuelve a los ciudadanos la plenitud en el ejercicio de sus derechos.</w:t>
      </w:r>
    </w:p>
    <w:p w:rsidR="00BB7B36" w:rsidRDefault="00BB7B36" w:rsidP="00BB7B36">
      <w:pPr>
        <w:pStyle w:val="NormalWeb"/>
        <w:jc w:val="both"/>
      </w:pPr>
      <w:r w:rsidRPr="00415071">
        <w:rPr>
          <w:u w:val="single"/>
        </w:rPr>
        <w:t>Si el modelo resulta un éxito, como parece estar siendo el caso, constituye un ejemplo de cómo, aparcando dogmatismos y prejuicios ideológicos, es posible asegurar las conquistas sociales y lograr un Estado del bienestar viable para ciudadanos libres</w:t>
      </w:r>
      <w:r>
        <w:t xml:space="preserve">. En nuestro país, en el que aún permanece bastante arraigada la idea de que los servicios sociales deben ser gestionados en exclusiva, o casi, por el sector público, y donde se mira con desconfianza la participación del sector privado, sería bueno estudiar atentamente el nuevo modelo sueco. La clave última de este nuevo sistema reside, como antes se ha apuntado, en financiar a las personas (el bono escolar, o sanitario, o </w:t>
      </w:r>
      <w:r>
        <w:lastRenderedPageBreak/>
        <w:t xml:space="preserve">asistencial) y no a los prestadores monopolistas de tales servicios. No son pocas las voces que en España están ya alzándose en este sentido, y no estaría de más que se les prestase atención. Aunque ello sea pedir demasiado.  </w:t>
      </w:r>
    </w:p>
    <w:p w:rsidR="00BB7B36" w:rsidRDefault="00BB7B36" w:rsidP="00BB7B36">
      <w:pPr>
        <w:pStyle w:val="NormalWeb"/>
        <w:jc w:val="both"/>
      </w:pPr>
      <w:r>
        <w:t xml:space="preserve">- </w:t>
      </w:r>
      <w:r w:rsidRPr="00996026">
        <w:rPr>
          <w:u w:val="single"/>
        </w:rPr>
        <w:t>Reinventar el Estado de Bienestar</w:t>
      </w:r>
      <w:r>
        <w:t xml:space="preserve"> (El Mundo - </w:t>
      </w:r>
      <w:r w:rsidRPr="00996026">
        <w:rPr>
          <w:b/>
        </w:rPr>
        <w:t>3/8/11</w:t>
      </w:r>
      <w:r>
        <w:t>)                 Lectura recomendada</w:t>
      </w:r>
    </w:p>
    <w:p w:rsidR="00BB7B36" w:rsidRDefault="00BB7B36" w:rsidP="00BB7B36">
      <w:pPr>
        <w:pStyle w:val="NormalWeb"/>
        <w:jc w:val="both"/>
      </w:pPr>
      <w:r>
        <w:t>(Por Mauricio Rojas)</w:t>
      </w:r>
    </w:p>
    <w:p w:rsidR="00BB7B36" w:rsidRDefault="00BB7B36" w:rsidP="00BB7B36">
      <w:pPr>
        <w:pStyle w:val="NormalWeb"/>
        <w:jc w:val="both"/>
      </w:pPr>
      <w:r>
        <w:t>La crisis que vive España es, evidentemente, una crisis de su modelo productivo, pero también de su modelo de Estado. Por sus amplias funciones y su gran tamaño, el Estado se ha transformado en un eje fundamental para el progreso en las naciones modernas. Esto resulta aún más evidente si consideramos el peso específico del Estado en materias sociales que abarcan sectores tan estratégicos como educación y sanidad. España está aquejada de una seria crisis por la fragmentación caótica de sus funciones y la inflación de sus administraciones derivada del Estado autonómico. Esto es obvio. Además, España, en cuanto Estado de Bienestar, adolece de todos los defectos e ineficiencias propias de los sistemas jerárquicos cerrados y planificados.</w:t>
      </w:r>
    </w:p>
    <w:p w:rsidR="00BB7B36" w:rsidRPr="00415071" w:rsidRDefault="00BB7B36" w:rsidP="00BB7B36">
      <w:pPr>
        <w:pStyle w:val="NormalWeb"/>
        <w:jc w:val="both"/>
        <w:rPr>
          <w:color w:val="FF0000"/>
          <w:u w:val="single"/>
        </w:rPr>
      </w:pPr>
      <w:r w:rsidRPr="00415071">
        <w:rPr>
          <w:color w:val="FF0000"/>
          <w:u w:val="single"/>
        </w:rPr>
        <w:t>El Estado de Bienestar, tal como lo conocemos, está haciendo agua por los cuatro costados, pero no por la maldad de los neoliberales o de los mercados sino por sus propios fallos y su desmesura. Por ello la reforma radical del Estado de Bienestar es una tarea tan decisiva, no sólo para mantenerlo en vida sino también para reencontrar una senda de crecimiento que asegure el bienestar futuro. Esta reforma debe, en lo esencial, asumir un gran reto: devolverle a la sociedad civil el protagonismo en política social.</w:t>
      </w:r>
    </w:p>
    <w:p w:rsidR="00BB7B36" w:rsidRPr="00415071" w:rsidRDefault="00BB7B36" w:rsidP="00BB7B36">
      <w:pPr>
        <w:pStyle w:val="NormalWeb"/>
        <w:jc w:val="both"/>
        <w:rPr>
          <w:u w:val="single"/>
        </w:rPr>
      </w:pPr>
      <w:r w:rsidRPr="00415071">
        <w:rPr>
          <w:u w:val="single"/>
        </w:rPr>
        <w:t>El Estado de Bienestar actual presenta un fallo clave: está pensado como un aparato jerárquico que desde arriba debería resolver las necesidades sociales de los ciudadanos.</w:t>
      </w:r>
      <w:r>
        <w:t xml:space="preserve"> Se ha enquistado la idea de que las cosas se hacen mejor mediante monopolios públicos y una gran planificación que elimine el caos de la libertad ciudadana. </w:t>
      </w:r>
      <w:r w:rsidRPr="00415071">
        <w:rPr>
          <w:u w:val="single"/>
        </w:rPr>
        <w:t>Este planteamiento es responsable de haber privado al Estado de Bienestar de la fuente más vital de progreso de la sociedad moderna: la libertad que hemos conquistado para llevar a cabo nuestras ideas y ponerlas al servicio, compitiendo unas con otras, de quienes estén dispuestos a elegirlas libremente, ya que las consideran provechosas para sus proyectos de vida.</w:t>
      </w:r>
    </w:p>
    <w:p w:rsidR="00BB7B36" w:rsidRPr="00415071" w:rsidRDefault="00BB7B36" w:rsidP="00BB7B36">
      <w:pPr>
        <w:pStyle w:val="NormalWeb"/>
        <w:jc w:val="both"/>
        <w:rPr>
          <w:color w:val="FF0000"/>
          <w:u w:val="single"/>
        </w:rPr>
      </w:pPr>
      <w:r w:rsidRPr="00415071">
        <w:rPr>
          <w:color w:val="FF0000"/>
          <w:u w:val="single"/>
        </w:rPr>
        <w:t>La hegemonía social del Estado, en conflicto con la sociedad civil, ha sido el eje de la formación de los Estados benefactores tradicionales. Esta rémora ideológica se ha convertido hoy en un impedimento al progreso que, para potenciar sus posibilidades, debe buscar una fructífera colaboración entre ambos actores. Esto implica diseñar un modelo de reforma del Estado de Bienestar donde la función estatal básica sea poner a disposición de la sociedad civil instrumentos para que ella misma resuelva sus problemas.</w:t>
      </w:r>
    </w:p>
    <w:p w:rsidR="00BB7B36" w:rsidRDefault="00BB7B36" w:rsidP="00BB7B36">
      <w:pPr>
        <w:pStyle w:val="NormalWeb"/>
        <w:jc w:val="both"/>
      </w:pPr>
      <w:r w:rsidRPr="00415071">
        <w:rPr>
          <w:u w:val="single"/>
        </w:rPr>
        <w:t>Hace unos 20 años, el país-paradigma del Estado de Bienestar, Suecia, estuvo sumido en una profunda crisis de la cual salió gracias a decididas reformas que hicieron de su viejo Estado benefactor uno renovado, que ha sabido combinar una gran moderación fiscal con una amplia apertura a la cooperación públicoprivada, la competencia y el empoderamiento de la sociedad civil</w:t>
      </w:r>
      <w:r>
        <w:t xml:space="preserve">. Suecia lidera hoy el desarrollo europeo, con altísimas tasas de crecimiento, plena estabilidad fiscal y notables logros en política </w:t>
      </w:r>
      <w:r>
        <w:lastRenderedPageBreak/>
        <w:t>social. De esta exitosa experiencia se pueden extraer algunas lecciones útiles para formular una propuesta de modernización del Estado de Bienestar español.</w:t>
      </w:r>
    </w:p>
    <w:p w:rsidR="00BB7B36" w:rsidRPr="00415071" w:rsidRDefault="00BB7B36" w:rsidP="00BB7B36">
      <w:pPr>
        <w:pStyle w:val="NormalWeb"/>
        <w:jc w:val="both"/>
        <w:rPr>
          <w:color w:val="FF0000"/>
          <w:u w:val="single"/>
        </w:rPr>
      </w:pPr>
      <w:r w:rsidRPr="00415071">
        <w:rPr>
          <w:color w:val="FF0000"/>
          <w:u w:val="single"/>
        </w:rPr>
        <w:t>En primer lugar, la reforma del Estado de Bienestar debe ser llevada a cabo por la sociedad. El papel del Estado debe limitarse a abrir la posibilidad del cambio renunciando a su monopolio de la gestión de los servicios públicos y dándole al ciudadano una voz determinante.</w:t>
      </w:r>
    </w:p>
    <w:p w:rsidR="00BB7B36" w:rsidRPr="00415071" w:rsidRDefault="00BB7B36" w:rsidP="00BB7B36">
      <w:pPr>
        <w:pStyle w:val="NormalWeb"/>
        <w:jc w:val="both"/>
        <w:rPr>
          <w:color w:val="FF0000"/>
          <w:u w:val="single"/>
        </w:rPr>
      </w:pPr>
      <w:r w:rsidRPr="00415071">
        <w:rPr>
          <w:color w:val="FF0000"/>
          <w:u w:val="single"/>
        </w:rPr>
        <w:t>Seguidamente, el principal agente de la modernización de los servicios públicos debe ser el ciudadano mismo. Para que ello sea posible, el ciudadano debe recibir la responsabilidad directa por la conformación de la oferta de servicios públicos mediante su libre elección de los mismos. La forma más simple y eficiente de alcanzar esto es un sistema de bonos del bienestar, por el cual el Estado transfiere a los ciudadanos el poder efectivo de configurar, mediante su demanda respaldada por los bonos del bienestar, la oferta misma de los servicios de responsabilidad pública.</w:t>
      </w:r>
    </w:p>
    <w:p w:rsidR="00BB7B36" w:rsidRDefault="00BB7B36" w:rsidP="00BB7B36">
      <w:pPr>
        <w:pStyle w:val="NormalWeb"/>
        <w:jc w:val="both"/>
      </w:pPr>
      <w:r w:rsidRPr="00415071">
        <w:rPr>
          <w:color w:val="FF0000"/>
          <w:u w:val="single"/>
        </w:rPr>
        <w:t>En tercer lugar, se requiere pluralismo de proveedores que compitan por el favor ciudadano. La libertad de elección no puede realizarse si no existe una posibilidad real de elegir entre muchas alternativas que compitan entre sí en igualdad de condiciones y que, para su subsistencia, dependan de la elección libre de los ciudadanos</w:t>
      </w:r>
      <w:r>
        <w:t>. Esto implica separar la responsabilidad púbica por el acceso universal e igualitario a ciertos servicios y prestaciones sociales de su gestión. De esta manera se rompen los monopolios públicos, abriendo lo que ha sido un sistema cerrado al dinamismo de la libre competencia.</w:t>
      </w:r>
    </w:p>
    <w:p w:rsidR="00BB7B36" w:rsidRDefault="00BB7B36" w:rsidP="00BB7B36">
      <w:pPr>
        <w:pStyle w:val="NormalWeb"/>
        <w:jc w:val="both"/>
      </w:pPr>
      <w:r w:rsidRPr="00415071">
        <w:rPr>
          <w:color w:val="FF0000"/>
          <w:u w:val="single"/>
        </w:rPr>
        <w:t>Y por último, desfuncionarizar los servicios de responsabilidad pública. La modernización del Estado de Bienestar implica romper no sólo el monopolio de la gestión pública sino, además, el de ciertas categorías laborales sobre la prestación de los servicios de responsabilidad pública</w:t>
      </w:r>
      <w:r>
        <w:t>. La estabilidad en el empleo de quienes prestan servicios que no tienen directamente que ver con el ejercicio de la autoridad del Estado no debe, en el futuro, estar relacionada con asignaciones presupuestarias ni privilegios como la inmovilidad laboral, sino únicamente con la capacidad de atraer la demanda ciudadana y, con ello, el financiamiento público canalizado vía bonos del bienestar</w:t>
      </w:r>
    </w:p>
    <w:p w:rsidR="00BB7B36" w:rsidRDefault="00BB7B36" w:rsidP="00BB7B36">
      <w:pPr>
        <w:pStyle w:val="NormalWeb"/>
        <w:jc w:val="both"/>
      </w:pPr>
      <w:r w:rsidRPr="004E4199">
        <w:rPr>
          <w:u w:val="single"/>
        </w:rPr>
        <w:t>Todo esto es una realidad en la Suecia de hoy, sin por ello haber disminuido ni un ápice el espíritu solidario que inspira su Estado de Bienestar ni su compromiso como garante del acceso universal e igualitario a servicios de calidad</w:t>
      </w:r>
      <w:r>
        <w:t>. Las reformas aquí resumidas no han pretendido desmontar el Estado de Bienestar, sino reinventarlo desmontando aquellas jerarquías, monopolios y excesos que lo amenazaban.</w:t>
      </w:r>
    </w:p>
    <w:p w:rsidR="00BB7B36" w:rsidRDefault="00BB7B36" w:rsidP="00BB7B36">
      <w:pPr>
        <w:pStyle w:val="NormalWeb"/>
        <w:jc w:val="both"/>
      </w:pPr>
      <w:r w:rsidRPr="004E4199">
        <w:rPr>
          <w:u w:val="single"/>
        </w:rPr>
        <w:t>Los momentos de crisis pueden ser también momentos de lucidez. Aquello que por mucho tiempo ni siquiera hemos sido capaces de pensar puede transformarse en algo evidente e imperioso para no seguir empantanados</w:t>
      </w:r>
      <w:r>
        <w:t>. España vive hoy un momento de crisis de tal envergadura que requerirá, para ser superado, de toda la lucidez que seamos capaces de recabar. Y también de la valentía de enfrentar los riesgos políticos de decir lo que se debe y no sólo lo que se puede.</w:t>
      </w:r>
    </w:p>
    <w:p w:rsidR="00BB7B36" w:rsidRDefault="00BB7B36" w:rsidP="00BB7B36">
      <w:pPr>
        <w:pStyle w:val="NormalWeb"/>
        <w:jc w:val="both"/>
      </w:pPr>
      <w:r>
        <w:t xml:space="preserve">Las propuestas aquí recogidas requieren, básicamente, comprender que la política serial del futuro no nos caerá como maná del cielo del poder del Estado. Ni el Estado ni la política pueden hacer tales milagros en un mundo tan cambiante, diverso y complejo </w:t>
      </w:r>
      <w:r>
        <w:lastRenderedPageBreak/>
        <w:t xml:space="preserve">como el de hoy. Lo que la política sí puede hacer es más modesto pero no menos importante: crear condiciones propicias para el ejercicio más pleno y más amplio de nuestra libertad. </w:t>
      </w:r>
      <w:r w:rsidRPr="004E4199">
        <w:rPr>
          <w:color w:val="FF0000"/>
          <w:u w:val="single"/>
        </w:rPr>
        <w:t>El paso de un Estado benefactor desde arriba a un verdadero Estado social de Bienestar requerirá, además, de un gran coraje por parte de los políticos que lo hagan posible: el coraje de desprenderse de una importante parcela de poder para devolvérsela a los ciudadanos</w:t>
      </w:r>
      <w:r>
        <w:t>.</w:t>
      </w:r>
    </w:p>
    <w:p w:rsidR="00BB7B36" w:rsidRDefault="00BB7B36" w:rsidP="00BB7B36">
      <w:pPr>
        <w:pStyle w:val="NormalWeb"/>
        <w:jc w:val="both"/>
      </w:pPr>
      <w:r>
        <w:t>(Mauricio Rojas es profesor de la Universidad de Lund (Suecia) y autor de Reinventar el Estado del bienestar. la experiencia de Suecia (Gota a Gota, 2010)).</w:t>
      </w:r>
    </w:p>
    <w:p w:rsidR="00BB7B36" w:rsidRPr="00F73FE4" w:rsidRDefault="00BB7B36" w:rsidP="00BB7B36">
      <w:pPr>
        <w:pStyle w:val="NormalWeb"/>
        <w:jc w:val="both"/>
      </w:pPr>
      <w:r>
        <w:t xml:space="preserve">- </w:t>
      </w:r>
      <w:r w:rsidRPr="00F73FE4">
        <w:rPr>
          <w:u w:val="single"/>
        </w:rPr>
        <w:t>Hacia un sistema regulatorio del siglo XXI</w:t>
      </w:r>
      <w:r>
        <w:t xml:space="preserve"> (The Wall Street Journal - </w:t>
      </w:r>
      <w:r w:rsidRPr="00F73FE4">
        <w:rPr>
          <w:b/>
        </w:rPr>
        <w:t>18/1/11</w:t>
      </w:r>
      <w:r>
        <w:t>)</w:t>
      </w:r>
    </w:p>
    <w:p w:rsidR="00BB7B36" w:rsidRPr="00022ED1" w:rsidRDefault="00BB7B36" w:rsidP="00BB7B36">
      <w:pPr>
        <w:pStyle w:val="NormalWeb"/>
        <w:jc w:val="both"/>
      </w:pPr>
      <w:r w:rsidRPr="00022ED1">
        <w:t>(</w:t>
      </w:r>
      <w:r w:rsidRPr="00D121C5">
        <w:t xml:space="preserve">Por Barack Obama) </w:t>
      </w:r>
      <w:r>
        <w:t xml:space="preserve">                                                                         Lectura recomendada</w:t>
      </w:r>
    </w:p>
    <w:p w:rsidR="00BB7B36" w:rsidRDefault="00BB7B36" w:rsidP="00BB7B36">
      <w:pPr>
        <w:pStyle w:val="NormalWeb"/>
        <w:jc w:val="both"/>
      </w:pPr>
      <w:r>
        <w:t>Por dos siglos, el libre mercado de Estados Unidos ha sido no solo la fuente de deslumbrantes ideas y productos que abren caminos, también ha sido la mayor fuerza generadora de prosperidad que el mundo haya conocido. Ese vibrante emprendimiento es la clave de nuestro continuo liderazgo global y del éxito de nuestra gente.</w:t>
      </w:r>
    </w:p>
    <w:p w:rsidR="00BB7B36" w:rsidRPr="00901875" w:rsidRDefault="00BB7B36" w:rsidP="00BB7B36">
      <w:pPr>
        <w:pStyle w:val="NormalWeb"/>
        <w:jc w:val="both"/>
        <w:rPr>
          <w:u w:val="single"/>
        </w:rPr>
      </w:pPr>
      <w:r w:rsidRPr="00901875">
        <w:rPr>
          <w:u w:val="single"/>
        </w:rPr>
        <w:t>Sin embargo, a lo largo de nuestra historia, una de las razones por la que el libre mercado ha funcionado es que hemos buscado el balance adecuado. Hemos preservado la libertad del comercio a la vez que aplicamos las reglas y regulaciones necesarias para proteger al público de amenazas contra nuestra salud y seguridad y para evitar que la gente y los negocios sean víctimas de abusos.</w:t>
      </w:r>
    </w:p>
    <w:p w:rsidR="00BB7B36" w:rsidRDefault="00BB7B36" w:rsidP="00BB7B36">
      <w:pPr>
        <w:pStyle w:val="NormalWeb"/>
        <w:jc w:val="both"/>
      </w:pPr>
      <w:r>
        <w:t>Desde las leyes que prohibieron el trabajo para niños, pasando por las leyes ambientales y nuestras recientes regulaciones contra los cargos escondidos y las multas que imponían las empresas de tarjetas de crédito, hemos, de cuando en cuando, implementado regalas de sentido común que han fortalecido a nuestro país sin interferir indebidamente en la búsqueda de progreso y el crecimiento de nuestra economía.</w:t>
      </w:r>
    </w:p>
    <w:p w:rsidR="00BB7B36" w:rsidRPr="00901875" w:rsidRDefault="00BB7B36" w:rsidP="00BB7B36">
      <w:pPr>
        <w:pStyle w:val="NormalWeb"/>
        <w:jc w:val="both"/>
        <w:rPr>
          <w:u w:val="single"/>
        </w:rPr>
      </w:pPr>
      <w:r w:rsidRPr="00901875">
        <w:rPr>
          <w:u w:val="single"/>
        </w:rPr>
        <w:t>A veces esas reglas se han salido de control, colocando cargas poco razonables sobre los negocios, cargas que han ahogado la innovación y que han ejercido un efecto negativo sobre el crecimiento y los empleos. En otras ocasiones, no hemos cumplido con nuestra responsabilidad básica de proteger el interés público, lo que ha tenido consecuencias desastrosas. Tal fue el caso de los años anteriores a la crisis financiera de la cual aún nos estamos recuperando. En ese caso, una ausencia de supervisión adecuada y transparencia casi condujo al colapso de los mercados financieros y a una depresión a gran escala.</w:t>
      </w:r>
    </w:p>
    <w:p w:rsidR="00BB7B36" w:rsidRPr="00901875" w:rsidRDefault="00BB7B36" w:rsidP="00BB7B36">
      <w:pPr>
        <w:pStyle w:val="NormalWeb"/>
        <w:jc w:val="both"/>
        <w:rPr>
          <w:u w:val="single"/>
        </w:rPr>
      </w:pPr>
      <w:r w:rsidRPr="00901875">
        <w:rPr>
          <w:u w:val="single"/>
        </w:rPr>
        <w:t>A lo largo de los últimos dos años, la meta de mi gobierno ha sido el encontrar el balance adecuado. Hoy, firmaré una orden ejecutiva que deja claro que este es el principio operativo de nuestro gobierno.</w:t>
      </w:r>
    </w:p>
    <w:p w:rsidR="00BB7B36" w:rsidRPr="00901875" w:rsidRDefault="00BB7B36" w:rsidP="00BB7B36">
      <w:pPr>
        <w:pStyle w:val="NormalWeb"/>
        <w:jc w:val="both"/>
        <w:rPr>
          <w:color w:val="FF0000"/>
          <w:u w:val="single"/>
        </w:rPr>
      </w:pPr>
      <w:r w:rsidRPr="00901875">
        <w:rPr>
          <w:color w:val="FF0000"/>
          <w:u w:val="single"/>
        </w:rPr>
        <w:t>Esta orden requiere que las agencias federales se aseguren de que las regulaciones protejan nuestra seguridad, salud y ambiente a la vez que promueven el crecimiento económico</w:t>
      </w:r>
      <w:r>
        <w:t xml:space="preserve">. </w:t>
      </w:r>
      <w:r w:rsidRPr="00901875">
        <w:rPr>
          <w:color w:val="FF0000"/>
          <w:u w:val="single"/>
        </w:rPr>
        <w:t xml:space="preserve">Además, ordena una revisión a lo largo y ancho del gobierno de las reglas que ya se encuentran implementadas para retirar regulaciones anticuadas que frenen la creación de empleos y hagan a nuestra economía menos competitiva. Es una revisión que ayudará a organizar regulaciones que se han convertido en una colcha de retazos de </w:t>
      </w:r>
      <w:r w:rsidRPr="00901875">
        <w:rPr>
          <w:color w:val="FF0000"/>
          <w:u w:val="single"/>
        </w:rPr>
        <w:lastRenderedPageBreak/>
        <w:t>reglas que se sobre imponen, el resultados de ligeros ajustes de gobiernos y legisladores de ambos partidos y la influencia de los intereses especiales en Washington a lo largo de varias décadas.</w:t>
      </w:r>
    </w:p>
    <w:p w:rsidR="00BB7B36" w:rsidRDefault="00BB7B36" w:rsidP="00BB7B36">
      <w:pPr>
        <w:pStyle w:val="NormalWeb"/>
        <w:jc w:val="both"/>
      </w:pPr>
      <w:r>
        <w:t>En donde sea necesario, nos encargaremos de cerrar las brechas más obvias: nuevas reglas de seguridad para la fórmula para infantes; procedimientos para detener infecciones previsibles en hospitales; esfuerzos para atacar a los infractores crónicos de las leyes de seguridad laboral. Pero también estamos convirtiendo en nuestra misión el sacar de raíz regulaciones que entren en conflicto, que no valgan el costo, o que sean sencillamente tontas.</w:t>
      </w:r>
    </w:p>
    <w:p w:rsidR="00BB7B36" w:rsidRDefault="00BB7B36" w:rsidP="00BB7B36">
      <w:pPr>
        <w:pStyle w:val="NormalWeb"/>
        <w:jc w:val="both"/>
      </w:pPr>
      <w:r>
        <w:t>Por ejemplo, la FDA (la agencia de seguridad de alimentos de EEUU) ha considera desde hace tiempo al edulcorante artificial sacarina, como seguro para el consumo humano. Sin embargo, por muchos años, la Agencia de Protección Ambiental (EPA) hizo que las compañías trataran a la sacarina de la misma forma que tratan a los químicos peligrosos. Si usted se lo echa a su café, entonces no es un desecho peligroso. La EPA sabiamente eliminó esa regla el mes pasado.</w:t>
      </w:r>
    </w:p>
    <w:p w:rsidR="00BB7B36" w:rsidRPr="00901875" w:rsidRDefault="00BB7B36" w:rsidP="00BB7B36">
      <w:pPr>
        <w:pStyle w:val="NormalWeb"/>
        <w:jc w:val="both"/>
        <w:rPr>
          <w:color w:val="FF0000"/>
          <w:u w:val="single"/>
        </w:rPr>
      </w:pPr>
      <w:r w:rsidRPr="00D121C5">
        <w:rPr>
          <w:color w:val="FF0000"/>
        </w:rPr>
        <w:t>S</w:t>
      </w:r>
      <w:r w:rsidRPr="00901875">
        <w:rPr>
          <w:color w:val="FF0000"/>
          <w:u w:val="single"/>
        </w:rPr>
        <w:t>in embargo, crear un sistema regulatorio para el siglo XXI va más allá de qué reglas agregar y cuales sustraer. Como dejo en claro en la orden ejecutiva que estoy firmando, buscamos formas más accesibles y menos intrusivas para alcanzar los mismos objetivos, dándole una cuidadosa consideración a los costos y beneficios. Esto significa redactar reglas con más ayuda de expertos, negocios y personas del común. Significa usar la transparencia como una herramienta para informar a los consumidores de sus opciones, en vez de restringirlas. Eso significa el asegurarse que el gobierno haga más de su trabajo en línea, de la misma forma en que las compañías lo están haciendo.</w:t>
      </w:r>
    </w:p>
    <w:p w:rsidR="00BB7B36" w:rsidRDefault="00BB7B36" w:rsidP="00BB7B36">
      <w:pPr>
        <w:pStyle w:val="NormalWeb"/>
        <w:jc w:val="both"/>
      </w:pPr>
      <w:r>
        <w:t>También nos estamos deshaciendo de los absurdos e innecesarios requerimientos de papeleo que hacen perder tiempo y dinero. Estamos mirando al sistema como un todo para asegurarnos que evitamos regulación excesiva, inconsistente y redundante. Finalmente, hoy he indicado a las agencias federales que hagan más para identificar y reducir las cargas que las regulaciones impongan sobre los pequeños negocios. Las firmas pequeñas impulsan el crecimiento y generan la mayor parte de los nuevos empleos en este país. Necesitamos asegurarnos que nada se interponga en su camino.</w:t>
      </w:r>
    </w:p>
    <w:p w:rsidR="00BB7B36" w:rsidRDefault="00BB7B36" w:rsidP="00BB7B36">
      <w:pPr>
        <w:pStyle w:val="NormalWeb"/>
        <w:jc w:val="both"/>
      </w:pPr>
      <w:r>
        <w:t>Un ejemplo importante de esta estrategia son los estándares de ahorro de combustible para autos y camionetas. Cuando asumí mi cargo, el país enfrentaba años de litigios y confusión debido a las reglas conflictivas impuestas por el Congreso, los reguladores federales y los estados.</w:t>
      </w:r>
    </w:p>
    <w:p w:rsidR="00BB7B36" w:rsidRDefault="00BB7B36" w:rsidP="00BB7B36">
      <w:pPr>
        <w:pStyle w:val="NormalWeb"/>
        <w:jc w:val="both"/>
      </w:pPr>
      <w:r>
        <w:t>La EPA y el Departamento de Transporte trabajaron con las automotrices, sindicatos, estados como California y activistas ambientales a principios del año pasado para transformar una madeja de reglas en un agresivo estándar nuevo. Fue una victoria para las compañías automotrices que deseaban una certeza regulatoria, para los consumidores que pagarán menos cada vez que vayan a echar gasolina a sus autos, para nuestra seguridad, ya que ahorraremos 1.800 millones de barriles de crudo y para el ambiente a medida que reducimos la contaminación. Otro ejemplo: el miércoles, la FDA presentará un nuevo esfuerzo para mejorar el proceso para aprobar aparatos médicos, para mantener a los pacientes seguros a la vez que se llevan al mercado de manera más rápida productos innovadores y que pueden salvar vidas</w:t>
      </w:r>
    </w:p>
    <w:p w:rsidR="00BB7B36" w:rsidRDefault="00BB7B36" w:rsidP="00BB7B36">
      <w:pPr>
        <w:pStyle w:val="NormalWeb"/>
        <w:jc w:val="both"/>
      </w:pPr>
      <w:r>
        <w:lastRenderedPageBreak/>
        <w:t>Pese a mucha de la acalorada retórica, nuestros esfuerzos a lo largo de los dos últimos años para modernizar nuestras regulaciones han conducido a reglas más inteligentes y en algunos casos más estrictas, para proteger nuestra salud, seguridad y medio ambiente. Sin embargo, según algunos cálculos actuales de su impacto económico, los beneficios de esas regulaciones exceden sus costos en miles de millones de dólares.</w:t>
      </w:r>
    </w:p>
    <w:p w:rsidR="00BB7B36" w:rsidRDefault="00BB7B36" w:rsidP="00BB7B36">
      <w:pPr>
        <w:pStyle w:val="NormalWeb"/>
        <w:jc w:val="both"/>
      </w:pPr>
      <w:r>
        <w:t>Esa es la lección de nuestra historia: Nuestra economía no es un juego suma cero. Las regulaciones tienen su costo; a menudo, como país, tenemos que tomar decisiones duras sobre si esos costos son necesarios. Lo que sí está claro es que podemos alcanzar el equilibrio. Podemos hacer a nuestra economía más fuerte y competitiva a la vez que cumplimos nuestras responsabilidades fundamentales con los demás.</w:t>
      </w:r>
    </w:p>
    <w:p w:rsidR="00BB7B36" w:rsidRDefault="00BB7B36" w:rsidP="00BB7B36">
      <w:pPr>
        <w:pStyle w:val="NormalWeb"/>
        <w:jc w:val="both"/>
      </w:pPr>
      <w:r>
        <w:t>(Obama es el presidente de Estados Unidos)</w:t>
      </w:r>
    </w:p>
    <w:p w:rsidR="00BB7B36" w:rsidRPr="00805443" w:rsidRDefault="00BB7B36" w:rsidP="00BB7B36">
      <w:pPr>
        <w:jc w:val="both"/>
        <w:rPr>
          <w:rFonts w:ascii="Times New Roman" w:hAnsi="Times New Roman" w:cs="Times New Roman"/>
          <w:sz w:val="24"/>
          <w:szCs w:val="24"/>
        </w:rPr>
      </w:pPr>
      <w:r>
        <w:rPr>
          <w:rFonts w:ascii="Times New Roman" w:hAnsi="Times New Roman" w:cs="Times New Roman"/>
          <w:b/>
          <w:sz w:val="24"/>
          <w:szCs w:val="24"/>
        </w:rPr>
        <w:t xml:space="preserve">Otros artículos de opinión que pueden enriquecer el debate </w:t>
      </w:r>
      <w:r>
        <w:rPr>
          <w:rFonts w:ascii="Times New Roman" w:hAnsi="Times New Roman" w:cs="Times New Roman"/>
          <w:sz w:val="24"/>
          <w:szCs w:val="24"/>
        </w:rPr>
        <w:t>(</w:t>
      </w:r>
      <w:r w:rsidRPr="007E428E">
        <w:rPr>
          <w:rFonts w:ascii="Times New Roman" w:hAnsi="Times New Roman" w:cs="Times New Roman"/>
          <w:sz w:val="24"/>
          <w:szCs w:val="24"/>
          <w:u w:val="single"/>
        </w:rPr>
        <w:t>lecturas recomendadas</w:t>
      </w:r>
      <w:r w:rsidRPr="00805443">
        <w:rPr>
          <w:rFonts w:ascii="Times New Roman" w:hAnsi="Times New Roman" w:cs="Times New Roman"/>
          <w:sz w:val="24"/>
          <w:szCs w:val="24"/>
        </w:rPr>
        <w:t>)</w:t>
      </w:r>
    </w:p>
    <w:p w:rsidR="00BB7B36" w:rsidRPr="00FF3B17" w:rsidRDefault="00BB7B36" w:rsidP="00BB7B36">
      <w:pPr>
        <w:spacing w:before="100" w:beforeAutospacing="1" w:after="100" w:afterAutospacing="1" w:line="240" w:lineRule="auto"/>
        <w:jc w:val="both"/>
        <w:rPr>
          <w:rFonts w:ascii="Times New Roman" w:eastAsia="Times New Roman" w:hAnsi="Times New Roman"/>
          <w:sz w:val="24"/>
          <w:szCs w:val="24"/>
          <w:lang w:val="en-US" w:eastAsia="es-ES"/>
        </w:rPr>
      </w:pPr>
      <w:r>
        <w:rPr>
          <w:rFonts w:ascii="Times New Roman" w:eastAsia="Times New Roman" w:hAnsi="Times New Roman"/>
          <w:sz w:val="24"/>
          <w:szCs w:val="24"/>
          <w:lang w:eastAsia="es-ES"/>
        </w:rPr>
        <w:t xml:space="preserve">- </w:t>
      </w:r>
      <w:r w:rsidRPr="00A227E5">
        <w:rPr>
          <w:rFonts w:ascii="Times New Roman" w:eastAsia="Times New Roman" w:hAnsi="Times New Roman"/>
          <w:sz w:val="24"/>
          <w:szCs w:val="24"/>
          <w:u w:val="single"/>
          <w:lang w:eastAsia="es-ES"/>
        </w:rPr>
        <w:t>¿Los pobres son los causantes de la crisis?</w:t>
      </w:r>
      <w:r>
        <w:rPr>
          <w:rFonts w:ascii="Times New Roman" w:eastAsia="Times New Roman" w:hAnsi="Times New Roman"/>
          <w:sz w:val="24"/>
          <w:szCs w:val="24"/>
          <w:lang w:eastAsia="es-ES"/>
        </w:rPr>
        <w:t xml:space="preserve"> </w:t>
      </w:r>
      <w:r w:rsidRPr="00FF3B17">
        <w:rPr>
          <w:rFonts w:ascii="Times New Roman" w:eastAsia="Times New Roman" w:hAnsi="Times New Roman"/>
          <w:sz w:val="24"/>
          <w:szCs w:val="24"/>
          <w:lang w:val="en-US" w:eastAsia="es-ES"/>
        </w:rPr>
        <w:t xml:space="preserve">(Project Syndicate - </w:t>
      </w:r>
      <w:r w:rsidRPr="00FF3B17">
        <w:rPr>
          <w:rFonts w:ascii="Times New Roman" w:eastAsia="Times New Roman" w:hAnsi="Times New Roman"/>
          <w:b/>
          <w:sz w:val="24"/>
          <w:szCs w:val="24"/>
          <w:lang w:val="en-US" w:eastAsia="es-ES"/>
        </w:rPr>
        <w:t>19/1/11</w:t>
      </w:r>
      <w:r w:rsidRPr="00FF3B17">
        <w:rPr>
          <w:rFonts w:ascii="Times New Roman" w:eastAsia="Times New Roman" w:hAnsi="Times New Roman"/>
          <w:sz w:val="24"/>
          <w:szCs w:val="24"/>
          <w:lang w:val="en-US" w:eastAsia="es-ES"/>
        </w:rPr>
        <w:t>)</w:t>
      </w:r>
    </w:p>
    <w:p w:rsidR="00BB7B36" w:rsidRPr="00FF3B17" w:rsidRDefault="00BB7B36" w:rsidP="00BB7B36">
      <w:pPr>
        <w:spacing w:before="100" w:beforeAutospacing="1" w:after="100" w:afterAutospacing="1" w:line="240" w:lineRule="auto"/>
        <w:jc w:val="both"/>
        <w:rPr>
          <w:rFonts w:ascii="Times New Roman" w:eastAsia="Times New Roman" w:hAnsi="Times New Roman"/>
          <w:sz w:val="24"/>
          <w:szCs w:val="24"/>
          <w:lang w:val="en-US" w:eastAsia="es-ES"/>
        </w:rPr>
      </w:pPr>
      <w:r w:rsidRPr="00FF3B17">
        <w:rPr>
          <w:rFonts w:ascii="Times New Roman" w:eastAsia="Times New Roman" w:hAnsi="Times New Roman"/>
          <w:sz w:val="24"/>
          <w:szCs w:val="24"/>
          <w:lang w:val="en-US" w:eastAsia="es-ES"/>
        </w:rPr>
        <w:t>(Por Simon Johnson)</w:t>
      </w:r>
    </w:p>
    <w:p w:rsidR="00BB7B36" w:rsidRPr="00507ED4" w:rsidRDefault="00BB7B36" w:rsidP="00BB7B36">
      <w:pPr>
        <w:spacing w:before="100" w:beforeAutospacing="1" w:after="100" w:afterAutospacing="1" w:line="240" w:lineRule="auto"/>
        <w:jc w:val="both"/>
        <w:rPr>
          <w:rFonts w:ascii="Times New Roman" w:eastAsia="Times New Roman" w:hAnsi="Times New Roman"/>
          <w:sz w:val="24"/>
          <w:szCs w:val="24"/>
          <w:u w:val="single"/>
          <w:lang w:eastAsia="es-ES"/>
        </w:rPr>
      </w:pPr>
      <w:r w:rsidRPr="00A227E5">
        <w:rPr>
          <w:rFonts w:ascii="Times New Roman" w:eastAsia="Times New Roman" w:hAnsi="Times New Roman"/>
          <w:sz w:val="24"/>
          <w:szCs w:val="24"/>
          <w:lang w:eastAsia="es-ES"/>
        </w:rPr>
        <w:t>W</w:t>
      </w:r>
      <w:r>
        <w:rPr>
          <w:rFonts w:ascii="Times New Roman" w:eastAsia="Times New Roman" w:hAnsi="Times New Roman"/>
          <w:sz w:val="24"/>
          <w:szCs w:val="24"/>
          <w:lang w:eastAsia="es-ES"/>
        </w:rPr>
        <w:t xml:space="preserve">ashington, DC.- </w:t>
      </w:r>
      <w:r w:rsidRPr="00507ED4">
        <w:rPr>
          <w:rFonts w:ascii="Times New Roman" w:eastAsia="Times New Roman" w:hAnsi="Times New Roman"/>
          <w:sz w:val="24"/>
          <w:szCs w:val="24"/>
          <w:u w:val="single"/>
          <w:lang w:eastAsia="es-ES"/>
        </w:rPr>
        <w:t>Estados Unidos sigue desgarrado por un acalorado debate sobre las causas de la crisis financiera de 2007-2009. ¿Hay que echarle la culpa al gobierno por lo que salió mal? Y, si fuera así, ¿de qué manera?</w:t>
      </w:r>
    </w:p>
    <w:p w:rsidR="00BB7B36" w:rsidRPr="00507ED4" w:rsidRDefault="00BB7B36" w:rsidP="00BB7B36">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507ED4">
        <w:rPr>
          <w:rFonts w:ascii="Times New Roman" w:eastAsia="Times New Roman" w:hAnsi="Times New Roman"/>
          <w:color w:val="FF0000"/>
          <w:sz w:val="24"/>
          <w:szCs w:val="24"/>
          <w:u w:val="single"/>
          <w:lang w:eastAsia="es-ES"/>
        </w:rPr>
        <w:t xml:space="preserve">En diciembre, la minoría republicana en la Comisión de Investigación de la Crisis Financiera (FCIC, por su sigla en inglés) intervino con una narrativa de disenso preventiva. De acuerdo con este grupo, las políticas equivocadas del gobierno, destinadas a aumentar la cantidad de propietarios de viviendas entre la gente relativamente pobre, empujó a demasiada gente a contraer hipotecas de alto riesgo que no podían pagar. </w:t>
      </w:r>
    </w:p>
    <w:p w:rsidR="00BB7B36" w:rsidRPr="00507ED4" w:rsidRDefault="00BB7B36" w:rsidP="00BB7B36">
      <w:pPr>
        <w:spacing w:before="100" w:beforeAutospacing="1" w:after="100" w:afterAutospacing="1" w:line="240" w:lineRule="auto"/>
        <w:jc w:val="both"/>
        <w:rPr>
          <w:rFonts w:ascii="Times New Roman" w:eastAsia="Times New Roman" w:hAnsi="Times New Roman"/>
          <w:sz w:val="24"/>
          <w:szCs w:val="24"/>
          <w:u w:val="single"/>
          <w:lang w:eastAsia="es-ES"/>
        </w:rPr>
      </w:pPr>
      <w:r w:rsidRPr="00A227E5">
        <w:rPr>
          <w:rFonts w:ascii="Times New Roman" w:eastAsia="Times New Roman" w:hAnsi="Times New Roman"/>
          <w:sz w:val="24"/>
          <w:szCs w:val="24"/>
          <w:lang w:eastAsia="es-ES"/>
        </w:rPr>
        <w:t xml:space="preserve">Potencialmente, esta narrativa puede ganar mucho respaldo, especialmente en la Cámara de Representantes controlada por los republicanos y en las vísperas de la elección presidencial de 2012. </w:t>
      </w:r>
      <w:r w:rsidRPr="00507ED4">
        <w:rPr>
          <w:rFonts w:ascii="Times New Roman" w:eastAsia="Times New Roman" w:hAnsi="Times New Roman"/>
          <w:sz w:val="24"/>
          <w:szCs w:val="24"/>
          <w:u w:val="single"/>
          <w:lang w:eastAsia="es-ES"/>
        </w:rPr>
        <w:t>Pero, mientras que los republicanos de la FCIC escriben elocuentemente, ¿tienen alguna prueba para respaldar sus aseveraciones? ¿La gente pobre en Estados Unidos es responsable de causar la crisis global más grave en más de una generación?</w:t>
      </w:r>
    </w:p>
    <w:p w:rsidR="00BB7B36" w:rsidRPr="00A227E5" w:rsidRDefault="00BB7B36" w:rsidP="00BB7B36">
      <w:pPr>
        <w:spacing w:before="100" w:beforeAutospacing="1" w:after="100" w:afterAutospacing="1" w:line="240" w:lineRule="auto"/>
        <w:jc w:val="both"/>
        <w:rPr>
          <w:rFonts w:ascii="Times New Roman" w:eastAsia="Times New Roman" w:hAnsi="Times New Roman"/>
          <w:sz w:val="24"/>
          <w:szCs w:val="24"/>
          <w:lang w:eastAsia="es-ES"/>
        </w:rPr>
      </w:pPr>
      <w:r w:rsidRPr="00507ED4">
        <w:rPr>
          <w:rFonts w:ascii="Times New Roman" w:eastAsia="Times New Roman" w:hAnsi="Times New Roman"/>
          <w:sz w:val="24"/>
          <w:szCs w:val="24"/>
          <w:u w:val="single"/>
          <w:lang w:eastAsia="es-ES"/>
        </w:rPr>
        <w:t>No, según Daron Acemoglu del MIT (y autor junto conmigo en otros temas), que presentó sus conclusiones en la reunión anual de la Asociación de Finanzas de Estados Unidos a principios de enero</w:t>
      </w:r>
      <w:r w:rsidRPr="00A227E5">
        <w:rPr>
          <w:rFonts w:ascii="Times New Roman" w:eastAsia="Times New Roman" w:hAnsi="Times New Roman"/>
          <w:sz w:val="24"/>
          <w:szCs w:val="24"/>
          <w:lang w:eastAsia="es-ES"/>
        </w:rPr>
        <w:t>. (Las diapositivas están en su sitio web del MIT.)</w:t>
      </w:r>
    </w:p>
    <w:p w:rsidR="00BB7B36" w:rsidRPr="00507ED4" w:rsidRDefault="00BB7B36" w:rsidP="00BB7B36">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507ED4">
        <w:rPr>
          <w:rFonts w:ascii="Times New Roman" w:eastAsia="Times New Roman" w:hAnsi="Times New Roman"/>
          <w:color w:val="FF0000"/>
          <w:sz w:val="24"/>
          <w:szCs w:val="24"/>
          <w:u w:val="single"/>
          <w:lang w:eastAsia="es-ES"/>
        </w:rPr>
        <w:t>Acemoglu desglosa la narración republicana en tres interrogantes diferentes. Primero, ¿hay pruebas de que los políticos estadounidenses responden a las preferencias o deseos de los votantes de menores ingresos?</w:t>
      </w:r>
    </w:p>
    <w:p w:rsidR="00BB7B36" w:rsidRPr="00507ED4" w:rsidRDefault="00BB7B36" w:rsidP="00BB7B36">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507ED4">
        <w:rPr>
          <w:rFonts w:ascii="Times New Roman" w:eastAsia="Times New Roman" w:hAnsi="Times New Roman"/>
          <w:color w:val="FF0000"/>
          <w:sz w:val="24"/>
          <w:szCs w:val="24"/>
          <w:u w:val="single"/>
          <w:lang w:eastAsia="es-ES"/>
        </w:rPr>
        <w:t>La evidencia en este punto no es tan definitiva como a uno le</w:t>
      </w:r>
      <w:r>
        <w:rPr>
          <w:rFonts w:ascii="Times New Roman" w:eastAsia="Times New Roman" w:hAnsi="Times New Roman"/>
          <w:color w:val="FF0000"/>
          <w:sz w:val="24"/>
          <w:szCs w:val="24"/>
          <w:u w:val="single"/>
          <w:lang w:eastAsia="es-ES"/>
        </w:rPr>
        <w:t xml:space="preserve"> gustaría, pero lo que tenemos -</w:t>
      </w:r>
      <w:r w:rsidRPr="00507ED4">
        <w:rPr>
          <w:rFonts w:ascii="Times New Roman" w:eastAsia="Times New Roman" w:hAnsi="Times New Roman"/>
          <w:color w:val="FF0000"/>
          <w:sz w:val="24"/>
          <w:szCs w:val="24"/>
          <w:u w:val="single"/>
          <w:lang w:eastAsia="es-ES"/>
        </w:rPr>
        <w:t xml:space="preserve">por ejemplo, a partir del trabajo de Larry Bartels de la Universidad de Princeton- sugiere que, en los últimos 50 años, prácticamente toda la élite política estadounidense dejó de compartir las preferencias de los votantes de ingresos bajos o </w:t>
      </w:r>
      <w:r w:rsidRPr="00507ED4">
        <w:rPr>
          <w:rFonts w:ascii="Times New Roman" w:eastAsia="Times New Roman" w:hAnsi="Times New Roman"/>
          <w:color w:val="FF0000"/>
          <w:sz w:val="24"/>
          <w:szCs w:val="24"/>
          <w:u w:val="single"/>
          <w:lang w:eastAsia="es-ES"/>
        </w:rPr>
        <w:lastRenderedPageBreak/>
        <w:t xml:space="preserve">medios. Las opiniones de los funcionarios se acercaron mucho más a las que comúnmente se hacen oír en la cima de la distribución de ingresos. </w:t>
      </w:r>
    </w:p>
    <w:p w:rsidR="00BB7B36" w:rsidRPr="006D31FB" w:rsidRDefault="00BB7B36" w:rsidP="00BB7B36">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D31FB">
        <w:rPr>
          <w:rFonts w:ascii="Times New Roman" w:eastAsia="Times New Roman" w:hAnsi="Times New Roman"/>
          <w:color w:val="FF0000"/>
          <w:sz w:val="24"/>
          <w:szCs w:val="24"/>
          <w:u w:val="single"/>
          <w:lang w:eastAsia="es-ES"/>
        </w:rPr>
        <w:t xml:space="preserve">Existen varias teorías con respecto a por qué se produjo este cambio. En nuestro libro 13 banqueros, James Kwak y yo destacamos una combinación del creciente papel que juegan los aportes de campaña, la puerta giratoria entre Wall Street y Washington, y, sobre todo, un cambio ideológico hacia la idea de que las finanzas son buenas, que más finanzas es mejor y que lo mejor son las finanzas sin control. Existe un corolario claro: las voces e intereses de la gente relativamente pobre poco cuentan en la política norteamericana. </w:t>
      </w:r>
    </w:p>
    <w:p w:rsidR="00BB7B36" w:rsidRPr="00A227E5" w:rsidRDefault="00BB7B36" w:rsidP="00BB7B36">
      <w:pPr>
        <w:spacing w:before="100" w:beforeAutospacing="1" w:after="100" w:afterAutospacing="1" w:line="240" w:lineRule="auto"/>
        <w:jc w:val="both"/>
        <w:rPr>
          <w:rFonts w:ascii="Times New Roman" w:eastAsia="Times New Roman" w:hAnsi="Times New Roman"/>
          <w:sz w:val="24"/>
          <w:szCs w:val="24"/>
          <w:lang w:eastAsia="es-ES"/>
        </w:rPr>
      </w:pPr>
      <w:r w:rsidRPr="006D31FB">
        <w:rPr>
          <w:rFonts w:ascii="Times New Roman" w:eastAsia="Times New Roman" w:hAnsi="Times New Roman"/>
          <w:color w:val="FF0000"/>
          <w:sz w:val="24"/>
          <w:szCs w:val="24"/>
          <w:u w:val="single"/>
          <w:lang w:eastAsia="es-ES"/>
        </w:rPr>
        <w:t>La evaluación que hace Acemoglu de la investigación reciente sobre el lobby es que las partes del sector privado querían que se relajaran las reglas financieras –y trabajaron duro e invirtieron mucho dinero para obtener este resultado-. El ímpetu por un gran mercado de hipotecas de alto riesgo surgió del interior del sector privado: “innovación” por parte de prestadores hipotecarios gigantes como Countrywide, Ameriquest y muchos otros, respaldados por los grandes bancos de inversión. Y, para hablar sin rodeos, fueron algunos de los mayores jugadores de Wall Street, no los propietarios excesivamente endeudados, los que recibieron rescates gubernamentales después de la crisis</w:t>
      </w:r>
      <w:r w:rsidRPr="00A227E5">
        <w:rPr>
          <w:rFonts w:ascii="Times New Roman" w:eastAsia="Times New Roman" w:hAnsi="Times New Roman"/>
          <w:sz w:val="24"/>
          <w:szCs w:val="24"/>
          <w:lang w:eastAsia="es-ES"/>
        </w:rPr>
        <w:t xml:space="preserve">. </w:t>
      </w:r>
    </w:p>
    <w:p w:rsidR="00BB7B36" w:rsidRPr="006D31FB" w:rsidRDefault="00BB7B36" w:rsidP="00BB7B36">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D31FB">
        <w:rPr>
          <w:rFonts w:ascii="Times New Roman" w:eastAsia="Times New Roman" w:hAnsi="Times New Roman"/>
          <w:color w:val="FF0000"/>
          <w:sz w:val="24"/>
          <w:szCs w:val="24"/>
          <w:u w:val="single"/>
          <w:lang w:eastAsia="es-ES"/>
        </w:rPr>
        <w:t xml:space="preserve">Acemoglu luego pregunta si existen pruebas de que la distribución de ingresos en Estados Unidos empeoró a fines de los años 1990, lo que llevó a los políticos a aflojar las riendas en lo que concierne a prestarle dinero a gente que estaba “rezagada”. Los ingresos en Estados Unidos, efectivamente, se volvieron mucho más desiguales en los últimos 40 años, pero el momento elegido no encaja con esta historia en absoluto. </w:t>
      </w:r>
    </w:p>
    <w:p w:rsidR="00BB7B36" w:rsidRPr="006D31FB" w:rsidRDefault="00BB7B36" w:rsidP="00BB7B36">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D31FB">
        <w:rPr>
          <w:rFonts w:ascii="Times New Roman" w:eastAsia="Times New Roman" w:hAnsi="Times New Roman"/>
          <w:color w:val="FF0000"/>
          <w:sz w:val="24"/>
          <w:szCs w:val="24"/>
          <w:u w:val="single"/>
          <w:lang w:eastAsia="es-ES"/>
        </w:rPr>
        <w:t>Por ejemplo, a partir del trabajo que hizo Acemoglu con David Autor (también del MIT), sabemos que los ingresos correspondientes al 10% que más gana subieron marcadamente durante los años 1980. Los ingresos semanales crecieron lentamente en el caso del 50% que menos gana y del 10% que menos ganaba en ese momento, pero al sector menos favorecido en la distribución de ingresos en realidad le fue relativamente bien en la segunda mitad de los años 1990.  De modo que nadie tuvo que pelearla más que este segmento en la víspera de la locura de las hipotecas de alto riesgo, que se produjo a principios de los años 2000.</w:t>
      </w:r>
    </w:p>
    <w:p w:rsidR="00BB7B36" w:rsidRPr="006D31FB" w:rsidRDefault="00BB7B36" w:rsidP="00BB7B36">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D31FB">
        <w:rPr>
          <w:rFonts w:ascii="Times New Roman" w:eastAsia="Times New Roman" w:hAnsi="Times New Roman"/>
          <w:color w:val="FF0000"/>
          <w:sz w:val="24"/>
          <w:szCs w:val="24"/>
          <w:u w:val="single"/>
          <w:lang w:eastAsia="es-ES"/>
        </w:rPr>
        <w:t>A partir de datos de Thomas Piketty y Emmanuel Saez, Acemoglu también señala que la dinámica de la distribución de ingresos para el 1% que más gana en Estados Unidos parece diferente. Como sugirieron Thomas Philippon y Ariell Reshef, el marcado incremento de este grupo en el poder de ingresos parece más relacionado con la desregulación de las finanzas (y quizás otros sectores). En otras palabras, los grandes ganadores de la “innovación financiera” de todo tipo en las últimas tres décadas no fueron los pobres (ni siquiera l</w:t>
      </w:r>
      <w:r>
        <w:rPr>
          <w:rFonts w:ascii="Times New Roman" w:eastAsia="Times New Roman" w:hAnsi="Times New Roman"/>
          <w:color w:val="FF0000"/>
          <w:sz w:val="24"/>
          <w:szCs w:val="24"/>
          <w:u w:val="single"/>
          <w:lang w:eastAsia="es-ES"/>
        </w:rPr>
        <w:t>a clase media), sino los ricos -</w:t>
      </w:r>
      <w:r w:rsidRPr="006D31FB">
        <w:rPr>
          <w:rFonts w:ascii="Times New Roman" w:eastAsia="Times New Roman" w:hAnsi="Times New Roman"/>
          <w:color w:val="FF0000"/>
          <w:sz w:val="24"/>
          <w:szCs w:val="24"/>
          <w:u w:val="single"/>
          <w:lang w:eastAsia="es-ES"/>
        </w:rPr>
        <w:t xml:space="preserve">la gente que ya cobraba mucho. </w:t>
      </w:r>
    </w:p>
    <w:p w:rsidR="00BB7B36" w:rsidRPr="006D31FB" w:rsidRDefault="00BB7B36" w:rsidP="00BB7B36">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D31FB">
        <w:rPr>
          <w:rFonts w:ascii="Times New Roman" w:eastAsia="Times New Roman" w:hAnsi="Times New Roman"/>
          <w:color w:val="FF0000"/>
          <w:sz w:val="24"/>
          <w:szCs w:val="24"/>
          <w:u w:val="single"/>
          <w:lang w:eastAsia="es-ES"/>
        </w:rPr>
        <w:t>Finalmente, Acemoglu examina el papel del respaldo del gobierno federal a la vivienda. Sin duda, Estados Unidos durante mucho tiempo ofreció subsidios a la vivienda ocupada por sus dueños –principalmente a través de una deducción impositiva para los intereses hipotecarios-. Pero este subsidio en absoluto explica el momento del auge del sector inmobiliario y de los descabellados préstamos hipotecarios.</w:t>
      </w:r>
    </w:p>
    <w:p w:rsidR="00BB7B36" w:rsidRPr="00A227E5" w:rsidRDefault="00BB7B36" w:rsidP="00BB7B36">
      <w:pPr>
        <w:spacing w:before="100" w:beforeAutospacing="1" w:after="100" w:afterAutospacing="1" w:line="240" w:lineRule="auto"/>
        <w:jc w:val="both"/>
        <w:rPr>
          <w:rFonts w:ascii="Times New Roman" w:eastAsia="Times New Roman" w:hAnsi="Times New Roman"/>
          <w:sz w:val="24"/>
          <w:szCs w:val="24"/>
          <w:lang w:eastAsia="es-ES"/>
        </w:rPr>
      </w:pPr>
      <w:r w:rsidRPr="00A227E5">
        <w:rPr>
          <w:rFonts w:ascii="Times New Roman" w:eastAsia="Times New Roman" w:hAnsi="Times New Roman"/>
          <w:sz w:val="24"/>
          <w:szCs w:val="24"/>
          <w:lang w:eastAsia="es-ES"/>
        </w:rPr>
        <w:lastRenderedPageBreak/>
        <w:t>Los republicanos de la FCIC acusan con firmeza a Fannie Mae, Freddie Mac y otras empresas patrocinadas por el gobierno que respaldaron los préstamos para la vivienda mediante garantías de diferentes tipos. Tienen razón cuando dicen que Fannie y Freddie eran “demasiado grandes para quebrar”, lo que les permitió pedir dinero prestado a un m</w:t>
      </w:r>
      <w:r>
        <w:rPr>
          <w:rFonts w:ascii="Times New Roman" w:eastAsia="Times New Roman" w:hAnsi="Times New Roman"/>
          <w:sz w:val="24"/>
          <w:szCs w:val="24"/>
          <w:lang w:eastAsia="es-ES"/>
        </w:rPr>
        <w:t>enor costo y asumir más riesgo -</w:t>
      </w:r>
      <w:r w:rsidRPr="00A227E5">
        <w:rPr>
          <w:rFonts w:ascii="Times New Roman" w:eastAsia="Times New Roman" w:hAnsi="Times New Roman"/>
          <w:sz w:val="24"/>
          <w:szCs w:val="24"/>
          <w:lang w:eastAsia="es-ES"/>
        </w:rPr>
        <w:t>con un escaso financiamiento de capita</w:t>
      </w:r>
      <w:r>
        <w:rPr>
          <w:rFonts w:ascii="Times New Roman" w:eastAsia="Times New Roman" w:hAnsi="Times New Roman"/>
          <w:sz w:val="24"/>
          <w:szCs w:val="24"/>
          <w:lang w:eastAsia="es-ES"/>
        </w:rPr>
        <w:t>l para respaldar su exposición.</w:t>
      </w:r>
    </w:p>
    <w:p w:rsidR="00BB7B36" w:rsidRPr="006D31FB" w:rsidRDefault="00BB7B36" w:rsidP="00BB7B36">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227E5">
        <w:rPr>
          <w:rFonts w:ascii="Times New Roman" w:eastAsia="Times New Roman" w:hAnsi="Times New Roman"/>
          <w:sz w:val="24"/>
          <w:szCs w:val="24"/>
          <w:lang w:eastAsia="es-ES"/>
        </w:rPr>
        <w:t xml:space="preserve">Pero, </w:t>
      </w:r>
      <w:r w:rsidRPr="006D31FB">
        <w:rPr>
          <w:rFonts w:ascii="Times New Roman" w:eastAsia="Times New Roman" w:hAnsi="Times New Roman"/>
          <w:color w:val="FF0000"/>
          <w:sz w:val="24"/>
          <w:szCs w:val="24"/>
          <w:u w:val="single"/>
          <w:lang w:eastAsia="es-ES"/>
        </w:rPr>
        <w:t xml:space="preserve">si bien Fannie y Freddie se lanzaron a hipotecas dudosas (particularmente aquellas conocidas como Alt-A) e hicieron operaciones con prestadores de alto riesgo, esto representaba algo relativamente pequeño y surgió tarde en el ciclo (por ejemplo, 2004-2005). El principal ímpetu para el auge surgió de toda la maquinaria de la securitización de “sello privado”, que era justamente eso: privado. De hecho, como señala Acemoglu, los poderosos jugadores del sector privado consistentemente intentaron marginar a Fannie y Freddie y excluirlas de los segmentos de mercado en rápida expansión. </w:t>
      </w:r>
    </w:p>
    <w:p w:rsidR="00BB7B36" w:rsidRPr="006D31FB" w:rsidRDefault="00BB7B36" w:rsidP="00BB7B36">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D31FB">
        <w:rPr>
          <w:rFonts w:ascii="Times New Roman" w:eastAsia="Times New Roman" w:hAnsi="Times New Roman"/>
          <w:color w:val="FF0000"/>
          <w:sz w:val="24"/>
          <w:szCs w:val="24"/>
          <w:u w:val="single"/>
          <w:lang w:eastAsia="es-ES"/>
        </w:rPr>
        <w:t>Los republicanos de la FCIC están en lo cierto al ubicar al gobierno en el centro de lo que salió mal. Pero este no fue un caso de sobrerregulación o de exceso de alcance. Por el contrario, 30 años de desregulación financiera, que fue posible gracias a que se cautivó el corazón y la mente de los reguladores, y de políticos tanto republicanos como demócratas, le dieron a una est</w:t>
      </w:r>
      <w:r w:rsidR="008170B3">
        <w:rPr>
          <w:rFonts w:ascii="Times New Roman" w:eastAsia="Times New Roman" w:hAnsi="Times New Roman"/>
          <w:color w:val="FF0000"/>
          <w:sz w:val="24"/>
          <w:szCs w:val="24"/>
          <w:u w:val="single"/>
          <w:lang w:eastAsia="es-ES"/>
        </w:rPr>
        <w:t>recha élite del sector privado -</w:t>
      </w:r>
      <w:r w:rsidRPr="006D31FB">
        <w:rPr>
          <w:rFonts w:ascii="Times New Roman" w:eastAsia="Times New Roman" w:hAnsi="Times New Roman"/>
          <w:color w:val="FF0000"/>
          <w:sz w:val="24"/>
          <w:szCs w:val="24"/>
          <w:u w:val="single"/>
          <w:lang w:eastAsia="es-ES"/>
        </w:rPr>
        <w:t xml:space="preserve">principalmente en Wall Street- casi todas las ventajas del auge inmobiliario. </w:t>
      </w:r>
    </w:p>
    <w:p w:rsidR="00BB7B36" w:rsidRPr="006D31FB" w:rsidRDefault="00BB7B36" w:rsidP="00BB7B36">
      <w:pPr>
        <w:spacing w:before="100" w:beforeAutospacing="1" w:after="100" w:afterAutospacing="1" w:line="240" w:lineRule="auto"/>
        <w:jc w:val="both"/>
        <w:rPr>
          <w:rFonts w:ascii="Times New Roman" w:eastAsia="Times New Roman" w:hAnsi="Times New Roman"/>
          <w:sz w:val="24"/>
          <w:szCs w:val="24"/>
          <w:u w:val="single"/>
          <w:lang w:eastAsia="es-ES"/>
        </w:rPr>
      </w:pPr>
      <w:r w:rsidRPr="006D31FB">
        <w:rPr>
          <w:rFonts w:ascii="Times New Roman" w:eastAsia="Times New Roman" w:hAnsi="Times New Roman"/>
          <w:sz w:val="24"/>
          <w:szCs w:val="24"/>
          <w:u w:val="single"/>
          <w:lang w:eastAsia="es-ES"/>
        </w:rPr>
        <w:t xml:space="preserve">La parte negativa recayó en el resto de la sociedad, en especial en las personas de bajo nivel educativo y mal remuneradas, que ahora perdieron sus casas, sus empleos, las esperanzas para sus hijos o todo a la vez. Esta gente no causó la crisis. Pero está pagando por ella. </w:t>
      </w:r>
    </w:p>
    <w:p w:rsidR="00BB7B36" w:rsidRPr="00805443" w:rsidRDefault="00BB7B36" w:rsidP="00BB7B36">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A227E5">
        <w:rPr>
          <w:rFonts w:ascii="Times New Roman" w:eastAsia="Times New Roman" w:hAnsi="Times New Roman"/>
          <w:sz w:val="24"/>
          <w:szCs w:val="24"/>
          <w:lang w:eastAsia="es-ES"/>
        </w:rPr>
        <w:t>Simon Johnson, ex economista principal del FMI, es cofundador de un importante blog de economía, http://BaselineScenario.com, profesor en el MIT Sloan y miembro sénior en el Instituto Peterson para la Economía Internacional. Su libro, 13 banqueros, que escribió junto con James Kwak, está actualmente disponible en tapa blanda. Cop</w:t>
      </w:r>
      <w:r>
        <w:rPr>
          <w:rFonts w:ascii="Times New Roman" w:eastAsia="Times New Roman" w:hAnsi="Times New Roman"/>
          <w:sz w:val="24"/>
          <w:szCs w:val="24"/>
          <w:lang w:eastAsia="es-ES"/>
        </w:rPr>
        <w:t>yright: Project Syndicate, 2011)</w:t>
      </w:r>
    </w:p>
    <w:p w:rsidR="00BB7B36" w:rsidRDefault="00BB7B36" w:rsidP="00BB7B36">
      <w:pPr>
        <w:pStyle w:val="NormalWeb"/>
        <w:jc w:val="both"/>
      </w:pPr>
      <w:r>
        <w:t xml:space="preserve">- </w:t>
      </w:r>
      <w:r w:rsidRPr="00777996">
        <w:rPr>
          <w:u w:val="single"/>
        </w:rPr>
        <w:t>El Estado no da felicidad (I)</w:t>
      </w:r>
      <w:r>
        <w:t xml:space="preserve"> (Negocios.com - </w:t>
      </w:r>
      <w:r w:rsidRPr="00777996">
        <w:rPr>
          <w:b/>
        </w:rPr>
        <w:t>23/9/13</w:t>
      </w:r>
      <w:r>
        <w:t>)</w:t>
      </w:r>
    </w:p>
    <w:p w:rsidR="00BB7B36" w:rsidRDefault="00BB7B36" w:rsidP="00BB7B36">
      <w:pPr>
        <w:pStyle w:val="NormalWeb"/>
        <w:jc w:val="both"/>
      </w:pPr>
      <w:r>
        <w:t>(Por Luis I. Gómez)</w:t>
      </w:r>
    </w:p>
    <w:p w:rsidR="00BB7B36" w:rsidRPr="004E4199" w:rsidRDefault="00BB7B36" w:rsidP="00BB7B36">
      <w:pPr>
        <w:pStyle w:val="NormalWeb"/>
        <w:jc w:val="both"/>
        <w:rPr>
          <w:color w:val="FF0000"/>
          <w:u w:val="single"/>
        </w:rPr>
      </w:pPr>
      <w:r w:rsidRPr="004E4199">
        <w:rPr>
          <w:color w:val="FF0000"/>
          <w:u w:val="single"/>
        </w:rPr>
        <w:t xml:space="preserve">No se trata de imponer un sistema social exactamente igual para todos, se trata de permitir el desarrollo de diferentes sistemas sociales.  </w:t>
      </w:r>
    </w:p>
    <w:p w:rsidR="00BB7B36" w:rsidRDefault="00BB7B36" w:rsidP="00BB7B36">
      <w:pPr>
        <w:pStyle w:val="NormalWeb"/>
        <w:jc w:val="both"/>
      </w:pPr>
      <w:r>
        <w:t xml:space="preserve">Así concluían Herrnstein y Murray en su obra The Bell Curve, basándose para ello en la hipótesis por la cual, dado un factor social igual para todos los individuos, la diversidad individual respondería en un 100% a la heredabilidad. En otras palabras: </w:t>
      </w:r>
      <w:r w:rsidRPr="004E4199">
        <w:rPr>
          <w:u w:val="single"/>
        </w:rPr>
        <w:t>si una estructura estatal consiguiese generar un medio social uniforme, los individuos, lejos de avanzar en la igualdad, responderían a la heredabilidad, tanto genética como de su propio entorno particular</w:t>
      </w:r>
      <w:r>
        <w:t>. La consecuencia sociológica de tal afirmación aún no ha sido discutida en su totalidad. Los programas que se vienen desarrollando desde los 60 para mejorar la situación de grupos sociales marginales se basan todos en un modelo falso: se trata de igualar las condiciones de su medio social -ojo, y cultural- a las de la clase media blanca occidental.</w:t>
      </w:r>
    </w:p>
    <w:p w:rsidR="00BB7B36" w:rsidRDefault="00BB7B36" w:rsidP="00BB7B36">
      <w:pPr>
        <w:pStyle w:val="NormalWeb"/>
        <w:jc w:val="both"/>
      </w:pPr>
      <w:r>
        <w:lastRenderedPageBreak/>
        <w:t xml:space="preserve">Las principales herramientas han sido las llamadas “leyes de igualdad” y, sobre todo, la escolarización estatal obligatoria. Herrnstein y Murray, pero también Christopher Jencks antes, demostraron con cifras el fracaso en EEUU de todas esas medidas: </w:t>
      </w:r>
      <w:r w:rsidRPr="004E4199">
        <w:rPr>
          <w:u w:val="single"/>
        </w:rPr>
        <w:t>la adopción de medidas sociopolíticas no son suficientes para convertir a todos los individuos de una sociedad en igualmente felices.</w:t>
      </w:r>
      <w:r>
        <w:t xml:space="preserve"> Esta afirmación es al mismo tiempo falsa y cierta. Es cierta en sentido lógico: si el medio social es igual para todos, son las limitaciones y/o ventajas biológicas heredadas las que definen las diferencias. Es falsa en su consecuencia sociológica: hasta la fecha, las medidas sociales encaminadas a compensar situaciones deficitarias en uno o un grupo de individuos han nacido de la falsa creencia por la que una sociedad es más igual cuanto más iguales sean las condiciones del medio en que se desarrollan los individuos.</w:t>
      </w:r>
    </w:p>
    <w:p w:rsidR="00BB7B36" w:rsidRPr="004E4199" w:rsidRDefault="00BB7B36" w:rsidP="00BB7B36">
      <w:pPr>
        <w:pStyle w:val="NormalWeb"/>
        <w:jc w:val="both"/>
        <w:rPr>
          <w:color w:val="FF0000"/>
          <w:u w:val="single"/>
        </w:rPr>
      </w:pPr>
      <w:r w:rsidRPr="004E4199">
        <w:rPr>
          <w:color w:val="FF0000"/>
          <w:u w:val="single"/>
        </w:rPr>
        <w:t>Los individuos son diferentes, ya sea por limitación/ventaja biológica, limitación/ventaja cultural o limitación/ventaja social. No se trata de imponer un sistema social exactamente igual para todos, se trata de permitir el desarrollo de diferentes sistemas sociales que permitan a cada individuo la mejor compensación de sus limitaciones y el fomento óptimo de sus ventajas.</w:t>
      </w:r>
    </w:p>
    <w:p w:rsidR="00BB7B36" w:rsidRPr="004E4199" w:rsidRDefault="00BB7B36" w:rsidP="00BB7B36">
      <w:pPr>
        <w:pStyle w:val="NormalWeb"/>
        <w:jc w:val="both"/>
        <w:rPr>
          <w:u w:val="single"/>
        </w:rPr>
      </w:pPr>
      <w:r w:rsidRPr="004E4199">
        <w:rPr>
          <w:u w:val="single"/>
        </w:rPr>
        <w:t>No es en absoluto preocupante constatar que existen diferencias entre los individuos de una sociedad. Lo verdaderamente preocupante es constatar cómo, víctimas de sistemas estatales de ingeniería social, un gran número de individuos se ven limitados en el desarrollo de sus propias capacidades.</w:t>
      </w:r>
    </w:p>
    <w:p w:rsidR="00BB7B36" w:rsidRDefault="00BB7B36" w:rsidP="00BB7B36">
      <w:pPr>
        <w:pStyle w:val="NormalWeb"/>
        <w:jc w:val="both"/>
      </w:pPr>
      <w:r>
        <w:t>Si grave fue el error de los sociobiólogos atribuyendo exclusivamente a la genética la individualidad de los humanos, cayendo no pocas veces en la trampa racista, no menos grave es el de los sociólogos obviando por completo la base natural del hombre abandonándose en una loca carrera por ver quién es capaz de diseñar la sociedad perfecta. Hayek lo llamaba constructivismo de la sociología: nos fabricamos una estructura social ideal y suponemos que los humanos se encontrarán en ella felices, dado que no podrán seguir otros intereses que aquellos que su socialización en esa estructura social enseña.</w:t>
      </w:r>
    </w:p>
    <w:p w:rsidR="00BB7B36" w:rsidRDefault="00BB7B36" w:rsidP="00BB7B36">
      <w:pPr>
        <w:pStyle w:val="NormalWeb"/>
        <w:jc w:val="both"/>
      </w:pPr>
      <w:r w:rsidRPr="004E4199">
        <w:rPr>
          <w:u w:val="single"/>
        </w:rPr>
        <w:t>Es necesaria una nueva sociología, una sociología libertaria, menos apegada a la estadística, a las tradiciones, a las estructuras; más interesada por el hombre, preocupada por sus contradicciones pero capaz de reconocer el potencial de desarrollo de cada uno de ellos.</w:t>
      </w:r>
      <w:r>
        <w:t xml:space="preserve"> El sociólogo debería huir de la obsesiva búsqueda de medidas y soluciones para todos los hombres incluidos en grupos sociales arbitrarios. Estructuras sociales construidas como “los blancos”, “los negros”, “los españoles”, “los europeos”, “los países occidentales” o “los países en vías de desarrollo” no son las adecuadas para fomentar el desarrollo de los valores individuales ni sus estrategias de mejora.</w:t>
      </w:r>
    </w:p>
    <w:p w:rsidR="00BB7B36" w:rsidRPr="004E4199" w:rsidRDefault="00BB7B36" w:rsidP="00BB7B36">
      <w:pPr>
        <w:pStyle w:val="NormalWeb"/>
        <w:jc w:val="both"/>
        <w:rPr>
          <w:color w:val="FF0000"/>
          <w:u w:val="single"/>
        </w:rPr>
      </w:pPr>
      <w:r w:rsidRPr="004E4199">
        <w:rPr>
          <w:color w:val="FF0000"/>
          <w:u w:val="single"/>
        </w:rPr>
        <w:t>El Estado debería ser más abierto a diferentes formas de organización social para así generar verdaderas bolsas de oportunidad social a los diferentes individuos o grupos. Debería abandonar los experimentos por los que se pretende alcanzar profundos cambios individuales en todos los administrados mediante la impostura de estructuras únicas obligatorias (educación, por ejemplo).</w:t>
      </w:r>
    </w:p>
    <w:p w:rsidR="00BB7B36" w:rsidRPr="004E4199" w:rsidRDefault="00BB7B36" w:rsidP="00BB7B36">
      <w:pPr>
        <w:pStyle w:val="NormalWeb"/>
        <w:jc w:val="both"/>
        <w:rPr>
          <w:u w:val="single"/>
        </w:rPr>
      </w:pPr>
      <w:r>
        <w:t xml:space="preserve">La identidad de grupo es algo que ha sido ocupada y manipulada por el Estado. Tiene, ciertamente, raíces naturales: la familia, el entorno cultural/religioso, el paisaje son factores que se conforman para la creación de un entorno que solemos identificar con </w:t>
      </w:r>
      <w:r>
        <w:lastRenderedPageBreak/>
        <w:t xml:space="preserve">“el nuestro”. </w:t>
      </w:r>
      <w:r w:rsidRPr="004E4199">
        <w:rPr>
          <w:u w:val="single"/>
        </w:rPr>
        <w:t>Desde ese natural de todo ser humano como ser social no se deben postular dos de los principios fundamentales que caracterizan un Estado: ni es necesario establecer fronteras entre grupos sociales diferentes, ni la “sociedad” tiene ningún tipo de derecho sobre cada uno de los individuos que la componen</w:t>
      </w:r>
      <w:r>
        <w:t xml:space="preserve">. Un niño nace en el seno de un grupo social. El niño no firma ningún contrato de ningún tipo que habilite a ese grupo social a constituirse en acreedor. Es más, un grupo social no es un ente independiente del individuo con capacidad de acción, a no ser que un Estado se autoarrogue la función de “representante y comandatario” de la sociedad. </w:t>
      </w:r>
      <w:r w:rsidRPr="004E4199">
        <w:rPr>
          <w:u w:val="single"/>
        </w:rPr>
        <w:t>La sociedad carece de voluntad y de existencia propias.</w:t>
      </w:r>
    </w:p>
    <w:p w:rsidR="00BB7B36" w:rsidRPr="004E4199" w:rsidRDefault="00BB7B36" w:rsidP="00BB7B36">
      <w:pPr>
        <w:pStyle w:val="NormalWeb"/>
        <w:jc w:val="both"/>
        <w:rPr>
          <w:u w:val="single"/>
        </w:rPr>
      </w:pPr>
      <w:r w:rsidRPr="004E4199">
        <w:rPr>
          <w:u w:val="single"/>
        </w:rPr>
        <w:t>La institución o estructura que se autoatribuye el papel de representante de la sociedad no es más que un subgrupo social cuyos individuos pretenden dominar al resto. Por ello la verdadera solidaridad social es un obstáculo para todo Estado</w:t>
      </w:r>
      <w:r>
        <w:t xml:space="preserve">. Allí donde el poder del Estado pretende extenderse más allá de las marcas naturales de una lengua, un pueblo, una cultura, se encuentra con gravísimas dificultades para alcanzar una homogeneización satisfactoria. </w:t>
      </w:r>
      <w:r w:rsidRPr="004E4199">
        <w:rPr>
          <w:u w:val="single"/>
        </w:rPr>
        <w:t>Las tradiciones locales y las estructuras familiares se encuentran en clara oposición con la voluntad homogeneizante del estado y son, por ello, eliminadas o minimizadas.</w:t>
      </w:r>
    </w:p>
    <w:p w:rsidR="00BB7B36" w:rsidRDefault="00BB7B36" w:rsidP="00BB7B36">
      <w:pPr>
        <w:pStyle w:val="NormalWeb"/>
        <w:jc w:val="both"/>
      </w:pPr>
      <w:r>
        <w:t>Mientras las ideologías estatistas conservadoras asientan sus razones para un estado fuerte en la cultura, el idioma, la religión y la familia, combaten las ideologías materialistas precisamente estos principios, claramente opuestos a la idea de una estructura social construida y supuestamente válida para todos.</w:t>
      </w:r>
    </w:p>
    <w:p w:rsidR="00BB7B36" w:rsidRDefault="00BB7B36" w:rsidP="00BB7B36">
      <w:pPr>
        <w:pStyle w:val="NormalWeb"/>
        <w:jc w:val="both"/>
      </w:pPr>
      <w:r>
        <w:t xml:space="preserve">- </w:t>
      </w:r>
      <w:r w:rsidRPr="00E87CC8">
        <w:rPr>
          <w:u w:val="single"/>
        </w:rPr>
        <w:t>El Estado no da la felicidad (II)</w:t>
      </w:r>
      <w:r>
        <w:t xml:space="preserve"> (Negocios.com - </w:t>
      </w:r>
      <w:r w:rsidRPr="00777996">
        <w:rPr>
          <w:b/>
        </w:rPr>
        <w:t>23/9/13</w:t>
      </w:r>
      <w:r>
        <w:t>)</w:t>
      </w:r>
    </w:p>
    <w:p w:rsidR="00BB7B36" w:rsidRDefault="00BB7B36" w:rsidP="00BB7B36">
      <w:pPr>
        <w:pStyle w:val="NormalWeb"/>
        <w:jc w:val="both"/>
      </w:pPr>
      <w:r>
        <w:t>(Por Luis I. Gómez)</w:t>
      </w:r>
    </w:p>
    <w:p w:rsidR="00BB7B36" w:rsidRPr="004E4199" w:rsidRDefault="00BB7B36" w:rsidP="00BB7B36">
      <w:pPr>
        <w:pStyle w:val="NormalWeb"/>
        <w:jc w:val="both"/>
        <w:rPr>
          <w:color w:val="FF0000"/>
          <w:u w:val="single"/>
        </w:rPr>
      </w:pPr>
      <w:r w:rsidRPr="004E4199">
        <w:rPr>
          <w:color w:val="FF0000"/>
          <w:u w:val="single"/>
        </w:rPr>
        <w:t>No es competencia de nadie ayudar a quien porta el pañuelo o el crucifijo a integrarse mejor en una cosmovisión social predeterminada: eso es un asunto puramente privado.</w:t>
      </w:r>
    </w:p>
    <w:p w:rsidR="00BB7B36" w:rsidRPr="004E4199" w:rsidRDefault="00BB7B36" w:rsidP="00BB7B36">
      <w:pPr>
        <w:pStyle w:val="NormalWeb"/>
        <w:jc w:val="both"/>
        <w:rPr>
          <w:color w:val="FF0000"/>
          <w:u w:val="single"/>
        </w:rPr>
      </w:pPr>
      <w:r w:rsidRPr="004E4199">
        <w:rPr>
          <w:u w:val="single"/>
        </w:rPr>
        <w:t>En el momento en que estamos convencidos de que debemos ayudar a otro nos autoconcedemos permiso para saltarnos las fronteras de su esfera privada y convertirlo en objeto de aquellas medidas correctoras que nosotros creemos que son las mejores</w:t>
      </w:r>
      <w:r>
        <w:t xml:space="preserve">. De esta manera aparece una nueva “intimidad”, nacida de la eliminación de fronteras personales, caracterizada por una nueva frontera: la frontera entre aquellas personas que se comportan conforme a la “norma social” y las que no lo hacen. </w:t>
      </w:r>
      <w:r w:rsidRPr="004E4199">
        <w:rPr>
          <w:color w:val="FF0000"/>
          <w:u w:val="single"/>
        </w:rPr>
        <w:t xml:space="preserve">Todo aquel que se diferencie en alguna forma de lo aceptado socialmente será objeto de medidas sociales de ayuda con la única meta de readaptarlo a lo convenido (a lo conveniente). </w:t>
      </w:r>
    </w:p>
    <w:p w:rsidR="00BB7B36" w:rsidRDefault="00BB7B36" w:rsidP="00BB7B36">
      <w:pPr>
        <w:pStyle w:val="NormalWeb"/>
        <w:jc w:val="both"/>
      </w:pPr>
      <w:r>
        <w:t>Esta paradójica eliminación de fronteras (las personales) por la creación de otra nueva (la social) alcanza incluso los niveles más profundos de privacidad. Marta se queja de que su amigo Julio es un “macho” que pierde demasiado tiempo con sus amigotes y que esa forma de ser es definitivamente anticuada. No se para a preguntarse si el haberse enamorado de Julio tal vez sea consecuencia de que precisamente ella no está dispuesta a mantener una relación más estrecha con un hombre. Mide su relación con un rasero social, un estándar público, en lugar de hacerlo desde sus propias necesidades.</w:t>
      </w:r>
    </w:p>
    <w:p w:rsidR="00BB7B36" w:rsidRDefault="00BB7B36" w:rsidP="00BB7B36">
      <w:pPr>
        <w:pStyle w:val="NormalWeb"/>
        <w:jc w:val="both"/>
      </w:pPr>
      <w:r>
        <w:t xml:space="preserve">Para la mayor parte de los humanos la necesidad de compañía es absolutamente básica. En las relaciones de pareja el día a día y las necesidades de cada uno de los participantes </w:t>
      </w:r>
      <w:r>
        <w:lastRenderedPageBreak/>
        <w:t>son las que marcan las fronteras de lo que no es común. La necesidad de “no soledad” nos lleva a formar también grupos más grandes, para mejor alcanzar determinados objetivos. Las relaciones en grupos más grandes también necesitan fronteras. Cualquier característica de un individuo que no afecte a las metas para las que se ha agrupado debe permanecer en el ámbito de lo puramente privado. Si el hecho de llevar un pañuelo en la cabeza, o un crucifijo en el pecho, no afectan a la capacidad de una clase para aprender matemáticas, no es competencia de nadie ayudar a quien porta el pañuelo o el crucifijo a integrarse mejor en una cosmovisión social predeterminada: eso es un asunto puramente privado.</w:t>
      </w:r>
    </w:p>
    <w:p w:rsidR="00BB7B36" w:rsidRDefault="00BB7B36" w:rsidP="00BB7B36">
      <w:pPr>
        <w:pStyle w:val="NormalWeb"/>
        <w:jc w:val="both"/>
      </w:pPr>
      <w:r>
        <w:t>Las diferentes formas de agrupación presentan diferentes niveles para el establecimiento de las fronteras personales. Si la portadora de un pañuelo en la cabeza se enamora de alguien que no acepta la exhibición de signos religiosos encontrará serias dificultades para mantener la relación o mantener intacta su frontera particular. Pero ello sigue sin ser asunto del profesor de matemáticas, ni de la clase de matemáticas. Tampoco de la escuela.</w:t>
      </w:r>
    </w:p>
    <w:p w:rsidR="00BB7B36" w:rsidRDefault="00BB7B36" w:rsidP="00BB7B36">
      <w:pPr>
        <w:pStyle w:val="NormalWeb"/>
        <w:jc w:val="both"/>
      </w:pPr>
      <w:r>
        <w:t xml:space="preserve">En nuestra sociedad las cosas son diferentes. Dado que hemos derribado las fronteras de lo particular nos convertimos cada uno de nosotros en entes públicos frente a cualquiera de los otros. Ya no hay nada secreto o personal. Cualquiera puede exigir que no se lleven pañuelos en la cabeza o crucifijos en el pecho... y si la mayoría está de acuerdo (bendita democracia y sus malusos), lo privado pasa a ser de interés social, público. A cambio, cada individuo recibe la atención de la sociedad, no de forma personal, de forma anónima mediante ayudas estatales y las estructuras del estado. Quien tiene problemas de subsistencia no recibe ayuda del vecino, pero tal vez tenga derecho a recibirla de la burocracia. </w:t>
      </w:r>
    </w:p>
    <w:p w:rsidR="00BB7B36" w:rsidRDefault="00BB7B36" w:rsidP="00BB7B36">
      <w:pPr>
        <w:pStyle w:val="NormalWeb"/>
        <w:jc w:val="both"/>
      </w:pPr>
      <w:r>
        <w:t>La diferencia entre las dos formas de solidaridad, de comprensión de lo social, es muy significativa:</w:t>
      </w:r>
    </w:p>
    <w:p w:rsidR="00BB7B36" w:rsidRDefault="00BB7B36" w:rsidP="00BB7B36">
      <w:pPr>
        <w:pStyle w:val="NormalWeb"/>
        <w:jc w:val="both"/>
      </w:pPr>
      <w:r>
        <w:t>-La ayuda de los vecinos es un contacto directo, personal. El ayudador conoce el caso, la persona, valora en qué medida puede ayudar y lo hace renunciando a algo suyo. El ayudado percibe agradecimiento y valora el gesto del vecino. El ámbito de la relación es privado.</w:t>
      </w:r>
    </w:p>
    <w:p w:rsidR="00BB7B36" w:rsidRPr="00A13856" w:rsidRDefault="00BB7B36" w:rsidP="00BB7B36">
      <w:pPr>
        <w:pStyle w:val="NormalWeb"/>
        <w:jc w:val="both"/>
        <w:rPr>
          <w:u w:val="single"/>
        </w:rPr>
      </w:pPr>
      <w:r>
        <w:t>-</w:t>
      </w:r>
      <w:r w:rsidRPr="00A13856">
        <w:rPr>
          <w:u w:val="single"/>
        </w:rPr>
        <w:t xml:space="preserve">La ayuda burocrática, por el contrario, es algo a lo que “se tiene derecho”, y se basa en criterios abstractos válidos para grandes grupos de personas, lejos del caso particular. Quien mejor sepa manejar la situación legal recibirá más y mejores ayudas. Ya no es necesario atender al vecino, pues lo hacemos vía impuestos y no es necesario prever reciprocidad (tal vez algún día nosotros necesitemos ayuda): tenemos derecho a que nos ayude el estado. Nos convertimos en un poco más egoístas, nos centramos más en nuestra “realización personal” y no sentimos necesidad de vernos como responsables directos de lo común. </w:t>
      </w:r>
    </w:p>
    <w:p w:rsidR="00BB7B36" w:rsidRPr="00A13856" w:rsidRDefault="00BB7B36" w:rsidP="00BB7B36">
      <w:pPr>
        <w:pStyle w:val="NormalWeb"/>
        <w:jc w:val="both"/>
        <w:rPr>
          <w:u w:val="single"/>
        </w:rPr>
      </w:pPr>
      <w:r w:rsidRPr="00A13856">
        <w:rPr>
          <w:u w:val="single"/>
        </w:rPr>
        <w:t xml:space="preserve">Les dirán que la culpa de todo esto es la progresiva individualización y el abandono de los verdaderos valores sociales. ¡Que nos hacemos egoístas! ¡Avariciosos! ¡Descreídos! ... ¡Insolidarios! Que hemos de regresar a los verdaderos valores que nos hacen humanos... si es necesario mediante las leyes, obligando a todos a vivir según esos valores que “creemos” (o “sabemos”... ¿quiénes?) mejores. Esta receta conservadora de enajenación y superprotectorado es compartida por los conservadores de izquierdas y de </w:t>
      </w:r>
      <w:r w:rsidRPr="00A13856">
        <w:rPr>
          <w:u w:val="single"/>
        </w:rPr>
        <w:lastRenderedPageBreak/>
        <w:t xml:space="preserve">derechas, aunque varíen los temas: para los conservadores de derechas será necesario volver a recuperar los valores de la familia tradicional (por ejemplo), para los conservadores de izquierdas se trata de perpetuar y mejorar los “logros sociales” (por ejemplo). </w:t>
      </w:r>
    </w:p>
    <w:p w:rsidR="00BB7B36" w:rsidRPr="00A13856" w:rsidRDefault="00BB7B36" w:rsidP="00BB7B36">
      <w:pPr>
        <w:pStyle w:val="NormalWeb"/>
        <w:jc w:val="both"/>
        <w:rPr>
          <w:color w:val="FF0000"/>
          <w:u w:val="single"/>
        </w:rPr>
      </w:pPr>
      <w:r w:rsidRPr="00A13856">
        <w:rPr>
          <w:color w:val="FF0000"/>
          <w:u w:val="single"/>
        </w:rPr>
        <w:t>Defino nuestra sociedad como la “sociedad del consumo pasivo”. Las personas, en una sociedad estatalizada, no tienen ni la posibilidad de generar por ellas mismas las bases de su “realización personal”, ni deben enfrentarse a las consecuencias de sus acciones. Al final, pierden la voluntad de hacerlo. No estamos ante un problema de “individualización”. Lo que realmente caracteriza nuestra sociedad es la asunción por parte del Estado de los riesgos (es decir, de la responsabilidad). Liberados de “la vida en serio” y sus consecuencias, la individualidad apenas es más que consumo pasivo, conformidad generalizada.</w:t>
      </w:r>
    </w:p>
    <w:p w:rsidR="00BB7B36" w:rsidRPr="00A13856" w:rsidRDefault="00BB7B36" w:rsidP="00BB7B36">
      <w:pPr>
        <w:pStyle w:val="NormalWeb"/>
        <w:jc w:val="both"/>
        <w:rPr>
          <w:u w:val="single"/>
        </w:rPr>
      </w:pPr>
      <w:r w:rsidRPr="00A13856">
        <w:rPr>
          <w:u w:val="single"/>
        </w:rPr>
        <w:t>Estructura social de la sociedad estatalizada. La sociedad responde a los intereses de los individuos: su seguridad material, pero la absolutización de esa meta agrede la esfera privada de los individuos y sus otros intereses. En lugar de una estructura represiva aparece una red de instancias burocráticas respondiendo al deseo de reducir riesgos mediante una mejor organización. La diferencia entre formas legales privadas y públicas de estas instancias desaparece. Se genera una red burocrática incontrolable por la política (por lo tanto por los votantes) o por el mercado. Como las personas, gracias a la red de instancias burocráticas “sociales” no necesitan responder individualmente de sus actos, aparecen continuamente nuevas y más numerosas “víctimas”: parados de larga duración, receptores vitalicios de asistencia social… La red del estado se fortalece para atender a los nuevos necesitados.</w:t>
      </w:r>
    </w:p>
    <w:p w:rsidR="00BB7B36" w:rsidRPr="00A13856" w:rsidRDefault="00BB7B36" w:rsidP="00BB7B36">
      <w:pPr>
        <w:pStyle w:val="NormalWeb"/>
        <w:jc w:val="both"/>
        <w:rPr>
          <w:u w:val="single"/>
        </w:rPr>
      </w:pPr>
      <w:r w:rsidRPr="00A13856">
        <w:rPr>
          <w:u w:val="single"/>
        </w:rPr>
        <w:t>Estructura psicológica de la sociedad estatalizada. Como a las personas todo se les presenta “precocinado” y “válido para todos”, es imposible que lo que se les oferta atienda exactamente a sus necesidades particulares (y solamente éstas permiten, mediante la acción individual, una verdadera satisfacción) Siempre queda algo atrás, algo que no es exactamente como nos gustaría que fuese. Algo que no podemos conseguir. Pero ya no existe un enemigo represivo ante el que rebelarse. Somos una democracia social y de derecho…. ¿ante quién rebelarse? La consecuencia es la resignación o, en casos aislados, la violencia.</w:t>
      </w:r>
    </w:p>
    <w:p w:rsidR="00BB7B36" w:rsidRDefault="00BB7B36" w:rsidP="00BB7B36">
      <w:pPr>
        <w:pStyle w:val="NormalWeb"/>
        <w:jc w:val="both"/>
      </w:pPr>
      <w:r>
        <w:t xml:space="preserve">A modo de resumen, </w:t>
      </w:r>
      <w:r w:rsidRPr="00A13856">
        <w:rPr>
          <w:u w:val="single"/>
        </w:rPr>
        <w:t>desde un punto liberal podemos hacer la siguiente crítica social</w:t>
      </w:r>
      <w:r>
        <w:t>:</w:t>
      </w:r>
    </w:p>
    <w:p w:rsidR="00BB7B36" w:rsidRPr="00A13856" w:rsidRDefault="00BB7B36" w:rsidP="00BB7B36">
      <w:pPr>
        <w:pStyle w:val="NormalWeb"/>
        <w:jc w:val="both"/>
        <w:rPr>
          <w:color w:val="FF0000"/>
          <w:u w:val="single"/>
        </w:rPr>
      </w:pPr>
      <w:r>
        <w:t xml:space="preserve">1. </w:t>
      </w:r>
      <w:r w:rsidRPr="00A13856">
        <w:rPr>
          <w:color w:val="FF0000"/>
          <w:u w:val="single"/>
        </w:rPr>
        <w:t>Cuando la red social estatal asume la responsabilidad de los errores particulares, el individuo carece de toda posibilidad estructural-social para recuperar su responsabilidad. Desde el punto de vista psicológico carece de toda motivación para hacerlo.</w:t>
      </w:r>
    </w:p>
    <w:p w:rsidR="00BB7B36" w:rsidRPr="00A13856" w:rsidRDefault="00BB7B36" w:rsidP="00BB7B36">
      <w:pPr>
        <w:pStyle w:val="NormalWeb"/>
        <w:jc w:val="both"/>
        <w:rPr>
          <w:color w:val="FF0000"/>
          <w:u w:val="single"/>
        </w:rPr>
      </w:pPr>
      <w:r>
        <w:t xml:space="preserve">2. </w:t>
      </w:r>
      <w:r w:rsidRPr="00A13856">
        <w:rPr>
          <w:color w:val="FF0000"/>
          <w:u w:val="single"/>
        </w:rPr>
        <w:t>Cuando la solución a los problemas vitales particulares ya no es la propia acción, nos dedicamos en exclusiva a “solucionar” las necesidades menos vitales: diversión y entretenimiento.</w:t>
      </w:r>
    </w:p>
    <w:p w:rsidR="00BB7B36" w:rsidRPr="00A13856" w:rsidRDefault="00BB7B36" w:rsidP="00BB7B36">
      <w:pPr>
        <w:pStyle w:val="NormalWeb"/>
        <w:jc w:val="both"/>
        <w:rPr>
          <w:color w:val="FF0000"/>
          <w:u w:val="single"/>
        </w:rPr>
      </w:pPr>
      <w:r>
        <w:t xml:space="preserve">3. </w:t>
      </w:r>
      <w:r w:rsidRPr="00A13856">
        <w:rPr>
          <w:color w:val="FF0000"/>
          <w:u w:val="single"/>
        </w:rPr>
        <w:t>Cuando la red social estatal cubre las necesidades de los otros, desaparece la solidaridad. Dado que los individuos productivos pagan esa red social mediante cargas impositivas enormes (bajo amenaza de uso de violencia si no pagan), la motivación a la generosidad disminuye… o desaparece.</w:t>
      </w:r>
    </w:p>
    <w:p w:rsidR="00BB7B36" w:rsidRPr="00A13856" w:rsidRDefault="00BB7B36" w:rsidP="00BB7B36">
      <w:pPr>
        <w:pStyle w:val="NormalWeb"/>
        <w:jc w:val="both"/>
        <w:rPr>
          <w:color w:val="FF0000"/>
          <w:u w:val="single"/>
        </w:rPr>
      </w:pPr>
      <w:r>
        <w:lastRenderedPageBreak/>
        <w:t xml:space="preserve">4. </w:t>
      </w:r>
      <w:r w:rsidRPr="00A13856">
        <w:rPr>
          <w:color w:val="FF0000"/>
          <w:u w:val="single"/>
        </w:rPr>
        <w:t>Cuando la responsabilidad última está en manos de la red social, el individuo no puede ser dueño único de sus actos. El abandono de la responsabilidad favorece la aparición de violencia.</w:t>
      </w:r>
    </w:p>
    <w:p w:rsidR="00BB7B36" w:rsidRPr="00A13856" w:rsidRDefault="00BB7B36" w:rsidP="00BB7B36">
      <w:pPr>
        <w:pStyle w:val="NormalWeb"/>
        <w:jc w:val="both"/>
        <w:rPr>
          <w:color w:val="FF0000"/>
          <w:u w:val="single"/>
        </w:rPr>
      </w:pPr>
      <w:r>
        <w:t xml:space="preserve">5. </w:t>
      </w:r>
      <w:r w:rsidRPr="00A13856">
        <w:rPr>
          <w:color w:val="FF0000"/>
          <w:u w:val="single"/>
        </w:rPr>
        <w:t>Mayor presión laboral, mayor paro. Los costes de la red social estatal acarrean sobre todo un aumento del coste salarial. Los exorbitantes costes laborales fuerzan al empleador a buscar trabajadores de alto nivel, que justifiquen el pago de las altas tasas impuestas por el Estado. Los otros individuos caen en el desempleo, lo que aumenta el coste de la red social y, por consiguiente, los laborales.</w:t>
      </w:r>
    </w:p>
    <w:p w:rsidR="00BB7B36" w:rsidRPr="00A13856" w:rsidRDefault="00BB7B36" w:rsidP="00BB7B36">
      <w:pPr>
        <w:pStyle w:val="NormalWeb"/>
        <w:jc w:val="both"/>
        <w:rPr>
          <w:color w:val="FF0000"/>
          <w:u w:val="single"/>
        </w:rPr>
      </w:pPr>
      <w:r>
        <w:t xml:space="preserve">Cualquier solución debe alejarse del debate tradicional derecha-izquierda, de las posturas neo-conservadoras, neoliberales o romántico-socialistas. </w:t>
      </w:r>
      <w:r w:rsidRPr="00A13856">
        <w:rPr>
          <w:color w:val="FF0000"/>
          <w:u w:val="single"/>
        </w:rPr>
        <w:t xml:space="preserve">La solución debería tener como meta la devolución al individuo de sus fronteras privadas, de su capacidad para tomar decisiones vitales y, por consiguiente, recuperar la responsabilidad perdida. </w:t>
      </w:r>
    </w:p>
    <w:p w:rsidR="00BB7B36" w:rsidRDefault="00BB7B36" w:rsidP="00BB7B36">
      <w:pPr>
        <w:pStyle w:val="NormalWeb"/>
        <w:jc w:val="both"/>
      </w:pPr>
      <w:r>
        <w:t xml:space="preserve">- </w:t>
      </w:r>
      <w:r w:rsidRPr="00517C54">
        <w:rPr>
          <w:u w:val="single"/>
        </w:rPr>
        <w:t>La reforma que viene</w:t>
      </w:r>
      <w:r>
        <w:t xml:space="preserve"> (Libertad Digital - </w:t>
      </w:r>
      <w:r w:rsidRPr="00517C54">
        <w:rPr>
          <w:b/>
        </w:rPr>
        <w:t>16/2/11</w:t>
      </w:r>
      <w:r>
        <w:t>)</w:t>
      </w:r>
    </w:p>
    <w:p w:rsidR="00BB7B36" w:rsidRDefault="00BB7B36" w:rsidP="00BB7B36">
      <w:pPr>
        <w:pStyle w:val="NormalWeb"/>
        <w:jc w:val="both"/>
      </w:pPr>
      <w:r>
        <w:t>(Por GEES)</w:t>
      </w:r>
    </w:p>
    <w:p w:rsidR="00BB7B36" w:rsidRDefault="00BB7B36" w:rsidP="00BB7B36">
      <w:pPr>
        <w:pStyle w:val="NormalWeb"/>
        <w:jc w:val="both"/>
      </w:pPr>
      <w:r>
        <w:t>El plan franco-alemán tiene mucho de bueno, pero no se dedica al crecimiento ni a la competitividad, como lo hacía la fracasada agenda de Lisboa propuesta por Aznar y Blair hace diez años, ni tampoco a la inevitable transformación del Estado del Bienestar</w:t>
      </w:r>
    </w:p>
    <w:p w:rsidR="00BB7B36" w:rsidRPr="00557030" w:rsidRDefault="00BB7B36" w:rsidP="00BB7B36">
      <w:pPr>
        <w:pStyle w:val="NormalWeb"/>
        <w:jc w:val="both"/>
        <w:rPr>
          <w:color w:val="FF0000"/>
          <w:u w:val="single"/>
        </w:rPr>
      </w:pPr>
      <w:r w:rsidRPr="00557030">
        <w:rPr>
          <w:color w:val="FF0000"/>
          <w:u w:val="single"/>
        </w:rPr>
        <w:t>El rey está desnudo. Es decir, el Estado del Bienestar es inviable.</w:t>
      </w:r>
    </w:p>
    <w:p w:rsidR="00BB7B36" w:rsidRPr="00557030" w:rsidRDefault="00BB7B36" w:rsidP="00BB7B36">
      <w:pPr>
        <w:pStyle w:val="NormalWeb"/>
        <w:jc w:val="both"/>
        <w:rPr>
          <w:u w:val="single"/>
        </w:rPr>
      </w:pPr>
      <w:r w:rsidRPr="00557030">
        <w:rPr>
          <w:u w:val="single"/>
        </w:rPr>
        <w:t>La UE ha entrado en la hora de la verdad. Para finales de marzo deberá haber logrado el acuerdo sobre la propuesta germano-francesa llamada de competitividad, en realidad un mensaje de que esta vez sí hay que cumplir el pacto de estabilidad. A cambio, el mecanismo oficial de rescate que se establecerá por reforma de los tratados contará con 500.000 millones de euros. En cuanto al mecanismo existente, de momento se ha quedado sin incremento, con el sabio argumento de que si hay estabilidad no hará falta más para lograr la confianza del mercado.</w:t>
      </w:r>
    </w:p>
    <w:p w:rsidR="00BB7B36" w:rsidRPr="00557030" w:rsidRDefault="00BB7B36" w:rsidP="00BB7B36">
      <w:pPr>
        <w:pStyle w:val="NormalWeb"/>
        <w:jc w:val="both"/>
        <w:rPr>
          <w:color w:val="FF0000"/>
          <w:u w:val="single"/>
        </w:rPr>
      </w:pPr>
      <w:r w:rsidRPr="00557030">
        <w:rPr>
          <w:color w:val="FF0000"/>
          <w:u w:val="single"/>
        </w:rPr>
        <w:t>Dice Standard &amp; Poor's, hablando sólo de pensiones, que en ausencia de reformas, la deuda germana alcanzará en 2050 el 400% de su PIB, la francesa, el 403%, la italiana el 245%, y la española el 544%. Habrá que hacer algo.</w:t>
      </w:r>
    </w:p>
    <w:p w:rsidR="00BB7B36" w:rsidRDefault="00BB7B36" w:rsidP="00BB7B36">
      <w:pPr>
        <w:pStyle w:val="NormalWeb"/>
        <w:jc w:val="both"/>
      </w:pPr>
      <w:r w:rsidRPr="00557030">
        <w:rPr>
          <w:u w:val="single"/>
        </w:rPr>
        <w:t>Sin embargo la gran reforma que propone Alemania con el respaldo de Francia, y lograrla s</w:t>
      </w:r>
      <w:r>
        <w:rPr>
          <w:u w:val="single"/>
        </w:rPr>
        <w:t>ería ya un éxito notable, pasa “sólo”</w:t>
      </w:r>
      <w:r w:rsidRPr="00557030">
        <w:rPr>
          <w:u w:val="single"/>
        </w:rPr>
        <w:t xml:space="preserve"> por: fijar límites al déficit anual en la Constitución, aplicar sanciones a los incumplidores de los criterios de estabilidad llegando a la supresión de los derechos de voto, desligar salarios de inflación, elevar las edades de jubilación, y equiparar la imposición sobre sociedades.</w:t>
      </w:r>
      <w:r>
        <w:t xml:space="preserve"> Esto último, por ejemplo, es más bien nocivo. Así lo demuestra una investigación publicada por la OCDE dedicado al impacto de los cambios en los tipos impositivos en 21 países en las últimas tres décadas. Resulta que los impuestos sobre sociedades deberían reducirse para incrementar la competitividad. No hacía falta tanto estudio. Reagan lo explicaba muy bien: “Las empresas no pagan impuestos; los pagan sus clientes”.</w:t>
      </w:r>
    </w:p>
    <w:p w:rsidR="00BB7B36" w:rsidRPr="00557030" w:rsidRDefault="00BB7B36" w:rsidP="00BB7B36">
      <w:pPr>
        <w:pStyle w:val="NormalWeb"/>
        <w:jc w:val="both"/>
        <w:rPr>
          <w:u w:val="single"/>
        </w:rPr>
      </w:pPr>
      <w:r w:rsidRPr="00557030">
        <w:rPr>
          <w:u w:val="single"/>
        </w:rPr>
        <w:lastRenderedPageBreak/>
        <w:t>El plan franco-alemán tiene mucho de bueno, pero no se dedica al crecimiento ni a la competitividad, como lo hacía la fracasada agenda de Lisboa propuesta por Aznar y Blair hace diez años, ni tampoco a la inevitable transformación del Estado del Bienestar.</w:t>
      </w:r>
    </w:p>
    <w:p w:rsidR="00BB7B36" w:rsidRPr="00557030" w:rsidRDefault="00BB7B36" w:rsidP="00BB7B36">
      <w:pPr>
        <w:pStyle w:val="NormalWeb"/>
        <w:jc w:val="both"/>
        <w:rPr>
          <w:u w:val="single"/>
        </w:rPr>
      </w:pPr>
      <w:r w:rsidRPr="00557030">
        <w:rPr>
          <w:u w:val="single"/>
        </w:rPr>
        <w:t>Esta implicará dos tendencias, ya ensayadas en parte de Europa. Una, la compatibilidad con sistemas privados. Y otra, la financiación individual en lugar de la de reparto; es decir la limitación de su carácter redistributivo.</w:t>
      </w:r>
    </w:p>
    <w:p w:rsidR="00BB7B36" w:rsidRDefault="00BB7B36" w:rsidP="00BB7B36">
      <w:pPr>
        <w:pStyle w:val="NormalWeb"/>
        <w:jc w:val="both"/>
      </w:pPr>
      <w:r>
        <w:t xml:space="preserve">En cuanto al crecimiento, exigirá la redefinición de las esperanzas de los europeos en sus actividades laborales o de creación de empresas. En este sentido la agenda de Lisboa decía que había que observar el resto de la economía global. Antes de mirar hacia China, convendría fijarse en la América de hace unos años, aquella cuyo paro no era equiparable al de Francia, o en los países europeos con desempleo bajo, que premian a los emprendedores e incentivan el capital. </w:t>
      </w:r>
      <w:r w:rsidRPr="00557030">
        <w:rPr>
          <w:u w:val="single"/>
        </w:rPr>
        <w:t>Por último, la política monetaria, últimamente un mundillo revuelto por la decisión del esperado Axel Weber de retirarse de la carrera por el BCE, debe</w:t>
      </w:r>
      <w:r>
        <w:rPr>
          <w:u w:val="single"/>
        </w:rPr>
        <w:t xml:space="preserve"> seguir el modelo propio de la “obsesión”</w:t>
      </w:r>
      <w:r w:rsidRPr="00557030">
        <w:rPr>
          <w:u w:val="single"/>
        </w:rPr>
        <w:t xml:space="preserve"> alemana por controlar la inf</w:t>
      </w:r>
      <w:r>
        <w:rPr>
          <w:u w:val="single"/>
        </w:rPr>
        <w:t>lación, en detrimento de la “obsesión”</w:t>
      </w:r>
      <w:r w:rsidRPr="00557030">
        <w:rPr>
          <w:u w:val="single"/>
        </w:rPr>
        <w:t xml:space="preserve"> bernankista por la deflación, a la que nadie, en vida, ha visto pasearse nunca por las calles</w:t>
      </w:r>
      <w:r>
        <w:t>.</w:t>
      </w:r>
    </w:p>
    <w:p w:rsidR="00BB7B36" w:rsidRDefault="00BB7B36" w:rsidP="00BB7B36">
      <w:pPr>
        <w:pStyle w:val="NormalWeb"/>
        <w:jc w:val="both"/>
      </w:pPr>
      <w:r w:rsidRPr="00557030">
        <w:rPr>
          <w:color w:val="FF0000"/>
          <w:u w:val="single"/>
        </w:rPr>
        <w:t>El momento está maduro para hacer los cambios estructurales imprescindibles. Esperar más es locura.</w:t>
      </w:r>
      <w:r>
        <w:t xml:space="preserve"> El plan franco alemán es un buen principio, pero sólo es un principio. Más, por favor, y más deprisa.</w:t>
      </w:r>
    </w:p>
    <w:p w:rsidR="00BB7B36" w:rsidRDefault="00BB7B36" w:rsidP="00BB7B36">
      <w:pPr>
        <w:pStyle w:val="NormalWeb"/>
        <w:jc w:val="both"/>
      </w:pPr>
      <w:r>
        <w:t>(GEES, Grupo de Estudios Estratégicos)</w:t>
      </w:r>
    </w:p>
    <w:p w:rsidR="00BB7B36" w:rsidRPr="001171D8" w:rsidRDefault="00BB7B36" w:rsidP="00BB7B36">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0F7359">
        <w:rPr>
          <w:rFonts w:ascii="Times New Roman" w:eastAsia="Times New Roman" w:hAnsi="Times New Roman"/>
          <w:sz w:val="24"/>
          <w:szCs w:val="24"/>
          <w:u w:val="single"/>
          <w:lang w:eastAsia="es-ES"/>
        </w:rPr>
        <w:t>¿Reforma del Estado de bienestar? No, cierre total</w:t>
      </w:r>
      <w:r>
        <w:rPr>
          <w:rFonts w:ascii="Times New Roman" w:eastAsia="Times New Roman" w:hAnsi="Times New Roman"/>
          <w:sz w:val="24"/>
          <w:szCs w:val="24"/>
          <w:lang w:eastAsia="es-ES"/>
        </w:rPr>
        <w:t xml:space="preserve"> (El Confidencial - </w:t>
      </w:r>
      <w:r w:rsidRPr="000F7359">
        <w:rPr>
          <w:rFonts w:ascii="Times New Roman" w:eastAsia="Times New Roman" w:hAnsi="Times New Roman"/>
          <w:b/>
          <w:sz w:val="24"/>
          <w:szCs w:val="24"/>
          <w:lang w:eastAsia="es-ES"/>
        </w:rPr>
        <w:t>12/6/11</w:t>
      </w:r>
      <w:r>
        <w:rPr>
          <w:rFonts w:ascii="Times New Roman" w:eastAsia="Times New Roman" w:hAnsi="Times New Roman"/>
          <w:sz w:val="24"/>
          <w:szCs w:val="24"/>
          <w:lang w:eastAsia="es-ES"/>
        </w:rPr>
        <w:t>)</w:t>
      </w:r>
    </w:p>
    <w:p w:rsidR="00BB7B36" w:rsidRDefault="00BB7B36" w:rsidP="00BB7B36">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(Por Esteban Hernández)</w:t>
      </w:r>
    </w:p>
    <w:p w:rsidR="00BB7B36" w:rsidRPr="000F7359" w:rsidRDefault="00BB7B36" w:rsidP="00BB7B36">
      <w:pPr>
        <w:spacing w:line="240" w:lineRule="auto"/>
        <w:jc w:val="both"/>
        <w:rPr>
          <w:rFonts w:ascii="Times New Roman" w:eastAsia="Times New Roman" w:hAnsi="Times New Roman"/>
          <w:sz w:val="24"/>
          <w:szCs w:val="24"/>
          <w:lang w:eastAsia="es-ES"/>
        </w:rPr>
      </w:pPr>
      <w:r w:rsidRPr="00463A3F">
        <w:rPr>
          <w:rFonts w:ascii="Times New Roman" w:eastAsia="Times New Roman" w:hAnsi="Times New Roman"/>
          <w:sz w:val="24"/>
          <w:szCs w:val="24"/>
          <w:u w:val="single"/>
          <w:lang w:eastAsia="es-ES"/>
        </w:rPr>
        <w:t>“¿Quiere conservar el Estado del Bienestar? Pues dígame usted cómo lo hacemos”. Con esta frase resume el economista Pedro Schwartz la inevitabilidad de hacer recortes en un sistema de protección que, afirma, resulta demasiado caro</w:t>
      </w:r>
      <w:r w:rsidRPr="000F7359">
        <w:rPr>
          <w:rFonts w:ascii="Times New Roman" w:eastAsia="Times New Roman" w:hAnsi="Times New Roman"/>
          <w:sz w:val="24"/>
          <w:szCs w:val="24"/>
          <w:lang w:eastAsia="es-ES"/>
        </w:rPr>
        <w:t>. Pero su intención va más allá de cuestionar que haya o no dinero para conservar los actuales niveles de prestación, apuntando hacia el cambio en la  misma concepción del Estado. “</w:t>
      </w:r>
      <w:r w:rsidRPr="00463A3F">
        <w:rPr>
          <w:rFonts w:ascii="Times New Roman" w:eastAsia="Times New Roman" w:hAnsi="Times New Roman"/>
          <w:sz w:val="24"/>
          <w:szCs w:val="24"/>
          <w:u w:val="single"/>
          <w:lang w:eastAsia="es-ES"/>
        </w:rPr>
        <w:t>Nos hemos acostumbrado a que nos den todo hecho y a que todo sea gratis</w:t>
      </w:r>
      <w:r w:rsidRPr="000F7359">
        <w:rPr>
          <w:rFonts w:ascii="Times New Roman" w:eastAsia="Times New Roman" w:hAnsi="Times New Roman"/>
          <w:sz w:val="24"/>
          <w:szCs w:val="24"/>
          <w:lang w:eastAsia="es-ES"/>
        </w:rPr>
        <w:t xml:space="preserve">. No queremos pagar por la comida que nos sirven cuando estamos en el hospital pero sí por la comida que nos dan cuando estamos de vacaciones en Alicante. Pues ese sistema de incentivos no funciona. Está claro que tendremos que tener menos vacaciones y pagar más </w:t>
      </w:r>
      <w:r>
        <w:rPr>
          <w:rFonts w:ascii="Times New Roman" w:eastAsia="Times New Roman" w:hAnsi="Times New Roman"/>
          <w:sz w:val="24"/>
          <w:szCs w:val="24"/>
          <w:lang w:eastAsia="es-ES"/>
        </w:rPr>
        <w:t>por la salud”.</w:t>
      </w:r>
    </w:p>
    <w:p w:rsidR="00BB7B36" w:rsidRPr="00463A3F" w:rsidRDefault="00BB7B36" w:rsidP="00BB7B36">
      <w:pPr>
        <w:spacing w:line="240" w:lineRule="auto"/>
        <w:jc w:val="both"/>
        <w:rPr>
          <w:rFonts w:ascii="Times New Roman" w:eastAsia="Times New Roman" w:hAnsi="Times New Roman"/>
          <w:sz w:val="24"/>
          <w:szCs w:val="24"/>
          <w:u w:val="single"/>
          <w:lang w:eastAsia="es-ES"/>
        </w:rPr>
      </w:pPr>
      <w:r w:rsidRPr="00463A3F">
        <w:rPr>
          <w:rFonts w:ascii="Times New Roman" w:eastAsia="Times New Roman" w:hAnsi="Times New Roman"/>
          <w:color w:val="FF0000"/>
          <w:sz w:val="24"/>
          <w:szCs w:val="24"/>
          <w:u w:val="single"/>
          <w:lang w:eastAsia="es-ES"/>
        </w:rPr>
        <w:t>Así las cosas, y aunque todas las instancias políticas aseguren que el Estado del bienestar no peligra, lo cierto es que para cuando se terminen de realizar los recortes que se propugnan, lo que quede va a parecerse muy poco al tipo de Estado social que se implantó en España y menos aún al que conoció en Europa en las décadas centrales del siglo XX.</w:t>
      </w:r>
      <w:r w:rsidRPr="000F7359">
        <w:rPr>
          <w:rFonts w:ascii="Times New Roman" w:eastAsia="Times New Roman" w:hAnsi="Times New Roman"/>
          <w:sz w:val="24"/>
          <w:szCs w:val="24"/>
          <w:lang w:eastAsia="es-ES"/>
        </w:rPr>
        <w:t xml:space="preserve">  Pero es algo totalmente necesario, señala Schwartz, “porque </w:t>
      </w:r>
      <w:r w:rsidRPr="00463A3F">
        <w:rPr>
          <w:rFonts w:ascii="Times New Roman" w:eastAsia="Times New Roman" w:hAnsi="Times New Roman"/>
          <w:sz w:val="24"/>
          <w:szCs w:val="24"/>
          <w:u w:val="single"/>
          <w:lang w:eastAsia="es-ES"/>
        </w:rPr>
        <w:t>la sanidad está quebrada</w:t>
      </w:r>
      <w:r w:rsidRPr="000F7359">
        <w:rPr>
          <w:rFonts w:ascii="Times New Roman" w:eastAsia="Times New Roman" w:hAnsi="Times New Roman"/>
          <w:sz w:val="24"/>
          <w:szCs w:val="24"/>
          <w:lang w:eastAsia="es-ES"/>
        </w:rPr>
        <w:t xml:space="preserve"> (incluso lo ha afirmado públicamente el portavoz de CIU en el congreso, Josep Antoni Durán i Lleida) </w:t>
      </w:r>
      <w:r w:rsidRPr="00463A3F">
        <w:rPr>
          <w:rFonts w:ascii="Times New Roman" w:eastAsia="Times New Roman" w:hAnsi="Times New Roman"/>
          <w:sz w:val="24"/>
          <w:szCs w:val="24"/>
          <w:u w:val="single"/>
          <w:lang w:eastAsia="es-ES"/>
        </w:rPr>
        <w:t xml:space="preserve">y aunque funcione muy bien y su calidad sea muy alta, no se puede pagar; a las pensiones se les ha tenido que poner un parche para poder sostenerlas, pero sólo es un parche; la ley de dependencia, que es lo primero de lo que debería ocuparse el Estado del bienestar, de atender a los enfermos de larga duración y a los mayores, no se ha podido poner en marcha porque no hay dinero;  y la educación es </w:t>
      </w:r>
      <w:r w:rsidRPr="00463A3F">
        <w:rPr>
          <w:rFonts w:ascii="Times New Roman" w:eastAsia="Times New Roman" w:hAnsi="Times New Roman"/>
          <w:sz w:val="24"/>
          <w:szCs w:val="24"/>
          <w:u w:val="single"/>
          <w:lang w:eastAsia="es-ES"/>
        </w:rPr>
        <w:lastRenderedPageBreak/>
        <w:t>gratuita pero nos cuesta mucho y no está dando buenos resultados, como se nota en la grandísima tasa de abandono escolar y en la gran cantidad de analfabetos funcionales existentes”.</w:t>
      </w:r>
    </w:p>
    <w:p w:rsidR="00BB7B36" w:rsidRPr="00463A3F" w:rsidRDefault="00BB7B36" w:rsidP="00BB7B36">
      <w:pPr>
        <w:spacing w:line="240" w:lineRule="auto"/>
        <w:jc w:val="both"/>
        <w:rPr>
          <w:rFonts w:ascii="Times New Roman" w:eastAsia="Times New Roman" w:hAnsi="Times New Roman"/>
          <w:sz w:val="24"/>
          <w:szCs w:val="24"/>
          <w:u w:val="single"/>
          <w:lang w:eastAsia="es-ES"/>
        </w:rPr>
      </w:pPr>
      <w:r w:rsidRPr="000F7359">
        <w:rPr>
          <w:rFonts w:ascii="Times New Roman" w:eastAsia="Times New Roman" w:hAnsi="Times New Roman"/>
          <w:sz w:val="24"/>
          <w:szCs w:val="24"/>
          <w:lang w:eastAsia="es-ES"/>
        </w:rPr>
        <w:t xml:space="preserve">Y eso sin entrar, asegura </w:t>
      </w:r>
      <w:r w:rsidRPr="00463A3F">
        <w:rPr>
          <w:rFonts w:ascii="Times New Roman" w:eastAsia="Times New Roman" w:hAnsi="Times New Roman"/>
          <w:sz w:val="24"/>
          <w:szCs w:val="24"/>
          <w:u w:val="single"/>
          <w:lang w:eastAsia="es-ES"/>
        </w:rPr>
        <w:t>Rafael Pampillón</w:t>
      </w:r>
      <w:r w:rsidRPr="000F7359">
        <w:rPr>
          <w:rFonts w:ascii="Times New Roman" w:eastAsia="Times New Roman" w:hAnsi="Times New Roman"/>
          <w:sz w:val="24"/>
          <w:szCs w:val="24"/>
          <w:lang w:eastAsia="es-ES"/>
        </w:rPr>
        <w:t xml:space="preserve">, Director de Análisis Económico de IE Business School, en las disfunciones de gasto que nuestra arquitectura institucional está generando. </w:t>
      </w:r>
      <w:r w:rsidRPr="00463A3F">
        <w:rPr>
          <w:rFonts w:ascii="Times New Roman" w:eastAsia="Times New Roman" w:hAnsi="Times New Roman"/>
          <w:sz w:val="24"/>
          <w:szCs w:val="24"/>
          <w:u w:val="single"/>
          <w:lang w:eastAsia="es-ES"/>
        </w:rPr>
        <w:t>“Hay que recortar gasto público suntuario e innecesario, empezando por las embajadas de las Comunidades Autónomas y siguiendo por ese montón de observatorios que han puesto en marcha (el de la mujer trabajadora, el de la mujer maltratada, etc.) o por esos tribunales de la competencia que han creado en las CCAA. Además tenemos 3000 empresas públicas en los ayuntamientos y unas 1000 en las CCAA. Ahí hay un campo importante para meter el hacha”.</w:t>
      </w:r>
    </w:p>
    <w:p w:rsidR="00BB7B36" w:rsidRPr="000F7359" w:rsidRDefault="00BB7B36" w:rsidP="00BB7B36">
      <w:pPr>
        <w:spacing w:line="240" w:lineRule="auto"/>
        <w:jc w:val="both"/>
        <w:rPr>
          <w:rFonts w:ascii="Times New Roman" w:eastAsia="Times New Roman" w:hAnsi="Times New Roman"/>
          <w:sz w:val="24"/>
          <w:szCs w:val="24"/>
          <w:lang w:eastAsia="es-ES"/>
        </w:rPr>
      </w:pPr>
      <w:r w:rsidRPr="00463A3F">
        <w:rPr>
          <w:rFonts w:ascii="Times New Roman" w:eastAsia="Times New Roman" w:hAnsi="Times New Roman"/>
          <w:color w:val="FF0000"/>
          <w:sz w:val="24"/>
          <w:szCs w:val="24"/>
          <w:u w:val="single"/>
          <w:lang w:eastAsia="es-ES"/>
        </w:rPr>
        <w:t>Pero eso no bastaría, afirma Pampillón, ya que las reformas deberían dirigirse, como apuntaba Schwartz, al núcleo de las prestaciones del Estado social, las pensiones, la sanidad y la educación</w:t>
      </w:r>
      <w:r w:rsidRPr="000F7359">
        <w:rPr>
          <w:rFonts w:ascii="Times New Roman" w:eastAsia="Times New Roman" w:hAnsi="Times New Roman"/>
          <w:sz w:val="24"/>
          <w:szCs w:val="24"/>
          <w:lang w:eastAsia="es-ES"/>
        </w:rPr>
        <w:t xml:space="preserve">. “Hemos de hacer muchas cosas en ese campo, porque ¿qué sentido tiene que un peruano que está trabajando de cajero en un hipermercado tenga que pagar con sus impuestos la educación de los ricos? ¿Por qué tiene ese hombre que financiar la matrícula universitaria del nieto de Botín, por poner un caso?”. Por supuesto, señala Pampillón, en asuntos como la sanidad hemos de ir hacia el copago. “La hora de médico de la sanidad pública es muy cara, y si pones incentivos para que la gente sólo vaya cuando tiene que ir, se reducirá el número de horas por médico y con ello el coste de la sanidad”. Schwartz coincide en la necesidad de la medida, subrayando que “en Alemania se pagan diez euros todos los trimestres para ir al médico general y los franceses pagan cuando van al médico, aunque luego se lo devuelvan. Así evitas abusos”. </w:t>
      </w:r>
    </w:p>
    <w:p w:rsidR="00BB7B36" w:rsidRPr="000F7359" w:rsidRDefault="00BB7B36" w:rsidP="00BB7B36">
      <w:pPr>
        <w:spacing w:line="240" w:lineRule="auto"/>
        <w:jc w:val="both"/>
        <w:rPr>
          <w:rFonts w:ascii="Times New Roman" w:eastAsia="Times New Roman" w:hAnsi="Times New Roman"/>
          <w:sz w:val="24"/>
          <w:szCs w:val="24"/>
          <w:lang w:eastAsia="es-ES"/>
        </w:rPr>
      </w:pPr>
      <w:r w:rsidRPr="000F7359">
        <w:rPr>
          <w:rFonts w:ascii="Times New Roman" w:eastAsia="Times New Roman" w:hAnsi="Times New Roman"/>
          <w:sz w:val="24"/>
          <w:szCs w:val="24"/>
          <w:lang w:eastAsia="es-ES"/>
        </w:rPr>
        <w:t>Pero el asunto no debería agotarse en las reformas para abaratar costes. “</w:t>
      </w:r>
      <w:r w:rsidRPr="00463A3F">
        <w:rPr>
          <w:rFonts w:ascii="Times New Roman" w:eastAsia="Times New Roman" w:hAnsi="Times New Roman"/>
          <w:color w:val="FF0000"/>
          <w:sz w:val="24"/>
          <w:szCs w:val="24"/>
          <w:lang w:eastAsia="es-ES"/>
        </w:rPr>
        <w:t>Tiene que darse en la sociedad un cambio cultural que nos haga ser conscientes</w:t>
      </w:r>
      <w:r w:rsidRPr="000F7359">
        <w:rPr>
          <w:rFonts w:ascii="Times New Roman" w:eastAsia="Times New Roman" w:hAnsi="Times New Roman"/>
          <w:sz w:val="24"/>
          <w:szCs w:val="24"/>
          <w:lang w:eastAsia="es-ES"/>
        </w:rPr>
        <w:t>”, asegura Schwartz, “</w:t>
      </w:r>
      <w:r w:rsidRPr="00463A3F">
        <w:rPr>
          <w:rFonts w:ascii="Times New Roman" w:eastAsia="Times New Roman" w:hAnsi="Times New Roman"/>
          <w:color w:val="FF0000"/>
          <w:sz w:val="24"/>
          <w:szCs w:val="24"/>
          <w:lang w:eastAsia="es-ES"/>
        </w:rPr>
        <w:t>de que debemos responsabilizarnos de nosotros mismos en lugar de esperar que el Estado venga a resolvernos los problemas</w:t>
      </w:r>
      <w:r w:rsidRPr="000F7359">
        <w:rPr>
          <w:rFonts w:ascii="Times New Roman" w:eastAsia="Times New Roman" w:hAnsi="Times New Roman"/>
          <w:sz w:val="24"/>
          <w:szCs w:val="24"/>
          <w:lang w:eastAsia="es-ES"/>
        </w:rPr>
        <w:t>”. Como afirma Pampillón, “</w:t>
      </w:r>
      <w:r w:rsidRPr="00463A3F">
        <w:rPr>
          <w:rFonts w:ascii="Times New Roman" w:eastAsia="Times New Roman" w:hAnsi="Times New Roman"/>
          <w:sz w:val="24"/>
          <w:szCs w:val="24"/>
          <w:u w:val="single"/>
          <w:lang w:eastAsia="es-ES"/>
        </w:rPr>
        <w:t>cada vez hay más gente que entiende que debe pagarse su sanidad, su educación y la de sus hijos y sus fondos de pensiones. Lo cual es muy positivo, además, porque la intervención del Estado para resolver estos problemas tiene un coste de intermediación tremendo”.</w:t>
      </w:r>
      <w:r>
        <w:rPr>
          <w:rFonts w:ascii="Times New Roman" w:eastAsia="Times New Roman" w:hAnsi="Times New Roman"/>
          <w:sz w:val="24"/>
          <w:szCs w:val="24"/>
          <w:lang w:eastAsia="es-ES"/>
        </w:rPr>
        <w:t xml:space="preserve"> </w:t>
      </w:r>
    </w:p>
    <w:p w:rsidR="00BB7B36" w:rsidRPr="000F7359" w:rsidRDefault="00BB7B36" w:rsidP="00BB7B36">
      <w:pPr>
        <w:spacing w:line="240" w:lineRule="auto"/>
        <w:jc w:val="both"/>
        <w:rPr>
          <w:rFonts w:ascii="Times New Roman" w:eastAsia="Times New Roman" w:hAnsi="Times New Roman"/>
          <w:sz w:val="24"/>
          <w:szCs w:val="24"/>
          <w:lang w:eastAsia="es-ES"/>
        </w:rPr>
      </w:pPr>
      <w:r w:rsidRPr="000F7359">
        <w:rPr>
          <w:rFonts w:ascii="Times New Roman" w:eastAsia="Times New Roman" w:hAnsi="Times New Roman"/>
          <w:sz w:val="24"/>
          <w:szCs w:val="24"/>
          <w:lang w:eastAsia="es-ES"/>
        </w:rPr>
        <w:t xml:space="preserve">Pero si todos estos cambios se llevan a efecto, como ya está ocurriendo en países como Holanda o Gran Bretaña, donde los gobiernos están acometiendo reformas severas, nos encontraremos también con un nuevo panorama político. Entre otras cosas, asegura Francisco Herrero, Científico titular en el Instituto de Políticas y Bienes Públicos (CSIC) y autor de La ideología y la práctica. La diferencia de valores entre izquierda y derecha (Libros de la Catarata), porque estaremos tocando la más importante de las bases ideológicas de la izquierda parlamentaria, el Estado de bienestar. “Hablamos de la construcción de un modelo de estado que fue creado gracias a la izquierda y que está en el núcleo de su ideología. El Estado social garantiza a través de la redistribución los valores de igualdad comunidad y libertad que la izquierda defiende”, por lo que se trata también de una exigencia a la que difícilmente van a renunciar las formaciones socialdemócratas. </w:t>
      </w:r>
    </w:p>
    <w:p w:rsidR="00BB7B36" w:rsidRPr="000F7359" w:rsidRDefault="00BB7B36" w:rsidP="00BB7B36">
      <w:pPr>
        <w:spacing w:line="240" w:lineRule="auto"/>
        <w:jc w:val="both"/>
        <w:rPr>
          <w:rFonts w:ascii="Times New Roman" w:eastAsia="Times New Roman" w:hAnsi="Times New Roman"/>
          <w:sz w:val="24"/>
          <w:szCs w:val="24"/>
          <w:lang w:eastAsia="es-ES"/>
        </w:rPr>
      </w:pPr>
      <w:r w:rsidRPr="000F7359">
        <w:rPr>
          <w:rFonts w:ascii="Times New Roman" w:eastAsia="Times New Roman" w:hAnsi="Times New Roman"/>
          <w:sz w:val="24"/>
          <w:szCs w:val="24"/>
          <w:lang w:eastAsia="es-ES"/>
        </w:rPr>
        <w:t xml:space="preserve">Pero además de la defensa ideológica, también está la electoral. “Si la izquierda parlamentaria favorece los recortes, es más que posible que parte de sus bases se alejen de ellos. Máxime cuando los recursos que proporciona el Estado del bienestar suelen ir destinados a sus electores, esto es, a esas clases populares que suelen resultar </w:t>
      </w:r>
      <w:r w:rsidRPr="000F7359">
        <w:rPr>
          <w:rFonts w:ascii="Times New Roman" w:eastAsia="Times New Roman" w:hAnsi="Times New Roman"/>
          <w:sz w:val="24"/>
          <w:szCs w:val="24"/>
          <w:lang w:eastAsia="es-ES"/>
        </w:rPr>
        <w:lastRenderedPageBreak/>
        <w:t>favorecidas en respecto de las prestaciones sanitarias, educativas, etc. Si hay reformas profundas, es lógico pensar que ese apoyo popular a la izquierda puede deteriorarse, salvo que logren convencer a sus electores de que, aun siendo necesarios  los recortes, van a defender un núcleo en pensiones, educación, y sanidad, y que están haciendo las reformas ju</w:t>
      </w:r>
      <w:r>
        <w:rPr>
          <w:rFonts w:ascii="Times New Roman" w:eastAsia="Times New Roman" w:hAnsi="Times New Roman"/>
          <w:sz w:val="24"/>
          <w:szCs w:val="24"/>
          <w:lang w:eastAsia="es-ES"/>
        </w:rPr>
        <w:t>sto para preservar ese núcleo”.</w:t>
      </w:r>
    </w:p>
    <w:p w:rsidR="00BB7B36" w:rsidRPr="00D81544" w:rsidRDefault="00BB7B36" w:rsidP="00BB7B36">
      <w:pPr>
        <w:spacing w:line="240" w:lineRule="auto"/>
        <w:jc w:val="both"/>
        <w:rPr>
          <w:rFonts w:ascii="Times New Roman" w:eastAsia="Times New Roman" w:hAnsi="Times New Roman"/>
          <w:sz w:val="24"/>
          <w:szCs w:val="24"/>
          <w:u w:val="single"/>
          <w:lang w:eastAsia="es-ES"/>
        </w:rPr>
      </w:pPr>
      <w:r w:rsidRPr="000F7359">
        <w:rPr>
          <w:rFonts w:ascii="Times New Roman" w:eastAsia="Times New Roman" w:hAnsi="Times New Roman"/>
          <w:sz w:val="24"/>
          <w:szCs w:val="24"/>
          <w:lang w:eastAsia="es-ES"/>
        </w:rPr>
        <w:t xml:space="preserve">En otro caso, lo más probable es que las tensiones políticas vayan en aumento. Cuando la derecha ha hecho las reformas, como parece que será el caso a partir de las próximas elecciones generales,  suele encontrarse con mayor oposición social que cuando las hicieron los partidos socialdemócratas. Y a esa probable contestación social se le va a sumar el desafecto de una población, que como se ha visto en las movilizaciones del 15-M comienza a no creer en el sistema, por lo que el aumento de la tensión política parece inevitable, asegura Juan Carlos Monedero, profesor de Ciencia Política de la Universidad Complutense. Si bien Herrero cree que, “a pesar de todos los recortes que se han dado en el Estado del bienestar, las desigualdades no están aumentando demasiado (hay países con Gran Bretaña donde sí ha ocurrido, pero en otros países se ha dado en grado menor, como en Francia o Alemania) y está por verse que aumenten los próximos años”, para Monedero es claro que </w:t>
      </w:r>
      <w:r w:rsidRPr="00D81544">
        <w:rPr>
          <w:rFonts w:ascii="Times New Roman" w:eastAsia="Times New Roman" w:hAnsi="Times New Roman"/>
          <w:sz w:val="24"/>
          <w:szCs w:val="24"/>
          <w:u w:val="single"/>
          <w:lang w:eastAsia="es-ES"/>
        </w:rPr>
        <w:t xml:space="preserve">el choque social va a existir y  va a ser de notable intensidad. “Estamos en un instante en que el capitalismo, que está en crisis, ha de decidir el camino que va a seguir, optando por reinventar el modelo, o por recuperar la tasa de ganancia empresarial sobre las espaldas de la gente. </w:t>
      </w:r>
    </w:p>
    <w:p w:rsidR="00BB7B36" w:rsidRDefault="00BB7B36" w:rsidP="00BB7B36">
      <w:pPr>
        <w:spacing w:line="240" w:lineRule="auto"/>
        <w:jc w:val="both"/>
        <w:rPr>
          <w:rFonts w:ascii="Times New Roman" w:eastAsia="Times New Roman" w:hAnsi="Times New Roman"/>
          <w:sz w:val="24"/>
          <w:szCs w:val="24"/>
          <w:lang w:eastAsia="es-ES"/>
        </w:rPr>
      </w:pPr>
      <w:r w:rsidRPr="00D81544">
        <w:rPr>
          <w:rFonts w:ascii="Times New Roman" w:eastAsia="Times New Roman" w:hAnsi="Times New Roman"/>
          <w:sz w:val="24"/>
          <w:szCs w:val="24"/>
          <w:u w:val="single"/>
          <w:lang w:eastAsia="es-ES"/>
        </w:rPr>
        <w:t>La élite económica puede entender el salario como un ingreso social, manteniendo así los elementos del estado social, o puede optar por mantener la tasa de beneficios reduciendo los salarios al máximo y desmantelando las prestaciones sociales, ahorrando así costes a las empresas en manos de obra y de impuestos</w:t>
      </w:r>
      <w:r w:rsidRPr="000F7359">
        <w:rPr>
          <w:rFonts w:ascii="Times New Roman" w:eastAsia="Times New Roman" w:hAnsi="Times New Roman"/>
          <w:sz w:val="24"/>
          <w:szCs w:val="24"/>
          <w:lang w:eastAsia="es-ES"/>
        </w:rPr>
        <w:t xml:space="preserve">”. Para Monedero, </w:t>
      </w:r>
      <w:r w:rsidRPr="00D81544">
        <w:rPr>
          <w:rFonts w:ascii="Times New Roman" w:eastAsia="Times New Roman" w:hAnsi="Times New Roman"/>
          <w:color w:val="FF0000"/>
          <w:sz w:val="24"/>
          <w:szCs w:val="24"/>
          <w:u w:val="single"/>
          <w:lang w:eastAsia="es-ES"/>
        </w:rPr>
        <w:t>esta segunda posibilidad, que es la más probable, “nos llevaría a una situación de dualización, forjando una sociedad tipo China que no es acorde con lo que han sido los estándares y patrones europeos” e implicaría cambios políticos de notables dimensiones.</w:t>
      </w:r>
      <w:r w:rsidRPr="000F7359">
        <w:rPr>
          <w:rFonts w:ascii="Times New Roman" w:eastAsia="Times New Roman" w:hAnsi="Times New Roman"/>
          <w:sz w:val="24"/>
          <w:szCs w:val="24"/>
          <w:lang w:eastAsia="es-ES"/>
        </w:rPr>
        <w:t xml:space="preserve"> En ese caso, los partidos de la izquierda socialdemócrata perderían el apoyo social que poseen, “y dado que hablamos de formaciones que están paralizadas por su propia lógica institucional, la gente saldría a la calle, como está haciendo ya, a decir, que si los partidos no les entienden, tendrán que buscarse alguien que les entienda”. Es decir, que acabaríamos por vivir dos legalidades, la institucional y la de la calle. </w:t>
      </w:r>
      <w:r w:rsidRPr="00D81544">
        <w:rPr>
          <w:rFonts w:ascii="Times New Roman" w:eastAsia="Times New Roman" w:hAnsi="Times New Roman"/>
          <w:color w:val="FF0000"/>
          <w:sz w:val="24"/>
          <w:szCs w:val="24"/>
          <w:u w:val="single"/>
          <w:lang w:eastAsia="es-ES"/>
        </w:rPr>
        <w:t>La gente está cansada de esta retórica económica que se ha convertido en un arcano ininteligible. No entiende lo que se les dice, pero saben que se están quedando sin trabajo y sin casa. Por eso, concluyen Monedero, “esto no ha hecho más que empezar”.</w:t>
      </w:r>
      <w:r w:rsidRPr="000F7359">
        <w:rPr>
          <w:rFonts w:ascii="Times New Roman" w:eastAsia="Times New Roman" w:hAnsi="Times New Roman"/>
          <w:sz w:val="24"/>
          <w:szCs w:val="24"/>
          <w:lang w:eastAsia="es-ES"/>
        </w:rPr>
        <w:t xml:space="preserve"> Un buen ejemplo está en Madrid, pero también en Atenas. “Allí tienen que privatizar medio país para pagar el rescate. ¿Y qué van a hacer? ¿Le van a vender el Panteón a McDonald’s? Para Monedero, “</w:t>
      </w:r>
      <w:r w:rsidRPr="00D81544">
        <w:rPr>
          <w:rFonts w:ascii="Times New Roman" w:eastAsia="Times New Roman" w:hAnsi="Times New Roman"/>
          <w:color w:val="FF0000"/>
          <w:sz w:val="24"/>
          <w:szCs w:val="24"/>
          <w:u w:val="single"/>
          <w:lang w:eastAsia="es-ES"/>
        </w:rPr>
        <w:t>esta divergencia entre política institucional y realidad nos está dirigiendo a un contexto muy similar al que vivió la Europa de entreguerras</w:t>
      </w:r>
      <w:r w:rsidRPr="000F7359">
        <w:rPr>
          <w:rFonts w:ascii="Times New Roman" w:eastAsia="Times New Roman" w:hAnsi="Times New Roman"/>
          <w:sz w:val="24"/>
          <w:szCs w:val="24"/>
          <w:lang w:eastAsia="es-ES"/>
        </w:rPr>
        <w:t>”.</w:t>
      </w:r>
    </w:p>
    <w:p w:rsidR="00BB7B36" w:rsidRPr="00CC4F65" w:rsidRDefault="00BB7B36" w:rsidP="00BB7B36">
      <w:pPr>
        <w:spacing w:after="0" w:line="240" w:lineRule="auto"/>
        <w:jc w:val="both"/>
        <w:rPr>
          <w:rFonts w:ascii="Times New Roman" w:hAnsi="Times New Roman"/>
          <w:sz w:val="24"/>
          <w:szCs w:val="24"/>
        </w:rPr>
      </w:pPr>
      <w:r>
        <w:rPr>
          <w:rFonts w:ascii="Times New Roman" w:hAnsi="Times New Roman"/>
          <w:sz w:val="24"/>
          <w:szCs w:val="24"/>
        </w:rPr>
        <w:t xml:space="preserve">- </w:t>
      </w:r>
      <w:r w:rsidRPr="00B10CBE">
        <w:rPr>
          <w:rFonts w:ascii="Times New Roman" w:hAnsi="Times New Roman"/>
          <w:sz w:val="24"/>
          <w:szCs w:val="24"/>
          <w:u w:val="single"/>
        </w:rPr>
        <w:t>Nos morimos por encima de nuestras posibilidades</w:t>
      </w:r>
      <w:r>
        <w:rPr>
          <w:rFonts w:ascii="Times New Roman" w:hAnsi="Times New Roman"/>
          <w:sz w:val="24"/>
          <w:szCs w:val="24"/>
        </w:rPr>
        <w:t xml:space="preserve"> (Libertad Digital - </w:t>
      </w:r>
      <w:r w:rsidRPr="00B10CBE">
        <w:rPr>
          <w:rFonts w:ascii="Times New Roman" w:hAnsi="Times New Roman"/>
          <w:b/>
          <w:sz w:val="24"/>
          <w:szCs w:val="24"/>
        </w:rPr>
        <w:t>26/9/11</w:t>
      </w:r>
      <w:r>
        <w:rPr>
          <w:rFonts w:ascii="Times New Roman" w:hAnsi="Times New Roman"/>
          <w:sz w:val="24"/>
          <w:szCs w:val="24"/>
        </w:rPr>
        <w:t>)</w:t>
      </w:r>
    </w:p>
    <w:p w:rsidR="00BB7B36" w:rsidRDefault="00BB7B36" w:rsidP="00BB7B36">
      <w:pPr>
        <w:spacing w:after="0" w:line="240" w:lineRule="auto"/>
        <w:jc w:val="both"/>
        <w:rPr>
          <w:rFonts w:ascii="Times New Roman" w:hAnsi="Times New Roman"/>
          <w:sz w:val="24"/>
          <w:szCs w:val="24"/>
        </w:rPr>
      </w:pPr>
    </w:p>
    <w:p w:rsidR="00BB7B36" w:rsidRDefault="00BB7B36" w:rsidP="00BB7B36">
      <w:pPr>
        <w:spacing w:after="0" w:line="240" w:lineRule="auto"/>
        <w:jc w:val="both"/>
        <w:rPr>
          <w:rFonts w:ascii="Times New Roman" w:hAnsi="Times New Roman"/>
          <w:sz w:val="24"/>
          <w:szCs w:val="24"/>
        </w:rPr>
      </w:pPr>
      <w:r>
        <w:rPr>
          <w:rFonts w:ascii="Times New Roman" w:hAnsi="Times New Roman"/>
          <w:sz w:val="24"/>
          <w:szCs w:val="24"/>
        </w:rPr>
        <w:t xml:space="preserve">(Por </w:t>
      </w:r>
      <w:r w:rsidRPr="00CC4F65">
        <w:rPr>
          <w:rFonts w:ascii="Times New Roman" w:hAnsi="Times New Roman"/>
          <w:sz w:val="24"/>
          <w:szCs w:val="24"/>
        </w:rPr>
        <w:t>Ignacio Moncada</w:t>
      </w:r>
      <w:r>
        <w:rPr>
          <w:rFonts w:ascii="Times New Roman" w:hAnsi="Times New Roman"/>
          <w:sz w:val="24"/>
          <w:szCs w:val="24"/>
        </w:rPr>
        <w:t>)</w:t>
      </w:r>
    </w:p>
    <w:p w:rsidR="00BB7B36" w:rsidRPr="00CC4F65" w:rsidRDefault="00BB7B36" w:rsidP="00BB7B36">
      <w:pPr>
        <w:spacing w:after="0" w:line="240" w:lineRule="auto"/>
        <w:jc w:val="both"/>
        <w:rPr>
          <w:rFonts w:ascii="Times New Roman" w:hAnsi="Times New Roman"/>
          <w:sz w:val="24"/>
          <w:szCs w:val="24"/>
        </w:rPr>
      </w:pPr>
    </w:p>
    <w:p w:rsidR="00BB7B36" w:rsidRPr="00FA3085" w:rsidRDefault="00BB7B36" w:rsidP="00BB7B36">
      <w:pPr>
        <w:spacing w:after="0" w:line="240" w:lineRule="auto"/>
        <w:jc w:val="both"/>
        <w:rPr>
          <w:rFonts w:ascii="Times New Roman" w:hAnsi="Times New Roman"/>
          <w:color w:val="FF0000"/>
          <w:sz w:val="24"/>
          <w:szCs w:val="24"/>
          <w:u w:val="single"/>
        </w:rPr>
      </w:pPr>
      <w:r w:rsidRPr="00FA3085">
        <w:rPr>
          <w:rFonts w:ascii="Times New Roman" w:hAnsi="Times New Roman"/>
          <w:color w:val="FF0000"/>
          <w:sz w:val="24"/>
          <w:szCs w:val="24"/>
          <w:u w:val="single"/>
        </w:rPr>
        <w:t xml:space="preserve">Oscar Wilde vivió entregado al dispendio como modo de vida. Y cuando llegó la factura de su última botella de champán, postrado en París por la enfermedad y la insolvencia, acertó a decir: “Dios mío, me muero por encima de mis posibilidades”. </w:t>
      </w:r>
    </w:p>
    <w:p w:rsidR="00BB7B36" w:rsidRPr="00FA3085" w:rsidRDefault="00BB7B36" w:rsidP="00BB7B36">
      <w:pPr>
        <w:spacing w:after="0" w:line="240" w:lineRule="auto"/>
        <w:jc w:val="both"/>
        <w:rPr>
          <w:rFonts w:ascii="Times New Roman" w:hAnsi="Times New Roman"/>
          <w:color w:val="FF0000"/>
          <w:sz w:val="24"/>
          <w:szCs w:val="24"/>
          <w:u w:val="single"/>
        </w:rPr>
      </w:pPr>
    </w:p>
    <w:p w:rsidR="00BB7B36" w:rsidRPr="00CC4F65" w:rsidRDefault="00BB7B36" w:rsidP="00BB7B36">
      <w:pPr>
        <w:spacing w:after="0" w:line="240" w:lineRule="auto"/>
        <w:jc w:val="both"/>
        <w:rPr>
          <w:rFonts w:ascii="Times New Roman" w:hAnsi="Times New Roman"/>
          <w:sz w:val="24"/>
          <w:szCs w:val="24"/>
        </w:rPr>
      </w:pPr>
      <w:r w:rsidRPr="00CC4F65">
        <w:rPr>
          <w:rFonts w:ascii="Times New Roman" w:hAnsi="Times New Roman"/>
          <w:sz w:val="24"/>
          <w:szCs w:val="24"/>
        </w:rPr>
        <w:lastRenderedPageBreak/>
        <w:t>El otro día escuché una curiosa anécdota. Cuentan que Oscar Wilde, cuando estaba en su lecho de muerte, pidió una botella del mejor champán francés. El polémico escritor irlandés, pese a que llegó a ganar mucho dinero durante su vida, siempre estaba arruinado. Vivió entregado al derroche en lujos y placeres, al dispendio como modo de vida. Y cuando llegó la factura de su última botella de champán, postrado en París por la enfermedad y la in</w:t>
      </w:r>
      <w:r>
        <w:rPr>
          <w:rFonts w:ascii="Times New Roman" w:hAnsi="Times New Roman"/>
          <w:sz w:val="24"/>
          <w:szCs w:val="24"/>
        </w:rPr>
        <w:t>solvencia, acertó a decir: “</w:t>
      </w:r>
      <w:r w:rsidRPr="00CC4F65">
        <w:rPr>
          <w:rFonts w:ascii="Times New Roman" w:hAnsi="Times New Roman"/>
          <w:sz w:val="24"/>
          <w:szCs w:val="24"/>
        </w:rPr>
        <w:t xml:space="preserve">Dios mío, me muero </w:t>
      </w:r>
      <w:r>
        <w:rPr>
          <w:rFonts w:ascii="Times New Roman" w:hAnsi="Times New Roman"/>
          <w:sz w:val="24"/>
          <w:szCs w:val="24"/>
        </w:rPr>
        <w:t>por encima de mis posibilidades”</w:t>
      </w:r>
      <w:r w:rsidRPr="00CC4F65">
        <w:rPr>
          <w:rFonts w:ascii="Times New Roman" w:hAnsi="Times New Roman"/>
          <w:sz w:val="24"/>
          <w:szCs w:val="24"/>
        </w:rPr>
        <w:t>.</w:t>
      </w:r>
    </w:p>
    <w:p w:rsidR="00BB7B36" w:rsidRPr="00CC4F65" w:rsidRDefault="00BB7B36" w:rsidP="00BB7B36">
      <w:pPr>
        <w:spacing w:after="0" w:line="240" w:lineRule="auto"/>
        <w:jc w:val="both"/>
        <w:rPr>
          <w:rFonts w:ascii="Times New Roman" w:hAnsi="Times New Roman"/>
          <w:sz w:val="24"/>
          <w:szCs w:val="24"/>
        </w:rPr>
      </w:pPr>
    </w:p>
    <w:p w:rsidR="00BB7B36" w:rsidRPr="00CC4F65" w:rsidRDefault="00BB7B36" w:rsidP="00BB7B36">
      <w:pPr>
        <w:spacing w:after="0" w:line="240" w:lineRule="auto"/>
        <w:jc w:val="both"/>
        <w:rPr>
          <w:rFonts w:ascii="Times New Roman" w:hAnsi="Times New Roman"/>
          <w:sz w:val="24"/>
          <w:szCs w:val="24"/>
        </w:rPr>
      </w:pPr>
      <w:r w:rsidRPr="00FA3085">
        <w:rPr>
          <w:rFonts w:ascii="Times New Roman" w:hAnsi="Times New Roman"/>
          <w:sz w:val="24"/>
          <w:szCs w:val="24"/>
          <w:u w:val="single"/>
        </w:rPr>
        <w:t>Pocas frases pueden resumir mejor el estado actual de las economías occidentales</w:t>
      </w:r>
      <w:r w:rsidRPr="00FA3085">
        <w:rPr>
          <w:rFonts w:ascii="Times New Roman" w:hAnsi="Times New Roman"/>
          <w:sz w:val="24"/>
          <w:szCs w:val="24"/>
        </w:rPr>
        <w:t xml:space="preserve">. Y es que, como le sucedió a Oscar Wilde, economías como la española han estado viviendo muchos años por encima de sus posibilidades. </w:t>
      </w:r>
      <w:r w:rsidRPr="00FA3085">
        <w:rPr>
          <w:rFonts w:ascii="Times New Roman" w:hAnsi="Times New Roman"/>
          <w:sz w:val="24"/>
          <w:szCs w:val="24"/>
          <w:u w:val="single"/>
        </w:rPr>
        <w:t>El mantenimiento de tipos de interés artificialmente bajos durante los años de la burbuja generaron la falsa señal económica de que los recursos no tenían coste. Los bancos centrales iniciaron una alocada carrera de inyección de dinero que fue a parar, por supuesto, a manos de quienes los controlan: los políticos</w:t>
      </w:r>
      <w:r w:rsidRPr="00FA3085">
        <w:rPr>
          <w:rFonts w:ascii="Times New Roman" w:hAnsi="Times New Roman"/>
          <w:sz w:val="24"/>
          <w:szCs w:val="24"/>
        </w:rPr>
        <w:t xml:space="preserve">. </w:t>
      </w:r>
      <w:r w:rsidRPr="00FA3085">
        <w:rPr>
          <w:rFonts w:ascii="Times New Roman" w:hAnsi="Times New Roman"/>
          <w:sz w:val="24"/>
          <w:szCs w:val="24"/>
          <w:u w:val="single"/>
        </w:rPr>
        <w:t>Y éstos creyeron que podían gastar cuanto quisieran</w:t>
      </w:r>
      <w:r w:rsidRPr="00FA3085">
        <w:rPr>
          <w:rFonts w:ascii="Times New Roman" w:hAnsi="Times New Roman"/>
          <w:sz w:val="24"/>
          <w:szCs w:val="24"/>
        </w:rPr>
        <w:t xml:space="preserve">. Eran tiempos en los que un alcalde creía que podía cambiar todas las infraestructuras de una ciudad en una legislatura, tiempos en los que toda subvención o pago político caía en una balsa presupuestaria que nadie controlaba, pues sobraba el dinero. </w:t>
      </w:r>
      <w:r w:rsidRPr="00FA3085">
        <w:rPr>
          <w:rFonts w:ascii="Times New Roman" w:hAnsi="Times New Roman"/>
          <w:sz w:val="24"/>
          <w:szCs w:val="24"/>
          <w:u w:val="single"/>
        </w:rPr>
        <w:t>Sin embargo esa sensación era irreal.</w:t>
      </w:r>
      <w:r w:rsidRPr="00FA3085">
        <w:rPr>
          <w:rFonts w:ascii="Times New Roman" w:hAnsi="Times New Roman"/>
          <w:sz w:val="24"/>
          <w:szCs w:val="24"/>
        </w:rPr>
        <w:t xml:space="preserve"> </w:t>
      </w:r>
      <w:r w:rsidRPr="00FA3085">
        <w:rPr>
          <w:rFonts w:ascii="Times New Roman" w:hAnsi="Times New Roman"/>
          <w:sz w:val="24"/>
          <w:szCs w:val="24"/>
          <w:u w:val="single"/>
        </w:rPr>
        <w:t>Pese a que la manipulación de la moneda alteraba el coste inmediato de los recursos, a medio plazo se puso de manifiesto que éstos no eran gratis. De alguna manera había que pagarlos. Por ese motivo entramos en la crisis</w:t>
      </w:r>
      <w:r w:rsidRPr="00FA3085">
        <w:rPr>
          <w:rFonts w:ascii="Times New Roman" w:hAnsi="Times New Roman"/>
          <w:sz w:val="24"/>
          <w:szCs w:val="24"/>
        </w:rPr>
        <w:t>. Había miles de empresas e inversiones que no eran sostenibles con los costes reales, y millones de trabajadores tenían sus puestos de trabajo en actividades que quedaron abocadas a la quiebra</w:t>
      </w:r>
      <w:r w:rsidRPr="00CC4F65">
        <w:rPr>
          <w:rFonts w:ascii="Times New Roman" w:hAnsi="Times New Roman"/>
          <w:sz w:val="24"/>
          <w:szCs w:val="24"/>
        </w:rPr>
        <w:t>.</w:t>
      </w:r>
    </w:p>
    <w:p w:rsidR="00BB7B36" w:rsidRPr="00CC4F65" w:rsidRDefault="00BB7B36" w:rsidP="00BB7B36">
      <w:pPr>
        <w:spacing w:after="0" w:line="240" w:lineRule="auto"/>
        <w:jc w:val="both"/>
        <w:rPr>
          <w:rFonts w:ascii="Times New Roman" w:hAnsi="Times New Roman"/>
          <w:sz w:val="24"/>
          <w:szCs w:val="24"/>
        </w:rPr>
      </w:pPr>
    </w:p>
    <w:p w:rsidR="00BB7B36" w:rsidRPr="00FA3085" w:rsidRDefault="00BB7B36" w:rsidP="00BB7B36">
      <w:pPr>
        <w:spacing w:after="0" w:line="240" w:lineRule="auto"/>
        <w:jc w:val="both"/>
        <w:rPr>
          <w:rFonts w:ascii="Times New Roman" w:hAnsi="Times New Roman"/>
          <w:sz w:val="24"/>
          <w:szCs w:val="24"/>
          <w:u w:val="single"/>
        </w:rPr>
      </w:pPr>
      <w:r w:rsidRPr="00FA3085">
        <w:rPr>
          <w:rFonts w:ascii="Times New Roman" w:hAnsi="Times New Roman"/>
          <w:sz w:val="24"/>
          <w:szCs w:val="24"/>
          <w:u w:val="single"/>
        </w:rPr>
        <w:t>Todas las crisis económicas siguen patrones muy similares. Pueden cambiar los sectores más afectados, pero todas se deben, en esencia, a que la estructura productiva se ha distorsionado respecto a las necesidades reales de los consumidores. Salir de una crisis supone reconocer que los despilfarros de la burbuja no sólo eran insostenibles y hay que corregirlos, sino que además debemos dinero</w:t>
      </w:r>
      <w:r>
        <w:rPr>
          <w:rFonts w:ascii="Times New Roman" w:hAnsi="Times New Roman"/>
          <w:sz w:val="24"/>
          <w:szCs w:val="24"/>
        </w:rPr>
        <w:t>. Y aquí vuelve ese “efecto Oscar Wilde”</w:t>
      </w:r>
      <w:r w:rsidRPr="00CC4F65">
        <w:rPr>
          <w:rFonts w:ascii="Times New Roman" w:hAnsi="Times New Roman"/>
          <w:sz w:val="24"/>
          <w:szCs w:val="24"/>
        </w:rPr>
        <w:t xml:space="preserve"> del gobernante actual, que consiste en creer que podemos seguir permitiéndonos el nivel de despilfarro de tiempos de la burbuja. </w:t>
      </w:r>
      <w:r w:rsidRPr="00FA3085">
        <w:rPr>
          <w:rFonts w:ascii="Times New Roman" w:hAnsi="Times New Roman"/>
          <w:b/>
          <w:color w:val="FF0000"/>
          <w:sz w:val="24"/>
          <w:szCs w:val="24"/>
          <w:u w:val="single"/>
        </w:rPr>
        <w:t>Los keynesianos, yendo más allá, incluso afirman que el problema se soluciona... ¡gastando más!</w:t>
      </w:r>
      <w:r w:rsidRPr="00CC4F65">
        <w:rPr>
          <w:rFonts w:ascii="Times New Roman" w:hAnsi="Times New Roman"/>
          <w:sz w:val="24"/>
          <w:szCs w:val="24"/>
        </w:rPr>
        <w:t xml:space="preserve"> De esa manera, muchos estados europeos, entre ellos España, siguen desafiando al precipicio de la bancarrota negándose a recortar drásticamente el gasto público. </w:t>
      </w:r>
      <w:r w:rsidRPr="00FA3085">
        <w:rPr>
          <w:rFonts w:ascii="Times New Roman" w:hAnsi="Times New Roman"/>
          <w:sz w:val="24"/>
          <w:szCs w:val="24"/>
          <w:u w:val="single"/>
        </w:rPr>
        <w:t>Mientras países como España ya no podrían afrontar sus pagos si no fuera por las inyecciones del BCE y la garantía de Alemania, sus políticos siguen gastando como si el dinero siguiera siendo gratis. Y es que, como le sucedió Oscar Wilde, nos morimos por encima de nuestras posibilidades.</w:t>
      </w:r>
    </w:p>
    <w:p w:rsidR="00BB7B36" w:rsidRPr="00CC4F65" w:rsidRDefault="00BB7B36" w:rsidP="00BB7B36">
      <w:pPr>
        <w:spacing w:after="0" w:line="240" w:lineRule="auto"/>
        <w:jc w:val="both"/>
        <w:rPr>
          <w:rFonts w:ascii="Times New Roman" w:hAnsi="Times New Roman"/>
          <w:sz w:val="24"/>
          <w:szCs w:val="24"/>
        </w:rPr>
      </w:pPr>
    </w:p>
    <w:p w:rsidR="00BB7B36" w:rsidRDefault="00BB7B36" w:rsidP="00BB7B36">
      <w:pPr>
        <w:spacing w:after="0" w:line="240" w:lineRule="auto"/>
        <w:jc w:val="both"/>
        <w:rPr>
          <w:rFonts w:ascii="Times New Roman" w:hAnsi="Times New Roman"/>
          <w:sz w:val="24"/>
          <w:szCs w:val="24"/>
        </w:rPr>
      </w:pPr>
      <w:r>
        <w:rPr>
          <w:rFonts w:ascii="Times New Roman" w:hAnsi="Times New Roman"/>
          <w:sz w:val="24"/>
          <w:szCs w:val="24"/>
        </w:rPr>
        <w:t>(</w:t>
      </w:r>
      <w:r w:rsidRPr="00CC4F65">
        <w:rPr>
          <w:rFonts w:ascii="Times New Roman" w:hAnsi="Times New Roman"/>
          <w:sz w:val="24"/>
          <w:szCs w:val="24"/>
        </w:rPr>
        <w:t>Ignacio Moncada es ingeniero industrial por ICAI y trabaja como analista financie</w:t>
      </w:r>
      <w:r>
        <w:rPr>
          <w:rFonts w:ascii="Times New Roman" w:hAnsi="Times New Roman"/>
          <w:sz w:val="24"/>
          <w:szCs w:val="24"/>
        </w:rPr>
        <w:t>ro de inversiones en Nueva York)</w:t>
      </w:r>
    </w:p>
    <w:p w:rsidR="00BB7B36" w:rsidRDefault="00BB7B36" w:rsidP="00BB7B36">
      <w:pPr>
        <w:spacing w:after="0" w:line="240" w:lineRule="auto"/>
        <w:jc w:val="both"/>
        <w:rPr>
          <w:rFonts w:ascii="Times New Roman" w:hAnsi="Times New Roman" w:cs="Times New Roman"/>
          <w:sz w:val="24"/>
          <w:szCs w:val="24"/>
        </w:rPr>
      </w:pPr>
    </w:p>
    <w:p w:rsidR="00BB7B36" w:rsidRPr="001E45DA" w:rsidRDefault="00BB7B36" w:rsidP="00BB7B36">
      <w:pPr>
        <w:spacing w:after="15"/>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r>
        <w:rPr>
          <w:rStyle w:val="nfasis"/>
          <w:rFonts w:ascii="Times New Roman" w:hAnsi="Times New Roman"/>
          <w:i w:val="0"/>
          <w:sz w:val="24"/>
          <w:szCs w:val="24"/>
          <w:u w:val="single"/>
        </w:rPr>
        <w:t>Las tres falacias sobre la “</w:t>
      </w:r>
      <w:r w:rsidRPr="001E45DA">
        <w:rPr>
          <w:rStyle w:val="nfasis"/>
          <w:rFonts w:ascii="Times New Roman" w:hAnsi="Times New Roman"/>
          <w:i w:val="0"/>
          <w:sz w:val="24"/>
          <w:szCs w:val="24"/>
          <w:u w:val="single"/>
        </w:rPr>
        <w:t>p</w:t>
      </w:r>
      <w:r>
        <w:rPr>
          <w:rStyle w:val="nfasis"/>
          <w:rFonts w:ascii="Times New Roman" w:hAnsi="Times New Roman"/>
          <w:i w:val="0"/>
          <w:sz w:val="24"/>
          <w:szCs w:val="24"/>
          <w:u w:val="single"/>
        </w:rPr>
        <w:t>obreza”</w:t>
      </w:r>
      <w:r w:rsidRPr="001E45DA">
        <w:rPr>
          <w:rStyle w:val="nfasis"/>
          <w:rFonts w:ascii="Times New Roman" w:hAnsi="Times New Roman"/>
          <w:i w:val="0"/>
          <w:sz w:val="24"/>
          <w:szCs w:val="24"/>
          <w:u w:val="single"/>
        </w:rPr>
        <w:t xml:space="preserve"> en EEUU</w:t>
      </w:r>
      <w:r w:rsidRPr="001E45DA">
        <w:rPr>
          <w:rStyle w:val="nfasis"/>
          <w:rFonts w:ascii="Times New Roman" w:hAnsi="Times New Roman"/>
          <w:i w:val="0"/>
          <w:sz w:val="24"/>
          <w:szCs w:val="24"/>
        </w:rPr>
        <w:t xml:space="preserve"> (Libertad Digital - </w:t>
      </w:r>
      <w:r w:rsidRPr="001E45DA">
        <w:rPr>
          <w:rStyle w:val="nfasis"/>
          <w:rFonts w:ascii="Times New Roman" w:hAnsi="Times New Roman"/>
          <w:b/>
          <w:i w:val="0"/>
          <w:sz w:val="24"/>
          <w:szCs w:val="24"/>
        </w:rPr>
        <w:t>16/10/11</w:t>
      </w:r>
      <w:r w:rsidRPr="001E45DA">
        <w:rPr>
          <w:rStyle w:val="nfasis"/>
          <w:rFonts w:ascii="Times New Roman" w:hAnsi="Times New Roman"/>
          <w:i w:val="0"/>
          <w:sz w:val="24"/>
          <w:szCs w:val="24"/>
        </w:rPr>
        <w:t>)</w:t>
      </w:r>
    </w:p>
    <w:p w:rsidR="00BB7B36" w:rsidRPr="001E45DA" w:rsidRDefault="00BB7B36" w:rsidP="00BB7B36">
      <w:pPr>
        <w:spacing w:after="15"/>
        <w:jc w:val="both"/>
        <w:rPr>
          <w:rStyle w:val="nfasis"/>
          <w:rFonts w:ascii="Times New Roman" w:hAnsi="Times New Roman"/>
          <w:i w:val="0"/>
          <w:sz w:val="24"/>
          <w:szCs w:val="24"/>
        </w:rPr>
      </w:pPr>
    </w:p>
    <w:p w:rsidR="00BB7B36" w:rsidRPr="001E45DA" w:rsidRDefault="00BB7B36" w:rsidP="00BB7B36">
      <w:pPr>
        <w:spacing w:after="15"/>
        <w:jc w:val="both"/>
        <w:rPr>
          <w:rStyle w:val="nfasis"/>
          <w:rFonts w:ascii="Times New Roman" w:hAnsi="Times New Roman"/>
          <w:i w:val="0"/>
          <w:color w:val="FF0000"/>
          <w:sz w:val="24"/>
          <w:szCs w:val="24"/>
          <w:u w:val="single"/>
        </w:rPr>
      </w:pPr>
      <w:r w:rsidRPr="001E45DA">
        <w:rPr>
          <w:rStyle w:val="nfasis"/>
          <w:rFonts w:ascii="Times New Roman" w:hAnsi="Times New Roman"/>
          <w:i w:val="0"/>
          <w:color w:val="FF0000"/>
          <w:sz w:val="24"/>
          <w:szCs w:val="24"/>
          <w:u w:val="single"/>
        </w:rPr>
        <w:t>La pobreza en EEUU registra máximos desde la Gran Depresión, pero este término es relativo. Un mileurista español sería pobre al otro lado del charco.</w:t>
      </w:r>
    </w:p>
    <w:p w:rsidR="00BB7B36" w:rsidRPr="001E45DA" w:rsidRDefault="00BB7B36" w:rsidP="00BB7B36">
      <w:pPr>
        <w:spacing w:after="15"/>
        <w:jc w:val="both"/>
        <w:rPr>
          <w:rStyle w:val="nfasis"/>
          <w:rFonts w:ascii="Times New Roman" w:hAnsi="Times New Roman"/>
          <w:i w:val="0"/>
          <w:sz w:val="24"/>
          <w:szCs w:val="24"/>
        </w:rPr>
      </w:pPr>
    </w:p>
    <w:p w:rsidR="00BB7B36" w:rsidRPr="001E45DA" w:rsidRDefault="00BB7B36" w:rsidP="00BB7B36">
      <w:pPr>
        <w:spacing w:after="15"/>
        <w:jc w:val="both"/>
        <w:rPr>
          <w:rStyle w:val="nfasis"/>
          <w:rFonts w:ascii="Times New Roman" w:hAnsi="Times New Roman"/>
          <w:i w:val="0"/>
          <w:sz w:val="24"/>
          <w:szCs w:val="24"/>
        </w:rPr>
      </w:pPr>
      <w:r w:rsidRPr="001E45DA">
        <w:rPr>
          <w:rStyle w:val="nfasis"/>
          <w:rFonts w:ascii="Times New Roman" w:hAnsi="Times New Roman"/>
          <w:i w:val="0"/>
          <w:sz w:val="24"/>
          <w:szCs w:val="24"/>
        </w:rPr>
        <w:t>(Por Ángel Martín)</w:t>
      </w:r>
    </w:p>
    <w:p w:rsidR="00BB7B36" w:rsidRPr="001E45DA" w:rsidRDefault="00BB7B36" w:rsidP="00BB7B36">
      <w:pPr>
        <w:spacing w:after="15"/>
        <w:jc w:val="both"/>
        <w:rPr>
          <w:rStyle w:val="nfasis"/>
          <w:rFonts w:ascii="Times New Roman" w:hAnsi="Times New Roman"/>
          <w:i w:val="0"/>
          <w:sz w:val="24"/>
          <w:szCs w:val="24"/>
        </w:rPr>
      </w:pPr>
    </w:p>
    <w:p w:rsidR="00BB7B36" w:rsidRPr="001E45DA" w:rsidRDefault="00BB7B36" w:rsidP="00BB7B36">
      <w:pPr>
        <w:spacing w:after="15"/>
        <w:jc w:val="both"/>
        <w:rPr>
          <w:rStyle w:val="nfasis"/>
          <w:rFonts w:ascii="Times New Roman" w:hAnsi="Times New Roman"/>
          <w:i w:val="0"/>
          <w:sz w:val="24"/>
          <w:szCs w:val="24"/>
          <w:u w:val="single"/>
        </w:rPr>
      </w:pPr>
      <w:r w:rsidRPr="001E45DA">
        <w:rPr>
          <w:rStyle w:val="nfasis"/>
          <w:rFonts w:ascii="Times New Roman" w:hAnsi="Times New Roman"/>
          <w:i w:val="0"/>
          <w:sz w:val="24"/>
          <w:szCs w:val="24"/>
          <w:u w:val="single"/>
        </w:rPr>
        <w:lastRenderedPageBreak/>
        <w:t>La tasa de pobreza en Estados Unidos parece haberse disparado en los últimos años</w:t>
      </w:r>
      <w:r w:rsidRPr="001E45DA">
        <w:rPr>
          <w:rStyle w:val="nfasis"/>
          <w:rFonts w:ascii="Times New Roman" w:hAnsi="Times New Roman"/>
          <w:i w:val="0"/>
          <w:sz w:val="24"/>
          <w:szCs w:val="24"/>
        </w:rPr>
        <w:t xml:space="preserve">. Los datos publicados recientemente por la Oficina del Censo (Census Bureau) arrojan varios titulares realmente nefastos, reflejo de las grandes dificultades económicas que atraviesa el país. </w:t>
      </w:r>
      <w:r w:rsidRPr="001E45DA">
        <w:rPr>
          <w:rStyle w:val="nfasis"/>
          <w:rFonts w:ascii="Times New Roman" w:hAnsi="Times New Roman"/>
          <w:i w:val="0"/>
          <w:sz w:val="24"/>
          <w:szCs w:val="24"/>
          <w:u w:val="single"/>
        </w:rPr>
        <w:t>El porcentaje de ciudadanos estadounidenses pobres escala hasta niveles no vistos desde 1993, señalaba The New York Times, o Casi uno de cada seis vive en la pobreza en EEUU, según The Washington Post.</w:t>
      </w:r>
    </w:p>
    <w:p w:rsidR="00BB7B36" w:rsidRPr="001E45DA" w:rsidRDefault="00BB7B36" w:rsidP="00BB7B36">
      <w:pPr>
        <w:spacing w:after="15"/>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BB7B36" w:rsidRPr="001E45DA" w:rsidRDefault="00BB7B36" w:rsidP="00BB7B36">
      <w:pPr>
        <w:spacing w:after="15"/>
        <w:jc w:val="both"/>
        <w:rPr>
          <w:rStyle w:val="nfasis"/>
          <w:rFonts w:ascii="Times New Roman" w:hAnsi="Times New Roman"/>
          <w:i w:val="0"/>
          <w:color w:val="FF0000"/>
          <w:sz w:val="24"/>
          <w:szCs w:val="24"/>
          <w:u w:val="single"/>
        </w:rPr>
      </w:pPr>
      <w:r w:rsidRPr="001E45DA">
        <w:rPr>
          <w:rStyle w:val="nfasis"/>
          <w:rFonts w:ascii="Times New Roman" w:hAnsi="Times New Roman"/>
          <w:i w:val="0"/>
          <w:color w:val="FF0000"/>
          <w:sz w:val="24"/>
          <w:szCs w:val="24"/>
          <w:u w:val="single"/>
        </w:rPr>
        <w:t>Según el Censo, la tasa oficial nacional de pobreza en 2010 fue del 15,1%, comparado al 14,3% en el año anterior -siendo el tercer incremento anual consecutivo-. El número absoluto de personas viviendo en la pobreza en 2010 se estima en 46,2 millones, comparado con los 43,6 millones en 2009 -cuarto incremento anual consecutivo-, el volumen más alto en los 52 años de este índice.</w:t>
      </w:r>
    </w:p>
    <w:p w:rsidR="00BB7B36" w:rsidRPr="001E45DA" w:rsidRDefault="00BB7B36" w:rsidP="00BB7B36">
      <w:pPr>
        <w:spacing w:after="15"/>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BB7B36" w:rsidRPr="001E45DA" w:rsidRDefault="00BB7B36" w:rsidP="00BB7B36">
      <w:pPr>
        <w:spacing w:after="15"/>
        <w:jc w:val="both"/>
        <w:rPr>
          <w:rStyle w:val="nfasis"/>
          <w:rFonts w:ascii="Times New Roman" w:hAnsi="Times New Roman"/>
          <w:i w:val="0"/>
          <w:sz w:val="24"/>
          <w:szCs w:val="24"/>
        </w:rPr>
      </w:pPr>
      <w:r w:rsidRPr="001E45DA">
        <w:rPr>
          <w:rStyle w:val="nfasis"/>
          <w:rFonts w:ascii="Times New Roman" w:hAnsi="Times New Roman"/>
          <w:i w:val="0"/>
          <w:sz w:val="24"/>
          <w:szCs w:val="24"/>
          <w:u w:val="single"/>
        </w:rPr>
        <w:t>Sin lugar a dudas, la Gran Recesión ha tenido un impacto significativo sobre los ingresos de los norteamericanos y, por tanto, también sobre las tasas de pobreza, principalmente por el deficiente comportamiento del mercado laboral</w:t>
      </w:r>
      <w:r w:rsidRPr="001E45DA">
        <w:rPr>
          <w:rStyle w:val="nfasis"/>
          <w:rFonts w:ascii="Times New Roman" w:hAnsi="Times New Roman"/>
          <w:i w:val="0"/>
          <w:sz w:val="24"/>
          <w:szCs w:val="24"/>
        </w:rPr>
        <w:t>. Asimismo, tal y como avanzó Libre Mercado, la dependencia de las familias de las transferencias públicas se sitúa en máximos históricos desde la Gran Depresión.</w:t>
      </w:r>
    </w:p>
    <w:p w:rsidR="00BB7B36" w:rsidRPr="001E45DA" w:rsidRDefault="00BB7B36" w:rsidP="00BB7B36">
      <w:pPr>
        <w:spacing w:after="15"/>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BB7B36" w:rsidRPr="001E45DA" w:rsidRDefault="00BB7B36" w:rsidP="00BB7B36">
      <w:pPr>
        <w:spacing w:after="15"/>
        <w:jc w:val="both"/>
        <w:rPr>
          <w:rStyle w:val="nfasis"/>
          <w:rFonts w:ascii="Times New Roman" w:hAnsi="Times New Roman"/>
          <w:i w:val="0"/>
          <w:sz w:val="24"/>
          <w:szCs w:val="24"/>
          <w:u w:val="single"/>
        </w:rPr>
      </w:pPr>
      <w:r w:rsidRPr="001E45DA">
        <w:rPr>
          <w:rStyle w:val="nfasis"/>
          <w:rFonts w:ascii="Times New Roman" w:hAnsi="Times New Roman"/>
          <w:i w:val="0"/>
          <w:sz w:val="24"/>
          <w:szCs w:val="24"/>
          <w:u w:val="single"/>
        </w:rPr>
        <w:t>Estos pésimos datos suelen utilizarse por parte de analistas y políticos socialdemócratas (tanto en Estados Unidos como en Europa) como manifestación de que el sistema americano de baja protección y escasa Seguridad Social no funciona, ya que genera grandes bolsas de pobreza y crecientes desigualdades sociales. Sin embargo, esta tesis contiene importantes puntos débiles.</w:t>
      </w:r>
    </w:p>
    <w:p w:rsidR="00BB7B36" w:rsidRPr="001E45DA" w:rsidRDefault="00BB7B36" w:rsidP="00BB7B36">
      <w:pPr>
        <w:spacing w:after="15"/>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BB7B36" w:rsidRPr="001E45DA" w:rsidRDefault="00BB7B36" w:rsidP="00BB7B36">
      <w:pPr>
        <w:spacing w:after="15"/>
        <w:jc w:val="both"/>
        <w:rPr>
          <w:rStyle w:val="nfasis"/>
          <w:rFonts w:ascii="Times New Roman" w:hAnsi="Times New Roman"/>
          <w:i w:val="0"/>
          <w:color w:val="FF0000"/>
          <w:sz w:val="24"/>
          <w:szCs w:val="24"/>
          <w:u w:val="single"/>
        </w:rPr>
      </w:pPr>
      <w:r w:rsidRPr="001E45DA">
        <w:rPr>
          <w:rStyle w:val="nfasis"/>
          <w:rFonts w:ascii="Times New Roman" w:hAnsi="Times New Roman"/>
          <w:i w:val="0"/>
          <w:sz w:val="24"/>
          <w:szCs w:val="24"/>
          <w:u w:val="single"/>
        </w:rPr>
        <w:t>En primer lugar, se suele pensar que Estados Unidos es un país ultraliberal en donde el Estado del Bienestar brilla por su ausencia</w:t>
      </w:r>
      <w:r w:rsidRPr="001E45DA">
        <w:rPr>
          <w:rStyle w:val="nfasis"/>
          <w:rFonts w:ascii="Times New Roman" w:hAnsi="Times New Roman"/>
          <w:i w:val="0"/>
          <w:sz w:val="24"/>
          <w:szCs w:val="24"/>
        </w:rPr>
        <w:t xml:space="preserve">. Sin embargo, como se ha puesto de manifiesto en diversas ocasiones, esta idea dista mucho de la verdad. </w:t>
      </w:r>
      <w:r w:rsidRPr="001E45DA">
        <w:rPr>
          <w:rStyle w:val="nfasis"/>
          <w:rFonts w:ascii="Times New Roman" w:hAnsi="Times New Roman"/>
          <w:i w:val="0"/>
          <w:color w:val="FF0000"/>
          <w:sz w:val="24"/>
          <w:szCs w:val="24"/>
          <w:u w:val="single"/>
        </w:rPr>
        <w:t>La Seguridad Social americana consume más del 20% del presupuesto federal; buena parte de los niños son escolarizados en colegios públicos y la universidad a menudo está subsidiada; la sanidad privada, aunque más extendida que en Europa, se encuentra regulada e intervenida; masivos programas públicos (Medicaid y Medicare) cubren a las familias de clase baja y a la gente mayor; asimismo, las Food Stamps o el programa Aid to Families with Dependent Children asisten a las familias más pobres.</w:t>
      </w:r>
    </w:p>
    <w:p w:rsidR="00BB7B36" w:rsidRPr="001E45DA" w:rsidRDefault="00BB7B36" w:rsidP="00BB7B36">
      <w:pPr>
        <w:spacing w:after="15"/>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BB7B36" w:rsidRPr="001E45DA" w:rsidRDefault="00BB7B36" w:rsidP="00BB7B36">
      <w:pPr>
        <w:spacing w:after="15"/>
        <w:jc w:val="both"/>
        <w:rPr>
          <w:rStyle w:val="nfasis"/>
          <w:rFonts w:ascii="Times New Roman" w:hAnsi="Times New Roman"/>
          <w:i w:val="0"/>
          <w:sz w:val="24"/>
          <w:szCs w:val="24"/>
          <w:u w:val="single"/>
        </w:rPr>
      </w:pPr>
      <w:r w:rsidRPr="001E45DA">
        <w:rPr>
          <w:rStyle w:val="nfasis"/>
          <w:rFonts w:ascii="Times New Roman" w:hAnsi="Times New Roman"/>
          <w:i w:val="0"/>
          <w:sz w:val="24"/>
          <w:szCs w:val="24"/>
          <w:u w:val="single"/>
        </w:rPr>
        <w:t>El llamado gasto social en Estados Unidos -que incluye ayudas públicas para los pobres, incapacitados, desempleados y ancianos, además de asistencia sanitaria-, sobre el total de la economía no es considerablemente más bajo que en la mayoría de países desarrollados -con algunas excepciones-. Según datos de la OCDE, este indicador en EEUU fue del 16,2% en 2007 frente al 19,2% del promedio de países desarrollados.</w:t>
      </w:r>
    </w:p>
    <w:p w:rsidR="00BB7B36" w:rsidRPr="001E45DA" w:rsidRDefault="00BB7B36" w:rsidP="00BB7B36">
      <w:pPr>
        <w:spacing w:after="15"/>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BB7B36" w:rsidRPr="001E45DA" w:rsidRDefault="00BB7B36" w:rsidP="00BB7B36">
      <w:pPr>
        <w:spacing w:after="15"/>
        <w:jc w:val="both"/>
        <w:rPr>
          <w:rStyle w:val="nfasis"/>
          <w:rFonts w:ascii="Times New Roman" w:hAnsi="Times New Roman"/>
          <w:i w:val="0"/>
          <w:sz w:val="24"/>
          <w:szCs w:val="24"/>
          <w:u w:val="single"/>
        </w:rPr>
      </w:pPr>
      <w:r w:rsidRPr="001E45DA">
        <w:rPr>
          <w:rStyle w:val="nfasis"/>
          <w:rFonts w:ascii="Times New Roman" w:hAnsi="Times New Roman"/>
          <w:i w:val="0"/>
          <w:sz w:val="24"/>
          <w:szCs w:val="24"/>
          <w:u w:val="single"/>
        </w:rPr>
        <w:t xml:space="preserve">Conviene tener en cuenta, además, que el gasto social privado (caridad y filantropía) realizado voluntariamente en EEUU es sustancialmente más elevado que en otros </w:t>
      </w:r>
      <w:r w:rsidRPr="001E45DA">
        <w:rPr>
          <w:rStyle w:val="nfasis"/>
          <w:rFonts w:ascii="Times New Roman" w:hAnsi="Times New Roman"/>
          <w:i w:val="0"/>
          <w:sz w:val="24"/>
          <w:szCs w:val="24"/>
          <w:u w:val="single"/>
        </w:rPr>
        <w:lastRenderedPageBreak/>
        <w:t>países. Así, mientras que los norteamericanos dedican un 10,2% del PIB a estas partidas, el segundo país que le sigue dentro de la OCDE es Canadá, con el 5,3%; los españoles apenas dedican el 0,5%.</w:t>
      </w:r>
    </w:p>
    <w:p w:rsidR="00BB7B36" w:rsidRPr="001E45DA" w:rsidRDefault="00BB7B36" w:rsidP="00BB7B36">
      <w:pPr>
        <w:spacing w:after="15"/>
        <w:jc w:val="both"/>
        <w:rPr>
          <w:rStyle w:val="nfasis"/>
          <w:rFonts w:ascii="Times New Roman" w:hAnsi="Times New Roman"/>
          <w:i w:val="0"/>
          <w:sz w:val="24"/>
          <w:szCs w:val="24"/>
        </w:rPr>
      </w:pPr>
      <w:r w:rsidRPr="001E45DA">
        <w:rPr>
          <w:noProof/>
          <w:lang w:eastAsia="es-ES"/>
        </w:rPr>
        <w:drawing>
          <wp:inline distT="0" distB="0" distL="0" distR="0" wp14:anchorId="07F0960B" wp14:editId="33B8E14A">
            <wp:extent cx="5464175" cy="3181985"/>
            <wp:effectExtent l="0" t="0" r="3175" b="0"/>
            <wp:docPr id="510" name="Imagen 510" descr="pobreeu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obreeu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64175" cy="3181985"/>
                    </a:xfrm>
                    <a:prstGeom prst="rect">
                      <a:avLst/>
                    </a:prstGeom>
                    <a:noFill/>
                    <a:ln>
                      <a:noFill/>
                    </a:ln>
                  </pic:spPr>
                </pic:pic>
              </a:graphicData>
            </a:graphic>
          </wp:inline>
        </w:drawing>
      </w:r>
    </w:p>
    <w:p w:rsidR="00BB7B36" w:rsidRPr="001E45DA" w:rsidRDefault="00BB7B36" w:rsidP="00BB7B36">
      <w:pPr>
        <w:spacing w:after="15"/>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BB7B36" w:rsidRPr="001E45DA" w:rsidRDefault="00BB7B36" w:rsidP="00BB7B36">
      <w:pPr>
        <w:spacing w:after="15"/>
        <w:jc w:val="both"/>
        <w:rPr>
          <w:rStyle w:val="nfasis"/>
          <w:rFonts w:ascii="Times New Roman" w:hAnsi="Times New Roman"/>
          <w:i w:val="0"/>
          <w:sz w:val="24"/>
          <w:szCs w:val="24"/>
          <w:u w:val="single"/>
        </w:rPr>
      </w:pPr>
      <w:r w:rsidRPr="001E45DA">
        <w:rPr>
          <w:rStyle w:val="nfasis"/>
          <w:rFonts w:ascii="Times New Roman" w:hAnsi="Times New Roman"/>
          <w:i w:val="0"/>
          <w:sz w:val="24"/>
          <w:szCs w:val="24"/>
        </w:rPr>
        <w:t xml:space="preserve">Pero aún hay más. Y es que, según analizaba el historiador económico </w:t>
      </w:r>
      <w:r w:rsidRPr="001E45DA">
        <w:rPr>
          <w:rStyle w:val="nfasis"/>
          <w:rFonts w:ascii="Times New Roman" w:hAnsi="Times New Roman"/>
          <w:i w:val="0"/>
          <w:color w:val="FF0000"/>
          <w:sz w:val="24"/>
          <w:szCs w:val="24"/>
        </w:rPr>
        <w:t>Price Fishback en el popular blog Freakonomics</w:t>
      </w:r>
      <w:r w:rsidRPr="001E45DA">
        <w:rPr>
          <w:rStyle w:val="nfasis"/>
          <w:rFonts w:ascii="Times New Roman" w:hAnsi="Times New Roman"/>
          <w:i w:val="0"/>
          <w:sz w:val="24"/>
          <w:szCs w:val="24"/>
        </w:rPr>
        <w:t xml:space="preserve">, la cuestión de qué país gasta más en asistencia social, si los países nórdicos o Estados Unidos, no es tan obvia como pudiera parecer a primera vista. </w:t>
      </w:r>
      <w:r w:rsidRPr="001E45DA">
        <w:rPr>
          <w:rStyle w:val="nfasis"/>
          <w:rFonts w:ascii="Times New Roman" w:hAnsi="Times New Roman"/>
          <w:i w:val="0"/>
          <w:sz w:val="24"/>
          <w:szCs w:val="24"/>
          <w:u w:val="single"/>
        </w:rPr>
        <w:t>Los indicadores al uso señalan cómo el sistema escandinavo es mucho más generoso que el estadounidense. Sin embargo, un análisis más cuidadoso, teniendo en cuenta las notables diferencias en los sistemas fiscales o midiendo el gasto en términos per cápita -no sobre el PIB-, revela que las diferencias no son notables.</w:t>
      </w:r>
    </w:p>
    <w:p w:rsidR="00BB7B36" w:rsidRPr="001E45DA" w:rsidRDefault="00BB7B36" w:rsidP="00BB7B36">
      <w:pPr>
        <w:spacing w:after="15"/>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BB7B36" w:rsidRPr="001E45DA" w:rsidRDefault="00BB7B36" w:rsidP="00BB7B36">
      <w:pPr>
        <w:spacing w:after="15"/>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Asimismo, señala que ambos sistemas de bienestar tienen un enfoque distinto, por lo que las comparaciones simples pueden llevar a engaño. </w:t>
      </w:r>
      <w:r w:rsidRPr="001E45DA">
        <w:rPr>
          <w:rStyle w:val="nfasis"/>
          <w:rFonts w:ascii="Times New Roman" w:hAnsi="Times New Roman"/>
          <w:i w:val="0"/>
          <w:sz w:val="24"/>
          <w:szCs w:val="24"/>
          <w:u w:val="single"/>
        </w:rPr>
        <w:t>Mientras que el am</w:t>
      </w:r>
      <w:r>
        <w:rPr>
          <w:rStyle w:val="nfasis"/>
          <w:rFonts w:ascii="Times New Roman" w:hAnsi="Times New Roman"/>
          <w:i w:val="0"/>
          <w:sz w:val="24"/>
          <w:szCs w:val="24"/>
          <w:u w:val="single"/>
        </w:rPr>
        <w:t>ericano presenta un enfoque de “red de protección social”</w:t>
      </w:r>
      <w:r w:rsidRPr="001E45DA">
        <w:rPr>
          <w:rStyle w:val="nfasis"/>
          <w:rFonts w:ascii="Times New Roman" w:hAnsi="Times New Roman"/>
          <w:i w:val="0"/>
          <w:sz w:val="24"/>
          <w:szCs w:val="24"/>
          <w:u w:val="single"/>
        </w:rPr>
        <w:t xml:space="preserve"> para aquéllos que sufren condiciones menos ventajosas,</w:t>
      </w:r>
      <w:r>
        <w:rPr>
          <w:rStyle w:val="nfasis"/>
          <w:rFonts w:ascii="Times New Roman" w:hAnsi="Times New Roman"/>
          <w:i w:val="0"/>
          <w:sz w:val="24"/>
          <w:szCs w:val="24"/>
          <w:u w:val="single"/>
        </w:rPr>
        <w:t xml:space="preserve"> el nórdico es de carácter más “universal”</w:t>
      </w:r>
      <w:r w:rsidRPr="001E45DA">
        <w:rPr>
          <w:rStyle w:val="nfasis"/>
          <w:rFonts w:ascii="Times New Roman" w:hAnsi="Times New Roman"/>
          <w:i w:val="0"/>
          <w:sz w:val="24"/>
          <w:szCs w:val="24"/>
          <w:u w:val="single"/>
        </w:rPr>
        <w:t>.</w:t>
      </w:r>
      <w:r>
        <w:rPr>
          <w:rStyle w:val="nfasis"/>
          <w:rFonts w:ascii="Times New Roman" w:hAnsi="Times New Roman"/>
          <w:i w:val="0"/>
          <w:sz w:val="24"/>
          <w:szCs w:val="24"/>
        </w:rPr>
        <w:t xml:space="preserve"> Así, “</w:t>
      </w:r>
      <w:r w:rsidRPr="001E45DA">
        <w:rPr>
          <w:rStyle w:val="nfasis"/>
          <w:rFonts w:ascii="Times New Roman" w:hAnsi="Times New Roman"/>
          <w:i w:val="0"/>
          <w:sz w:val="24"/>
          <w:szCs w:val="24"/>
        </w:rPr>
        <w:t xml:space="preserve">atendiendo a estas diferencias de estilo, </w:t>
      </w:r>
      <w:r w:rsidRPr="001E45DA">
        <w:rPr>
          <w:rStyle w:val="nfasis"/>
          <w:rFonts w:ascii="Times New Roman" w:hAnsi="Times New Roman"/>
          <w:i w:val="0"/>
          <w:color w:val="FF0000"/>
          <w:sz w:val="24"/>
          <w:szCs w:val="24"/>
          <w:u w:val="single"/>
        </w:rPr>
        <w:t>la medida apropiada es el gasto per cápita en asistencia social, tanto público como privado</w:t>
      </w:r>
      <w:r w:rsidRPr="001E45DA">
        <w:rPr>
          <w:rStyle w:val="nfasis"/>
          <w:rFonts w:ascii="Times New Roman" w:hAnsi="Times New Roman"/>
          <w:i w:val="0"/>
          <w:sz w:val="24"/>
          <w:szCs w:val="24"/>
        </w:rPr>
        <w:t>. Según este indicador, EEUU lidera esta partida con 7.800 dólares, seguidos de Suecia (6.700), Dinamarca (5.800) y Finlandi</w:t>
      </w:r>
      <w:r>
        <w:rPr>
          <w:rStyle w:val="nfasis"/>
          <w:rFonts w:ascii="Times New Roman" w:hAnsi="Times New Roman"/>
          <w:i w:val="0"/>
          <w:sz w:val="24"/>
          <w:szCs w:val="24"/>
        </w:rPr>
        <w:t xml:space="preserve">a (4.900). </w:t>
      </w:r>
      <w:r w:rsidRPr="001E45DA">
        <w:rPr>
          <w:rStyle w:val="nfasis"/>
          <w:rFonts w:ascii="Times New Roman" w:hAnsi="Times New Roman"/>
          <w:i w:val="0"/>
          <w:sz w:val="24"/>
          <w:szCs w:val="24"/>
        </w:rPr>
        <w:t>El resultado sorprendente es que las cantidades gastadas por persona no</w:t>
      </w:r>
      <w:r>
        <w:rPr>
          <w:rStyle w:val="nfasis"/>
          <w:rFonts w:ascii="Times New Roman" w:hAnsi="Times New Roman"/>
          <w:i w:val="0"/>
          <w:sz w:val="24"/>
          <w:szCs w:val="24"/>
        </w:rPr>
        <w:t xml:space="preserve"> son en realidad tan diferentes”</w:t>
      </w:r>
      <w:r w:rsidRPr="001E45DA">
        <w:rPr>
          <w:rStyle w:val="nfasis"/>
          <w:rFonts w:ascii="Times New Roman" w:hAnsi="Times New Roman"/>
          <w:i w:val="0"/>
          <w:sz w:val="24"/>
          <w:szCs w:val="24"/>
        </w:rPr>
        <w:t xml:space="preserve">, concluye Fishback. </w:t>
      </w:r>
    </w:p>
    <w:p w:rsidR="00BB7B36" w:rsidRPr="001E45DA" w:rsidRDefault="00BB7B36" w:rsidP="00BB7B36">
      <w:pPr>
        <w:spacing w:after="15"/>
        <w:jc w:val="both"/>
        <w:rPr>
          <w:rStyle w:val="nfasis"/>
          <w:rFonts w:ascii="Times New Roman" w:hAnsi="Times New Roman"/>
          <w:i w:val="0"/>
          <w:sz w:val="24"/>
          <w:szCs w:val="24"/>
        </w:rPr>
      </w:pPr>
    </w:p>
    <w:p w:rsidR="00BB7B36" w:rsidRPr="001E45DA" w:rsidRDefault="00BB7B36" w:rsidP="00BB7B36">
      <w:pPr>
        <w:spacing w:after="15"/>
        <w:jc w:val="both"/>
        <w:rPr>
          <w:rStyle w:val="nfasis"/>
          <w:rFonts w:ascii="Times New Roman" w:hAnsi="Times New Roman"/>
          <w:i w:val="0"/>
          <w:sz w:val="24"/>
          <w:szCs w:val="24"/>
          <w:u w:val="single"/>
        </w:rPr>
      </w:pPr>
      <w:r w:rsidRPr="001E45DA">
        <w:rPr>
          <w:rStyle w:val="nfasis"/>
          <w:rFonts w:ascii="Times New Roman" w:hAnsi="Times New Roman"/>
          <w:i w:val="0"/>
          <w:sz w:val="24"/>
          <w:szCs w:val="24"/>
          <w:u w:val="single"/>
        </w:rPr>
        <w:t xml:space="preserve">La segunda gran falacia del argumento socialdemócrata es suponer a priori que los programas redistribucionistas aseguran una reducción de la pobreza sustancial y sostenida en el tiempo. Las cosas, sin embargo, son más complicadas, dado que este tipo de programas suelen tener un efecto perverso sobre los incentivos al trabajo de los pobres. Si el Gobierno asegura programas de ayuda social para las personas que no </w:t>
      </w:r>
      <w:r w:rsidRPr="001E45DA">
        <w:rPr>
          <w:rStyle w:val="nfasis"/>
          <w:rFonts w:ascii="Times New Roman" w:hAnsi="Times New Roman"/>
          <w:i w:val="0"/>
          <w:sz w:val="24"/>
          <w:szCs w:val="24"/>
          <w:u w:val="single"/>
        </w:rPr>
        <w:lastRenderedPageBreak/>
        <w:t>alcanzan un determinado nivel de ingresos, existe un fuerte incentivo a no trabajar duro para tratar de superar tal umbral.</w:t>
      </w:r>
    </w:p>
    <w:p w:rsidR="00BB7B36" w:rsidRPr="001E45DA" w:rsidRDefault="00BB7B36" w:rsidP="00BB7B36">
      <w:pPr>
        <w:spacing w:after="15"/>
        <w:jc w:val="both"/>
        <w:rPr>
          <w:rStyle w:val="nfasis"/>
          <w:rFonts w:ascii="Times New Roman" w:hAnsi="Times New Roman"/>
          <w:i w:val="0"/>
          <w:sz w:val="24"/>
          <w:szCs w:val="24"/>
        </w:rPr>
      </w:pPr>
    </w:p>
    <w:p w:rsidR="00BB7B36" w:rsidRPr="001E45DA" w:rsidRDefault="00BB7B36" w:rsidP="00BB7B36">
      <w:pPr>
        <w:spacing w:after="15"/>
        <w:jc w:val="both"/>
        <w:rPr>
          <w:rStyle w:val="nfasis"/>
          <w:rFonts w:ascii="Times New Roman" w:hAnsi="Times New Roman"/>
          <w:i w:val="0"/>
          <w:sz w:val="24"/>
          <w:szCs w:val="24"/>
          <w:u w:val="single"/>
        </w:rPr>
      </w:pPr>
      <w:r w:rsidRPr="001E45DA">
        <w:rPr>
          <w:rStyle w:val="nfasis"/>
          <w:rFonts w:ascii="Times New Roman" w:hAnsi="Times New Roman"/>
          <w:i w:val="0"/>
          <w:sz w:val="24"/>
          <w:szCs w:val="24"/>
        </w:rPr>
        <w:t xml:space="preserve">Este efecto se ha observado a lo largo de la historia reciente de Estados Unidos, en particular, tras las medidas del presidente Lyndon Johnson a mediados de los 60, en lo que se conoce como la Guerra contra la Pobreza. Como señala el economista Lowell Gallaway, </w:t>
      </w:r>
      <w:r w:rsidRPr="001E45DA">
        <w:rPr>
          <w:rStyle w:val="nfasis"/>
          <w:rFonts w:ascii="Times New Roman" w:hAnsi="Times New Roman"/>
          <w:i w:val="0"/>
          <w:sz w:val="24"/>
          <w:szCs w:val="24"/>
          <w:u w:val="single"/>
        </w:rPr>
        <w:t>a medida que el volumen de fondos destinados a gasto social aumentó tras 1966 la tasa de pobreza comenzó a desacelerar su reducción, luego se paró, y más tarde empezó a incrementarse, tal y como muestra este gráfico.</w:t>
      </w:r>
    </w:p>
    <w:p w:rsidR="00BB7B36" w:rsidRPr="001E45DA" w:rsidRDefault="00BB7B36" w:rsidP="00BB7B36">
      <w:pPr>
        <w:spacing w:after="15"/>
        <w:jc w:val="both"/>
        <w:rPr>
          <w:rStyle w:val="nfasis"/>
          <w:rFonts w:ascii="Times New Roman" w:hAnsi="Times New Roman"/>
          <w:i w:val="0"/>
          <w:sz w:val="24"/>
          <w:szCs w:val="24"/>
          <w:u w:val="single"/>
        </w:rPr>
      </w:pPr>
    </w:p>
    <w:p w:rsidR="00BB7B36" w:rsidRPr="001E45DA" w:rsidRDefault="00BB7B36" w:rsidP="00BB7B36">
      <w:pPr>
        <w:spacing w:after="15"/>
        <w:jc w:val="both"/>
        <w:rPr>
          <w:rStyle w:val="nfasis"/>
          <w:rFonts w:ascii="Times New Roman" w:hAnsi="Times New Roman"/>
          <w:i w:val="0"/>
          <w:sz w:val="24"/>
          <w:szCs w:val="24"/>
        </w:rPr>
      </w:pPr>
      <w:r w:rsidRPr="001E45DA">
        <w:rPr>
          <w:noProof/>
          <w:lang w:eastAsia="es-ES"/>
        </w:rPr>
        <w:drawing>
          <wp:inline distT="0" distB="0" distL="0" distR="0" wp14:anchorId="7C512C10" wp14:editId="511459C6">
            <wp:extent cx="5676900" cy="3335655"/>
            <wp:effectExtent l="0" t="0" r="0" b="0"/>
            <wp:docPr id="511" name="Imagen 511" descr="pobreeu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obreeu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76900" cy="3335655"/>
                    </a:xfrm>
                    <a:prstGeom prst="rect">
                      <a:avLst/>
                    </a:prstGeom>
                    <a:noFill/>
                    <a:ln>
                      <a:noFill/>
                    </a:ln>
                  </pic:spPr>
                </pic:pic>
              </a:graphicData>
            </a:graphic>
          </wp:inline>
        </w:drawing>
      </w:r>
    </w:p>
    <w:p w:rsidR="00BB7B36" w:rsidRPr="001E45DA" w:rsidRDefault="00BB7B36" w:rsidP="00BB7B36">
      <w:pPr>
        <w:spacing w:after="15"/>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BB7B36" w:rsidRPr="001E45DA" w:rsidRDefault="00BB7B36" w:rsidP="00BB7B36">
      <w:pPr>
        <w:spacing w:after="15"/>
        <w:jc w:val="both"/>
        <w:rPr>
          <w:rStyle w:val="nfasis"/>
          <w:rFonts w:ascii="Times New Roman" w:hAnsi="Times New Roman"/>
          <w:i w:val="0"/>
          <w:sz w:val="24"/>
          <w:szCs w:val="24"/>
          <w:u w:val="single"/>
        </w:rPr>
      </w:pPr>
      <w:r w:rsidRPr="001E45DA">
        <w:rPr>
          <w:rStyle w:val="nfasis"/>
          <w:rFonts w:ascii="Times New Roman" w:hAnsi="Times New Roman"/>
          <w:i w:val="0"/>
          <w:sz w:val="24"/>
          <w:szCs w:val="24"/>
          <w:u w:val="single"/>
        </w:rPr>
        <w:t>El tercer punto que suele pasar desapercibido tiene que ver con la medición de la tasa de pobreza. Es decir, el umbral de renta por debajo del cual las personas son consideradas pobres. Como se suele decir en inglés, the devil is in the details (el diablo está en los detalles), lo cual es totalmente aplicable a la interpretación de datos y estadísticas.</w:t>
      </w:r>
    </w:p>
    <w:p w:rsidR="00BB7B36" w:rsidRPr="001E45DA" w:rsidRDefault="00BB7B36" w:rsidP="00BB7B36">
      <w:pPr>
        <w:spacing w:after="15"/>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BB7B36" w:rsidRPr="001E45DA" w:rsidRDefault="00BB7B36" w:rsidP="00BB7B36">
      <w:pPr>
        <w:spacing w:after="15"/>
        <w:jc w:val="both"/>
        <w:rPr>
          <w:rStyle w:val="nfasis"/>
          <w:rFonts w:ascii="Times New Roman" w:hAnsi="Times New Roman"/>
          <w:i w:val="0"/>
          <w:sz w:val="24"/>
          <w:szCs w:val="24"/>
        </w:rPr>
      </w:pPr>
      <w:r w:rsidRPr="001E45DA">
        <w:rPr>
          <w:rStyle w:val="nfasis"/>
          <w:rFonts w:ascii="Times New Roman" w:hAnsi="Times New Roman"/>
          <w:i w:val="0"/>
          <w:sz w:val="24"/>
          <w:szCs w:val="24"/>
          <w:u w:val="single"/>
        </w:rPr>
        <w:t>Tal y como se señaló al principio, el número de personas que viven por debajo de la línea de pobreza en 2010 es el más alto en los 52 años de historia de este tipo de estimaciones en EEUU</w:t>
      </w:r>
      <w:r w:rsidRPr="001E45DA">
        <w:rPr>
          <w:rStyle w:val="nfasis"/>
          <w:rFonts w:ascii="Times New Roman" w:hAnsi="Times New Roman"/>
          <w:i w:val="0"/>
          <w:sz w:val="24"/>
          <w:szCs w:val="24"/>
        </w:rPr>
        <w:t>. Pero este dato tiene truco. Por un lado, la línea de pobreza aumenta conforme crece la renta media, con lo que un pobre en el año 2000 podría seguir siéndolo aunque su renta hubiera aumentado considerablemente -al mismo ritmo que el de la renta media-. Así, la pobreza se mide como un concepto relativo y, por ello, hay que tener cuidado con las interpretaciones.</w:t>
      </w:r>
    </w:p>
    <w:p w:rsidR="00BB7B36" w:rsidRPr="001E45DA" w:rsidRDefault="00BB7B36" w:rsidP="00BB7B36">
      <w:pPr>
        <w:spacing w:after="15"/>
        <w:jc w:val="both"/>
        <w:rPr>
          <w:rStyle w:val="nfasis"/>
          <w:rFonts w:ascii="Times New Roman" w:hAnsi="Times New Roman"/>
          <w:i w:val="0"/>
          <w:sz w:val="24"/>
          <w:szCs w:val="24"/>
        </w:rPr>
      </w:pPr>
    </w:p>
    <w:p w:rsidR="00BB7B36" w:rsidRPr="001E45DA" w:rsidRDefault="00BB7B36" w:rsidP="00BB7B36">
      <w:pPr>
        <w:spacing w:after="15"/>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La Oficina del Censo norteamericano tiene 48 líneas de pobreza distintas que se aplican dependiendo del tamaño de la familia o el número de hijos menores de 18 años. En el siguiente gráfico mostramos la evolución de una de estas líneas de pobreza para una </w:t>
      </w:r>
      <w:r w:rsidRPr="001E45DA">
        <w:rPr>
          <w:rStyle w:val="nfasis"/>
          <w:rFonts w:ascii="Times New Roman" w:hAnsi="Times New Roman"/>
          <w:i w:val="0"/>
          <w:sz w:val="24"/>
          <w:szCs w:val="24"/>
        </w:rPr>
        <w:lastRenderedPageBreak/>
        <w:t>familia de 4 personas. Así, toda familia que reciba ingresos por debajo de esa línea será considerada "pobre". Pero, como es obvio, una familia pobre (en términos oficiales) en 2010 puede vivir realmente mucho mejor de lo que vivía una familia igualmente pobre en 1960 -estos ingresos están ajustados a términos reales, descontando la inflación-.</w:t>
      </w:r>
    </w:p>
    <w:p w:rsidR="00BB7B36" w:rsidRPr="001E45DA" w:rsidRDefault="00BB7B36" w:rsidP="00BB7B36">
      <w:pPr>
        <w:spacing w:after="15"/>
        <w:jc w:val="both"/>
        <w:rPr>
          <w:rStyle w:val="nfasis"/>
          <w:rFonts w:ascii="Times New Roman" w:hAnsi="Times New Roman"/>
          <w:i w:val="0"/>
          <w:sz w:val="24"/>
          <w:szCs w:val="24"/>
        </w:rPr>
      </w:pPr>
      <w:r w:rsidRPr="001E45DA">
        <w:rPr>
          <w:noProof/>
          <w:lang w:eastAsia="es-ES"/>
        </w:rPr>
        <w:drawing>
          <wp:inline distT="0" distB="0" distL="0" distR="0" wp14:anchorId="288C7E01" wp14:editId="30CAAAC8">
            <wp:extent cx="5683885" cy="3116580"/>
            <wp:effectExtent l="0" t="0" r="0" b="7620"/>
            <wp:docPr id="75" name="Imagen 75" descr="pobreeu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pobreeu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83885" cy="3116580"/>
                    </a:xfrm>
                    <a:prstGeom prst="rect">
                      <a:avLst/>
                    </a:prstGeom>
                    <a:noFill/>
                    <a:ln>
                      <a:noFill/>
                    </a:ln>
                  </pic:spPr>
                </pic:pic>
              </a:graphicData>
            </a:graphic>
          </wp:inline>
        </w:drawing>
      </w:r>
    </w:p>
    <w:p w:rsidR="00BB7B36" w:rsidRPr="001E45DA" w:rsidRDefault="00BB7B36" w:rsidP="00BB7B36">
      <w:pPr>
        <w:spacing w:after="15"/>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BB7B36" w:rsidRPr="001E45DA" w:rsidRDefault="00BB7B36" w:rsidP="00BB7B36">
      <w:pPr>
        <w:spacing w:after="15"/>
        <w:jc w:val="both"/>
        <w:rPr>
          <w:rStyle w:val="nfasis"/>
          <w:rFonts w:ascii="Times New Roman" w:hAnsi="Times New Roman"/>
          <w:i w:val="0"/>
          <w:sz w:val="24"/>
          <w:szCs w:val="24"/>
          <w:u w:val="single"/>
        </w:rPr>
      </w:pPr>
      <w:r w:rsidRPr="001E45DA">
        <w:rPr>
          <w:rStyle w:val="nfasis"/>
          <w:rFonts w:ascii="Times New Roman" w:hAnsi="Times New Roman"/>
          <w:i w:val="0"/>
          <w:sz w:val="24"/>
          <w:szCs w:val="24"/>
          <w:u w:val="single"/>
        </w:rPr>
        <w:t>Hay otro elemento que distorsiona el concepto de pobreza en Estados Unidos, y es el hecho de que al medir los ingresos de las familias no se incluyen las prestaciones sociales no monetarias, como los cupones para alimentos, la vivienda pública o el programa gubernamental de asistencia sanitaria para los pobres (Medicaid). Si tales ayudas (ingresos) se tuvieran en cuenta la tasa oficial de pobreza disminuiría sensiblemente. Como se afirma en una columna de Fo</w:t>
      </w:r>
      <w:r w:rsidR="008170B3">
        <w:rPr>
          <w:rStyle w:val="nfasis"/>
          <w:rFonts w:ascii="Times New Roman" w:hAnsi="Times New Roman"/>
          <w:i w:val="0"/>
          <w:sz w:val="24"/>
          <w:szCs w:val="24"/>
          <w:u w:val="single"/>
        </w:rPr>
        <w:t>rbes, en la definición oficial “</w:t>
      </w:r>
      <w:r w:rsidRPr="001E45DA">
        <w:rPr>
          <w:rStyle w:val="nfasis"/>
          <w:rFonts w:ascii="Times New Roman" w:hAnsi="Times New Roman"/>
          <w:i w:val="0"/>
          <w:sz w:val="24"/>
          <w:szCs w:val="24"/>
          <w:u w:val="single"/>
        </w:rPr>
        <w:t>no se cuentan aquéllos que viven en condiciones de pobreza después de haber sido ayudados; sólo se contabilizan los pobr</w:t>
      </w:r>
      <w:r w:rsidR="008170B3">
        <w:rPr>
          <w:rStyle w:val="nfasis"/>
          <w:rFonts w:ascii="Times New Roman" w:hAnsi="Times New Roman"/>
          <w:i w:val="0"/>
          <w:sz w:val="24"/>
          <w:szCs w:val="24"/>
          <w:u w:val="single"/>
        </w:rPr>
        <w:t>es antes de haber sido ayudados”</w:t>
      </w:r>
      <w:r w:rsidRPr="001E45DA">
        <w:rPr>
          <w:rStyle w:val="nfasis"/>
          <w:rFonts w:ascii="Times New Roman" w:hAnsi="Times New Roman"/>
          <w:i w:val="0"/>
          <w:sz w:val="24"/>
          <w:szCs w:val="24"/>
          <w:u w:val="single"/>
        </w:rPr>
        <w:t>.</w:t>
      </w:r>
    </w:p>
    <w:p w:rsidR="00BB7B36" w:rsidRPr="001E45DA" w:rsidRDefault="00BB7B36" w:rsidP="00BB7B36">
      <w:pPr>
        <w:spacing w:after="15"/>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BB7B36" w:rsidRPr="001E45DA" w:rsidRDefault="00BB7B36" w:rsidP="00BB7B36">
      <w:pPr>
        <w:spacing w:after="15"/>
        <w:jc w:val="both"/>
        <w:rPr>
          <w:rStyle w:val="nfasis"/>
          <w:rFonts w:ascii="Times New Roman" w:hAnsi="Times New Roman"/>
          <w:i w:val="0"/>
          <w:sz w:val="24"/>
          <w:szCs w:val="24"/>
        </w:rPr>
      </w:pPr>
      <w:r w:rsidRPr="001E45DA">
        <w:rPr>
          <w:rStyle w:val="nfasis"/>
          <w:rFonts w:ascii="Times New Roman" w:hAnsi="Times New Roman"/>
          <w:i w:val="0"/>
          <w:sz w:val="24"/>
          <w:szCs w:val="24"/>
        </w:rPr>
        <w:t>Por último, dado que el concepto de pobreza se mide en términos relativos, un pobre en Estados Unidos tiene poco que ver con un pobre en un país menos rico como, por ejemplo, España. Así, tal y como sostenía</w:t>
      </w:r>
      <w:r>
        <w:rPr>
          <w:rStyle w:val="nfasis"/>
          <w:rFonts w:ascii="Times New Roman" w:hAnsi="Times New Roman"/>
          <w:i w:val="0"/>
          <w:sz w:val="24"/>
          <w:szCs w:val="24"/>
        </w:rPr>
        <w:t xml:space="preserve"> José Carlos Rodríguez, “</w:t>
      </w:r>
      <w:r w:rsidRPr="001E45DA">
        <w:rPr>
          <w:rStyle w:val="nfasis"/>
          <w:rFonts w:ascii="Times New Roman" w:hAnsi="Times New Roman"/>
          <w:i w:val="0"/>
          <w:sz w:val="24"/>
          <w:szCs w:val="24"/>
        </w:rPr>
        <w:t>un mileurista español entraría e</w:t>
      </w:r>
      <w:r>
        <w:rPr>
          <w:rStyle w:val="nfasis"/>
          <w:rFonts w:ascii="Times New Roman" w:hAnsi="Times New Roman"/>
          <w:i w:val="0"/>
          <w:sz w:val="24"/>
          <w:szCs w:val="24"/>
        </w:rPr>
        <w:t>n la categoría de pobre en EEUU”</w:t>
      </w:r>
      <w:r w:rsidRPr="001E45DA">
        <w:rPr>
          <w:rStyle w:val="nfasis"/>
          <w:rFonts w:ascii="Times New Roman" w:hAnsi="Times New Roman"/>
          <w:i w:val="0"/>
          <w:sz w:val="24"/>
          <w:szCs w:val="24"/>
        </w:rPr>
        <w:t>.</w:t>
      </w:r>
    </w:p>
    <w:p w:rsidR="00BB7B36" w:rsidRPr="001E45DA" w:rsidRDefault="00BB7B36" w:rsidP="00BB7B36">
      <w:pPr>
        <w:spacing w:after="15"/>
        <w:jc w:val="both"/>
        <w:rPr>
          <w:rStyle w:val="nfasis"/>
          <w:rFonts w:ascii="Times New Roman" w:hAnsi="Times New Roman"/>
          <w:i w:val="0"/>
          <w:sz w:val="24"/>
          <w:szCs w:val="24"/>
        </w:rPr>
      </w:pPr>
    </w:p>
    <w:p w:rsidR="00BB7B36" w:rsidRDefault="00BB7B36" w:rsidP="00BB7B36">
      <w:pPr>
        <w:spacing w:after="15"/>
        <w:jc w:val="both"/>
        <w:rPr>
          <w:rStyle w:val="nfasis"/>
          <w:rFonts w:ascii="Times New Roman" w:hAnsi="Times New Roman"/>
          <w:i w:val="0"/>
          <w:sz w:val="24"/>
          <w:szCs w:val="24"/>
          <w:u w:val="single"/>
        </w:rPr>
      </w:pPr>
      <w:r>
        <w:rPr>
          <w:rStyle w:val="nfasis"/>
          <w:rFonts w:ascii="Times New Roman" w:hAnsi="Times New Roman"/>
          <w:i w:val="0"/>
          <w:sz w:val="24"/>
          <w:szCs w:val="24"/>
        </w:rPr>
        <w:t>Y es que, las familias “pobres”</w:t>
      </w:r>
      <w:r w:rsidRPr="001E45DA">
        <w:rPr>
          <w:rStyle w:val="nfasis"/>
          <w:rFonts w:ascii="Times New Roman" w:hAnsi="Times New Roman"/>
          <w:i w:val="0"/>
          <w:sz w:val="24"/>
          <w:szCs w:val="24"/>
        </w:rPr>
        <w:t xml:space="preserve"> de EEUU pueden adquirir bienes que en otros países tan sólo están al alcance de la clase media. </w:t>
      </w:r>
      <w:r w:rsidRPr="001E45DA">
        <w:rPr>
          <w:rStyle w:val="nfasis"/>
          <w:rFonts w:ascii="Times New Roman" w:hAnsi="Times New Roman"/>
          <w:i w:val="0"/>
          <w:sz w:val="24"/>
          <w:szCs w:val="24"/>
          <w:u w:val="single"/>
        </w:rPr>
        <w:t xml:space="preserve">En un reciente </w:t>
      </w:r>
      <w:r w:rsidRPr="001E45DA">
        <w:rPr>
          <w:rStyle w:val="nfasis"/>
          <w:rFonts w:ascii="Times New Roman" w:hAnsi="Times New Roman"/>
          <w:i w:val="0"/>
          <w:color w:val="FF0000"/>
          <w:sz w:val="24"/>
          <w:szCs w:val="24"/>
          <w:u w:val="single"/>
        </w:rPr>
        <w:t>informe de la Fundación Heritage</w:t>
      </w:r>
      <w:r w:rsidRPr="001E45DA">
        <w:rPr>
          <w:rStyle w:val="nfasis"/>
          <w:rFonts w:ascii="Times New Roman" w:hAnsi="Times New Roman"/>
          <w:i w:val="0"/>
          <w:sz w:val="24"/>
          <w:szCs w:val="24"/>
          <w:u w:val="single"/>
        </w:rPr>
        <w:t xml:space="preserve"> se apuntaban algunas características al respecto: una familia pobre en EEUU suele tener de media un coche, aire acondicionado, dos televisiones a color, todo el material imprescindible para la cocina, una casa en buen estado con más espacio que la típica europea, no sufren hambre, pueden acceder a asistencia médica cuando es necesario y suelen tener suficientes fondos para cubrir las necesidades esenciales.</w:t>
      </w:r>
    </w:p>
    <w:p w:rsidR="00BB7B36" w:rsidRDefault="00BB7B36" w:rsidP="00BB7B36">
      <w:pPr>
        <w:spacing w:after="15"/>
        <w:jc w:val="both"/>
        <w:rPr>
          <w:rStyle w:val="nfasis"/>
          <w:rFonts w:ascii="Times New Roman" w:hAnsi="Times New Roman"/>
          <w:i w:val="0"/>
          <w:sz w:val="24"/>
          <w:szCs w:val="24"/>
          <w:u w:val="single"/>
        </w:rPr>
      </w:pPr>
    </w:p>
    <w:p w:rsidR="00BB7B36" w:rsidRPr="001E45DA" w:rsidRDefault="00BB7B36" w:rsidP="00BB7B36">
      <w:pPr>
        <w:spacing w:after="15"/>
        <w:jc w:val="both"/>
        <w:rPr>
          <w:rStyle w:val="nfasis"/>
          <w:rFonts w:ascii="Times New Roman" w:hAnsi="Times New Roman"/>
          <w:i w:val="0"/>
          <w:sz w:val="24"/>
          <w:szCs w:val="24"/>
          <w:u w:val="single"/>
        </w:rPr>
      </w:pPr>
    </w:p>
    <w:p w:rsidR="00BB7B36" w:rsidRDefault="00BB7B36" w:rsidP="00BB7B36">
      <w:pPr>
        <w:pStyle w:val="figcaption"/>
        <w:jc w:val="both"/>
      </w:pPr>
      <w:r>
        <w:lastRenderedPageBreak/>
        <w:t xml:space="preserve">- </w:t>
      </w:r>
      <w:r w:rsidRPr="00234976">
        <w:rPr>
          <w:u w:val="single"/>
        </w:rPr>
        <w:t>¿Quién es el culpable del exceso de deuda privada?</w:t>
      </w:r>
      <w:r>
        <w:t xml:space="preserve"> (Libertad Digital - </w:t>
      </w:r>
      <w:r w:rsidRPr="005F075A">
        <w:rPr>
          <w:b/>
        </w:rPr>
        <w:t>18/11/11</w:t>
      </w:r>
      <w:r>
        <w:t>)</w:t>
      </w:r>
    </w:p>
    <w:p w:rsidR="00BB7B36" w:rsidRDefault="00BB7B36" w:rsidP="00BB7B36">
      <w:pPr>
        <w:pStyle w:val="figcaption"/>
        <w:jc w:val="both"/>
      </w:pPr>
    </w:p>
    <w:p w:rsidR="00BB7B36" w:rsidRDefault="00BB7B36" w:rsidP="00BB7B36">
      <w:pPr>
        <w:pStyle w:val="figcaption"/>
        <w:jc w:val="both"/>
      </w:pPr>
      <w:r>
        <w:t>(Por Juan Ramón Rallo)</w:t>
      </w:r>
    </w:p>
    <w:p w:rsidR="00BB7B36" w:rsidRDefault="00BB7B36" w:rsidP="00BB7B36">
      <w:pPr>
        <w:pStyle w:val="figcaption"/>
        <w:jc w:val="both"/>
      </w:pPr>
    </w:p>
    <w:p w:rsidR="00BB7B36" w:rsidRPr="00A437B5" w:rsidRDefault="00BB7B36" w:rsidP="00BB7B36">
      <w:pPr>
        <w:pStyle w:val="figcaption"/>
        <w:jc w:val="both"/>
        <w:rPr>
          <w:color w:val="FF0000"/>
          <w:u w:val="single"/>
        </w:rPr>
      </w:pPr>
      <w:r w:rsidRPr="00A437B5">
        <w:rPr>
          <w:color w:val="FF0000"/>
          <w:u w:val="single"/>
        </w:rPr>
        <w:t>¿Quién es, en suma, el culpable del perverso sistema en qué vivimos? Desde luego, el intervencionismo monetario y financiero del Estado.</w:t>
      </w:r>
    </w:p>
    <w:p w:rsidR="00BB7B36" w:rsidRDefault="00BB7B36" w:rsidP="00BB7B36">
      <w:pPr>
        <w:pStyle w:val="figcaption"/>
        <w:jc w:val="both"/>
      </w:pPr>
    </w:p>
    <w:p w:rsidR="00BB7B36" w:rsidRPr="00A437B5" w:rsidRDefault="00BB7B36" w:rsidP="00BB7B36">
      <w:pPr>
        <w:pStyle w:val="figcaption"/>
        <w:jc w:val="both"/>
        <w:rPr>
          <w:u w:val="single"/>
        </w:rPr>
      </w:pPr>
      <w:r w:rsidRPr="00A437B5">
        <w:rPr>
          <w:u w:val="single"/>
        </w:rPr>
        <w:t>Cuando los liberales afirmamos que la actual crisis es consecuencia del intervencionismo estatal se nos suele replicar que</w:t>
      </w:r>
      <w:r>
        <w:t xml:space="preserve"> en algunos países como España el problema no viene tanto por el volumen de deuda pública -relativamente bajo para los estándares internacionales- sino por el de deuda privada, es decir, por la deuda que libremente han contraído familias, empresas y bancos en un mercado desregulado. Por consiguiente, se concluye, </w:t>
      </w:r>
      <w:r w:rsidRPr="00A437B5">
        <w:rPr>
          <w:u w:val="single"/>
        </w:rPr>
        <w:t>no ha sido el sector público quien ha ocasionado los desbarajustes actuales, sino el privado: el neoliberalismo salvaje desbocado que no hizo sino multiplicar las deudas por el afán especulador y la visión extremadamente cortoplacista de los seres humanos.</w:t>
      </w:r>
    </w:p>
    <w:p w:rsidR="00BB7B36" w:rsidRPr="00A437B5" w:rsidRDefault="00BB7B36" w:rsidP="00BB7B36">
      <w:pPr>
        <w:pStyle w:val="figcaption"/>
        <w:jc w:val="both"/>
        <w:rPr>
          <w:u w:val="single"/>
        </w:rPr>
      </w:pPr>
    </w:p>
    <w:p w:rsidR="00BB7B36" w:rsidRPr="00A437B5" w:rsidRDefault="00BB7B36" w:rsidP="00BB7B36">
      <w:pPr>
        <w:pStyle w:val="figcaption"/>
        <w:jc w:val="both"/>
        <w:rPr>
          <w:color w:val="FF0000"/>
          <w:u w:val="single"/>
        </w:rPr>
      </w:pPr>
      <w:r w:rsidRPr="00A437B5">
        <w:rPr>
          <w:u w:val="single"/>
        </w:rPr>
        <w:t>No es momento de analizar aquí si la austeridad que presuntamente practicaron muchos Estados como el español durante la época del boom fue real o más bien un mero espejismo contable derivado de que sus ingresos crecieron muchísimo al socaire de la burbuja crediticia</w:t>
      </w:r>
      <w:r>
        <w:t xml:space="preserve">. </w:t>
      </w:r>
      <w:r w:rsidRPr="00A437B5">
        <w:rPr>
          <w:color w:val="FF0000"/>
          <w:u w:val="single"/>
        </w:rPr>
        <w:t>Mi objetivo es más limitado: explicar por qué el sector privado no habría sido capaz de endeudarse de una manera tan desorbitada sin el concurso imprescindible del Estado.</w:t>
      </w:r>
    </w:p>
    <w:p w:rsidR="00BB7B36" w:rsidRDefault="00BB7B36" w:rsidP="00BB7B36">
      <w:pPr>
        <w:pStyle w:val="figcaption"/>
        <w:jc w:val="both"/>
      </w:pPr>
    </w:p>
    <w:p w:rsidR="00BB7B36" w:rsidRPr="00A437B5" w:rsidRDefault="00BB7B36" w:rsidP="00BB7B36">
      <w:pPr>
        <w:pStyle w:val="figcaption"/>
        <w:jc w:val="both"/>
        <w:rPr>
          <w:u w:val="single"/>
        </w:rPr>
      </w:pPr>
      <w:r>
        <w:t xml:space="preserve"> El volumen de deuda de toda sociedad depende de dos factores: la oferta y la demanda de crédito. A su vez, la oferta depende fundamentalmente del volumen de ahorros disponible en una parte de esa sociedad (de cuánto tiempo está dispuesta a esperar cada persona para consumir) y la demanda de cuánto desea gastar por encima de su renta la sociedad. </w:t>
      </w:r>
      <w:r w:rsidRPr="00A437B5">
        <w:rPr>
          <w:u w:val="single"/>
        </w:rPr>
        <w:t>Es decir, los ahorradores difieren la satisfacción de sus necesidades para que otros puedan adelantarla: unos gastan de menos para que otros gasten de más.</w:t>
      </w:r>
    </w:p>
    <w:p w:rsidR="00BB7B36" w:rsidRPr="00A437B5" w:rsidRDefault="00BB7B36" w:rsidP="00BB7B36">
      <w:pPr>
        <w:pStyle w:val="figcaption"/>
        <w:jc w:val="both"/>
        <w:rPr>
          <w:u w:val="single"/>
        </w:rPr>
      </w:pPr>
    </w:p>
    <w:p w:rsidR="00BB7B36" w:rsidRPr="00A437B5" w:rsidRDefault="00BB7B36" w:rsidP="00BB7B36">
      <w:pPr>
        <w:pStyle w:val="figcaption"/>
        <w:jc w:val="both"/>
        <w:rPr>
          <w:u w:val="single"/>
        </w:rPr>
      </w:pPr>
      <w:r w:rsidRPr="00A437B5">
        <w:rPr>
          <w:u w:val="single"/>
        </w:rPr>
        <w:t xml:space="preserve"> ¿Y cómo se coordina la demanda y la oferta de crédito? Fundamentalmente a través de los tipos de interés: a saber, el precio que deben pagar los demandantes de crédito por adelantar su gasto y el que reciben los oferentes para compensarles por el retraso</w:t>
      </w:r>
      <w:r>
        <w:t xml:space="preserve">. Por un lado, si el ahorro aumenta, esto es, si hay más gente dispuesta a diferir sus necesidades durante más tiempo, la oferta de crédito crecerá y los tipos de interés bajarán (y lo contrario si el ahorro se reduce). Por otro, </w:t>
      </w:r>
      <w:r w:rsidRPr="00A437B5">
        <w:rPr>
          <w:u w:val="single"/>
        </w:rPr>
        <w:t>si la demanda de crédito aumenta, como habrá más gente compitiendo por un volumen dado de ahorros, los tipos de interés se incrementarán, y aquellos que valoren en menor medida anticipar su gasto futuro, se quedarán sin crédito.</w:t>
      </w:r>
    </w:p>
    <w:p w:rsidR="00BB7B36" w:rsidRDefault="00BB7B36" w:rsidP="00BB7B36">
      <w:pPr>
        <w:pStyle w:val="figcaption"/>
        <w:jc w:val="both"/>
      </w:pPr>
      <w:r>
        <w:t xml:space="preserve"> </w:t>
      </w:r>
    </w:p>
    <w:p w:rsidR="00BB7B36" w:rsidRPr="00A437B5" w:rsidRDefault="00BB7B36" w:rsidP="00BB7B36">
      <w:pPr>
        <w:pStyle w:val="figcaption"/>
        <w:jc w:val="both"/>
        <w:rPr>
          <w:color w:val="FF0000"/>
          <w:u w:val="single"/>
        </w:rPr>
      </w:pPr>
      <w:r w:rsidRPr="00A437B5">
        <w:rPr>
          <w:u w:val="single"/>
        </w:rPr>
        <w:t>Los tipos de interés son un elemento fundamental en nuestras economías, en tanto en cuanto permiten la coordinación de las personas a lo largo del tiempo: si uno gasta más de lo que ha producido o va a producir durante un período de tiempo es porque otro gasta menos de lo que ha producido o va a producir.</w:t>
      </w:r>
      <w:r>
        <w:t xml:space="preserve"> </w:t>
      </w:r>
      <w:r w:rsidRPr="00A437B5">
        <w:rPr>
          <w:u w:val="single"/>
        </w:rPr>
        <w:t>Pero los tipos de interés libremente establecidos no sólo facilitan la coordinación entre los agentes, sino que imponen un límite muy severo al endeudamiento: sólo se puede conceder como crédito aquello que se haya previamente ahorrado.</w:t>
      </w:r>
      <w:r>
        <w:t xml:space="preserve"> </w:t>
      </w:r>
      <w:r w:rsidRPr="00A437B5">
        <w:rPr>
          <w:color w:val="FF0000"/>
          <w:u w:val="single"/>
        </w:rPr>
        <w:t xml:space="preserve">Ya vimos que los aumentos de la demanda de crédito son en gran parte esterilizados por subidas del tipo de interés, por lo que resulta harto complicado que las burbujas financieras basadas en el aumento continuado del crédito </w:t>
      </w:r>
      <w:r w:rsidRPr="00A437B5">
        <w:rPr>
          <w:color w:val="FF0000"/>
          <w:u w:val="single"/>
        </w:rPr>
        <w:lastRenderedPageBreak/>
        <w:t>puedan mantenerse por mucho tiempo: si la demanda de deuda se incrementa exponencialmente, los tipos de interés también lo harán, lo que secará la demanda.</w:t>
      </w:r>
    </w:p>
    <w:p w:rsidR="00BB7B36" w:rsidRDefault="00BB7B36" w:rsidP="00BB7B36">
      <w:pPr>
        <w:pStyle w:val="figcaption"/>
        <w:jc w:val="both"/>
      </w:pPr>
      <w:r>
        <w:t xml:space="preserve"> </w:t>
      </w:r>
    </w:p>
    <w:p w:rsidR="00BB7B36" w:rsidRDefault="00BB7B36" w:rsidP="00BB7B36">
      <w:pPr>
        <w:pStyle w:val="figcaption"/>
        <w:jc w:val="both"/>
      </w:pPr>
      <w:r w:rsidRPr="00A437B5">
        <w:rPr>
          <w:color w:val="FF0000"/>
          <w:u w:val="single"/>
        </w:rPr>
        <w:t>Pero, ¿qué sucede en nuestros sistemas financieros modernos? Pues que los bancos gozan de una serie de privilegios concedidos por el sector público por los que son capaces de incrementar la oferta de crédito muy por encima del nivel de ahorro disponible</w:t>
      </w:r>
      <w:r>
        <w:t xml:space="preserve">. </w:t>
      </w:r>
      <w:r w:rsidRPr="00A437B5">
        <w:rPr>
          <w:color w:val="FF0000"/>
          <w:u w:val="single"/>
        </w:rPr>
        <w:t>Básicamente: los bancos pueden asumir nuevas deudas y refinanciarlas continuamente en el banco central a los tipos de interés artificialmente bajos que éste establezca; y, a su vez, este banco central no tiene límite alguno a la hora de refinanciar las deudas de la banca porque no ha de convertir sus propias deudas en oro (o en otro dinero líquido que no genere él mismo).</w:t>
      </w:r>
      <w:r>
        <w:t xml:space="preserve"> </w:t>
      </w:r>
      <w:r w:rsidRPr="00A437B5">
        <w:rPr>
          <w:color w:val="FF0000"/>
          <w:u w:val="single"/>
        </w:rPr>
        <w:t>Es decir, el sistema financiero se construye sobre una pirámide de apalancamiento: con tal de aumentar la oferta de crédito a los particulares, los bancos privados asumen nuevas deudas que no pueden pagar y el banco central refinancia esas deudas asumiendo, a su vez, nuevas deudas que no tiene la obligación de pagar de ninguna manera (de hecho, las deudas del banco central es lo que se utili</w:t>
      </w:r>
      <w:r>
        <w:rPr>
          <w:color w:val="FF0000"/>
          <w:u w:val="single"/>
        </w:rPr>
        <w:t>za en nuestras sociedades como “dinero de curso legal”</w:t>
      </w:r>
      <w:r w:rsidRPr="00A437B5">
        <w:rPr>
          <w:color w:val="FF0000"/>
          <w:u w:val="single"/>
        </w:rPr>
        <w:t>).</w:t>
      </w:r>
    </w:p>
    <w:p w:rsidR="00BB7B36" w:rsidRDefault="00BB7B36" w:rsidP="00BB7B36">
      <w:pPr>
        <w:pStyle w:val="figcaption"/>
        <w:jc w:val="both"/>
      </w:pPr>
      <w:r>
        <w:t xml:space="preserve"> </w:t>
      </w:r>
    </w:p>
    <w:p w:rsidR="00BB7B36" w:rsidRPr="00A437B5" w:rsidRDefault="00BB7B36" w:rsidP="00BB7B36">
      <w:pPr>
        <w:pStyle w:val="figcaption"/>
        <w:jc w:val="both"/>
        <w:rPr>
          <w:u w:val="single"/>
        </w:rPr>
      </w:pPr>
      <w:r>
        <w:t xml:space="preserve">Parece claro que, dentro de este marco financiero, si la demanda de crédito se incrementa, </w:t>
      </w:r>
      <w:r w:rsidRPr="00A437B5">
        <w:rPr>
          <w:u w:val="single"/>
        </w:rPr>
        <w:t>los bancos privados lo tienen muy sencillo para atenderla mediante la concesión de una barra libre de financiación que evite los aumentos en los tipos de interés y el consiguiente aborto de la demanda crediticia.</w:t>
      </w:r>
      <w:r>
        <w:t xml:space="preserve"> Los bancos no necesitan ni mucho menos captar más ahorro para conceder más crédito y tampoco tienen por qué cargar tipos de interés más altos ante una mayor propensión al endeudamiento de la sociedad: </w:t>
      </w:r>
      <w:r w:rsidRPr="00A437B5">
        <w:rPr>
          <w:u w:val="single"/>
        </w:rPr>
        <w:t>pueden prestar hoy un ahorro que se supone que la sociedad generará mañana.</w:t>
      </w:r>
    </w:p>
    <w:p w:rsidR="00BB7B36" w:rsidRPr="00A437B5" w:rsidRDefault="00BB7B36" w:rsidP="00BB7B36">
      <w:pPr>
        <w:pStyle w:val="figcaption"/>
        <w:jc w:val="both"/>
        <w:rPr>
          <w:u w:val="single"/>
        </w:rPr>
      </w:pPr>
      <w:r w:rsidRPr="00A437B5">
        <w:rPr>
          <w:u w:val="single"/>
        </w:rPr>
        <w:t xml:space="preserve"> </w:t>
      </w:r>
    </w:p>
    <w:p w:rsidR="00BB7B36" w:rsidRDefault="00BB7B36" w:rsidP="00BB7B36">
      <w:pPr>
        <w:pStyle w:val="figcaption"/>
        <w:jc w:val="both"/>
      </w:pPr>
      <w:r w:rsidRPr="00A437B5">
        <w:rPr>
          <w:u w:val="single"/>
        </w:rPr>
        <w:t>En España, por ejemplo, el crédito hipotecario creció entre 2003 y 2007 a una tasa media del 18% anual y en EEUU al 10% anual, pero los tipos de interés no sólo no subieron sino que bajaron entre tanto</w:t>
      </w:r>
      <w:r>
        <w:t xml:space="preserve">. ¿Acaso fue que el ahorro español y estadounidense creció a tasas similares o superiores al de la demanda de crédito? Obviamente no: fue que </w:t>
      </w:r>
      <w:r w:rsidRPr="00A437B5">
        <w:rPr>
          <w:u w:val="single"/>
        </w:rPr>
        <w:t>los bancos concedieron créditos con cargo al ahorro futuro. Algunos economistas afirman que durante esos años nos estuvimos financiando con cargo al ahorro alemán y chino, pero, de nuevo, la financiación extranjera que entraba en nuestro país no era ahorro, sino crédito alemán y chino que superaba en mucho el ahorro interno de esos países.</w:t>
      </w:r>
      <w:r>
        <w:t xml:space="preserve"> Sólo es necesario acercarse al balance de cualquier banco alemán para comprobar que el plazo de los créditos que concedieron esos bancos era muy superior al de las deudas que creaban para sufragarlos; es decir, los alemanes no estuvieron dispuestos a ahorrar durante todo el tiempo como el que se nos permitió a los españoles gastar en exceso a cuenta de esos alemanes.</w:t>
      </w:r>
    </w:p>
    <w:p w:rsidR="00BB7B36" w:rsidRDefault="00BB7B36" w:rsidP="00BB7B36">
      <w:pPr>
        <w:pStyle w:val="figcaption"/>
        <w:jc w:val="both"/>
      </w:pPr>
      <w:r>
        <w:t xml:space="preserve"> </w:t>
      </w:r>
    </w:p>
    <w:p w:rsidR="00BB7B36" w:rsidRPr="00A437B5" w:rsidRDefault="00BB7B36" w:rsidP="00BB7B36">
      <w:pPr>
        <w:pStyle w:val="figcaption"/>
        <w:jc w:val="both"/>
        <w:rPr>
          <w:color w:val="FF0000"/>
          <w:u w:val="single"/>
        </w:rPr>
      </w:pPr>
      <w:r w:rsidRPr="00A437B5">
        <w:rPr>
          <w:color w:val="FF0000"/>
          <w:u w:val="single"/>
        </w:rPr>
        <w:t>Por consiguiente, ¿quién provocó el actual problema de exceso de endeudamiento privado? ¿El sector privado por demandar crédito o el sector público por forzar a que se diera ese crédito? Desde luego, sin una fuerte demanda de crédito, el volumen de deudas no puede aumentar; pero tampoco es capaz de hacerlo sin una elástica oferta de crédito. La cuestión, por tanto, debe replantearse: ¿quién es el responsable de haberse las instituciones que en el pasado permitieron frenar a tiempo estas borracheras de endeudamiento?</w:t>
      </w:r>
    </w:p>
    <w:p w:rsidR="00BB7B36" w:rsidRPr="00A437B5" w:rsidRDefault="00BB7B36" w:rsidP="00BB7B36">
      <w:pPr>
        <w:pStyle w:val="figcaption"/>
        <w:jc w:val="both"/>
        <w:rPr>
          <w:color w:val="FF0000"/>
          <w:u w:val="single"/>
        </w:rPr>
      </w:pPr>
      <w:r w:rsidRPr="00A437B5">
        <w:rPr>
          <w:color w:val="FF0000"/>
          <w:u w:val="single"/>
        </w:rPr>
        <w:t xml:space="preserve"> </w:t>
      </w:r>
    </w:p>
    <w:p w:rsidR="00BB7B36" w:rsidRPr="00A437B5" w:rsidRDefault="00BB7B36" w:rsidP="00BB7B36">
      <w:pPr>
        <w:pStyle w:val="figcaption"/>
        <w:jc w:val="both"/>
        <w:rPr>
          <w:color w:val="FF0000"/>
          <w:u w:val="single"/>
        </w:rPr>
      </w:pPr>
      <w:r w:rsidRPr="00A437B5">
        <w:rPr>
          <w:u w:val="single"/>
        </w:rPr>
        <w:t xml:space="preserve">Y aquí la respuesta es clara: el intervencionismo estatal en materia monetaria y financiera. Fueron los Estados quienes, primero, abandonaron el patrón oro para que los bancos centrales pudieran refinanciar indefinidamente a la banca privada cuando </w:t>
      </w:r>
      <w:r w:rsidRPr="00A437B5">
        <w:rPr>
          <w:u w:val="single"/>
        </w:rPr>
        <w:lastRenderedPageBreak/>
        <w:t>concediera crédito y quienes, después, instrumentaron a esos bancos centrales para que en 2002 rebajaran los tipos de interés a niveles artificialmente bajos, reanimando así una demanda de crédito que en aquel momento estaba decayendo en medio de la recesión internacional.</w:t>
      </w:r>
      <w:r>
        <w:t xml:space="preserve"> </w:t>
      </w:r>
      <w:r w:rsidRPr="00A437B5">
        <w:rPr>
          <w:color w:val="FF0000"/>
          <w:u w:val="single"/>
        </w:rPr>
        <w:t>Se quiso salir de la crisis de 2002 con nuevas dosis de endeudamiento y, desde luego, el objetivo se logró, pero sólo a costa de acrecentar los desajustes económicos y de alcanzar unos niveles de deuda privada totalmente insostenibles.</w:t>
      </w:r>
    </w:p>
    <w:p w:rsidR="00BB7B36" w:rsidRDefault="00BB7B36" w:rsidP="00BB7B36">
      <w:pPr>
        <w:pStyle w:val="figcaption"/>
        <w:jc w:val="both"/>
      </w:pPr>
      <w:r>
        <w:t xml:space="preserve"> </w:t>
      </w:r>
    </w:p>
    <w:p w:rsidR="00BB7B36" w:rsidRDefault="00BB7B36" w:rsidP="00BB7B36">
      <w:pPr>
        <w:pStyle w:val="figcaption"/>
        <w:jc w:val="both"/>
        <w:rPr>
          <w:u w:val="single"/>
        </w:rPr>
      </w:pPr>
      <w:r w:rsidRPr="00A437B5">
        <w:rPr>
          <w:color w:val="FF0000"/>
          <w:u w:val="single"/>
        </w:rPr>
        <w:t>¿Quién es, en suma, el culpable del perverso sistema en qué vivimos? Desde luego, el intervencionismo monetario y financiero del Estado</w:t>
      </w:r>
      <w:r>
        <w:t xml:space="preserve">. En su ausencia -es decir, con patrón oro y una banca sin acceso casi ilimitado al banco central- podría haber habido una intensísima demanda de crédito, pero ésta hubiese sido aplastada por una oferta inelástica y por unos tipos de interés al alza. Pero no, </w:t>
      </w:r>
      <w:r w:rsidRPr="00A437B5">
        <w:rPr>
          <w:u w:val="single"/>
        </w:rPr>
        <w:t>quisimos fiesta... y la tuvimos.</w:t>
      </w:r>
    </w:p>
    <w:p w:rsidR="00BB7B36" w:rsidRDefault="00BB7B36" w:rsidP="00BB7B36">
      <w:pPr>
        <w:jc w:val="both"/>
        <w:rPr>
          <w:rFonts w:ascii="Times New Roman" w:hAnsi="Times New Roman" w:cs="Times New Roman"/>
          <w:sz w:val="24"/>
          <w:szCs w:val="24"/>
        </w:rPr>
      </w:pPr>
    </w:p>
    <w:p w:rsidR="00BB7B36" w:rsidRDefault="00BB7B36" w:rsidP="00BB7B36">
      <w:pPr>
        <w:jc w:val="both"/>
        <w:rPr>
          <w:rFonts w:ascii="Times New Roman" w:hAnsi="Times New Roman" w:cs="Times New Roman"/>
          <w:b/>
          <w:sz w:val="24"/>
          <w:szCs w:val="24"/>
        </w:rPr>
      </w:pPr>
      <w:r w:rsidRPr="004108D7">
        <w:rPr>
          <w:rFonts w:ascii="Times New Roman" w:hAnsi="Times New Roman" w:cs="Times New Roman"/>
          <w:b/>
          <w:sz w:val="24"/>
          <w:szCs w:val="24"/>
        </w:rPr>
        <w:t>1.5 -</w:t>
      </w:r>
      <w:r>
        <w:rPr>
          <w:rFonts w:ascii="Times New Roman" w:hAnsi="Times New Roman" w:cs="Times New Roman"/>
          <w:sz w:val="24"/>
          <w:szCs w:val="24"/>
        </w:rPr>
        <w:t xml:space="preserve"> </w:t>
      </w:r>
      <w:r w:rsidRPr="001E45DA">
        <w:rPr>
          <w:rFonts w:ascii="Times New Roman" w:hAnsi="Times New Roman" w:cs="Times New Roman"/>
          <w:b/>
          <w:sz w:val="24"/>
          <w:szCs w:val="24"/>
        </w:rPr>
        <w:t xml:space="preserve">La </w:t>
      </w:r>
      <w:r>
        <w:rPr>
          <w:rFonts w:ascii="Times New Roman" w:hAnsi="Times New Roman" w:cs="Times New Roman"/>
          <w:b/>
          <w:sz w:val="24"/>
          <w:szCs w:val="24"/>
        </w:rPr>
        <w:t>‘</w:t>
      </w:r>
      <w:r w:rsidRPr="001E45DA">
        <w:rPr>
          <w:rFonts w:ascii="Times New Roman" w:hAnsi="Times New Roman" w:cs="Times New Roman"/>
          <w:b/>
          <w:sz w:val="24"/>
          <w:szCs w:val="24"/>
        </w:rPr>
        <w:t>acción</w:t>
      </w:r>
      <w:r>
        <w:rPr>
          <w:rFonts w:ascii="Times New Roman" w:hAnsi="Times New Roman" w:cs="Times New Roman"/>
          <w:b/>
          <w:sz w:val="24"/>
          <w:szCs w:val="24"/>
        </w:rPr>
        <w:t>’</w:t>
      </w:r>
      <w:r w:rsidRPr="001E45DA">
        <w:rPr>
          <w:rFonts w:ascii="Times New Roman" w:hAnsi="Times New Roman" w:cs="Times New Roman"/>
          <w:b/>
          <w:sz w:val="24"/>
          <w:szCs w:val="24"/>
        </w:rPr>
        <w:t xml:space="preserve"> de los políticos</w:t>
      </w:r>
      <w:r>
        <w:rPr>
          <w:rFonts w:ascii="Times New Roman" w:hAnsi="Times New Roman" w:cs="Times New Roman"/>
          <w:b/>
          <w:sz w:val="24"/>
          <w:szCs w:val="24"/>
        </w:rPr>
        <w:t>: apretarse el cinturón (ajeno) para salir de la crisis</w:t>
      </w:r>
    </w:p>
    <w:p w:rsidR="00BB7B36" w:rsidRPr="004108D7" w:rsidRDefault="00BB7B36" w:rsidP="00BB7B36">
      <w:pPr>
        <w:pStyle w:val="NormalWeb"/>
        <w:jc w:val="both"/>
      </w:pPr>
      <w:r w:rsidRPr="004108D7">
        <w:rPr>
          <w:i/>
        </w:rPr>
        <w:t>“El primer ministro británico, David Cameron, quiere que todos los servicios públicos del país puedan ser gestionados en el futuro por compañías privadas, con el objetivo de terminar con lo que llama “el monopolio del Estado””...</w:t>
      </w:r>
      <w:r>
        <w:rPr>
          <w:i/>
        </w:rPr>
        <w:t xml:space="preserve">  </w:t>
      </w:r>
      <w:r w:rsidRPr="00054ED3">
        <w:rPr>
          <w:u w:val="single"/>
        </w:rPr>
        <w:t>Reino Unido: Cameron abre el camino para la privatización del sector público</w:t>
      </w:r>
      <w:r>
        <w:t xml:space="preserve"> (El Economista - </w:t>
      </w:r>
      <w:r w:rsidRPr="00054ED3">
        <w:rPr>
          <w:b/>
        </w:rPr>
        <w:t>21/2/11</w:t>
      </w:r>
      <w:r>
        <w:t>)</w:t>
      </w:r>
    </w:p>
    <w:p w:rsidR="00BB7B36" w:rsidRPr="004108D7" w:rsidRDefault="00BB7B36" w:rsidP="00BB7B36">
      <w:pPr>
        <w:pStyle w:val="NormalWeb"/>
        <w:jc w:val="both"/>
      </w:pPr>
      <w:r w:rsidRPr="004108D7">
        <w:t>Los cambios, adelantados hoy por el líder conservador en un artículo en el diario The Daily Telegraph y que se detallarán oficialmente en las próximas semanas, permitirían a entidades privadas gestionar escuelas, hospitales o servicios municipales como el mantenimiento de parques y carreteras y el cuidado de ancianos.</w:t>
      </w:r>
    </w:p>
    <w:p w:rsidR="00BB7B36" w:rsidRPr="004108D7" w:rsidRDefault="00BB7B36" w:rsidP="00BB7B36">
      <w:pPr>
        <w:pStyle w:val="NormalWeb"/>
        <w:jc w:val="both"/>
      </w:pPr>
      <w:r w:rsidRPr="004108D7">
        <w:t>En el artículo en el Telegraph, Cameron defiende la necesidad de “un cambio completo” en el sector público para mejorar el servicio que se presta a los ciudadanos, y abre la puerta también a la participació</w:t>
      </w:r>
      <w:r>
        <w:t>n de grupos de voluntarios y ONG</w:t>
      </w:r>
      <w:r w:rsidRPr="004108D7">
        <w:t>.</w:t>
      </w:r>
    </w:p>
    <w:p w:rsidR="00BB7B36" w:rsidRPr="004108D7" w:rsidRDefault="00BB7B36" w:rsidP="00BB7B36">
      <w:pPr>
        <w:pStyle w:val="NormalWeb"/>
        <w:jc w:val="both"/>
      </w:pPr>
      <w:r w:rsidRPr="004108D7">
        <w:t>La idea del primer ministro es transformar los servicios públicos en el largo plazo sin tener que legislar cada vez que se quiera permitir a una empresa pri</w:t>
      </w:r>
      <w:r>
        <w:t xml:space="preserve">vada involucrarse en el sector. </w:t>
      </w:r>
      <w:r w:rsidRPr="004108D7">
        <w:t>A las empresas proveedoras se les ofrecerían contratos con una retribución en función de los resultados y con la garantía de un incremento de los ingresos a medida que aumente la calidad el servicio.</w:t>
      </w:r>
    </w:p>
    <w:p w:rsidR="00BB7B36" w:rsidRPr="004108D7" w:rsidRDefault="00BB7B36" w:rsidP="00BB7B36">
      <w:pPr>
        <w:pStyle w:val="NormalWeb"/>
        <w:jc w:val="both"/>
      </w:pPr>
      <w:r w:rsidRPr="004108D7">
        <w:t>“Crearemos una nuevo concepto, respaldado por nuevos derechos para los usuarios de los servicios públicos y por un nuevo sistema de adjudicación independiente, de que los servicios públicos deberían estar abiertos a una serie de proveedores que compitan por ofrecer un servicio mejor”, argumenta el primer ministro.</w:t>
      </w:r>
    </w:p>
    <w:p w:rsidR="00BB7B36" w:rsidRPr="004108D7" w:rsidRDefault="00BB7B36" w:rsidP="00BB7B36">
      <w:pPr>
        <w:pStyle w:val="NormalWeb"/>
        <w:jc w:val="both"/>
      </w:pPr>
      <w:r w:rsidRPr="004108D7">
        <w:t xml:space="preserve">Cameron excluye del plan a la seguridad nacional y la judicatura </w:t>
      </w:r>
      <w:r>
        <w:t>-</w:t>
      </w:r>
      <w:r w:rsidRPr="004108D7">
        <w:t>“donde esto no tendría sentido”-, pero defiende que “el resto de sectores pueda estar abierto a una diversidad real”.</w:t>
      </w:r>
    </w:p>
    <w:p w:rsidR="00BB7B36" w:rsidRPr="004108D7" w:rsidRDefault="00BB7B36" w:rsidP="00BB7B36">
      <w:pPr>
        <w:pStyle w:val="NormalWeb"/>
        <w:jc w:val="both"/>
      </w:pPr>
      <w:r w:rsidRPr="004108D7">
        <w:t>Los cambios, asegura, liberarán al sector público “de las riendas del control del Estado”, reducirán la burocracia, generarán ahorro y permitirán terminar con una era de servicios “anticuados, verticales y en lo que hay que conformarse con lo que uno recibe”.</w:t>
      </w:r>
    </w:p>
    <w:p w:rsidR="00BB7B36" w:rsidRPr="004108D7" w:rsidRDefault="00BB7B36" w:rsidP="00BB7B36">
      <w:pPr>
        <w:pStyle w:val="NormalWeb"/>
        <w:jc w:val="both"/>
      </w:pPr>
      <w:r w:rsidRPr="004108D7">
        <w:lastRenderedPageBreak/>
        <w:t>Cameron argumenta que la calidad de los servicios en el Reino Unido ha descendido en los últimos años si se toman como referencia “países similares”, y que eso se está notando en áreas como los índices de supervivencia del cáncer y los resultados escolares.</w:t>
      </w:r>
    </w:p>
    <w:p w:rsidR="00BB7B36" w:rsidRPr="004108D7" w:rsidRDefault="00BB7B36" w:rsidP="00BB7B36">
      <w:pPr>
        <w:pStyle w:val="NormalWeb"/>
        <w:jc w:val="both"/>
      </w:pPr>
      <w:r w:rsidRPr="004108D7">
        <w:t>“Se pondrá el poder en manos de la gente. Los profesionales recuperarán su responsabilidad. Habrá más libertad, más posibilidades de elegir y más control local”, explica el gobernante, que aclara que el Estado seguirá teniendo un “papel crucial”.</w:t>
      </w:r>
    </w:p>
    <w:p w:rsidR="00BB7B36" w:rsidRPr="004108D7" w:rsidRDefault="00BB7B36" w:rsidP="00BB7B36">
      <w:pPr>
        <w:pStyle w:val="NormalWeb"/>
        <w:jc w:val="both"/>
      </w:pPr>
      <w:r w:rsidRPr="004108D7">
        <w:t>El papel será “garantizar que la financiación y la competencia sean justas, y garantizar que todo el mundo, sin tener en cuenta su capacidad económica, tengan un acceso justo a los servicios”.</w:t>
      </w:r>
    </w:p>
    <w:p w:rsidR="00BB7B36" w:rsidRPr="004108D7" w:rsidRDefault="00BB7B36" w:rsidP="00BB7B36">
      <w:pPr>
        <w:pStyle w:val="NormalWeb"/>
        <w:jc w:val="both"/>
      </w:pPr>
      <w:r w:rsidRPr="004108D7">
        <w:t>El proyecto se ha bautizado como “Servicios Públicos Abiertos” y su objetivo principal será “imposibilitar que el Estado vuelva a los viejos malos tiempos del monopolio del Estado”. “Esta es una parte vital de nuestra visión de desmantelar el Gran Gobierno y construir en su lugar una Gran Sociedad”, agrega.</w:t>
      </w:r>
    </w:p>
    <w:p w:rsidR="00BB7B36" w:rsidRPr="004108D7" w:rsidRDefault="00BB7B36" w:rsidP="00BB7B36">
      <w:pPr>
        <w:pStyle w:val="NormalWeb"/>
        <w:jc w:val="both"/>
      </w:pPr>
      <w:r w:rsidRPr="004108D7">
        <w:t>El concepto de la Gran Sociedad es uno de los elementos centrales de la política de Cameron, un concepto con el que quiere dar una mayor participación y responsabilidad social en la gestión del país.</w:t>
      </w:r>
    </w:p>
    <w:p w:rsidR="00BB7B36" w:rsidRPr="004108D7" w:rsidRDefault="00BB7B36" w:rsidP="00BB7B36">
      <w:pPr>
        <w:pStyle w:val="NormalWeb"/>
        <w:jc w:val="both"/>
      </w:pPr>
      <w:r w:rsidRPr="004108D7">
        <w:t>La oposición laborista y los sindicatos dicen que lo que esconde realmente esta política es una gran privatización encubierta de servicios públicos hasta ahora intocables en este país como el NHS, el sistema de Seguridad Social creado tras la II Guerra Mundial.</w:t>
      </w:r>
    </w:p>
    <w:p w:rsidR="00BB7B36" w:rsidRDefault="00BB7B36" w:rsidP="00BB7B36">
      <w:pPr>
        <w:pStyle w:val="NormalWeb"/>
        <w:jc w:val="both"/>
      </w:pPr>
      <w:r>
        <w:t xml:space="preserve">- </w:t>
      </w:r>
      <w:r w:rsidRPr="00F312C3">
        <w:rPr>
          <w:u w:val="single"/>
        </w:rPr>
        <w:t>Votantes vs. estado benefactor</w:t>
      </w:r>
      <w:r>
        <w:t xml:space="preserve"> (Project Syndicate - </w:t>
      </w:r>
      <w:r w:rsidRPr="00F312C3">
        <w:rPr>
          <w:b/>
        </w:rPr>
        <w:t>24/5/11</w:t>
      </w:r>
      <w:r>
        <w:t>)        Lectura recomendada</w:t>
      </w:r>
    </w:p>
    <w:p w:rsidR="00BB7B36" w:rsidRDefault="00BB7B36" w:rsidP="00BB7B36">
      <w:pPr>
        <w:pStyle w:val="NormalWeb"/>
        <w:jc w:val="both"/>
      </w:pPr>
      <w:r>
        <w:t>(Por Michael Boskin)</w:t>
      </w:r>
    </w:p>
    <w:p w:rsidR="00BB7B36" w:rsidRDefault="00BB7B36" w:rsidP="00BB7B36">
      <w:pPr>
        <w:pStyle w:val="NormalWeb"/>
        <w:jc w:val="both"/>
      </w:pPr>
      <w:r>
        <w:t xml:space="preserve">Stanford.- El primer ministro de Canadá, Stephen Harper, al ganar una mayoría categórica de bancas en el parlamento de su país por primera vez desde que asumió el cargo, perpetúa una considerable serie de victorias electorales nacionales, respaldado por votantes que exigen al menos una pausa, y tal vez cierta revocación, del crecimiento del estado benefactor. </w:t>
      </w:r>
    </w:p>
    <w:p w:rsidR="00BB7B36" w:rsidRDefault="00BB7B36" w:rsidP="00BB7B36">
      <w:pPr>
        <w:pStyle w:val="NormalWeb"/>
        <w:jc w:val="both"/>
      </w:pPr>
      <w:r>
        <w:t xml:space="preserve">Es más, la victoria de Harper se produce después del resonante triunfo del Partido Republicano de 2010 en la elección de mitad de mandato de Estados Unidos, una campaña que esencialmente se libró alrededor del tamaño y el alcance del gobierno, tras la sólida expansión del gasto público después de la crisis financiera y la recesión. El primer ministro británico, David Cameron (que lidera, como lo hizo Harper hasta hace poco, un gobierno de coalición de centroderecha), también ganó en base a una plataforma para reducir los excesos del estado benefactor. </w:t>
      </w:r>
    </w:p>
    <w:p w:rsidR="00BB7B36" w:rsidRDefault="00BB7B36" w:rsidP="00BB7B36">
      <w:pPr>
        <w:pStyle w:val="NormalWeb"/>
        <w:jc w:val="both"/>
      </w:pPr>
      <w:r>
        <w:t>También está el caso de la candidatura a la reelección anticipada del presidente francés, Nicolas Sarkozy. Francia tiene impuestos más altos y un estado benefactor más desarrollado que el Reino Unido, Canadá o Estados Unidos. Sarkozy, a pesar de los intentos iniciales por recortar algunos derechos franceses, hasta ahora no produjo tanta reforma como Cameron o Harper, mucho menos como Ronald Reagan o Margaret Thatcher en los años 1980.</w:t>
      </w:r>
    </w:p>
    <w:p w:rsidR="00BB7B36" w:rsidRDefault="00BB7B36" w:rsidP="00BB7B36">
      <w:pPr>
        <w:pStyle w:val="NormalWeb"/>
        <w:jc w:val="both"/>
      </w:pPr>
      <w:r>
        <w:lastRenderedPageBreak/>
        <w:t xml:space="preserve">Algunos podrían decir que los problemas económicos que enfrentan los gobiernos son tan graves que el solo hecho de estar en el poder invita a la destitución, más allá de la ideología. Pero la reelección de Harper sugiere lo contrario. Harper redujo los impuestos corporativos y a las ventas de Canadá (ahora muy por debajo de los de Estados Unidos) y, al igual que Cameron, quiere una consolidación fiscal más rápida que el presidente estadounidense, Barack Obama. </w:t>
      </w:r>
    </w:p>
    <w:p w:rsidR="00BB7B36" w:rsidRDefault="00BB7B36" w:rsidP="00BB7B36">
      <w:pPr>
        <w:pStyle w:val="NormalWeb"/>
        <w:jc w:val="both"/>
      </w:pPr>
      <w:r>
        <w:t xml:space="preserve">El potencial significado de estas elecciones debe entenderse en el contexto no sólo de la recesión y la crisis financiera, y las intervenciones gubernamentales destinadas a enfrentarlas, sino también en el alcance más amplio de la evolución histórica de los estados benefactores de estos países. </w:t>
      </w:r>
    </w:p>
    <w:p w:rsidR="00BB7B36" w:rsidRDefault="00BB7B36" w:rsidP="00BB7B36">
      <w:pPr>
        <w:pStyle w:val="NormalWeb"/>
        <w:jc w:val="both"/>
      </w:pPr>
      <w:r>
        <w:t>Se destacan las siguientes tendencias:</w:t>
      </w:r>
    </w:p>
    <w:p w:rsidR="00BB7B36" w:rsidRDefault="00BB7B36" w:rsidP="00BB7B36">
      <w:pPr>
        <w:pStyle w:val="NormalWeb"/>
        <w:jc w:val="both"/>
      </w:pPr>
      <w:r>
        <w:t>·        En los cuatro países, hubo una tendencia alcista considerable en los desembolsos del gobierno como un porcentaje del PBI;</w:t>
      </w:r>
    </w:p>
    <w:p w:rsidR="00BB7B36" w:rsidRDefault="00BB7B36" w:rsidP="00BB7B36">
      <w:pPr>
        <w:pStyle w:val="NormalWeb"/>
        <w:jc w:val="both"/>
      </w:pPr>
      <w:r>
        <w:t>·        En cada país, hubo un incremento considerable del gasto público en los últimos años, particularmente en Estados Unidos y el Reino Unido;</w:t>
      </w:r>
    </w:p>
    <w:p w:rsidR="00BB7B36" w:rsidRDefault="00BB7B36" w:rsidP="00BB7B36">
      <w:pPr>
        <w:pStyle w:val="NormalWeb"/>
        <w:jc w:val="both"/>
      </w:pPr>
      <w:r>
        <w:t>·        Francia tiene el gasto gubernamental más alto como porcentaje del PBI -muy por encima del 50%, según la OCDE- y éste ha aumentado continuamente, década tras década;</w:t>
      </w:r>
    </w:p>
    <w:p w:rsidR="00BB7B36" w:rsidRDefault="00BB7B36" w:rsidP="00BB7B36">
      <w:pPr>
        <w:pStyle w:val="NormalWeb"/>
        <w:jc w:val="both"/>
      </w:pPr>
      <w:r>
        <w:t>·        Estados Unidos actualmente tiene el menor gasto gubernamental como porcentaje del PBI, aunque se acercó sustancialmente a Canadá debido a la explosión del gasto desde 2000 -el gasto militar del presidente George W. Bush y el gasto social de Obama;</w:t>
      </w:r>
    </w:p>
    <w:p w:rsidR="00BB7B36" w:rsidRDefault="00BB7B36" w:rsidP="00BB7B36">
      <w:pPr>
        <w:pStyle w:val="NormalWeb"/>
        <w:jc w:val="both"/>
      </w:pPr>
      <w:r>
        <w:t>·        El aumento del gasto público de Canadá como porcentaje del PBI desde 2000 ha sido el menor de los cuatro países;</w:t>
      </w:r>
    </w:p>
    <w:p w:rsidR="00BB7B36" w:rsidRDefault="00BB7B36" w:rsidP="00BB7B36">
      <w:pPr>
        <w:pStyle w:val="NormalWeb"/>
        <w:jc w:val="both"/>
      </w:pPr>
      <w:r>
        <w:t>·        Canadá y el Reino Unido han tenido períodos de reducciones importantes del porcentaje de gasto gubernamental. En el Reino Unido, el porcentaje cayó cuatro puntos porcentuales en 1980-1990 (la revolución de Margaret Thatcher), y siguió cayendo hasta 2000. En los años anteriores a la crisis financiera, la participación de Canadá cayó del 45% aproximadamente a alrededor del 40%;</w:t>
      </w:r>
    </w:p>
    <w:p w:rsidR="00BB7B36" w:rsidRDefault="00BB7B36" w:rsidP="00BB7B36">
      <w:pPr>
        <w:pStyle w:val="NormalWeb"/>
        <w:jc w:val="both"/>
      </w:pPr>
      <w:r>
        <w:t>·        De la misma manera, la Revolución Reagan en Estados Unidos frenó la tendencia alcista en el gasto no vinculado a la defensa.</w:t>
      </w:r>
    </w:p>
    <w:p w:rsidR="00BB7B36" w:rsidRDefault="00BB7B36" w:rsidP="00BB7B36">
      <w:pPr>
        <w:pStyle w:val="NormalWeb"/>
        <w:jc w:val="both"/>
      </w:pPr>
      <w:r>
        <w:t>¿Qué hay con respecto al desempeño económico, medido por el PBI per cápita real? Los cuatro países se posicionan exactamente en orden inverso de sus porcentajes de gasto gubernamental (según datos de 2009 y previos a la crisis de 2007), siendo el de Estados Unidos el más alto, seguido por Canadá, el Reino Unido y Francia. El coeficiente de correlación simple es de aproximadamente -0,9.</w:t>
      </w:r>
    </w:p>
    <w:p w:rsidR="00BB7B36" w:rsidRPr="00D6419E" w:rsidRDefault="00BB7B36" w:rsidP="00BB7B36">
      <w:pPr>
        <w:pStyle w:val="NormalWeb"/>
        <w:jc w:val="both"/>
        <w:rPr>
          <w:u w:val="single"/>
        </w:rPr>
      </w:pPr>
      <w:r>
        <w:t xml:space="preserve">Los votantes parecen haberse dado cuenta de algo importante. Por supuesto, la correlación no es prueba de causalidad; hay millares de otros factores que afectan el desempeño económico además del tamaño, la composición y la naturaleza del gasto del estado benefactor (y claramente los impuestos y la deuda relacionados). Es más, </w:t>
      </w:r>
      <w:r w:rsidRPr="00D6419E">
        <w:rPr>
          <w:u w:val="single"/>
        </w:rPr>
        <w:t xml:space="preserve">los </w:t>
      </w:r>
      <w:r w:rsidRPr="00D6419E">
        <w:rPr>
          <w:u w:val="single"/>
        </w:rPr>
        <w:lastRenderedPageBreak/>
        <w:t xml:space="preserve">gobiernos ofrecen servicios, desde defensa y aplicación de la ley hasta una red de seguridad humana, que son esenciales para una economía y una sociedad exitosas. Pero el tamaño del estado benefactor -y la erosión de los incentivos para trabajar, ahorrar e invertir, debido a los elevados impuestos y a los pagos abultados de transferencias- es un impedimento importante para un crecimiento más rápido de los ingresos. </w:t>
      </w:r>
    </w:p>
    <w:p w:rsidR="00BB7B36" w:rsidRDefault="00BB7B36" w:rsidP="00BB7B36">
      <w:pPr>
        <w:pStyle w:val="NormalWeb"/>
        <w:jc w:val="both"/>
      </w:pPr>
      <w:r>
        <w:t xml:space="preserve">Este simple análisis debería izar una bandera roja respecto de qué pensamos sobre las compensaciones entre dinamismo y seguridad, o crecimiento y redistribución. Después de todo, el ingreso real per cápita en Estados Unidos es aproximadamente 40% más alto que en Francia, 22% más alto que en Canadá y 31% más alto que en Gran Bretaña. </w:t>
      </w:r>
    </w:p>
    <w:p w:rsidR="00BB7B36" w:rsidRDefault="00BB7B36" w:rsidP="00BB7B36">
      <w:pPr>
        <w:pStyle w:val="NormalWeb"/>
        <w:jc w:val="both"/>
      </w:pPr>
      <w:r>
        <w:t xml:space="preserve">Las historias relativas han seguido una tendencia similar (nuevamente, están involucrados otros factores, no sólo los impuestos y el gasto). Por ejemplo, la ventaja de Estados Unidos sobre Francia se amplió del 25% al 40% desde 1980, un período en el que el porcentaje de gasto gubernamental en el PBI se estabilizó en Estados Unidos (hasta hace poco), mientras que creció sustancialmente en Francia. De la misma manera, el PBI real per cápita de Francia excedió el nivel del Reino Unido en 1980, pero fue superado en 2000 y, para 2007, estaba rezagado en un 10% con respecto al Reino Unido. Estas diferencias son el equivalente de una generación entera de progreso económico. </w:t>
      </w:r>
    </w:p>
    <w:p w:rsidR="00BB7B36" w:rsidRDefault="00BB7B36" w:rsidP="00BB7B36">
      <w:pPr>
        <w:pStyle w:val="NormalWeb"/>
        <w:jc w:val="both"/>
      </w:pPr>
      <w:r>
        <w:t xml:space="preserve">Quienes quieren controlar, reformar y reducir el gasto del gobierno parecen tener bien claro cuál es el panorama general. Es un prerrequisito para un progreso económico sustancial. Esa es la gran lección de la historia -desde las revoluciones de Reagan y Thatcher en Estados Unidos y el Reino Unido, pasando por la experiencia más reciente de Stephen Harper, hasta la repetición que David Cameron y los republicanos en el Congreso de Estados Unidos hoy intentan fraguar. </w:t>
      </w:r>
    </w:p>
    <w:p w:rsidR="00BB7B36" w:rsidRPr="00D6419E" w:rsidRDefault="00BB7B36" w:rsidP="00BB7B36">
      <w:pPr>
        <w:pStyle w:val="NormalWeb"/>
        <w:jc w:val="both"/>
        <w:rPr>
          <w:u w:val="single"/>
        </w:rPr>
      </w:pPr>
      <w:r w:rsidRPr="00D6419E">
        <w:rPr>
          <w:u w:val="single"/>
        </w:rPr>
        <w:t xml:space="preserve">Sólo el tiempo dirá si las recientes elecciones en el Reino Unido, Estados Unidos y Canadá indican un retroceso del crecimiento del estado benefactor o simplemente una tregua temporaria. Pero una comparación entre Estados Unidos, Canadá, el Reino Unido y Francia revela que lo que está en juego es inmenso. </w:t>
      </w:r>
    </w:p>
    <w:p w:rsidR="00BB7B36" w:rsidRDefault="00BB7B36" w:rsidP="00BB7B36">
      <w:pPr>
        <w:pStyle w:val="NormalWeb"/>
        <w:jc w:val="both"/>
      </w:pPr>
      <w:r>
        <w:t>(Michael Boskin, actualmente profesor de Economía en la Universidad de Stanford y miembro sénior de la Hoover Institution, fue presidente del Consejo de Asesores Económicos del presidente George H. W. Bush, 1989-1993. Copyright: Project Syndicate, 2011)</w:t>
      </w:r>
    </w:p>
    <w:p w:rsidR="00BB7B36" w:rsidRDefault="00BB7B36" w:rsidP="00BB7B36">
      <w:pPr>
        <w:pStyle w:val="NormalWeb"/>
        <w:jc w:val="both"/>
      </w:pPr>
      <w:r>
        <w:rPr>
          <w:i/>
        </w:rPr>
        <w:t>“</w:t>
      </w:r>
      <w:r w:rsidRPr="00664F02">
        <w:rPr>
          <w:i/>
        </w:rPr>
        <w:t>El control del déficit y la reducción de la deuda han sido los ejes que han marcado una política económica en la que los ajustes se extendieron a todos los países de la eurozona, con España, Italia y Portugal a la cabeza</w:t>
      </w:r>
      <w:r>
        <w:rPr>
          <w:i/>
        </w:rPr>
        <w:t xml:space="preserve">”… </w:t>
      </w:r>
      <w:r w:rsidRPr="00CF2786">
        <w:rPr>
          <w:u w:val="single"/>
        </w:rPr>
        <w:t>Apretarse el cinturón, la receta de Europa para salir de la crisis</w:t>
      </w:r>
      <w:r>
        <w:t xml:space="preserve"> (Cinco Días - </w:t>
      </w:r>
      <w:r>
        <w:rPr>
          <w:b/>
        </w:rPr>
        <w:t>31</w:t>
      </w:r>
      <w:r w:rsidRPr="00563341">
        <w:rPr>
          <w:b/>
        </w:rPr>
        <w:t>/12/11</w:t>
      </w:r>
      <w:r>
        <w:t>)</w:t>
      </w:r>
    </w:p>
    <w:p w:rsidR="00BB7B36" w:rsidRPr="00664F02" w:rsidRDefault="00BB7B36" w:rsidP="00BB7B36">
      <w:pPr>
        <w:pStyle w:val="NormalWeb"/>
        <w:jc w:val="both"/>
      </w:pPr>
      <w:r w:rsidRPr="00664F02">
        <w:t>Los recortes han sido los protagonistas del año 2011 en la zona euro. La receta para aliviar la crisis de deuda ha sido unánime: apretarse el cinturón. Y lejos de decir adiós a esta corriente, lo que queda por venir será más de lo mismo, a tenor de las últimas medidas anunciadas en España y del resultado de la tan esperada cumbre de Bruselas del pasado diciembre para refundar el euro, donde se apostó sin paños calientes por la austeridad y la disciplina fiscal, aun a pesar del riesgo colectivo de recaída en la recesión económica.</w:t>
      </w:r>
    </w:p>
    <w:p w:rsidR="00BB7B36" w:rsidRPr="00664F02" w:rsidRDefault="00BB7B36" w:rsidP="00BB7B36">
      <w:pPr>
        <w:pStyle w:val="NormalWeb"/>
        <w:jc w:val="both"/>
      </w:pPr>
      <w:r w:rsidRPr="00664F02">
        <w:lastRenderedPageBreak/>
        <w:t>Si Grecia, Irlanda y Portugal eran a comienzos de 2011 los países en el ojo del huracán, pronto se sumaron España e Italia, que por su tamaño y volumen de deuda ponían en jaque al conjunto de la zona euro. La presión se trasladó incluso a Francia, hasta el mismo corazón de Europa, y desató una corriente de reformas, centradas en el recorte de gasto, para contener el ataque a la deuda pública.</w:t>
      </w:r>
    </w:p>
    <w:p w:rsidR="00BB7B36" w:rsidRPr="00664F02" w:rsidRDefault="00BB7B36" w:rsidP="00BB7B36">
      <w:pPr>
        <w:pStyle w:val="NormalWeb"/>
        <w:jc w:val="both"/>
      </w:pPr>
      <w:r w:rsidRPr="00664F02">
        <w:t xml:space="preserve">Siguiendo la tesis de Angela Merkel, es decir, mano dura y disciplina fiscal, la última cita europea del 9 de diciembre lo dejó claro: habrá sanciones para quienes no cumplan con la regla de oro del equilibrio presupuestario. </w:t>
      </w:r>
    </w:p>
    <w:p w:rsidR="00BB7B36" w:rsidRPr="00664F02" w:rsidRDefault="00BB7B36" w:rsidP="00BB7B36">
      <w:pPr>
        <w:pStyle w:val="NormalWeb"/>
        <w:jc w:val="both"/>
      </w:pPr>
      <w:r w:rsidRPr="00664F02">
        <w:t xml:space="preserve">España. Recortes de 8.900 millones para un déficit del 8% </w:t>
      </w:r>
    </w:p>
    <w:p w:rsidR="00BB7B36" w:rsidRPr="00664F02" w:rsidRDefault="00BB7B36" w:rsidP="00BB7B36">
      <w:pPr>
        <w:pStyle w:val="NormalWeb"/>
        <w:jc w:val="both"/>
      </w:pPr>
      <w:r w:rsidRPr="00664F02">
        <w:t>El panorama que se presenta para España en los próximos meses es cuanto menos desolador. Acosado por cinco millones de parados y con la recesión a la vuelta de la esquina, el nuevo Ejecutivo de Mariano Rajoy afronta el objetivo de reducir el déficit hasta el 4,4% para 2012. Pero conseguirlo no será una tarea fácil y más tras conocerse el viernes que 2011 cerrará con una previsión de déficit del 8%, casi dos puntos más de lo estimado por el Gobierno anterior.</w:t>
      </w:r>
    </w:p>
    <w:p w:rsidR="00BB7B36" w:rsidRPr="00664F02" w:rsidRDefault="00BB7B36" w:rsidP="00BB7B36">
      <w:pPr>
        <w:pStyle w:val="NormalWeb"/>
        <w:jc w:val="both"/>
      </w:pPr>
      <w:r w:rsidRPr="00664F02">
        <w:t xml:space="preserve"> Los primeros pasos comenzaron a darse esta semana después de que el Consejo de Ministros anunciara un conjunto de recortes por valor de 8.900 millones de euros. Entre las iniciativas más importantes se encuentra además la subida del IRPF en las rentas del trabajo y del capital y del impuesto sobre bienes inmuebles, que dará ingresos de 6.200 millones de euros.</w:t>
      </w:r>
    </w:p>
    <w:p w:rsidR="00BB7B36" w:rsidRPr="00664F02" w:rsidRDefault="00BB7B36" w:rsidP="00BB7B36">
      <w:pPr>
        <w:pStyle w:val="NormalWeb"/>
        <w:jc w:val="both"/>
      </w:pPr>
      <w:r w:rsidRPr="00664F02">
        <w:t xml:space="preserve">Estas medidas contradicen las palabras de Rajoy de hace menos de una semana cuando afirmaba que no subiría los impuestos. Como complemento a la política impositiva figuran la congelación de los sueldos a los funcionarios y del salario mínimo interprofesional y la tasa de reposición cero para los funcionarios. Aun así, el Gobierno recupera el poder adquisitivo de las pensiones y prolonga la ayuda de 400 euros a los parados que agotaron la prestación. </w:t>
      </w:r>
    </w:p>
    <w:p w:rsidR="00BB7B36" w:rsidRPr="00664F02" w:rsidRDefault="00BB7B36" w:rsidP="00BB7B36">
      <w:pPr>
        <w:pStyle w:val="NormalWeb"/>
        <w:jc w:val="both"/>
      </w:pPr>
      <w:r w:rsidRPr="00664F02">
        <w:t>Pero el recorte de gasto anunciado el viernes -centrado en la Administración-, junto con la subida de impuestos, suma recursos para combatir el déficit por 15.100 millones de euros, una cuantía que se presenta como insuficiente para cumplir con el objetivo de déficit del 4,4% al cierre de 2012. Pasar del 8% actual a esa otra cifra exigiría grosso modo un recorte adicional de más de 20.000 millones de euros, teniendo en cuenta que cada décima de déficit público supone alrededor de 1.000 millones de euros.</w:t>
      </w:r>
    </w:p>
    <w:p w:rsidR="00BB7B36" w:rsidRPr="00664F02" w:rsidRDefault="00BB7B36" w:rsidP="00BB7B36">
      <w:pPr>
        <w:pStyle w:val="NormalWeb"/>
        <w:jc w:val="both"/>
      </w:pPr>
      <w:r w:rsidRPr="00664F02">
        <w:t xml:space="preserve">Portugal. Privatizaciones para liquidar el agujero presupuestario </w:t>
      </w:r>
    </w:p>
    <w:p w:rsidR="00BB7B36" w:rsidRPr="00664F02" w:rsidRDefault="00BB7B36" w:rsidP="00BB7B36">
      <w:pPr>
        <w:pStyle w:val="NormalWeb"/>
        <w:jc w:val="both"/>
      </w:pPr>
      <w:r w:rsidRPr="00664F02">
        <w:t>“Emergencia nacional”, esa es la expresión con la que el primer ministro de Portugal, Pedro Passos Coelho, definió el futuro de la economía lusa. Según las previsiones de la Comisión Europea, en 2012 se espera una contracción económica del 3% para el país vecino. Las reformas puestas en marcha por José Sócrates, que dimitió tras la imposibilidad de sacar adelante su programa de ajustes de 80.000 millones de euros, y Coelho no han sido suficientes.</w:t>
      </w:r>
    </w:p>
    <w:p w:rsidR="00BB7B36" w:rsidRPr="00664F02" w:rsidRDefault="00BB7B36" w:rsidP="00BB7B36">
      <w:pPr>
        <w:pStyle w:val="NormalWeb"/>
        <w:jc w:val="both"/>
      </w:pPr>
      <w:r w:rsidRPr="00664F02">
        <w:lastRenderedPageBreak/>
        <w:t xml:space="preserve">El pasado mes de noviembre un nuevo problema volvió a salir a flote y no ha hecho más que agravar la situación: un agujero presupuestario de 3.000 millones de euros. La consecuencia más inmediata fue un endurecimiento del programa de reformas. </w:t>
      </w:r>
    </w:p>
    <w:p w:rsidR="00BB7B36" w:rsidRPr="00664F02" w:rsidRDefault="00BB7B36" w:rsidP="00BB7B36">
      <w:pPr>
        <w:pStyle w:val="NormalWeb"/>
        <w:jc w:val="both"/>
      </w:pPr>
      <w:r w:rsidRPr="00664F02">
        <w:t xml:space="preserve">El aumento del copago sanitario, la subida del IVA hasta el 23%, la eliminación de la paga extra a los funcionarios que cobren más de 1.000 euros, el recorte del salario de los empleados del sector público en un 5%, así como el aumento de la jornada laboral en el sector privado y el abaratamiento del despido son las últimas actuaciones del Ejecutivo para intentar remediar la coyuntura. </w:t>
      </w:r>
    </w:p>
    <w:p w:rsidR="00BB7B36" w:rsidRPr="00664F02" w:rsidRDefault="00BB7B36" w:rsidP="00BB7B36">
      <w:pPr>
        <w:pStyle w:val="NormalWeb"/>
        <w:jc w:val="both"/>
      </w:pPr>
      <w:r w:rsidRPr="00664F02">
        <w:t>Una de las peticiones de la UE, el BCE y el FMI fue el desarrollo de un plan de privatizaciones en el que se incluían las eléctricas EDP y REN. Hace una semana el Estado luso y la china Three Gorges llegaron a un acuerdo que le permitirá a Portugal conseguir 2.690 millones de euros por la venta de su participación.</w:t>
      </w:r>
    </w:p>
    <w:p w:rsidR="00BB7B36" w:rsidRPr="00664F02" w:rsidRDefault="00BB7B36" w:rsidP="00BB7B36">
      <w:pPr>
        <w:pStyle w:val="NormalWeb"/>
        <w:jc w:val="both"/>
      </w:pPr>
      <w:r w:rsidRPr="00664F02">
        <w:t xml:space="preserve">Italia. Acosada por una deuda equivalente al 120% del PIB </w:t>
      </w:r>
    </w:p>
    <w:p w:rsidR="00BB7B36" w:rsidRPr="00664F02" w:rsidRDefault="00BB7B36" w:rsidP="00BB7B36">
      <w:pPr>
        <w:pStyle w:val="NormalWeb"/>
        <w:jc w:val="both"/>
      </w:pPr>
      <w:r w:rsidRPr="00664F02">
        <w:t>El pasado 22 de diciembre el Senado italiano dio luz verde al plan de ajuste presentado por Mario Monti. Días antes la Cámara de los Diputados había dicho sí a un programa que pretende ahorrar 30.000 millones de euros hasta 2014, 12.000 de ellos procederán de la reducción del gasto público y 18.000 millones, de la recaudación.</w:t>
      </w:r>
    </w:p>
    <w:p w:rsidR="00BB7B36" w:rsidRPr="00664F02" w:rsidRDefault="00BB7B36" w:rsidP="00BB7B36">
      <w:pPr>
        <w:pStyle w:val="NormalWeb"/>
        <w:jc w:val="both"/>
      </w:pPr>
      <w:r w:rsidRPr="00664F02">
        <w:t xml:space="preserve">Dos meses antes la mala gestión económica desarrollada por el ex primer ministro, Silvio Berlusconi, y la presión insoportable sobre la prima de riesgo explotó hasta acabar forzando la dimisión de Il Cavaliere. A partir de entonces, el Ejecutivo tecnócrata de Monti pasó a ser el encargado de reconducir la situación de un país que acumula una deuda equivalente al 120% del PIB y que se ha asomado peligrosamente al abismo del impago. Pero las expectativas levantadas por el cambio de Gobierno no han servido para calmar la situación de un país que en 2012 tendrá que hacer frente a unos vencimientos de deuda pública de 202.000 millones de euros, 53.000 millones solo en el primer trimestre. Reflejo de este desafío es el nivel de la prima de riego italiana, que cierra el año por encima de los 500 puntos básicos, y del bono a 10 años, en el 7%. </w:t>
      </w:r>
    </w:p>
    <w:p w:rsidR="00BB7B36" w:rsidRPr="00664F02" w:rsidRDefault="00BB7B36" w:rsidP="00BB7B36">
      <w:pPr>
        <w:pStyle w:val="NormalWeb"/>
        <w:jc w:val="both"/>
      </w:pPr>
      <w:r w:rsidRPr="00664F02">
        <w:t xml:space="preserve">La solución pasa de momento por un retraso de la edad de jubilación, la reintroducción del impuesto de bienes inmuebles sobre la primera vivienda, la subida del IVA, la congelación de las pensiones y una tasa del 0,4% para los capitales evadidos. El primer ministro italiano ha lamentado el incremento impositivo, pero reconoce que “sin disciplina fiscal no hay crecimiento”. </w:t>
      </w:r>
    </w:p>
    <w:p w:rsidR="00BB7B36" w:rsidRPr="00664F02" w:rsidRDefault="00BB7B36" w:rsidP="00BB7B36">
      <w:pPr>
        <w:pStyle w:val="NormalWeb"/>
        <w:jc w:val="both"/>
      </w:pPr>
      <w:r w:rsidRPr="00664F02">
        <w:t xml:space="preserve">Irlanda. Las ventajas de una economía abierta </w:t>
      </w:r>
    </w:p>
    <w:p w:rsidR="00BB7B36" w:rsidRPr="00664F02" w:rsidRDefault="00BB7B36" w:rsidP="00BB7B36">
      <w:pPr>
        <w:pStyle w:val="NormalWeb"/>
        <w:jc w:val="both"/>
      </w:pPr>
      <w:r w:rsidRPr="00664F02">
        <w:t>Irlanda es la excepción dentro del mapa de los países rescatados. Un año después de ser intervenida ha conseguido distanciarse del camino abierto por Grecia y retorna a la senda del crecimiento. Se espera que cierre el año con un aumento del PIB del 1% gracias a la apertura al exterior y el atractivo que representa para muchas empresas su exiguo impuesto de sociedades.</w:t>
      </w:r>
    </w:p>
    <w:p w:rsidR="00BB7B36" w:rsidRPr="00664F02" w:rsidRDefault="00BB7B36" w:rsidP="00BB7B36">
      <w:pPr>
        <w:pStyle w:val="NormalWeb"/>
        <w:jc w:val="both"/>
      </w:pPr>
      <w:r w:rsidRPr="00664F02">
        <w:t xml:space="preserve">Pero este progreso no ha eximido ni mucho menos al Ejecutivo de aprobar nuevos recortes. Además del exigido por la UE y el FMI para la recepción de una ayuda por </w:t>
      </w:r>
      <w:r w:rsidRPr="00664F02">
        <w:lastRenderedPageBreak/>
        <w:t xml:space="preserve">85.000 millones de euros, a comienzos de diciembre Irlanda anunció un nuevo plan de austeridad para recaudar 1.400 millones el próximo año. </w:t>
      </w:r>
    </w:p>
    <w:p w:rsidR="00BB7B36" w:rsidRPr="00664F02" w:rsidRDefault="00BB7B36" w:rsidP="00BB7B36">
      <w:pPr>
        <w:pStyle w:val="NormalWeb"/>
        <w:jc w:val="both"/>
      </w:pPr>
      <w:r w:rsidRPr="00664F02">
        <w:t xml:space="preserve">La fórmula elegida pasa a ser la misma que las emprendidas en otros casos, es decir, recortes sociales que se añaden a la rebaja del gasto en infraestructuras. </w:t>
      </w:r>
    </w:p>
    <w:p w:rsidR="00BB7B36" w:rsidRPr="00664F02" w:rsidRDefault="00BB7B36" w:rsidP="00BB7B36">
      <w:pPr>
        <w:pStyle w:val="NormalWeb"/>
        <w:jc w:val="both"/>
      </w:pPr>
      <w:r w:rsidRPr="00664F02">
        <w:t>En noviembre de 2010 la difícil situación que vivía la banca por el elevado endeudamiento que trajo consigo el estallido de la burbuja inmobiliaria fue la chispa que encendió la mecha. El país que dirigía Brian Cowen pasaba a ser el segundo intervenido y tendría que afrontar un duro plan de ajuste. Ese programa de reformas incluía el despido de 24.750 funcionarios, el endurecimiento del sistema impositivo y el retorno del IVA a niveles de 2006.</w:t>
      </w:r>
    </w:p>
    <w:p w:rsidR="00BB7B36" w:rsidRPr="00664F02" w:rsidRDefault="00BB7B36" w:rsidP="00BB7B36">
      <w:pPr>
        <w:pStyle w:val="NormalWeb"/>
        <w:jc w:val="both"/>
      </w:pPr>
      <w:r w:rsidRPr="00664F02">
        <w:t xml:space="preserve">El impuesto de sociedades que tantos beneficios reporta a Irlanda permaneció inalterado a pesar de las constantes presiones de Bruselas y el recelo de algunos países como Francia que lo tachan de competencia desleal. A día de hoy permanece en el 12,5%, pero se verá amenazado por el proyecto de convergencia fiscal por el que aboga Angela Merkel. </w:t>
      </w:r>
    </w:p>
    <w:p w:rsidR="00BB7B36" w:rsidRPr="00664F02" w:rsidRDefault="00BB7B36" w:rsidP="00BB7B36">
      <w:pPr>
        <w:pStyle w:val="NormalWeb"/>
        <w:jc w:val="both"/>
      </w:pPr>
      <w:r w:rsidRPr="00664F02">
        <w:t>Francia. Austeridad presupuestaria para conservar la triple A</w:t>
      </w:r>
    </w:p>
    <w:p w:rsidR="00BB7B36" w:rsidRPr="00664F02" w:rsidRDefault="00BB7B36" w:rsidP="00BB7B36">
      <w:pPr>
        <w:pStyle w:val="NormalWeb"/>
        <w:jc w:val="both"/>
      </w:pPr>
      <w:r w:rsidRPr="00664F02">
        <w:t>Los problemas económicos y la elevada exposición a la deuda italiana y griega pasan factura a la economía francesa. La prueba más fehaciente son las sucesivas advertencias recibidas por las agencias de calificación. La última de ellas, Fitch, que advirtió del peligro cada vez más inminente de la pérdida de la triple A.</w:t>
      </w:r>
    </w:p>
    <w:p w:rsidR="00BB7B36" w:rsidRPr="00664F02" w:rsidRDefault="00BB7B36" w:rsidP="00BB7B36">
      <w:pPr>
        <w:pStyle w:val="NormalWeb"/>
        <w:jc w:val="both"/>
      </w:pPr>
      <w:r w:rsidRPr="00664F02">
        <w:t>Pero Nicolas Sarkozy no se da por vencido. Tras anunciar un plan de ajuste en agosto con el que recaudar 12.000 millones de euros en dos años, en noviembre, el ministro de Finanzas, François Fillon, anunció una segunda oleada de recortes. Esta vez el gasto se reduciría en 8.000 millones gracias a la subida del IVA, el impuesto de sociedades y el paso de la tijera por el sistema de la seguridad social. El próximo año 2012 parece que seguirá la misma tendencia, pues, según lo señalado por Fillon, los presupuestos serán uno de los más austeros desde el final de la Segunda Guerra Mundial. Y Bruselas estima un crecimiento inferior al 1%.</w:t>
      </w:r>
    </w:p>
    <w:p w:rsidR="00BB7B36" w:rsidRPr="007D1C98" w:rsidRDefault="00BB7B36" w:rsidP="00BB7B36">
      <w:pPr>
        <w:pStyle w:val="NormalWeb"/>
        <w:jc w:val="both"/>
        <w:rPr>
          <w:b/>
        </w:rPr>
      </w:pPr>
      <w:r>
        <w:rPr>
          <w:b/>
        </w:rPr>
        <w:t>1.6 - El eclipse de la razón (</w:t>
      </w:r>
      <w:r w:rsidRPr="007D1C98">
        <w:rPr>
          <w:b/>
        </w:rPr>
        <w:t>…y la ignorancia obstinada es ideología)</w:t>
      </w:r>
    </w:p>
    <w:p w:rsidR="00BB7B36" w:rsidRPr="001C1A8B" w:rsidRDefault="00BB7B36" w:rsidP="00BB7B36">
      <w:pPr>
        <w:spacing w:line="240" w:lineRule="auto"/>
        <w:jc w:val="both"/>
        <w:rPr>
          <w:rFonts w:ascii="Times New Roman" w:eastAsia="Times New Roman" w:hAnsi="Times New Roman"/>
          <w:sz w:val="24"/>
          <w:szCs w:val="24"/>
          <w:lang w:eastAsia="es-ES"/>
        </w:rPr>
      </w:pPr>
      <w:r w:rsidRPr="001C1A8B">
        <w:rPr>
          <w:rFonts w:ascii="Times New Roman" w:eastAsia="Times New Roman" w:hAnsi="Times New Roman"/>
          <w:i/>
          <w:sz w:val="24"/>
          <w:szCs w:val="24"/>
          <w:lang w:eastAsia="es-ES"/>
        </w:rPr>
        <w:t>“Sin duda, la Segunda Gran Recesión -el nombre que damos a la crisis financiera que a finales de la década pasada se propagó prácticamente por todo el mundo- tendrá un profundo efecto sobre la economía, en particular sobre el estudio de las relaciones entre mercados financieros y economía real”...</w:t>
      </w:r>
      <w:r w:rsidRPr="001C1A8B">
        <w:rPr>
          <w:rFonts w:ascii="Times New Roman" w:eastAsia="Times New Roman" w:hAnsi="Times New Roman"/>
          <w:sz w:val="24"/>
          <w:szCs w:val="24"/>
          <w:lang w:eastAsia="es-ES"/>
        </w:rPr>
        <w:t xml:space="preserve"> (Carmen Reinhart y Kenneth Rogoff, autores del libro “Esta vez es distinto” </w:t>
      </w:r>
      <w:r>
        <w:rPr>
          <w:rFonts w:ascii="Times New Roman" w:eastAsia="Times New Roman" w:hAnsi="Times New Roman"/>
          <w:sz w:val="24"/>
          <w:szCs w:val="24"/>
          <w:lang w:eastAsia="es-ES"/>
        </w:rPr>
        <w:t>-</w:t>
      </w:r>
      <w:r w:rsidRPr="001C1A8B">
        <w:rPr>
          <w:rFonts w:ascii="Times New Roman" w:eastAsia="Times New Roman" w:hAnsi="Times New Roman"/>
          <w:sz w:val="24"/>
          <w:szCs w:val="24"/>
          <w:lang w:eastAsia="es-ES"/>
        </w:rPr>
        <w:t xml:space="preserve"> El País </w:t>
      </w:r>
      <w:r>
        <w:rPr>
          <w:rFonts w:ascii="Times New Roman" w:eastAsia="Times New Roman" w:hAnsi="Times New Roman"/>
          <w:sz w:val="24"/>
          <w:szCs w:val="24"/>
          <w:lang w:eastAsia="es-ES"/>
        </w:rPr>
        <w:t>-</w:t>
      </w:r>
      <w:r w:rsidRPr="001C1A8B">
        <w:rPr>
          <w:rFonts w:ascii="Times New Roman" w:eastAsia="Times New Roman" w:hAnsi="Times New Roman"/>
          <w:sz w:val="24"/>
          <w:szCs w:val="24"/>
          <w:lang w:eastAsia="es-ES"/>
        </w:rPr>
        <w:t xml:space="preserve"> </w:t>
      </w:r>
      <w:r w:rsidRPr="001C1A8B">
        <w:rPr>
          <w:rFonts w:ascii="Times New Roman" w:eastAsia="Times New Roman" w:hAnsi="Times New Roman"/>
          <w:b/>
          <w:sz w:val="24"/>
          <w:szCs w:val="24"/>
          <w:lang w:eastAsia="es-ES"/>
        </w:rPr>
        <w:t>5/6/11</w:t>
      </w:r>
      <w:r w:rsidRPr="001C1A8B">
        <w:rPr>
          <w:rFonts w:ascii="Times New Roman" w:eastAsia="Times New Roman" w:hAnsi="Times New Roman"/>
          <w:sz w:val="24"/>
          <w:szCs w:val="24"/>
          <w:lang w:eastAsia="es-ES"/>
        </w:rPr>
        <w:t>)</w:t>
      </w:r>
    </w:p>
    <w:p w:rsidR="00BB7B36" w:rsidRPr="006E0FB4" w:rsidRDefault="00BB7B36" w:rsidP="00BB7B36">
      <w:pPr>
        <w:spacing w:after="0" w:line="240" w:lineRule="auto"/>
        <w:jc w:val="both"/>
        <w:rPr>
          <w:rFonts w:ascii="Times New Roman" w:hAnsi="Times New Roman"/>
          <w:i/>
          <w:sz w:val="24"/>
          <w:szCs w:val="24"/>
        </w:rPr>
      </w:pPr>
      <w:r>
        <w:rPr>
          <w:rFonts w:ascii="Times New Roman" w:hAnsi="Times New Roman"/>
          <w:i/>
          <w:sz w:val="24"/>
          <w:szCs w:val="24"/>
        </w:rPr>
        <w:t>“</w:t>
      </w:r>
      <w:r w:rsidRPr="006E0FB4">
        <w:rPr>
          <w:rFonts w:ascii="Times New Roman" w:hAnsi="Times New Roman"/>
          <w:i/>
          <w:sz w:val="24"/>
          <w:szCs w:val="24"/>
        </w:rPr>
        <w:t xml:space="preserve">Toda sociedad se aferra a un mito y vive por él. El nuestro es el del crecimiento económico. Las últimas cinco décadas la persecución del crecimiento ha sido el más importante de los objetivos políticos en el mundo. La economía global tiene cinco veces el tamaño de hace medio siglo. Si continúa creciendo al mismo ritmo, será 80 veces en el año 2100. Este extraordinario salto de la actividad económica global no tiene precedentes en la historia. Y es algo que no puede estar más en desacuerdo con la base de recursos finitos y frágil equilibrio ecológico del que depende para su supervivencia. </w:t>
      </w:r>
      <w:r w:rsidRPr="006E0FB4">
        <w:rPr>
          <w:rFonts w:ascii="Times New Roman" w:hAnsi="Times New Roman"/>
          <w:i/>
          <w:sz w:val="24"/>
          <w:szCs w:val="24"/>
        </w:rPr>
        <w:lastRenderedPageBreak/>
        <w:t>Y ya ha venido acompañado de una degradación estimada de un 60% de los ecosistemas del mundo.</w:t>
      </w:r>
    </w:p>
    <w:p w:rsidR="00BB7B36" w:rsidRPr="006E0FB4" w:rsidRDefault="00BB7B36" w:rsidP="00BB7B36">
      <w:pPr>
        <w:spacing w:after="0" w:line="240" w:lineRule="auto"/>
        <w:jc w:val="both"/>
        <w:rPr>
          <w:rFonts w:ascii="Times New Roman" w:hAnsi="Times New Roman"/>
          <w:i/>
          <w:sz w:val="24"/>
          <w:szCs w:val="24"/>
        </w:rPr>
      </w:pPr>
    </w:p>
    <w:p w:rsidR="00BB7B36" w:rsidRPr="006E0FB4" w:rsidRDefault="00BB7B36" w:rsidP="00BB7B36">
      <w:pPr>
        <w:spacing w:after="0" w:line="240" w:lineRule="auto"/>
        <w:jc w:val="both"/>
        <w:rPr>
          <w:rFonts w:ascii="Times New Roman" w:hAnsi="Times New Roman"/>
          <w:i/>
          <w:sz w:val="24"/>
          <w:szCs w:val="24"/>
        </w:rPr>
      </w:pPr>
      <w:r w:rsidRPr="006E0FB4">
        <w:rPr>
          <w:rFonts w:ascii="Times New Roman" w:hAnsi="Times New Roman"/>
          <w:i/>
          <w:sz w:val="24"/>
          <w:szCs w:val="24"/>
        </w:rPr>
        <w:t>La mayor parte del tiempo, evitamos la realidad de estos números. El crecimien</w:t>
      </w:r>
      <w:r>
        <w:rPr>
          <w:rFonts w:ascii="Times New Roman" w:hAnsi="Times New Roman"/>
          <w:i/>
          <w:sz w:val="24"/>
          <w:szCs w:val="24"/>
        </w:rPr>
        <w:t>to debe continuar, insistimos. “</w:t>
      </w:r>
      <w:r w:rsidRPr="006E0FB4">
        <w:rPr>
          <w:rFonts w:ascii="Times New Roman" w:hAnsi="Times New Roman"/>
          <w:i/>
          <w:sz w:val="24"/>
          <w:szCs w:val="24"/>
        </w:rPr>
        <w:t>¡Acumulad!, ¡acumulad!, es lo que di</w:t>
      </w:r>
      <w:r>
        <w:rPr>
          <w:rFonts w:ascii="Times New Roman" w:hAnsi="Times New Roman"/>
          <w:i/>
          <w:sz w:val="24"/>
          <w:szCs w:val="24"/>
        </w:rPr>
        <w:t>cen Moisés y todos los profetas”</w:t>
      </w:r>
      <w:r w:rsidRPr="006E0FB4">
        <w:rPr>
          <w:rFonts w:ascii="Times New Roman" w:hAnsi="Times New Roman"/>
          <w:i/>
          <w:sz w:val="24"/>
          <w:szCs w:val="24"/>
        </w:rPr>
        <w:t>, como dijo Karl Marx… Las razones por esta ceguera colectiva son fáciles de encontrar. El capitalismo occidental se basa de forma estructural en el crecimiento para su estabilidad. Cuando la expansión se tambalea, como ha pasado recientemente, los políticos entran en pánico. Los negocios batallan por sobrevivir. La gente pierde sus trabajos y en ocasiones sus viviendas. La espiral de la recesión es una amenaza. Cuestionar el crecimiento se toma como un acto de lunáticos, idealistas y revolucionarios.</w:t>
      </w:r>
    </w:p>
    <w:p w:rsidR="00BB7B36" w:rsidRPr="006E0FB4" w:rsidRDefault="00BB7B36" w:rsidP="00BB7B36">
      <w:pPr>
        <w:spacing w:after="0" w:line="240" w:lineRule="auto"/>
        <w:jc w:val="both"/>
        <w:rPr>
          <w:rFonts w:ascii="Times New Roman" w:hAnsi="Times New Roman"/>
          <w:i/>
          <w:sz w:val="24"/>
          <w:szCs w:val="24"/>
        </w:rPr>
      </w:pPr>
    </w:p>
    <w:p w:rsidR="00BB7B36" w:rsidRPr="00EA3637" w:rsidRDefault="00BB7B36" w:rsidP="00BB7B36">
      <w:pPr>
        <w:spacing w:after="0" w:line="240" w:lineRule="auto"/>
        <w:jc w:val="both"/>
        <w:rPr>
          <w:rFonts w:ascii="Times New Roman" w:hAnsi="Times New Roman"/>
          <w:sz w:val="24"/>
          <w:szCs w:val="24"/>
        </w:rPr>
      </w:pPr>
      <w:r w:rsidRPr="006E0FB4">
        <w:rPr>
          <w:rFonts w:ascii="Times New Roman" w:hAnsi="Times New Roman"/>
          <w:i/>
          <w:sz w:val="24"/>
          <w:szCs w:val="24"/>
        </w:rPr>
        <w:t xml:space="preserve">Ahora, cuestionarlo es un deber. El mito del crecimiento infinito ha fracasado, ha fracasado para 2.000 millones de personas que viven con menos de US$2 al día. Ha fracasado para el frágil sistema ecológico de cuya supervivencia depende. Ha fracasado, espectacularmente, en sus propios términos, para proveer estabilidad económica y asegurar la vida de las personas. La prosperidad para unos pocos, basada en la destrucción medioambiental y la persistente injusticia social, no es fundamento para una sociedad civilizada”… </w:t>
      </w:r>
      <w:r>
        <w:rPr>
          <w:rFonts w:ascii="Times New Roman" w:hAnsi="Times New Roman"/>
          <w:sz w:val="24"/>
          <w:szCs w:val="24"/>
        </w:rPr>
        <w:t>“</w:t>
      </w:r>
      <w:r w:rsidRPr="00EA3637">
        <w:rPr>
          <w:rFonts w:ascii="Times New Roman" w:hAnsi="Times New Roman"/>
          <w:sz w:val="24"/>
          <w:szCs w:val="24"/>
          <w:u w:val="single"/>
        </w:rPr>
        <w:t>El mito del crecimiento e</w:t>
      </w:r>
      <w:r>
        <w:rPr>
          <w:rFonts w:ascii="Times New Roman" w:hAnsi="Times New Roman"/>
          <w:sz w:val="24"/>
          <w:szCs w:val="24"/>
          <w:u w:val="single"/>
        </w:rPr>
        <w:t>conómico infinito es un fracaso”</w:t>
      </w:r>
      <w:r>
        <w:rPr>
          <w:rFonts w:ascii="Times New Roman" w:hAnsi="Times New Roman"/>
          <w:sz w:val="24"/>
          <w:szCs w:val="24"/>
        </w:rPr>
        <w:t xml:space="preserve"> (Tim Jackson - Universidad de Surrey - BBCMundo - </w:t>
      </w:r>
      <w:r w:rsidRPr="00EA3637">
        <w:rPr>
          <w:rFonts w:ascii="Times New Roman" w:hAnsi="Times New Roman"/>
          <w:b/>
          <w:sz w:val="24"/>
          <w:szCs w:val="24"/>
        </w:rPr>
        <w:t>29/9/11</w:t>
      </w:r>
      <w:r>
        <w:rPr>
          <w:rFonts w:ascii="Times New Roman" w:hAnsi="Times New Roman"/>
          <w:sz w:val="24"/>
          <w:szCs w:val="24"/>
        </w:rPr>
        <w:t>)</w:t>
      </w:r>
    </w:p>
    <w:p w:rsidR="00BB7B36" w:rsidRPr="00F430DC" w:rsidRDefault="00BB7B36" w:rsidP="00BB7B36">
      <w:pPr>
        <w:pStyle w:val="NormalWeb"/>
        <w:jc w:val="both"/>
        <w:rPr>
          <w:i/>
        </w:rPr>
      </w:pPr>
      <w:r>
        <w:rPr>
          <w:i/>
        </w:rPr>
        <w:t>“</w:t>
      </w:r>
      <w:r w:rsidRPr="00F430DC">
        <w:rPr>
          <w:i/>
        </w:rPr>
        <w:t xml:space="preserve">Pensar es aprender de nuevo a ver, dirigir la propia conciencia, hacer de cada imagen un lugar privilegiado. No queremos ver más allá de nuestra necesidad inmediata, como solucionarla, sin meditar las consecuencias. Consecuencias a menudo desconocidas porque nos hemos negado a aprender, a asimilar conocimientos existentes, experiencias vividas, a sacar lógicas conclusiones y a actuar al calor de ellas. Es significativo que el pensamiento de nuestra época sea a la vez uno de los más impregnados de una filosofía de la no significación del mundo y uno de los más desgarrados en sus conclusiones. Desgarro producido por esa incapacidad de la sociedad en encontrar su camino. </w:t>
      </w:r>
    </w:p>
    <w:p w:rsidR="00BB7B36" w:rsidRPr="00F430DC" w:rsidRDefault="00BB7B36" w:rsidP="00BB7B36">
      <w:pPr>
        <w:pStyle w:val="NormalWeb"/>
        <w:jc w:val="both"/>
        <w:rPr>
          <w:i/>
        </w:rPr>
      </w:pPr>
      <w:r w:rsidRPr="00F430DC">
        <w:rPr>
          <w:i/>
        </w:rPr>
        <w:t xml:space="preserve">Es de nuevo el mito de Sísifo. El legendario rey condenado a subir la empinada ladera del monte, empujando cuesta arriba con sudor y sufrimiento permanente el pesado pedrusco, el cual acababa rodando de vuelta hasta el llano antes de alcanzar la cumbre. No tenía más remedio que hacerlo remontar una y otra vez, para volverse a despeñar siempre, una vez tras otra, hasta el fin de los tiempos. Tiempos finales a los que nos vamos aproximando cada vez más rápidamente con cada escalada. </w:t>
      </w:r>
    </w:p>
    <w:p w:rsidR="00BB7B36" w:rsidRPr="00F430DC" w:rsidRDefault="00BB7B36" w:rsidP="00BB7B36">
      <w:pPr>
        <w:pStyle w:val="NormalWeb"/>
        <w:jc w:val="both"/>
        <w:rPr>
          <w:i/>
        </w:rPr>
      </w:pPr>
      <w:r w:rsidRPr="00F430DC">
        <w:rPr>
          <w:i/>
        </w:rPr>
        <w:t>No hay castigo más terrible que el trabajo inútil y sin esperanza. Una parábola de esta sociedad absurda donde vivimos para trabajar, incapaces de trabajar para vivir, y menos para gozar. Donde el objetivo es producir más, a menudo no mejor, acumular más bienes absurdos y consumir absurdamente cultura basura, tanto o más que comida basura u ocio basura, sin más placer que la mera engullición y el disfrute basura.</w:t>
      </w:r>
    </w:p>
    <w:p w:rsidR="00BB7B36" w:rsidRDefault="00BB7B36" w:rsidP="00BB7B36">
      <w:pPr>
        <w:pStyle w:val="NormalWeb"/>
        <w:jc w:val="both"/>
      </w:pPr>
      <w:r w:rsidRPr="00F430DC">
        <w:rPr>
          <w:i/>
        </w:rPr>
        <w:t xml:space="preserve">Tengo, pues, mis motivos para decir que el sentimiento de lo absurdo no nace del simple examen de un hecho o de una impresión, sino que brota de la comparación entre un estado de hecho y cierta realidad, entre una acción y el mundo que la supera. Lo absurdo es esencialmente un divorcio entre nuestros actos y sus consecuencias, entre lo que nos gustaría y lo que nos ocurre, entre el pensamiento económico que parece y no </w:t>
      </w:r>
      <w:r w:rsidRPr="00F430DC">
        <w:rPr>
          <w:i/>
        </w:rPr>
        <w:lastRenderedPageBreak/>
        <w:t>es, y el que debería ser</w:t>
      </w:r>
      <w:r>
        <w:rPr>
          <w:i/>
        </w:rPr>
        <w:t>”..</w:t>
      </w:r>
      <w:r w:rsidRPr="00F430DC">
        <w:rPr>
          <w:i/>
        </w:rPr>
        <w:t>.</w:t>
      </w:r>
      <w:r>
        <w:rPr>
          <w:i/>
        </w:rPr>
        <w:t xml:space="preserve"> </w:t>
      </w:r>
      <w:r w:rsidRPr="00C44236">
        <w:rPr>
          <w:u w:val="single"/>
        </w:rPr>
        <w:t>El suicidio filosófico de la economía según Camus</w:t>
      </w:r>
      <w:r>
        <w:t xml:space="preserve"> (</w:t>
      </w:r>
      <w:r>
        <w:rPr>
          <w:rStyle w:val="firma-negra-grande-sin"/>
        </w:rPr>
        <w:t>José M. de la Viña</w:t>
      </w:r>
      <w:r>
        <w:t xml:space="preserve"> - El Confidencial - </w:t>
      </w:r>
      <w:r w:rsidRPr="00C44236">
        <w:rPr>
          <w:b/>
        </w:rPr>
        <w:t>10/11/11</w:t>
      </w:r>
      <w:r>
        <w:t>)</w:t>
      </w:r>
    </w:p>
    <w:p w:rsidR="00BB7B36" w:rsidRDefault="00BB7B36" w:rsidP="00BB7B36">
      <w:pPr>
        <w:pStyle w:val="NormalWeb"/>
        <w:jc w:val="both"/>
      </w:pPr>
      <w:r>
        <w:rPr>
          <w:rFonts w:ascii="Arial" w:hAnsi="Arial" w:cs="Arial"/>
          <w:noProof/>
          <w:color w:val="242424"/>
          <w:sz w:val="18"/>
          <w:szCs w:val="18"/>
        </w:rPr>
        <w:drawing>
          <wp:inline distT="0" distB="0" distL="0" distR="0" wp14:anchorId="64ABD022" wp14:editId="2E5C8EC8">
            <wp:extent cx="5391302" cy="2735884"/>
            <wp:effectExtent l="0" t="0" r="0" b="7620"/>
            <wp:docPr id="459" name="Imagen 459" descr="http://www.ecestaticos.com/imagestatic/clipping/852/0f4/bbb/8520f4bbb4ab29939d77615ebc5fc8b1.jpg?mtime=1380907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estaticos.com/imagestatic/clipping/852/0f4/bbb/8520f4bbb4ab29939d77615ebc5fc8b1.jpg?mtime=138090793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00040" cy="2740318"/>
                    </a:xfrm>
                    <a:prstGeom prst="rect">
                      <a:avLst/>
                    </a:prstGeom>
                    <a:noFill/>
                    <a:ln>
                      <a:noFill/>
                    </a:ln>
                  </pic:spPr>
                </pic:pic>
              </a:graphicData>
            </a:graphic>
          </wp:inline>
        </w:drawing>
      </w:r>
    </w:p>
    <w:p w:rsidR="00BB7B36" w:rsidRDefault="00BB7B36" w:rsidP="00BB7B36">
      <w:pPr>
        <w:pStyle w:val="NormalWeb"/>
        <w:jc w:val="both"/>
        <w:rPr>
          <w:b/>
        </w:rPr>
      </w:pPr>
      <w:r>
        <w:rPr>
          <w:b/>
        </w:rPr>
        <w:t>Recordando a Pablo Neruda podría decirles que: “puedo</w:t>
      </w:r>
      <w:r w:rsidRPr="00C506AE">
        <w:rPr>
          <w:b/>
        </w:rPr>
        <w:t xml:space="preserve"> escribir los versos más tristes esta noche</w:t>
      </w:r>
      <w:r>
        <w:rPr>
          <w:b/>
        </w:rPr>
        <w:t>”</w:t>
      </w:r>
      <w:r w:rsidRPr="00C506AE">
        <w:rPr>
          <w:b/>
        </w:rPr>
        <w:t>.</w:t>
      </w:r>
    </w:p>
    <w:p w:rsidR="00BB7B36" w:rsidRDefault="00BB7B36" w:rsidP="00BB7B36">
      <w:pPr>
        <w:pStyle w:val="NormalWeb"/>
        <w:jc w:val="both"/>
        <w:rPr>
          <w:b/>
        </w:rPr>
      </w:pPr>
      <w:r>
        <w:rPr>
          <w:b/>
        </w:rPr>
        <w:t>Si algo “envidiaba” de Europa, hace, tal vez, cuarenta años (cuando aún vivía en la lejana, remota, falaz</w:t>
      </w:r>
      <w:r w:rsidR="007E428E">
        <w:rPr>
          <w:b/>
        </w:rPr>
        <w:t>,</w:t>
      </w:r>
      <w:r>
        <w:rPr>
          <w:b/>
        </w:rPr>
        <w:t xml:space="preserve"> y fugaz Argentina, era su “socialdemocracia”, su “estado del bienestar”, su justa y razonable “distribución de las riquezas”, su “equilibrio social”, su “igualdad de oportunidades”, su “paz social”…</w:t>
      </w:r>
    </w:p>
    <w:p w:rsidR="00BB7B36" w:rsidRDefault="00BB7B36" w:rsidP="00BB7B36">
      <w:pPr>
        <w:pStyle w:val="NormalWeb"/>
        <w:jc w:val="both"/>
        <w:rPr>
          <w:b/>
        </w:rPr>
      </w:pPr>
      <w:r>
        <w:rPr>
          <w:b/>
        </w:rPr>
        <w:t>Si algo me “inspiró a emigrar” a Europa (exilio voluntario), hace ya veinticinco años, fue ese modelo de socialdemocracia, comunitario, responsable, participativo,  amplio, generoso, solidario, equilibrado, incluyente, redistributivo, ético, justo… donde deseaba ver crecer a mis hijas y ver nacer a mis nietos, en un espacio de unión económica con un desarrollo armónico, previsible y sostenible…</w:t>
      </w:r>
    </w:p>
    <w:p w:rsidR="00BB7B36" w:rsidRDefault="00BB7B36" w:rsidP="00BB7B36">
      <w:pPr>
        <w:pStyle w:val="NormalWeb"/>
        <w:jc w:val="both"/>
        <w:rPr>
          <w:b/>
        </w:rPr>
      </w:pPr>
      <w:r>
        <w:rPr>
          <w:b/>
        </w:rPr>
        <w:t>Creía haber visto el futuro, y que funcionaba. Estaba en el corazón de la vieja Europa.</w:t>
      </w:r>
    </w:p>
    <w:p w:rsidR="00BB7B36" w:rsidRDefault="00BB7B36" w:rsidP="00BB7B36">
      <w:pPr>
        <w:pStyle w:val="NormalWeb"/>
        <w:jc w:val="both"/>
        <w:rPr>
          <w:b/>
        </w:rPr>
      </w:pPr>
      <w:r>
        <w:rPr>
          <w:b/>
        </w:rPr>
        <w:t>Que equívoco más grande. Hoy (octubre 2013) el sueño europeo se ha transformado en una pesadilla (desastre económico) y el despertar, en un infierno (catástrofe social). El sufrimiento humano derivado de la crisis es tanto o mayor que en los Estados Unidos, donde nunca existió (ni se le espera) un estado del bienestar equivalente. Hoy</w:t>
      </w:r>
      <w:r w:rsidR="007E428E">
        <w:rPr>
          <w:b/>
        </w:rPr>
        <w:t>.</w:t>
      </w:r>
      <w:r>
        <w:rPr>
          <w:b/>
        </w:rPr>
        <w:t xml:space="preserve"> al riesgo de colapso, podemos agregar un desastre impecable. Más que un proyecto acabado de Unión, podemos decir (con gran dolor), que estamos presenciando el final anunciado de un proyecto comunitario.  </w:t>
      </w:r>
    </w:p>
    <w:p w:rsidR="00BB7B36" w:rsidRDefault="00BB7B36" w:rsidP="00BB7B36">
      <w:pPr>
        <w:pStyle w:val="NormalWeb"/>
        <w:jc w:val="both"/>
        <w:rPr>
          <w:b/>
        </w:rPr>
      </w:pPr>
      <w:r>
        <w:rPr>
          <w:b/>
        </w:rPr>
        <w:t xml:space="preserve">Todo eso ha quedado barrido por el tsunami de la mayor crisis económico-financiera vivida por EEUU, con réplica en Europa, desde los años 30. Ahora (seis años después del inicio de la depresión) estamos viviendo la post guerra de una guerra librada con armas financieras de destrucción masiva, disparadas desde frentes instalados en lujosos despachos de bancos, agencias bursátiles, fondos de </w:t>
      </w:r>
      <w:r>
        <w:rPr>
          <w:b/>
        </w:rPr>
        <w:lastRenderedPageBreak/>
        <w:t>inversión, fondos de cobertura,… por audaces aventureros especulativos, que han utilizado el capital de los ahorristas desprevenidos e incautos, para abatirlos con su propio fuego.</w:t>
      </w:r>
    </w:p>
    <w:p w:rsidR="00BB7B36" w:rsidRPr="003D4FEA" w:rsidRDefault="00BB7B36" w:rsidP="00BB7B36">
      <w:pPr>
        <w:pStyle w:val="NormalWeb"/>
        <w:jc w:val="both"/>
        <w:rPr>
          <w:b/>
        </w:rPr>
      </w:pPr>
      <w:r w:rsidRPr="003D4FEA">
        <w:rPr>
          <w:b/>
        </w:rPr>
        <w:t xml:space="preserve">La Real Academia define el término </w:t>
      </w:r>
      <w:r>
        <w:rPr>
          <w:b/>
          <w:bCs/>
        </w:rPr>
        <w:t>“recuperación”</w:t>
      </w:r>
      <w:r w:rsidRPr="003D4FEA">
        <w:rPr>
          <w:b/>
        </w:rPr>
        <w:t xml:space="preserve"> como la acción y efecto de recuperar o recuperarse. Obvio. Pero precisa en una segunda entrada que algo se recupera cuando vuelve a tomar o adquirir “lo que antes tenía”. Sería absurdo pensar que la recuperación de la economía europea va a devolver a los países miembros a los niveles previos a la crisis.</w:t>
      </w:r>
    </w:p>
    <w:p w:rsidR="00BB7B36" w:rsidRPr="003D4FEA" w:rsidRDefault="00BB7B36" w:rsidP="00BB7B36">
      <w:pPr>
        <w:spacing w:before="100" w:beforeAutospacing="1" w:after="100" w:afterAutospacing="1" w:line="240" w:lineRule="auto"/>
        <w:jc w:val="both"/>
        <w:rPr>
          <w:rFonts w:ascii="Times New Roman" w:eastAsia="Times New Roman" w:hAnsi="Times New Roman" w:cs="Times New Roman"/>
          <w:b/>
          <w:sz w:val="24"/>
          <w:szCs w:val="24"/>
        </w:rPr>
      </w:pPr>
      <w:r w:rsidRPr="003D4FEA">
        <w:rPr>
          <w:rFonts w:ascii="Times New Roman" w:eastAsia="Times New Roman" w:hAnsi="Times New Roman" w:cs="Times New Roman"/>
          <w:b/>
          <w:sz w:val="24"/>
          <w:szCs w:val="24"/>
        </w:rPr>
        <w:t xml:space="preserve">En el mejor de los casos, Europa saneará su economía, ajustará sus </w:t>
      </w:r>
      <w:r w:rsidRPr="003D4FEA">
        <w:rPr>
          <w:rFonts w:ascii="Times New Roman" w:eastAsia="Times New Roman" w:hAnsi="Times New Roman" w:cs="Times New Roman"/>
          <w:b/>
          <w:bCs/>
          <w:sz w:val="24"/>
          <w:szCs w:val="24"/>
        </w:rPr>
        <w:t xml:space="preserve">grandes desequilibrios </w:t>
      </w:r>
      <w:r w:rsidRPr="003D4FEA">
        <w:rPr>
          <w:rFonts w:ascii="Times New Roman" w:eastAsia="Times New Roman" w:hAnsi="Times New Roman" w:cs="Times New Roman"/>
          <w:b/>
          <w:sz w:val="24"/>
          <w:szCs w:val="24"/>
        </w:rPr>
        <w:t xml:space="preserve">y volverá al crecimiento, incluso de una manera robusta. Hasta la devastada Europa de 1945 salió de la tragedia. Pero los países que salgan de esta crisis serán muy distintos. Muy parecido a lo que </w:t>
      </w:r>
      <w:r w:rsidRPr="003D4FEA">
        <w:rPr>
          <w:rFonts w:ascii="Times New Roman" w:eastAsia="Times New Roman" w:hAnsi="Times New Roman" w:cs="Times New Roman"/>
          <w:b/>
          <w:bCs/>
          <w:sz w:val="24"/>
          <w:szCs w:val="24"/>
        </w:rPr>
        <w:t>Ulrich Beck</w:t>
      </w:r>
      <w:r w:rsidRPr="003D4FEA">
        <w:rPr>
          <w:rFonts w:ascii="Times New Roman" w:eastAsia="Times New Roman" w:hAnsi="Times New Roman" w:cs="Times New Roman"/>
          <w:b/>
          <w:sz w:val="24"/>
          <w:szCs w:val="24"/>
        </w:rPr>
        <w:t xml:space="preserve"> denominó -ya en 1986- la sociedad del riesgo. Y todavía el muro no había caído.</w:t>
      </w:r>
    </w:p>
    <w:p w:rsidR="00BB7B36" w:rsidRPr="003D4FEA" w:rsidRDefault="00BB7B36" w:rsidP="00BB7B36">
      <w:pPr>
        <w:spacing w:before="100" w:beforeAutospacing="1" w:after="100" w:afterAutospacing="1" w:line="240" w:lineRule="auto"/>
        <w:jc w:val="both"/>
        <w:rPr>
          <w:rFonts w:ascii="Times New Roman" w:eastAsia="Times New Roman" w:hAnsi="Times New Roman" w:cs="Times New Roman"/>
          <w:b/>
          <w:sz w:val="24"/>
          <w:szCs w:val="24"/>
        </w:rPr>
      </w:pPr>
      <w:r w:rsidRPr="003D4FEA">
        <w:rPr>
          <w:rFonts w:ascii="Times New Roman" w:eastAsia="Times New Roman" w:hAnsi="Times New Roman" w:cs="Times New Roman"/>
          <w:b/>
          <w:sz w:val="24"/>
          <w:szCs w:val="24"/>
        </w:rPr>
        <w:t xml:space="preserve">¿Y qué es la sociedad del riesgo? Pues aquella en la que lo relevante ya no es la </w:t>
      </w:r>
      <w:r w:rsidRPr="003D4FEA">
        <w:rPr>
          <w:rFonts w:ascii="Times New Roman" w:eastAsia="Times New Roman" w:hAnsi="Times New Roman" w:cs="Times New Roman"/>
          <w:b/>
          <w:bCs/>
          <w:sz w:val="24"/>
          <w:szCs w:val="24"/>
        </w:rPr>
        <w:t>distribución de la riqueza</w:t>
      </w:r>
      <w:r w:rsidRPr="003D4FEA">
        <w:rPr>
          <w:rFonts w:ascii="Times New Roman" w:eastAsia="Times New Roman" w:hAnsi="Times New Roman" w:cs="Times New Roman"/>
          <w:b/>
          <w:sz w:val="24"/>
          <w:szCs w:val="24"/>
        </w:rPr>
        <w:t xml:space="preserve">, sino la </w:t>
      </w:r>
      <w:r w:rsidRPr="003D4FEA">
        <w:rPr>
          <w:rFonts w:ascii="Times New Roman" w:eastAsia="Times New Roman" w:hAnsi="Times New Roman" w:cs="Times New Roman"/>
          <w:b/>
          <w:bCs/>
          <w:sz w:val="24"/>
          <w:szCs w:val="24"/>
        </w:rPr>
        <w:t>producción</w:t>
      </w:r>
      <w:r w:rsidRPr="003D4FEA">
        <w:rPr>
          <w:rFonts w:ascii="Times New Roman" w:eastAsia="Times New Roman" w:hAnsi="Times New Roman" w:cs="Times New Roman"/>
          <w:b/>
          <w:sz w:val="24"/>
          <w:szCs w:val="24"/>
        </w:rPr>
        <w:t xml:space="preserve"> de bienes y servicios de forma suficiente para financiar un determinado nivel de vida. Algo que, en última instancia, dependerá de su capacidad de adaptación en una economía globalizada.</w:t>
      </w:r>
    </w:p>
    <w:p w:rsidR="00BB7B36" w:rsidRPr="003D4FEA" w:rsidRDefault="00BB7B36" w:rsidP="00BB7B36">
      <w:pPr>
        <w:spacing w:before="100" w:beforeAutospacing="1" w:after="100" w:afterAutospacing="1" w:line="240" w:lineRule="auto"/>
        <w:jc w:val="both"/>
        <w:rPr>
          <w:rFonts w:ascii="Times New Roman" w:eastAsia="Times New Roman" w:hAnsi="Times New Roman" w:cs="Times New Roman"/>
          <w:b/>
          <w:sz w:val="24"/>
          <w:szCs w:val="24"/>
        </w:rPr>
      </w:pPr>
      <w:r w:rsidRPr="003D4FEA">
        <w:rPr>
          <w:rFonts w:ascii="Times New Roman" w:eastAsia="Times New Roman" w:hAnsi="Times New Roman" w:cs="Times New Roman"/>
          <w:b/>
          <w:sz w:val="24"/>
          <w:szCs w:val="24"/>
        </w:rPr>
        <w:t xml:space="preserve">Lo que se ha roto son las certezas y el mundo previsible. El mundo de la seguridad, del que hablaba </w:t>
      </w:r>
      <w:r w:rsidRPr="003D4FEA">
        <w:rPr>
          <w:rFonts w:ascii="Times New Roman" w:eastAsia="Times New Roman" w:hAnsi="Times New Roman" w:cs="Times New Roman"/>
          <w:b/>
          <w:bCs/>
          <w:sz w:val="24"/>
          <w:szCs w:val="24"/>
        </w:rPr>
        <w:t>Stefan Zweig</w:t>
      </w:r>
      <w:r w:rsidRPr="003D4FEA">
        <w:rPr>
          <w:rFonts w:ascii="Times New Roman" w:eastAsia="Times New Roman" w:hAnsi="Times New Roman" w:cs="Times New Roman"/>
          <w:b/>
          <w:sz w:val="24"/>
          <w:szCs w:val="24"/>
        </w:rPr>
        <w:t xml:space="preserve">. Hasta hace bien poco, se pensaba que los avances técnicos -y su corolario en términos de productividad- serían suficientes para lograr el </w:t>
      </w:r>
      <w:r w:rsidRPr="003D4FEA">
        <w:rPr>
          <w:rFonts w:ascii="Times New Roman" w:eastAsia="Times New Roman" w:hAnsi="Times New Roman" w:cs="Times New Roman"/>
          <w:b/>
          <w:bCs/>
          <w:sz w:val="24"/>
          <w:szCs w:val="24"/>
        </w:rPr>
        <w:t>progreso social</w:t>
      </w:r>
      <w:r w:rsidRPr="003D4FEA">
        <w:rPr>
          <w:rFonts w:ascii="Times New Roman" w:eastAsia="Times New Roman" w:hAnsi="Times New Roman" w:cs="Times New Roman"/>
          <w:b/>
          <w:sz w:val="24"/>
          <w:szCs w:val="24"/>
        </w:rPr>
        <w:t>. Hoy ya no es así.</w:t>
      </w:r>
    </w:p>
    <w:p w:rsidR="00BB7B36" w:rsidRDefault="00BB7B36" w:rsidP="00BB7B36">
      <w:pPr>
        <w:spacing w:before="100" w:beforeAutospacing="1" w:after="100" w:afterAutospacing="1" w:line="240" w:lineRule="auto"/>
        <w:jc w:val="both"/>
        <w:rPr>
          <w:rFonts w:ascii="Times New Roman" w:eastAsia="Times New Roman" w:hAnsi="Times New Roman" w:cs="Times New Roman"/>
          <w:b/>
          <w:sz w:val="24"/>
          <w:szCs w:val="24"/>
        </w:rPr>
      </w:pPr>
      <w:r w:rsidRPr="003D4FEA">
        <w:rPr>
          <w:rFonts w:ascii="Times New Roman" w:eastAsia="Times New Roman" w:hAnsi="Times New Roman" w:cs="Times New Roman"/>
          <w:b/>
          <w:sz w:val="24"/>
          <w:szCs w:val="24"/>
        </w:rPr>
        <w:t xml:space="preserve">Mientras que en la sociedad industrial o de clases la cuestión social giraba en torno a cómo repartir la riqueza producida de forma colectiva (y la historia del siglo XX refleja hasta qué punto la lucha entre los diferentes agentes económicos fue encarnizada), en la nueva sociedad del riesgo se seguirá produciendo de una manera </w:t>
      </w:r>
      <w:r w:rsidRPr="003D4FEA">
        <w:rPr>
          <w:rFonts w:ascii="Times New Roman" w:eastAsia="Times New Roman" w:hAnsi="Times New Roman" w:cs="Times New Roman"/>
          <w:b/>
          <w:bCs/>
          <w:sz w:val="24"/>
          <w:szCs w:val="24"/>
        </w:rPr>
        <w:t>desigual,</w:t>
      </w:r>
      <w:r w:rsidRPr="003D4FEA">
        <w:rPr>
          <w:rFonts w:ascii="Times New Roman" w:eastAsia="Times New Roman" w:hAnsi="Times New Roman" w:cs="Times New Roman"/>
          <w:b/>
          <w:sz w:val="24"/>
          <w:szCs w:val="24"/>
        </w:rPr>
        <w:t xml:space="preserve"> pero su volumen ya no estará garantizado. Y es aquí cuando surge lo que ha ven</w:t>
      </w:r>
      <w:r>
        <w:rPr>
          <w:rFonts w:ascii="Times New Roman" w:eastAsia="Times New Roman" w:hAnsi="Times New Roman" w:cs="Times New Roman"/>
          <w:b/>
          <w:sz w:val="24"/>
          <w:szCs w:val="24"/>
        </w:rPr>
        <w:t>ido a</w:t>
      </w:r>
      <w:r w:rsidRPr="003D4FEA">
        <w:rPr>
          <w:rFonts w:ascii="Times New Roman" w:eastAsia="Times New Roman" w:hAnsi="Times New Roman" w:cs="Times New Roman"/>
          <w:b/>
          <w:sz w:val="24"/>
          <w:szCs w:val="24"/>
        </w:rPr>
        <w:t xml:space="preserve"> definirse como los </w:t>
      </w:r>
      <w:r w:rsidRPr="003D4FEA">
        <w:rPr>
          <w:rFonts w:ascii="Times New Roman" w:eastAsia="Times New Roman" w:hAnsi="Times New Roman" w:cs="Times New Roman"/>
          <w:b/>
          <w:bCs/>
          <w:sz w:val="24"/>
          <w:szCs w:val="24"/>
        </w:rPr>
        <w:t>“nuevos pobres”</w:t>
      </w:r>
      <w:r w:rsidRPr="003D4FEA">
        <w:rPr>
          <w:rFonts w:ascii="Times New Roman" w:eastAsia="Times New Roman" w:hAnsi="Times New Roman" w:cs="Times New Roman"/>
          <w:b/>
          <w:sz w:val="24"/>
          <w:szCs w:val="24"/>
        </w:rPr>
        <w:t xml:space="preserve">. O la nueva pobreza, como se prefiera. Un fenómeno en el que se ven envueltos nuevos colectivos que antes se consideraban </w:t>
      </w:r>
      <w:r w:rsidRPr="003D4FEA">
        <w:rPr>
          <w:rFonts w:ascii="Times New Roman" w:eastAsia="Times New Roman" w:hAnsi="Times New Roman" w:cs="Times New Roman"/>
          <w:b/>
          <w:bCs/>
          <w:sz w:val="24"/>
          <w:szCs w:val="24"/>
        </w:rPr>
        <w:t>protegidos</w:t>
      </w:r>
      <w:r w:rsidRPr="003D4FEA">
        <w:rPr>
          <w:rFonts w:ascii="Times New Roman" w:eastAsia="Times New Roman" w:hAnsi="Times New Roman" w:cs="Times New Roman"/>
          <w:b/>
          <w:sz w:val="24"/>
          <w:szCs w:val="24"/>
        </w:rPr>
        <w:t xml:space="preserve"> contra las inclemencias económicas: profesionales, empleados públicos, pensionistas, parados de larga duración o estudiantes con dificultades para su inserción laboral.</w:t>
      </w:r>
    </w:p>
    <w:p w:rsidR="00BB7B36" w:rsidRDefault="00BB7B36" w:rsidP="00BB7B36">
      <w:pPr>
        <w:spacing w:before="100" w:beforeAutospacing="1" w:after="100" w:afterAutospacing="1"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Antes el trabajador era necesario para que algunos ganaran, ahora hay gente que gana sin necesidad de que nadie trabaje para ellos. El resultado de esta situación es una profunda desigualdad. Que no solo alcanza a los parados, sino también a una gran parte de los trabajadores asalariados. </w:t>
      </w:r>
    </w:p>
    <w:p w:rsidR="00BB7B36" w:rsidRPr="0043228C" w:rsidRDefault="00BB7B36" w:rsidP="00BB7B36">
      <w:pPr>
        <w:pStyle w:val="NormalWeb"/>
        <w:jc w:val="both"/>
        <w:rPr>
          <w:i/>
        </w:rPr>
      </w:pPr>
      <w:r>
        <w:rPr>
          <w:i/>
        </w:rPr>
        <w:t>“</w:t>
      </w:r>
      <w:r w:rsidRPr="0043228C">
        <w:rPr>
          <w:i/>
        </w:rPr>
        <w:t xml:space="preserve">Aparentemente, cuando el banco de inversión estadounidense Lehman Brothers colapsó en 2008 y detonó la peor crisis financiera desde la Gran Depresión, se formó un amplio consenso sobre la causa de la crisis. Un sistema financiero inflado y disfuncional había asignado incorrectamente el capital y, en vez de gestionar el riesgo, lo creó. La desregulación financiera -junto con el dinero barato- contribuyó a una excesiva toma de riesgos. </w:t>
      </w:r>
    </w:p>
    <w:p w:rsidR="00BB7B36" w:rsidRPr="0043228C" w:rsidRDefault="00BB7B36" w:rsidP="00BB7B36">
      <w:pPr>
        <w:pStyle w:val="NormalWeb"/>
        <w:jc w:val="both"/>
        <w:rPr>
          <w:i/>
        </w:rPr>
      </w:pPr>
      <w:r w:rsidRPr="0043228C">
        <w:rPr>
          <w:i/>
        </w:rPr>
        <w:lastRenderedPageBreak/>
        <w:t>Cinco años más tarde, mientras algunos se felicitan a sí mismos por evitar otra depresión, nadie en Europa o Estados Unidos puede afirmar que la prosperidad ha regresado. La Unión Europea recién está emergiendo de la recaída en la recesión (y, en algunos casos, de una doble recaída), mientras que algunos estados miembros están en depresión. En muchos países de la UE, el PBI se mantiene por debajo, o insignificantemente por encima, de los niveles previos a la recesión. Casi 27 millones de europeos están desempleados.</w:t>
      </w:r>
    </w:p>
    <w:p w:rsidR="00BB7B36" w:rsidRPr="0043228C" w:rsidRDefault="00BB7B36" w:rsidP="00BB7B36">
      <w:pPr>
        <w:pStyle w:val="NormalWeb"/>
        <w:jc w:val="both"/>
        <w:rPr>
          <w:i/>
        </w:rPr>
      </w:pPr>
      <w:r w:rsidRPr="0043228C">
        <w:rPr>
          <w:i/>
        </w:rPr>
        <w:t>Algo similar ocurre en Estados Unidos: 22 millones de personas que desean un empleo a tiempo completo no logran encontrarlo. La tasa de actividad en la fuerza de trabajo estadounidense ha caído a niveles que no se veían desde que las mujeres comenzaron a ingresar al mercado laboral en forma masiva. El ingreso y la riqueza de la mayoría de los estadounidenses se encuentran por debajo de niveles que habían registrado mucho antes de la crisis. De hecho, el ingreso típico de un trabajador masculino a tiempo completo es menor que hace más de cuatro décadas</w:t>
      </w:r>
      <w:r>
        <w:rPr>
          <w:i/>
        </w:rPr>
        <w:t>…</w:t>
      </w:r>
    </w:p>
    <w:p w:rsidR="00BB7B36" w:rsidRPr="0043228C" w:rsidRDefault="00BB7B36" w:rsidP="00BB7B36">
      <w:pPr>
        <w:pStyle w:val="NormalWeb"/>
        <w:jc w:val="both"/>
        <w:rPr>
          <w:i/>
        </w:rPr>
      </w:pPr>
      <w:r w:rsidRPr="0043228C">
        <w:rPr>
          <w:i/>
        </w:rPr>
        <w:t>Otros problemas continúan sin ser tratados y algunos han empeorado. El mercado hipotecario estadounidense aún sigue conectado a un respirador: el gobierno ahora asegura más del 90% de las hipotecas y la administración del presidente Barack Obama ni siquiera ha propuesto un nuevo sistema que garantizaría préstamos responsables con términos competitivos. El sistema financiero se ha concentrado aún más, algo que exacerbó el problema de los bancos que no solo son demasiado grandes y están demasiado interconectados y correlacionados para caer, sino que también son demasiado grandes para ser gestionados y responsabilizados. A pesar de un escándalo tras otro, desde lavado de dinero y manipulación del mercado hasta discriminación racial en los créditos y ejecuciones ilegales de hipotecas, ningún funcionario de alto nivel ha sido responsabilizado; cuando se impusieron sanciones financieras, fueron mucho menores de lo necesario, no fuera a ser que las instituciones sistémicamente importantes pudieran verse en peligro.</w:t>
      </w:r>
    </w:p>
    <w:p w:rsidR="00BB7B36" w:rsidRPr="0043228C" w:rsidRDefault="00BB7B36" w:rsidP="00BB7B36">
      <w:pPr>
        <w:pStyle w:val="NormalWeb"/>
        <w:jc w:val="both"/>
        <w:rPr>
          <w:i/>
        </w:rPr>
      </w:pPr>
      <w:r w:rsidRPr="0043228C">
        <w:rPr>
          <w:i/>
        </w:rPr>
        <w:t>Las agencias de calificación de crédito han sido declaradas responsables en dos juicios privados. Pero también en este caso lo que pagaron fue una fracción de las pérdidas que causaron sus acciones. Algo más importante aún, el problema subyacente –un sistema de incentivos perversos en el que reciben dinero de las empresas a las que califican– aún debe cambiar.</w:t>
      </w:r>
    </w:p>
    <w:p w:rsidR="00BB7B36" w:rsidRPr="0043228C" w:rsidRDefault="00BB7B36" w:rsidP="00BB7B36">
      <w:pPr>
        <w:pStyle w:val="NormalWeb"/>
        <w:jc w:val="both"/>
        <w:rPr>
          <w:i/>
        </w:rPr>
      </w:pPr>
      <w:r w:rsidRPr="0043228C">
        <w:rPr>
          <w:i/>
        </w:rPr>
        <w:t>Los banqueros presumen de haber pagado totalmente los fondos de rescate del gobierno que recibieron cuando comenzó la crisis. Pero nunca parecen mencionar que cualquiera que hubiera recibido enormes créditos gubernamentales a tasas de interés cercanas a cero podría haber ganado miles de millones con el mero hecho de prestar nuevamente ese dinero al gobierno. Tampoco mencionan los costos imp</w:t>
      </w:r>
      <w:r>
        <w:rPr>
          <w:i/>
        </w:rPr>
        <w:t>uestos al resto de la economía -</w:t>
      </w:r>
      <w:r w:rsidRPr="0043228C">
        <w:rPr>
          <w:i/>
        </w:rPr>
        <w:t>una pérdida acumula</w:t>
      </w:r>
      <w:r>
        <w:rPr>
          <w:i/>
        </w:rPr>
        <w:t>da del producto en Europa y EEUU</w:t>
      </w:r>
      <w:r w:rsidRPr="0043228C">
        <w:rPr>
          <w:i/>
        </w:rPr>
        <w:t xml:space="preserve"> que supera largamente los $</w:t>
      </w:r>
      <w:r>
        <w:rPr>
          <w:i/>
        </w:rPr>
        <w:t xml:space="preserve"> </w:t>
      </w:r>
      <w:r w:rsidRPr="0043228C">
        <w:rPr>
          <w:i/>
        </w:rPr>
        <w:t>5 billones.</w:t>
      </w:r>
    </w:p>
    <w:p w:rsidR="00BB7B36" w:rsidRPr="0043228C" w:rsidRDefault="00BB7B36" w:rsidP="00BB7B36">
      <w:pPr>
        <w:pStyle w:val="NormalWeb"/>
        <w:jc w:val="both"/>
        <w:rPr>
          <w:i/>
        </w:rPr>
      </w:pPr>
      <w:r w:rsidRPr="0043228C">
        <w:rPr>
          <w:i/>
        </w:rPr>
        <w:t>Mientras tanto, resultó que quienes sostuvieron que la política monetaria no sería suficiente estaban en lo cierto. Sí, todos fuimos keynesianas, pero por demasiado poco tiempo. El estímulo fiscal fue reemplazado por la austeridad, co</w:t>
      </w:r>
      <w:r>
        <w:rPr>
          <w:i/>
        </w:rPr>
        <w:t>n efectos adversos predecibles -y predichos-</w:t>
      </w:r>
      <w:r w:rsidRPr="0043228C">
        <w:rPr>
          <w:i/>
        </w:rPr>
        <w:t xml:space="preserve"> sobre el desempeño de la economía.</w:t>
      </w:r>
    </w:p>
    <w:p w:rsidR="00BB7B36" w:rsidRPr="0043228C" w:rsidRDefault="00BB7B36" w:rsidP="00BB7B36">
      <w:pPr>
        <w:pStyle w:val="NormalWeb"/>
        <w:jc w:val="both"/>
        <w:rPr>
          <w:i/>
        </w:rPr>
      </w:pPr>
      <w:r w:rsidRPr="0043228C">
        <w:rPr>
          <w:i/>
        </w:rPr>
        <w:lastRenderedPageBreak/>
        <w:t>Hay en Europa quienes están contentos porque la economía puede haber tocado fondo. Con el regreso del crecimi</w:t>
      </w:r>
      <w:r>
        <w:rPr>
          <w:i/>
        </w:rPr>
        <w:t>ento del producto, la recesión -</w:t>
      </w:r>
      <w:r w:rsidRPr="0043228C">
        <w:rPr>
          <w:i/>
        </w:rPr>
        <w:t>definida como dos trimestres consec</w:t>
      </w:r>
      <w:r>
        <w:rPr>
          <w:i/>
        </w:rPr>
        <w:t>utivos de contracción económica-</w:t>
      </w:r>
      <w:r w:rsidRPr="0043228C">
        <w:rPr>
          <w:i/>
        </w:rPr>
        <w:t xml:space="preserve"> oficialmente ha terminado. Pero, sin importar cómo se la mire en busca de resultados significativos, una economía en la cual los ingresos de la mayoría de la gente se encuentran por debajo de sus niveles previos a 2008, aún está en recesión. Y una economía en la cual el 25 % de los trabajadores (y el 50 % de l</w:t>
      </w:r>
      <w:r>
        <w:rPr>
          <w:i/>
        </w:rPr>
        <w:t>os jóvenes) están desempleados -como ocurre en Grecia y España-</w:t>
      </w:r>
      <w:r w:rsidRPr="0043228C">
        <w:rPr>
          <w:i/>
        </w:rPr>
        <w:t xml:space="preserve"> continúa deprimida. La austeridad ha fracasado y no hay perspectivas de un pronto regreso al pleno empleo (no sorprende que las perspectivas para Estados Unidos, con su versión más limitada de la austeridad, sean mejores).</w:t>
      </w:r>
    </w:p>
    <w:p w:rsidR="00BB7B36" w:rsidRDefault="00BB7B36" w:rsidP="00BB7B36">
      <w:pPr>
        <w:pStyle w:val="NormalWeb"/>
        <w:jc w:val="both"/>
      </w:pPr>
      <w:r w:rsidRPr="0043228C">
        <w:rPr>
          <w:i/>
        </w:rPr>
        <w:t xml:space="preserve">El sistema financiero puede ser más estable que hace cinco años, pero eso implica un bajo listón: en ese momento, se tambaleaba al borde del precipicio. Quienes se felicitan a sí mismos en el gobierno y el sector financiero por el regreso de los bancos </w:t>
      </w:r>
      <w:r>
        <w:rPr>
          <w:i/>
        </w:rPr>
        <w:t>a la rentabilidad y las tibias -aunque difíciles de conseguir-</w:t>
      </w:r>
      <w:r w:rsidRPr="0043228C">
        <w:rPr>
          <w:i/>
        </w:rPr>
        <w:t xml:space="preserve"> mejoras regulatorias, deben centrarse en lo que todavía resta por hacer. Solo un cuarto del vaso está, como mucho, lleno; para la mayor parte de la gente, las tres cuartas partes están vacías</w:t>
      </w:r>
      <w:r>
        <w:rPr>
          <w:i/>
        </w:rPr>
        <w:t>”</w:t>
      </w:r>
      <w:r w:rsidRPr="0043228C">
        <w:rPr>
          <w:i/>
        </w:rPr>
        <w:t>.</w:t>
      </w:r>
      <w:r>
        <w:rPr>
          <w:i/>
        </w:rPr>
        <w:t xml:space="preserve"> </w:t>
      </w:r>
      <w:r w:rsidRPr="00441637">
        <w:rPr>
          <w:u w:val="single"/>
        </w:rPr>
        <w:t>Cinco años en el limbo</w:t>
      </w:r>
      <w:r>
        <w:t xml:space="preserve"> (</w:t>
      </w:r>
      <w:r w:rsidRPr="00AD064B">
        <w:t>Joseph E. Stiglitz</w:t>
      </w:r>
      <w:r>
        <w:t xml:space="preserve"> - Project Syndicate - </w:t>
      </w:r>
      <w:r w:rsidRPr="00441637">
        <w:rPr>
          <w:b/>
        </w:rPr>
        <w:t>8/10/13</w:t>
      </w:r>
      <w:r>
        <w:t>)</w:t>
      </w:r>
    </w:p>
    <w:p w:rsidR="00BB7B36" w:rsidRDefault="00BB7B36" w:rsidP="00BB7B36">
      <w:pPr>
        <w:pStyle w:val="NormalWeb"/>
        <w:jc w:val="both"/>
        <w:rPr>
          <w:b/>
        </w:rPr>
      </w:pPr>
      <w:r>
        <w:rPr>
          <w:b/>
        </w:rPr>
        <w:t>En nombre de una austeridad unilateral (aplicada sobre los sectores más débiles de la sociedad), proclamada y no practicada por la casta política (amoral y corrupta), las grandes corporaciones (subvencionadas y protegidas por el estado), los bancos quebrados (rescatados con dinero público) y sectores ricos de la sociedad (que han salido beneficiados con la crisis), han “denunciado” el contrato social, con total frialdad, indiferencia, arrogancia, ignominia, imprudencia, insensibilidad y osadía.</w:t>
      </w:r>
    </w:p>
    <w:p w:rsidR="00BB7B36" w:rsidRDefault="00BB7B36" w:rsidP="00BB7B36">
      <w:pPr>
        <w:pStyle w:val="NormalWeb"/>
        <w:jc w:val="both"/>
        <w:rPr>
          <w:b/>
        </w:rPr>
      </w:pPr>
      <w:r>
        <w:rPr>
          <w:b/>
        </w:rPr>
        <w:t xml:space="preserve">El pago de la deuda soberana se ha garantizado con la expropiación de los fondos necesarios para atender la deuda social, bajo la bendición de los acreedores, previamente rescatados de la quiebra con dinero de los contribuyentes, que vuelven a  </w:t>
      </w:r>
      <w:r w:rsidR="002B0CA1">
        <w:rPr>
          <w:b/>
        </w:rPr>
        <w:t>ser expoliados (reiteradamente</w:t>
      </w:r>
      <w:r>
        <w:rPr>
          <w:b/>
        </w:rPr>
        <w:t>), para “salvar” la crisis de la deuda.</w:t>
      </w:r>
    </w:p>
    <w:p w:rsidR="00BB7B36" w:rsidRDefault="00BB7B36" w:rsidP="00BB7B36">
      <w:pPr>
        <w:pStyle w:val="NormalWeb"/>
        <w:jc w:val="both"/>
        <w:rPr>
          <w:b/>
        </w:rPr>
      </w:pPr>
      <w:r>
        <w:rPr>
          <w:b/>
        </w:rPr>
        <w:t>Para preservar el “cielo” de la deuda han condenado al “infierno” a los grupos más vulnerables de la sociedad. Se ha asegurado la “tranquilidad” de los mercados, con la “paz” de los cementerios (donde ha sido enterrado el Estado del Bienestar). Sin haber celebrado su funeral, siquiera. Eso es lo</w:t>
      </w:r>
      <w:r w:rsidRPr="009A27A4">
        <w:rPr>
          <w:b/>
        </w:rPr>
        <w:t xml:space="preserve"> que sucede cuando se desprecia el pensamiento</w:t>
      </w:r>
      <w:r>
        <w:rPr>
          <w:b/>
        </w:rPr>
        <w:t>. Eso es hacer un pan como unas hostias.</w:t>
      </w:r>
    </w:p>
    <w:p w:rsidR="00BB7B36" w:rsidRDefault="00BB7B36" w:rsidP="00BB7B36">
      <w:pPr>
        <w:pStyle w:val="NormalWeb"/>
        <w:jc w:val="both"/>
        <w:rPr>
          <w:b/>
        </w:rPr>
      </w:pPr>
      <w:r>
        <w:rPr>
          <w:b/>
        </w:rPr>
        <w:t>Europa (y ya no digamos los EEUU) ha dejado de ser una “comunidad” autogobernada y responsable frente a los deseos de sus ciudadanos, para transformarse en un imperio incontrolable dominado por banqueros y corporaciones, y los políticos que les pertenecen. Los ciudadanos (contribuyentes) están siendo tratados como meros siervos de la gleba y los gobiernos se han convertido en simples sirvientes del poder económico.</w:t>
      </w:r>
    </w:p>
    <w:p w:rsidR="00BB7B36" w:rsidRDefault="00BB7B36" w:rsidP="00BB7B36">
      <w:pPr>
        <w:pStyle w:val="NormalWeb"/>
        <w:jc w:val="both"/>
        <w:rPr>
          <w:b/>
        </w:rPr>
      </w:pPr>
      <w:r>
        <w:rPr>
          <w:b/>
        </w:rPr>
        <w:t xml:space="preserve">La deuda excesiva de los gobiernos ha sido causada por el rescate de los bancos quebrados (pretendidamente sistémicos), y no por políticas de gasto público para sostener un sistema de bienestar social exagerado o demagógico. Y ahora se quiere resolver (garantizar) su pago (sin juzgar y condenar, al menos, a los culpables de la quiebra privada y pública, ni crear los mecanismos necesarios para evitar la </w:t>
      </w:r>
      <w:r>
        <w:rPr>
          <w:b/>
        </w:rPr>
        <w:lastRenderedPageBreak/>
        <w:t>repetición de la crisis), desarmando un estado de bienestar (justo y necesario) que ha costado más de medio siglo de luchas sociales y sacrificios a los trabajadores.</w:t>
      </w:r>
    </w:p>
    <w:p w:rsidR="00BB7B36" w:rsidRDefault="00BB7B36" w:rsidP="00BB7B36">
      <w:pPr>
        <w:pStyle w:val="NormalWeb"/>
        <w:jc w:val="both"/>
        <w:rPr>
          <w:b/>
        </w:rPr>
      </w:pPr>
      <w:r>
        <w:rPr>
          <w:b/>
        </w:rPr>
        <w:t>De la “socialización” (</w:t>
      </w:r>
      <w:r w:rsidR="007C5A7D">
        <w:rPr>
          <w:b/>
        </w:rPr>
        <w:t>estatalización</w:t>
      </w:r>
      <w:r>
        <w:rPr>
          <w:b/>
        </w:rPr>
        <w:t xml:space="preserve">) de las perdidas privadas (bancos y otros especuladores financieros quebrados), pasamos a la “mutualización” de la </w:t>
      </w:r>
      <w:r w:rsidR="002B0CA1">
        <w:rPr>
          <w:b/>
        </w:rPr>
        <w:t>amortización de la deuda soberana</w:t>
      </w:r>
      <w:r>
        <w:rPr>
          <w:b/>
        </w:rPr>
        <w:t xml:space="preserve"> (devenida del rescate) por la vía del “expolio” de los sistemas de pensiones, salud y educación pública. </w:t>
      </w:r>
    </w:p>
    <w:p w:rsidR="00BB7B36" w:rsidRDefault="00BB7B36" w:rsidP="00BB7B36">
      <w:pPr>
        <w:pStyle w:val="NormalWeb"/>
        <w:jc w:val="both"/>
        <w:rPr>
          <w:b/>
        </w:rPr>
      </w:pPr>
      <w:r>
        <w:rPr>
          <w:b/>
        </w:rPr>
        <w:t xml:space="preserve">A los líderes políticos que “padecemos” podría llamarles inmorales, deshonestos, corruptos, arrogantes, irresponsables, vanidosos, frívolos, sectarios… pero vamos a dejarlo en “imprudentes” (porque son incapaces de intentar -al menos- salvar su propia supervivencia de casta). Están tratando a los ciudadanos como súbditos, y eso es muy grave, y puede tener consecuencias catastróficas imprevisibles (animosidad en aumento, conflictividad social y rebelión cívica). Sin descartar el paso previo (y merecido) de una rebelión fiscal en toda regla, que vaciaría las arcas del estado plutocrático, </w:t>
      </w:r>
      <w:r w:rsidR="007C5A7D">
        <w:rPr>
          <w:b/>
        </w:rPr>
        <w:t>prebendario</w:t>
      </w:r>
      <w:r>
        <w:rPr>
          <w:b/>
        </w:rPr>
        <w:t xml:space="preserve"> y venal. Fin del juego.  </w:t>
      </w:r>
    </w:p>
    <w:p w:rsidR="00BB7B36" w:rsidRDefault="00BB7B36" w:rsidP="00BB7B36">
      <w:pPr>
        <w:pStyle w:val="NormalWeb"/>
        <w:jc w:val="both"/>
        <w:rPr>
          <w:b/>
        </w:rPr>
      </w:pPr>
      <w:r>
        <w:rPr>
          <w:b/>
        </w:rPr>
        <w:t>Por ahora, ya llevan cosechado el fruto más perverso de una democracia: la fractura social. Y me extraña que tenga que ser un “invitado” extranjero (con 25 años de resid</w:t>
      </w:r>
      <w:r w:rsidR="002B0CA1">
        <w:rPr>
          <w:b/>
        </w:rPr>
        <w:t>encia en Europa) quien les deba</w:t>
      </w:r>
      <w:r>
        <w:rPr>
          <w:b/>
        </w:rPr>
        <w:t xml:space="preserve"> recordar los peligros de dividir a la sociedad. Se está jugando con la familia, con la seguridad, con el futuro, y eso es peligrosísimo, porque esos sentimientos son muy sensibles al radicalismo. </w:t>
      </w:r>
    </w:p>
    <w:p w:rsidR="00BB7B36" w:rsidRPr="00673CCA" w:rsidRDefault="00BB7B36" w:rsidP="00BB7B36">
      <w:pPr>
        <w:spacing w:before="100" w:beforeAutospacing="1" w:after="100" w:afterAutospacing="1" w:line="240" w:lineRule="auto"/>
        <w:jc w:val="both"/>
        <w:rPr>
          <w:rFonts w:ascii="Times New Roman" w:eastAsia="Times New Roman" w:hAnsi="Times New Roman" w:cs="Times New Roman"/>
          <w:b/>
          <w:sz w:val="24"/>
          <w:szCs w:val="24"/>
          <w:lang w:eastAsia="es-ES"/>
        </w:rPr>
      </w:pPr>
      <w:r w:rsidRPr="00673CCA">
        <w:rPr>
          <w:rFonts w:ascii="Times New Roman" w:eastAsia="Times New Roman" w:hAnsi="Times New Roman" w:cs="Times New Roman"/>
          <w:b/>
          <w:sz w:val="24"/>
          <w:szCs w:val="24"/>
          <w:lang w:eastAsia="es-ES"/>
        </w:rPr>
        <w:t>No h</w:t>
      </w:r>
      <w:r>
        <w:rPr>
          <w:rFonts w:ascii="Times New Roman" w:eastAsia="Times New Roman" w:hAnsi="Times New Roman" w:cs="Times New Roman"/>
          <w:b/>
          <w:sz w:val="24"/>
          <w:szCs w:val="24"/>
          <w:lang w:eastAsia="es-ES"/>
        </w:rPr>
        <w:t>ay otra salida para Europa</w:t>
      </w:r>
      <w:r w:rsidRPr="00673CCA">
        <w:rPr>
          <w:rFonts w:ascii="Times New Roman" w:eastAsia="Times New Roman" w:hAnsi="Times New Roman" w:cs="Times New Roman"/>
          <w:b/>
          <w:sz w:val="24"/>
          <w:szCs w:val="24"/>
          <w:lang w:eastAsia="es-ES"/>
        </w:rPr>
        <w:t xml:space="preserve"> que</w:t>
      </w:r>
      <w:r>
        <w:rPr>
          <w:rFonts w:ascii="Times New Roman" w:eastAsia="Times New Roman" w:hAnsi="Times New Roman" w:cs="Times New Roman"/>
          <w:b/>
          <w:sz w:val="24"/>
          <w:szCs w:val="24"/>
          <w:lang w:eastAsia="es-ES"/>
        </w:rPr>
        <w:t xml:space="preserve"> volver a</w:t>
      </w:r>
      <w:r w:rsidRPr="00673CCA">
        <w:rPr>
          <w:rFonts w:ascii="Times New Roman" w:eastAsia="Times New Roman" w:hAnsi="Times New Roman" w:cs="Times New Roman"/>
          <w:b/>
          <w:sz w:val="24"/>
          <w:szCs w:val="24"/>
          <w:lang w:eastAsia="es-ES"/>
        </w:rPr>
        <w:t xml:space="preserve"> establecer un consenso en torno al cumplimiento de los Derechos Humanos contenidos en el Preámbulo y los 30 artículos de la solemne Declaración de 1948 y demás documentos que los desarrollan. Esa opción exige hacer de los planteamientos económicos puros conceptos instrumentales sometidos al desarrollo de la gran opción descrita. </w:t>
      </w:r>
    </w:p>
    <w:p w:rsidR="00BB7B36" w:rsidRPr="00673CCA" w:rsidRDefault="00BB7B36" w:rsidP="00BB7B36">
      <w:pPr>
        <w:spacing w:before="100" w:beforeAutospacing="1" w:after="100" w:afterAutospacing="1" w:line="240" w:lineRule="auto"/>
        <w:jc w:val="both"/>
        <w:rPr>
          <w:rFonts w:ascii="Times New Roman" w:eastAsia="Times New Roman" w:hAnsi="Times New Roman" w:cs="Times New Roman"/>
          <w:b/>
          <w:sz w:val="24"/>
          <w:szCs w:val="24"/>
          <w:lang w:eastAsia="es-ES"/>
        </w:rPr>
      </w:pPr>
      <w:r w:rsidRPr="00673CCA">
        <w:rPr>
          <w:rFonts w:ascii="Times New Roman" w:eastAsia="Times New Roman" w:hAnsi="Times New Roman" w:cs="Times New Roman"/>
          <w:b/>
          <w:sz w:val="24"/>
          <w:szCs w:val="24"/>
          <w:lang w:eastAsia="es-ES"/>
        </w:rPr>
        <w:t xml:space="preserve">Ni que decir tiene que </w:t>
      </w:r>
      <w:r w:rsidRPr="00673CCA">
        <w:rPr>
          <w:rFonts w:ascii="Times New Roman" w:eastAsia="Times New Roman" w:hAnsi="Times New Roman" w:cs="Times New Roman"/>
          <w:b/>
          <w:bCs/>
          <w:sz w:val="24"/>
          <w:szCs w:val="24"/>
          <w:lang w:eastAsia="es-ES"/>
        </w:rPr>
        <w:t>la lógica de los mercados supuestamente independientes debe dejar paso a la centralidad de la política como impulso</w:t>
      </w:r>
      <w:r w:rsidRPr="00673CCA">
        <w:rPr>
          <w:rFonts w:ascii="Times New Roman" w:eastAsia="Times New Roman" w:hAnsi="Times New Roman" w:cs="Times New Roman"/>
          <w:b/>
          <w:sz w:val="24"/>
          <w:szCs w:val="24"/>
          <w:lang w:eastAsia="es-ES"/>
        </w:rPr>
        <w:t xml:space="preserve"> y evaluación de los procesos puestos en marcha para el fin acordado. La democracia, entendida como convenio entre seres libres e iguales para seguir conviniendo sobre el estado de su contrato social, exige de por sí el control sobre la macroeconomía dejando en todo caso partes de la microeconomía al juego de la oferta y la demanda. </w:t>
      </w:r>
    </w:p>
    <w:p w:rsidR="00BB7B36" w:rsidRDefault="00BB7B36" w:rsidP="00BB7B36">
      <w:pPr>
        <w:pStyle w:val="NormalWeb"/>
        <w:jc w:val="both"/>
        <w:rPr>
          <w:b/>
        </w:rPr>
      </w:pPr>
      <w:r>
        <w:rPr>
          <w:b/>
        </w:rPr>
        <w:t>A</w:t>
      </w:r>
      <w:r w:rsidRPr="00673CCA">
        <w:rPr>
          <w:b/>
        </w:rPr>
        <w:t xml:space="preserve"> los que no miran más allá </w:t>
      </w:r>
      <w:r>
        <w:rPr>
          <w:b/>
        </w:rPr>
        <w:t>del PIB, el déficit fiscal, la sostenibilidad de la deuda o la competitividad</w:t>
      </w:r>
      <w:r w:rsidRPr="00673CCA">
        <w:rPr>
          <w:b/>
        </w:rPr>
        <w:t xml:space="preserve"> de las empresas, les propongo (humildemente) que </w:t>
      </w:r>
      <w:r>
        <w:rPr>
          <w:b/>
        </w:rPr>
        <w:t xml:space="preserve">sustituyan alguna (o tal vez, </w:t>
      </w:r>
      <w:r w:rsidRPr="00673CCA">
        <w:rPr>
          <w:b/>
        </w:rPr>
        <w:t>todas)</w:t>
      </w:r>
      <w:r>
        <w:rPr>
          <w:b/>
        </w:rPr>
        <w:t xml:space="preserve"> de</w:t>
      </w:r>
      <w:r w:rsidRPr="00673CCA">
        <w:rPr>
          <w:b/>
        </w:rPr>
        <w:t xml:space="preserve"> </w:t>
      </w:r>
      <w:r>
        <w:rPr>
          <w:b/>
        </w:rPr>
        <w:t>esas</w:t>
      </w:r>
      <w:r w:rsidRPr="00673CCA">
        <w:rPr>
          <w:b/>
        </w:rPr>
        <w:t xml:space="preserve"> grandes magnitudes que son usadas para calibrar la eficacia económica por el Índice de Desarrollo Humano, aunque ello les implique un inmenso</w:t>
      </w:r>
      <w:r>
        <w:rPr>
          <w:b/>
        </w:rPr>
        <w:t xml:space="preserve"> dolor y esfuerzo de parto que, </w:t>
      </w:r>
      <w:r w:rsidRPr="00673CCA">
        <w:rPr>
          <w:b/>
        </w:rPr>
        <w:t>sin duda, será mucho menor que el de la agonía del actual sistema que com</w:t>
      </w:r>
      <w:r>
        <w:rPr>
          <w:b/>
        </w:rPr>
        <w:t>o decía Schumpeter se muere de éxito.</w:t>
      </w:r>
    </w:p>
    <w:p w:rsidR="00BB7B36" w:rsidRDefault="00BB7B36" w:rsidP="00BB7B36">
      <w:pPr>
        <w:pStyle w:val="NormalWeb"/>
        <w:jc w:val="both"/>
        <w:rPr>
          <w:b/>
        </w:rPr>
      </w:pPr>
      <w:r>
        <w:rPr>
          <w:b/>
        </w:rPr>
        <w:t>Cuando el pragmatismo se convierte en cinismo</w:t>
      </w:r>
    </w:p>
    <w:p w:rsidR="00BB7B36" w:rsidRDefault="00BB7B36" w:rsidP="00BB7B36">
      <w:pPr>
        <w:pStyle w:val="NormalWeb"/>
        <w:jc w:val="both"/>
        <w:rPr>
          <w:b/>
        </w:rPr>
      </w:pPr>
      <w:r>
        <w:rPr>
          <w:b/>
        </w:rPr>
        <w:t xml:space="preserve">De ser cierta la propuesta de la “sociedad participativa” (a la holandesa), o de la “big society” (al british style), o de la “reinvención del Estado del bienestar” (según el modelo sueco), para “acostumbrar” a la gente a no ver al Estado como una “maquinita de la felicidad”, en un alarde de pragmatismo, tal vez, sería bueno empezar por limitar la “hipocresía” de esas propuestas o similares, dejando de </w:t>
      </w:r>
      <w:r>
        <w:rPr>
          <w:b/>
        </w:rPr>
        <w:lastRenderedPageBreak/>
        <w:t xml:space="preserve">cobrar tan altos impuestos y cargas sociales al contribuyente para financiar unos servicios menguantes y dejar “que cada santo aguante su vela” (empezando por la administración del estado y todos los que “maman” del presupuesto). </w:t>
      </w:r>
    </w:p>
    <w:p w:rsidR="00BB7B36" w:rsidRDefault="00BB7B36" w:rsidP="00BB7B36">
      <w:pPr>
        <w:pStyle w:val="NormalWeb"/>
        <w:jc w:val="both"/>
        <w:rPr>
          <w:b/>
        </w:rPr>
      </w:pPr>
      <w:r>
        <w:rPr>
          <w:b/>
        </w:rPr>
        <w:t>Fuera máscaras, basta de cinismo, y si vamos a imponer el “darwinismo social”, que sea en toda regla, y se apliquen la misma receta los miembros de la casta política, sus patrocinadores y beneficiarios, dejando de disparar con pólvora del contribuyente. Podrían hacer suyo aquello de “La bien pagá”: na te debo na te pido… Aunque me sospecho que esas “economías”… no llegarán al río.</w:t>
      </w:r>
    </w:p>
    <w:p w:rsidR="00BB7B36" w:rsidRDefault="00BB7B36" w:rsidP="00BB7B36">
      <w:pPr>
        <w:pStyle w:val="NormalWeb"/>
        <w:jc w:val="both"/>
        <w:rPr>
          <w:b/>
        </w:rPr>
      </w:pPr>
      <w:r>
        <w:rPr>
          <w:b/>
        </w:rPr>
        <w:t>Por si quieren ir “haciendo” cuentas:</w:t>
      </w:r>
    </w:p>
    <w:p w:rsidR="00BB7B36" w:rsidRDefault="00BB7B36" w:rsidP="00BB7B36">
      <w:pPr>
        <w:pStyle w:val="NormalWeb"/>
        <w:jc w:val="both"/>
        <w:rPr>
          <w:b/>
        </w:rPr>
      </w:pPr>
    </w:p>
    <w:p w:rsidR="00BB7B36" w:rsidRDefault="00BB7B36" w:rsidP="00BB7B36">
      <w:pPr>
        <w:pStyle w:val="NormalWeb"/>
        <w:jc w:val="both"/>
        <w:rPr>
          <w:b/>
        </w:rPr>
      </w:pPr>
      <w:r>
        <w:rPr>
          <w:noProof/>
          <w:color w:val="0000FF"/>
        </w:rPr>
        <w:drawing>
          <wp:inline distT="0" distB="0" distL="0" distR="0" wp14:anchorId="7CA5BCC4" wp14:editId="7D47A914">
            <wp:extent cx="5395346" cy="4988967"/>
            <wp:effectExtent l="0" t="0" r="0" b="2540"/>
            <wp:docPr id="462" name="Imagen 462" descr="http://s.libertaddigital.com/fotos/noticias/futuro_empresas_2.jpg">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ibertaddigital.com/fotos/noticias/futuro_empresas_2.jpg">
                      <a:hlinkClick r:id="rId40"/>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0040" cy="4993308"/>
                    </a:xfrm>
                    <a:prstGeom prst="rect">
                      <a:avLst/>
                    </a:prstGeom>
                    <a:noFill/>
                    <a:ln>
                      <a:noFill/>
                    </a:ln>
                  </pic:spPr>
                </pic:pic>
              </a:graphicData>
            </a:graphic>
          </wp:inline>
        </w:drawing>
      </w:r>
    </w:p>
    <w:p w:rsidR="00BB7B36" w:rsidRDefault="00BB7B36" w:rsidP="00BB7B36">
      <w:pPr>
        <w:pStyle w:val="NormalWeb"/>
        <w:jc w:val="both"/>
        <w:rPr>
          <w:b/>
        </w:rPr>
      </w:pPr>
    </w:p>
    <w:p w:rsidR="00BB7B36" w:rsidRDefault="00BB7B36" w:rsidP="00BB7B36">
      <w:pPr>
        <w:pStyle w:val="NormalWeb"/>
        <w:jc w:val="both"/>
        <w:rPr>
          <w:b/>
        </w:rPr>
      </w:pPr>
    </w:p>
    <w:p w:rsidR="00BB7B36" w:rsidRDefault="00BB7B36" w:rsidP="00BB7B36">
      <w:pPr>
        <w:pStyle w:val="NormalWeb"/>
        <w:jc w:val="both"/>
        <w:rPr>
          <w:b/>
        </w:rPr>
      </w:pPr>
    </w:p>
    <w:p w:rsidR="00BB7B36" w:rsidRDefault="00BB7B36" w:rsidP="00BB7B36">
      <w:pPr>
        <w:pStyle w:val="NormalWeb"/>
        <w:jc w:val="both"/>
        <w:rPr>
          <w:b/>
        </w:rPr>
      </w:pPr>
    </w:p>
    <w:p w:rsidR="00BB7B36" w:rsidRDefault="00BB7B36" w:rsidP="00BB7B36">
      <w:pPr>
        <w:pStyle w:val="NormalWeb"/>
        <w:jc w:val="both"/>
        <w:rPr>
          <w:b/>
        </w:rPr>
      </w:pPr>
    </w:p>
    <w:p w:rsidR="00BB7B36" w:rsidRDefault="00BB7B36" w:rsidP="00BB7B36">
      <w:pPr>
        <w:pStyle w:val="NormalWeb"/>
        <w:jc w:val="both"/>
        <w:rPr>
          <w:b/>
        </w:rPr>
      </w:pPr>
    </w:p>
    <w:p w:rsidR="00BB7B36" w:rsidRDefault="00BB7B36" w:rsidP="00BB7B36">
      <w:pPr>
        <w:pStyle w:val="NormalWeb"/>
        <w:jc w:val="both"/>
        <w:rPr>
          <w:b/>
        </w:rPr>
      </w:pPr>
      <w:r>
        <w:rPr>
          <w:b/>
          <w:bCs/>
          <w:noProof/>
          <w:color w:val="0000FF"/>
        </w:rPr>
        <w:drawing>
          <wp:inline distT="0" distB="0" distL="0" distR="0" wp14:anchorId="67BA3D40" wp14:editId="6ECCB0A4">
            <wp:extent cx="5149850" cy="6327775"/>
            <wp:effectExtent l="0" t="0" r="0" b="0"/>
            <wp:docPr id="460" name="Imagen 460" descr="http://s.libertaddigital.com/fotos/noticias/CONTR01.jpg">
              <a:hlinkClick xmlns:a="http://schemas.openxmlformats.org/drawingml/2006/main" r:id="rId4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ibertaddigital.com/fotos/noticias/CONTR01.jpg">
                      <a:hlinkClick r:id="rId42" tgtFrame="&quot;_blank&quo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49850" cy="6327775"/>
                    </a:xfrm>
                    <a:prstGeom prst="rect">
                      <a:avLst/>
                    </a:prstGeom>
                    <a:noFill/>
                    <a:ln>
                      <a:noFill/>
                    </a:ln>
                  </pic:spPr>
                </pic:pic>
              </a:graphicData>
            </a:graphic>
          </wp:inline>
        </w:drawing>
      </w:r>
      <w:r>
        <w:rPr>
          <w:b/>
        </w:rPr>
        <w:t xml:space="preserve">  </w:t>
      </w:r>
    </w:p>
    <w:p w:rsidR="00BB7B36" w:rsidRDefault="00BB7B36" w:rsidP="00BB7B36">
      <w:pPr>
        <w:pStyle w:val="NormalWeb"/>
        <w:jc w:val="both"/>
        <w:rPr>
          <w:b/>
        </w:rPr>
      </w:pPr>
    </w:p>
    <w:p w:rsidR="00BB7B36" w:rsidRDefault="00BB7B36" w:rsidP="00BB7B36">
      <w:pPr>
        <w:pStyle w:val="NormalWeb"/>
        <w:jc w:val="both"/>
        <w:rPr>
          <w:b/>
        </w:rPr>
      </w:pPr>
    </w:p>
    <w:p w:rsidR="00BB7B36" w:rsidRDefault="00BB7B36" w:rsidP="00BB7B36">
      <w:pPr>
        <w:pStyle w:val="NormalWeb"/>
        <w:jc w:val="both"/>
        <w:rPr>
          <w:b/>
        </w:rPr>
      </w:pPr>
      <w:r>
        <w:rPr>
          <w:noProof/>
          <w:color w:val="0000FF"/>
        </w:rPr>
        <w:lastRenderedPageBreak/>
        <w:drawing>
          <wp:inline distT="0" distB="0" distL="0" distR="0" wp14:anchorId="17210096" wp14:editId="68203B14">
            <wp:extent cx="5400040" cy="6648389"/>
            <wp:effectExtent l="0" t="0" r="0" b="635"/>
            <wp:docPr id="461" name="Imagen 461" descr="http://s.libertaddigital.com/fotos/noticias/CONTR03.jpg">
              <a:hlinkClick xmlns:a="http://schemas.openxmlformats.org/drawingml/2006/main" r:id="rId4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bertaddigital.com/fotos/noticias/CONTR03.jpg">
                      <a:hlinkClick r:id="rId44" tgtFrame="&quot;_blank&quot;"/>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00040" cy="6648389"/>
                    </a:xfrm>
                    <a:prstGeom prst="rect">
                      <a:avLst/>
                    </a:prstGeom>
                    <a:noFill/>
                    <a:ln>
                      <a:noFill/>
                    </a:ln>
                  </pic:spPr>
                </pic:pic>
              </a:graphicData>
            </a:graphic>
          </wp:inline>
        </w:drawing>
      </w:r>
    </w:p>
    <w:p w:rsidR="00BB7B36" w:rsidRDefault="00BB7B36" w:rsidP="00BB7B36">
      <w:pPr>
        <w:pStyle w:val="NormalWeb"/>
        <w:jc w:val="both"/>
        <w:rPr>
          <w:b/>
        </w:rPr>
      </w:pPr>
      <w:r>
        <w:rPr>
          <w:b/>
        </w:rPr>
        <w:t xml:space="preserve">Mientras “la gente quiere cuidar por sí misma, organizar su vida y cuidar unos de otros” (sic </w:t>
      </w:r>
      <w:r w:rsidRPr="00202257">
        <w:t>-</w:t>
      </w:r>
      <w:r>
        <w:rPr>
          <w:b/>
        </w:rPr>
        <w:t xml:space="preserve"> Koning Willem Alexander), el Fondo Monetario Internacional “cuida de los acreedores, y organiza el pago de la deuda” (un regreso a la Edad Media).</w:t>
      </w:r>
    </w:p>
    <w:p w:rsidR="00BB7B36" w:rsidRDefault="00BB7B36" w:rsidP="00BB7B36">
      <w:pPr>
        <w:pStyle w:val="NormalWeb"/>
        <w:jc w:val="both"/>
        <w:rPr>
          <w:b/>
        </w:rPr>
      </w:pPr>
      <w:r>
        <w:rPr>
          <w:b/>
        </w:rPr>
        <w:t xml:space="preserve">El contribuyente europeo (cautivo y desvalido) trabaja más de la mitad del año para mantener el “leviatán gubernamental”, recibiendo poco o nada a cambio. Los políticos han duplicado el déficit público (en muchos casos)  y aumentado la deuda pública en un 50% (en muchos casos), en los últimos dos o tres años (hipotecando a varias generaciones) para rescatar a los bancos quebrados, y no conformes con incrementar la presión fiscal hasta límites insoportables, disminuyen la prestación de los servicios públicos y sociales hasta niveles tercermundistas. No satisfechos </w:t>
      </w:r>
      <w:r>
        <w:rPr>
          <w:b/>
        </w:rPr>
        <w:lastRenderedPageBreak/>
        <w:t xml:space="preserve">con tamaño expolio fiscal e incumplimiento del contrato social, ahora viene el FMI y “propone” una exacción adicional del 10% del patrimonio de los agotados impositores. Lo dicho, un regreso a la Edad Media, en toda regla. </w:t>
      </w:r>
    </w:p>
    <w:p w:rsidR="00BB7B36" w:rsidRDefault="00BB7B36" w:rsidP="00BB7B36">
      <w:pPr>
        <w:pStyle w:val="NormalWeb"/>
        <w:jc w:val="both"/>
        <w:rPr>
          <w:b/>
        </w:rPr>
      </w:pPr>
      <w:r>
        <w:rPr>
          <w:b/>
        </w:rPr>
        <w:t xml:space="preserve">¿Un juicio exagerado? </w:t>
      </w:r>
    </w:p>
    <w:p w:rsidR="00BB7B36" w:rsidRDefault="00BB7B36" w:rsidP="00BB7B36">
      <w:pPr>
        <w:pStyle w:val="NormalWeb"/>
        <w:jc w:val="both"/>
        <w:rPr>
          <w:b/>
        </w:rPr>
      </w:pPr>
      <w:r>
        <w:rPr>
          <w:b/>
        </w:rPr>
        <w:t>Por favor, pasen y lean:</w:t>
      </w:r>
    </w:p>
    <w:p w:rsidR="00BB7B36" w:rsidRPr="004D6FDD" w:rsidRDefault="00BB7B36" w:rsidP="00BB7B36">
      <w:pPr>
        <w:pStyle w:val="NormalWeb"/>
        <w:jc w:val="both"/>
        <w:rPr>
          <w:b/>
        </w:rPr>
      </w:pPr>
      <w:r>
        <w:t xml:space="preserve">- </w:t>
      </w:r>
      <w:r w:rsidRPr="003165B0">
        <w:rPr>
          <w:u w:val="single"/>
        </w:rPr>
        <w:t>El FMI sugiere expropiar el 10% de la riqueza de las familias para reducir deuda pública</w:t>
      </w:r>
      <w:r>
        <w:t xml:space="preserve"> (Libertad Digital - </w:t>
      </w:r>
      <w:r w:rsidRPr="003165B0">
        <w:rPr>
          <w:b/>
        </w:rPr>
        <w:t>13/10/13</w:t>
      </w:r>
      <w:r>
        <w:t>)</w:t>
      </w:r>
    </w:p>
    <w:p w:rsidR="00BB7B36" w:rsidRPr="00AD4F56" w:rsidRDefault="00BB7B36" w:rsidP="00BB7B36">
      <w:pPr>
        <w:spacing w:before="100" w:beforeAutospacing="1" w:after="100" w:afterAutospacing="1" w:line="240" w:lineRule="auto"/>
        <w:jc w:val="both"/>
        <w:rPr>
          <w:rFonts w:ascii="Times New Roman" w:eastAsia="Times New Roman" w:hAnsi="Times New Roman" w:cs="Times New Roman"/>
          <w:color w:val="FF0000"/>
          <w:sz w:val="24"/>
          <w:szCs w:val="24"/>
        </w:rPr>
      </w:pPr>
      <w:r w:rsidRPr="00AD4F56">
        <w:rPr>
          <w:rFonts w:ascii="Times New Roman" w:eastAsia="Times New Roman" w:hAnsi="Times New Roman" w:cs="Times New Roman"/>
          <w:color w:val="FF0000"/>
          <w:sz w:val="24"/>
          <w:szCs w:val="24"/>
        </w:rPr>
        <w:t>Su último informe recoge la posibilidad de aplicar una quita al patrimonio de los hogares para reducir la deuda pública a niveles de 2007.</w:t>
      </w:r>
    </w:p>
    <w:p w:rsidR="00BB7B36" w:rsidRDefault="00BB7B36" w:rsidP="00BB7B3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(Por Manuel Llamas)</w:t>
      </w:r>
    </w:p>
    <w:p w:rsidR="00BB7B36" w:rsidRPr="00AD4F56" w:rsidRDefault="00BB7B36" w:rsidP="00BB7B36">
      <w:pPr>
        <w:pStyle w:val="NormalWeb"/>
        <w:jc w:val="both"/>
        <w:rPr>
          <w:u w:val="single"/>
        </w:rPr>
      </w:pPr>
      <w:r w:rsidRPr="00AD4F56">
        <w:rPr>
          <w:u w:val="single"/>
        </w:rPr>
        <w:t xml:space="preserve">Durante la presente crisis, los países desarrollados han disparado su </w:t>
      </w:r>
      <w:r w:rsidRPr="00AD4F56">
        <w:rPr>
          <w:rStyle w:val="Textoennegrita"/>
          <w:rFonts w:eastAsiaTheme="majorEastAsia"/>
        </w:rPr>
        <w:t xml:space="preserve">deuda pública </w:t>
      </w:r>
      <w:r w:rsidRPr="00AD4F56">
        <w:rPr>
          <w:u w:val="single"/>
        </w:rPr>
        <w:t xml:space="preserve">hasta alcanzar un </w:t>
      </w:r>
      <w:r w:rsidRPr="00AD4F56">
        <w:rPr>
          <w:rStyle w:val="Textoennegrita"/>
          <w:rFonts w:eastAsiaTheme="majorEastAsia"/>
        </w:rPr>
        <w:t>nuevo récord histórico</w:t>
      </w:r>
      <w:r w:rsidRPr="00AD4F56">
        <w:rPr>
          <w:u w:val="single"/>
        </w:rPr>
        <w:t xml:space="preserve"> en tiempos de paz. Buena muestra de ello es la grave crisis de deuda soberana que ha estallado en el seno de la zona euro y que, por el momento, se ha saldado con el </w:t>
      </w:r>
      <w:r w:rsidRPr="00AD4F56">
        <w:rPr>
          <w:rStyle w:val="Textoennegrita"/>
          <w:rFonts w:eastAsiaTheme="majorEastAsia"/>
        </w:rPr>
        <w:t>rescate internacional</w:t>
      </w:r>
      <w:r w:rsidRPr="00AD4F56">
        <w:rPr>
          <w:u w:val="single"/>
        </w:rPr>
        <w:t xml:space="preserve"> de cuatro estados miembros (Grecia, Irlanda, Portugal y Chipre), la asistencia financiera a España y un inédito programa especial para comprar bonos periféricos por parte del Banco Central Europeo (BCE), del que también se ha beneficiado Italia, entre otras medidas excepcionales.</w:t>
      </w:r>
    </w:p>
    <w:p w:rsidR="00BB7B36" w:rsidRPr="00AD4F56" w:rsidRDefault="00BB7B36" w:rsidP="00BB7B36">
      <w:pPr>
        <w:pStyle w:val="NormalWeb"/>
        <w:jc w:val="both"/>
        <w:rPr>
          <w:u w:val="single"/>
        </w:rPr>
      </w:pPr>
      <w:r w:rsidRPr="00AD4F56">
        <w:rPr>
          <w:u w:val="single"/>
        </w:rPr>
        <w:t xml:space="preserve">La deuda de la zona euro supera ya el 92% del PIB, y especialmente alarmante es la situación de Grecia (160%), Italia (130%), Portugal (127%), Irlanda (125%) y Bélgica (105%). De hecho, España no se queda muy atrás, con </w:t>
      </w:r>
      <w:r w:rsidRPr="00953C11">
        <w:rPr>
          <w:u w:val="single"/>
        </w:rPr>
        <w:t xml:space="preserve">un </w:t>
      </w:r>
      <w:hyperlink r:id="rId46" w:tgtFrame="_blank" w:history="1">
        <w:r w:rsidRPr="00953C11">
          <w:rPr>
            <w:rStyle w:val="Hipervnculo"/>
            <w:rFonts w:eastAsiaTheme="majorEastAsia"/>
            <w:color w:val="auto"/>
          </w:rPr>
          <w:t>92,2% del PIB</w:t>
        </w:r>
      </w:hyperlink>
      <w:r w:rsidRPr="00953C11">
        <w:rPr>
          <w:u w:val="single"/>
        </w:rPr>
        <w:t xml:space="preserve">, el mayor nivel registrado en el último siglo, y que amenaza con rondar el </w:t>
      </w:r>
      <w:hyperlink r:id="rId47" w:tgtFrame="_blank" w:history="1">
        <w:r w:rsidRPr="00953C11">
          <w:rPr>
            <w:rStyle w:val="Hipervnculo"/>
            <w:rFonts w:eastAsiaTheme="majorEastAsia"/>
            <w:color w:val="auto"/>
          </w:rPr>
          <w:t>100% el próximo año</w:t>
        </w:r>
      </w:hyperlink>
      <w:r w:rsidRPr="00953C11">
        <w:rPr>
          <w:u w:val="single"/>
        </w:rPr>
        <w:t>. No es la primera vez que la deuda estatal alcanza volúmenes semejantes, ni mucho menos</w:t>
      </w:r>
      <w:r w:rsidRPr="00AD4F56">
        <w:rPr>
          <w:u w:val="single"/>
        </w:rPr>
        <w:t>, pero tal crecimiento es excepcional en tiempos de paz. La cuestión que se plantean ahora analistas y gobernantes es</w:t>
      </w:r>
      <w:r w:rsidRPr="00AD4F56">
        <w:rPr>
          <w:rStyle w:val="Textoennegrita"/>
          <w:rFonts w:eastAsiaTheme="majorEastAsia"/>
        </w:rPr>
        <w:t xml:space="preserve"> cómo revertir tal dinámica.</w:t>
      </w:r>
    </w:p>
    <w:p w:rsidR="00BB7B36" w:rsidRDefault="00BB7B36" w:rsidP="00BB7B36">
      <w:pPr>
        <w:pStyle w:val="NormalWeb"/>
        <w:jc w:val="both"/>
      </w:pPr>
      <w:r w:rsidRPr="00AD4F56">
        <w:rPr>
          <w:color w:val="FF0000"/>
          <w:u w:val="single"/>
        </w:rPr>
        <w:t xml:space="preserve">Lo lógico y, sin duda, más saludable es que el estado en cuestión empiece a generar </w:t>
      </w:r>
      <w:r w:rsidRPr="00AD4F56">
        <w:rPr>
          <w:rStyle w:val="Textoennegrita"/>
          <w:rFonts w:eastAsiaTheme="majorEastAsia"/>
          <w:color w:val="FF0000"/>
        </w:rPr>
        <w:t>superávit fiscal primario</w:t>
      </w:r>
      <w:r w:rsidRPr="00AD4F56">
        <w:rPr>
          <w:color w:val="FF0000"/>
          <w:u w:val="single"/>
        </w:rPr>
        <w:t xml:space="preserve"> (descontando el pago de intereses) año a año para, de este modo, no sólo frenar el aumento de la deuda sino reducir su tamaño destinando esos excedentes presupuestarios a amortizar bonos</w:t>
      </w:r>
      <w:r>
        <w:t xml:space="preserve">. El problema es que ello implica mantener en el tiempo una </w:t>
      </w:r>
      <w:r>
        <w:rPr>
          <w:rStyle w:val="Textoennegrita"/>
          <w:rFonts w:eastAsiaTheme="majorEastAsia"/>
        </w:rPr>
        <w:t>drástica senda de ajustes</w:t>
      </w:r>
      <w:r>
        <w:t>, sobre todo mediante recortes de gasto público, que no suelen tener muy buena acogida en los países afectados, tal y como está demostrando la actual crisis del euro.</w:t>
      </w:r>
    </w:p>
    <w:p w:rsidR="00BB7B36" w:rsidRPr="00202257" w:rsidRDefault="00BB7B36" w:rsidP="00BB7B36">
      <w:pPr>
        <w:pStyle w:val="Ttulo3"/>
        <w:jc w:val="both"/>
        <w:rPr>
          <w:rFonts w:ascii="Times New Roman" w:hAnsi="Times New Roman" w:cs="Times New Roman"/>
          <w:b w:val="0"/>
          <w:color w:val="auto"/>
          <w:sz w:val="24"/>
          <w:szCs w:val="24"/>
        </w:rPr>
      </w:pPr>
      <w:r w:rsidRPr="00202257">
        <w:rPr>
          <w:rFonts w:ascii="Times New Roman" w:hAnsi="Times New Roman" w:cs="Times New Roman"/>
          <w:b w:val="0"/>
          <w:color w:val="auto"/>
          <w:sz w:val="24"/>
          <w:szCs w:val="24"/>
        </w:rPr>
        <w:t>Las vías para reducir deuda</w:t>
      </w:r>
    </w:p>
    <w:p w:rsidR="00BB7B36" w:rsidRPr="00AD4F56" w:rsidRDefault="00BB7B36" w:rsidP="00BB7B36">
      <w:pPr>
        <w:pStyle w:val="NormalWeb"/>
        <w:jc w:val="both"/>
        <w:rPr>
          <w:u w:val="single"/>
        </w:rPr>
      </w:pPr>
      <w:r w:rsidRPr="00AD4F56">
        <w:rPr>
          <w:u w:val="single"/>
        </w:rPr>
        <w:t xml:space="preserve">La </w:t>
      </w:r>
      <w:r w:rsidRPr="00AD4F56">
        <w:rPr>
          <w:rStyle w:val="Textoennegrita"/>
          <w:rFonts w:eastAsiaTheme="majorEastAsia"/>
        </w:rPr>
        <w:t xml:space="preserve">historia de las crisis soberanas </w:t>
      </w:r>
      <w:r w:rsidRPr="00AD4F56">
        <w:rPr>
          <w:u w:val="single"/>
        </w:rPr>
        <w:t>demuestra que los políticos no son muy dados a aplicar estrictos programas de austeridad pública. De ahí, precisamente, que este tipo de fenómenos se haya resuelto habitualmente acudiendo a otro tipo de mecanismos extraordinarios:</w:t>
      </w:r>
    </w:p>
    <w:p w:rsidR="00BB7B36" w:rsidRPr="003165B0" w:rsidRDefault="00BB7B36" w:rsidP="00BB7B36">
      <w:pPr>
        <w:numPr>
          <w:ilvl w:val="0"/>
          <w:numId w:val="32"/>
        </w:numPr>
        <w:spacing w:before="100" w:beforeAutospacing="1" w:after="100" w:afterAutospacing="1" w:line="240" w:lineRule="auto"/>
        <w:jc w:val="both"/>
        <w:rPr>
          <w:rFonts w:ascii="Times New Roman" w:hAnsi="Times New Roman" w:cs="Times New Roman"/>
          <w:sz w:val="24"/>
          <w:szCs w:val="24"/>
        </w:rPr>
      </w:pPr>
      <w:r w:rsidRPr="00AD4F56">
        <w:rPr>
          <w:rStyle w:val="Textoennegrita"/>
          <w:rFonts w:ascii="Times New Roman" w:hAnsi="Times New Roman" w:cs="Times New Roman"/>
          <w:color w:val="FF0000"/>
          <w:sz w:val="24"/>
          <w:szCs w:val="24"/>
        </w:rPr>
        <w:t>Inflación</w:t>
      </w:r>
      <w:r w:rsidRPr="003165B0">
        <w:rPr>
          <w:rStyle w:val="Textoennegrita"/>
          <w:rFonts w:ascii="Times New Roman" w:hAnsi="Times New Roman" w:cs="Times New Roman"/>
          <w:sz w:val="24"/>
          <w:szCs w:val="24"/>
        </w:rPr>
        <w:t>:</w:t>
      </w:r>
      <w:r w:rsidRPr="003165B0">
        <w:rPr>
          <w:rFonts w:ascii="Times New Roman" w:hAnsi="Times New Roman" w:cs="Times New Roman"/>
          <w:sz w:val="24"/>
          <w:szCs w:val="24"/>
        </w:rPr>
        <w:t xml:space="preserve"> muchos países acuden a esta vía para impagar parte de la deuda contraída. </w:t>
      </w:r>
      <w:r w:rsidRPr="00AD4F56">
        <w:rPr>
          <w:rStyle w:val="Textoennegrita"/>
          <w:rFonts w:ascii="Times New Roman" w:hAnsi="Times New Roman" w:cs="Times New Roman"/>
          <w:color w:val="FF0000"/>
          <w:sz w:val="24"/>
          <w:szCs w:val="24"/>
        </w:rPr>
        <w:t>Devaluar la moneda</w:t>
      </w:r>
      <w:r w:rsidRPr="00AD4F56">
        <w:rPr>
          <w:rFonts w:ascii="Times New Roman" w:hAnsi="Times New Roman" w:cs="Times New Roman"/>
          <w:color w:val="FF0000"/>
          <w:sz w:val="24"/>
          <w:szCs w:val="24"/>
        </w:rPr>
        <w:t xml:space="preserve"> </w:t>
      </w:r>
      <w:r w:rsidRPr="003165B0">
        <w:rPr>
          <w:rFonts w:ascii="Times New Roman" w:hAnsi="Times New Roman" w:cs="Times New Roman"/>
          <w:sz w:val="24"/>
          <w:szCs w:val="24"/>
        </w:rPr>
        <w:t xml:space="preserve">suele ser el recurso fácil como, por ejemplo, ha sucedido recientemente en Islandia. Aunque también existen experimentos más </w:t>
      </w:r>
      <w:r w:rsidRPr="003165B0">
        <w:rPr>
          <w:rFonts w:ascii="Times New Roman" w:hAnsi="Times New Roman" w:cs="Times New Roman"/>
          <w:sz w:val="24"/>
          <w:szCs w:val="24"/>
        </w:rPr>
        <w:lastRenderedPageBreak/>
        <w:t>radicales, como el acontecido en Alemania y Austria en los años 20, mediante la impresión masiva de billetes y una histórica hiperinflación.</w:t>
      </w:r>
    </w:p>
    <w:p w:rsidR="00BB7B36" w:rsidRPr="003165B0" w:rsidRDefault="00BB7B36" w:rsidP="00BB7B36">
      <w:pPr>
        <w:numPr>
          <w:ilvl w:val="0"/>
          <w:numId w:val="32"/>
        </w:numPr>
        <w:spacing w:before="100" w:beforeAutospacing="1" w:after="100" w:afterAutospacing="1" w:line="240" w:lineRule="auto"/>
        <w:jc w:val="both"/>
        <w:rPr>
          <w:rFonts w:ascii="Times New Roman" w:hAnsi="Times New Roman" w:cs="Times New Roman"/>
          <w:sz w:val="24"/>
          <w:szCs w:val="24"/>
        </w:rPr>
      </w:pPr>
      <w:r w:rsidRPr="000D33BF">
        <w:rPr>
          <w:rStyle w:val="nfasis"/>
          <w:rFonts w:ascii="Times New Roman" w:hAnsi="Times New Roman" w:cs="Times New Roman"/>
          <w:b/>
          <w:bCs/>
          <w:i w:val="0"/>
          <w:color w:val="FF0000"/>
          <w:sz w:val="24"/>
          <w:szCs w:val="24"/>
        </w:rPr>
        <w:t>Default</w:t>
      </w:r>
      <w:r w:rsidRPr="00202257">
        <w:rPr>
          <w:rStyle w:val="Textoennegrita"/>
          <w:rFonts w:ascii="Times New Roman" w:hAnsi="Times New Roman" w:cs="Times New Roman"/>
          <w:sz w:val="24"/>
          <w:szCs w:val="24"/>
        </w:rPr>
        <w:t>:</w:t>
      </w:r>
      <w:r w:rsidRPr="003165B0">
        <w:rPr>
          <w:rFonts w:ascii="Times New Roman" w:hAnsi="Times New Roman" w:cs="Times New Roman"/>
          <w:sz w:val="24"/>
          <w:szCs w:val="24"/>
        </w:rPr>
        <w:t xml:space="preserve"> suspender pagos es otra de las vías escogida por multitud de gobiernos. Impagar mediante una quita y/o espera ha sucedido recientemente en Grecia y, de hecho, no se descarta que vuelva a acontecer.</w:t>
      </w:r>
    </w:p>
    <w:p w:rsidR="00BB7B36" w:rsidRPr="003165B0" w:rsidRDefault="00BB7B36" w:rsidP="00BB7B36">
      <w:pPr>
        <w:pStyle w:val="NormalWeb"/>
        <w:numPr>
          <w:ilvl w:val="0"/>
          <w:numId w:val="32"/>
        </w:numPr>
        <w:jc w:val="both"/>
      </w:pPr>
      <w:r w:rsidRPr="00AD4F56">
        <w:rPr>
          <w:rStyle w:val="Textoennegrita"/>
          <w:rFonts w:eastAsiaTheme="majorEastAsia"/>
          <w:color w:val="FF0000"/>
        </w:rPr>
        <w:t>Impuestos especiales</w:t>
      </w:r>
      <w:r w:rsidRPr="003165B0">
        <w:rPr>
          <w:rStyle w:val="Textoennegrita"/>
          <w:rFonts w:eastAsiaTheme="majorEastAsia"/>
        </w:rPr>
        <w:t>:</w:t>
      </w:r>
      <w:r w:rsidRPr="003165B0">
        <w:t xml:space="preserve"> otro de los mecanismos recurrentes, aunque menos conocido, consiste en la aplicación de un impuesto especial sobre el patrimonio de los hogares, que se paga de una vez. Es decir, </w:t>
      </w:r>
      <w:r w:rsidRPr="003165B0">
        <w:rPr>
          <w:rStyle w:val="Textoennegrita"/>
          <w:rFonts w:eastAsiaTheme="majorEastAsia"/>
        </w:rPr>
        <w:t>una especie de quita</w:t>
      </w:r>
      <w:r w:rsidRPr="003165B0">
        <w:t xml:space="preserve"> sobre el capital o </w:t>
      </w:r>
      <w:r w:rsidRPr="003165B0">
        <w:rPr>
          <w:rStyle w:val="Textoennegrita"/>
          <w:rFonts w:eastAsiaTheme="majorEastAsia"/>
        </w:rPr>
        <w:t>riqueza de las familias</w:t>
      </w:r>
      <w:r w:rsidRPr="003165B0">
        <w:t xml:space="preserve"> para conseguir ingresos extra con el fin de amortizar y, por tanto, reducir deuda pública.</w:t>
      </w:r>
    </w:p>
    <w:p w:rsidR="00BB7B36" w:rsidRPr="00202257" w:rsidRDefault="00BB7B36" w:rsidP="00BB7B36">
      <w:pPr>
        <w:pStyle w:val="Ttulo3"/>
        <w:jc w:val="both"/>
        <w:rPr>
          <w:rFonts w:ascii="Times New Roman" w:hAnsi="Times New Roman" w:cs="Times New Roman"/>
          <w:b w:val="0"/>
          <w:color w:val="auto"/>
          <w:sz w:val="24"/>
          <w:szCs w:val="24"/>
        </w:rPr>
      </w:pPr>
      <w:r w:rsidRPr="00202257">
        <w:rPr>
          <w:rFonts w:ascii="Times New Roman" w:hAnsi="Times New Roman" w:cs="Times New Roman"/>
          <w:b w:val="0"/>
          <w:color w:val="auto"/>
          <w:sz w:val="24"/>
          <w:szCs w:val="24"/>
        </w:rPr>
        <w:t>Un nuevo “impuesto sobre el capital”</w:t>
      </w:r>
    </w:p>
    <w:p w:rsidR="00BB7B36" w:rsidRDefault="00BB7B36" w:rsidP="00BB7B36">
      <w:pPr>
        <w:pStyle w:val="NormalWeb"/>
        <w:jc w:val="both"/>
      </w:pPr>
      <w:r>
        <w:t xml:space="preserve">Ésta es, precisamente, la idea que recoge el Fondo Monetario Internacional (FMI) en su </w:t>
      </w:r>
      <w:hyperlink r:id="rId48" w:tgtFrame="_blank" w:history="1">
        <w:r w:rsidRPr="00953C11">
          <w:rPr>
            <w:rStyle w:val="Hipervnculo"/>
            <w:rFonts w:eastAsiaTheme="majorEastAsia"/>
            <w:color w:val="auto"/>
          </w:rPr>
          <w:t xml:space="preserve">último informe sobre </w:t>
        </w:r>
        <w:r w:rsidRPr="00953C11">
          <w:rPr>
            <w:rStyle w:val="nfasis"/>
            <w:b/>
            <w:bCs/>
            <w:i w:val="0"/>
          </w:rPr>
          <w:t>Vigilancia Fiscal</w:t>
        </w:r>
      </w:hyperlink>
      <w:r w:rsidRPr="00953C11">
        <w:t xml:space="preserve"> (Fiscal Monitor), publicado el pasado miércoles. Más allá de ampliar las bases fiscales y elevar la </w:t>
      </w:r>
      <w:hyperlink r:id="rId49" w:tgtFrame="_blank" w:history="1">
        <w:r w:rsidRPr="00953C11">
          <w:rPr>
            <w:rStyle w:val="Hipervnculo"/>
            <w:rFonts w:eastAsiaTheme="majorEastAsia"/>
            <w:color w:val="auto"/>
          </w:rPr>
          <w:t>tributación indirecta</w:t>
        </w:r>
      </w:hyperlink>
      <w:r w:rsidRPr="00953C11">
        <w:t xml:space="preserve"> para aumentar la recaudación con el objetivo de ir reduciendo progresivamente el déficit, el organismo reconoce que reducir los actuales niveles de deuda pública que presentan </w:t>
      </w:r>
      <w:r>
        <w:t>varios países, sobre todo europeos, será una tarea ardua y compleja que llevará tiempo y no estará exenta de sacrificios.</w:t>
      </w:r>
    </w:p>
    <w:p w:rsidR="00BB7B36" w:rsidRPr="00AD4F56" w:rsidRDefault="00BB7B36" w:rsidP="00BB7B36">
      <w:pPr>
        <w:pStyle w:val="NormalWeb"/>
        <w:jc w:val="both"/>
        <w:rPr>
          <w:color w:val="FF0000"/>
          <w:u w:val="single"/>
        </w:rPr>
      </w:pPr>
      <w:r w:rsidRPr="00AD4F56">
        <w:rPr>
          <w:color w:val="FF0000"/>
          <w:u w:val="single"/>
        </w:rPr>
        <w:t>Por ello, una de las propuestas que sugiere es imponer un</w:t>
      </w:r>
      <w:r>
        <w:rPr>
          <w:rStyle w:val="Textoennegrita"/>
          <w:rFonts w:eastAsiaTheme="majorEastAsia"/>
          <w:color w:val="FF0000"/>
        </w:rPr>
        <w:t xml:space="preserve"> tributo especial “sobre el capital”</w:t>
      </w:r>
      <w:r w:rsidRPr="00AD4F56">
        <w:rPr>
          <w:color w:val="FF0000"/>
          <w:u w:val="single"/>
        </w:rPr>
        <w:t>. Es decir, una especie de</w:t>
      </w:r>
      <w:r>
        <w:rPr>
          <w:rStyle w:val="Textoennegrita"/>
          <w:rFonts w:eastAsiaTheme="majorEastAsia"/>
          <w:color w:val="FF0000"/>
        </w:rPr>
        <w:t xml:space="preserve"> quita “excepcional”</w:t>
      </w:r>
      <w:r w:rsidRPr="00AD4F56">
        <w:rPr>
          <w:color w:val="FF0000"/>
          <w:u w:val="single"/>
        </w:rPr>
        <w:t xml:space="preserve"> sobre la riqueza de las familias que se tendría que aplicar de una sola vez, garantizando, además, que no se va a volver repetir para no desincentivar la inversión y provocar una intensa fuga de capitales. La medida consistiría en </w:t>
      </w:r>
      <w:r w:rsidRPr="00AD4F56">
        <w:rPr>
          <w:rStyle w:val="Textoennegrita"/>
          <w:rFonts w:eastAsiaTheme="majorEastAsia"/>
          <w:color w:val="FF0000"/>
        </w:rPr>
        <w:t>gravar la riqueza neta de las familias</w:t>
      </w:r>
      <w:r w:rsidRPr="00AD4F56">
        <w:rPr>
          <w:color w:val="FF0000"/>
          <w:u w:val="single"/>
        </w:rPr>
        <w:t xml:space="preserve"> y destinar el dinero recaudado a</w:t>
      </w:r>
      <w:r w:rsidRPr="00AD4F56">
        <w:rPr>
          <w:rStyle w:val="Textoennegrita"/>
          <w:rFonts w:eastAsiaTheme="majorEastAsia"/>
          <w:color w:val="FF0000"/>
        </w:rPr>
        <w:t xml:space="preserve"> amortizar deuda estatal</w:t>
      </w:r>
      <w:r w:rsidRPr="00AD4F56">
        <w:rPr>
          <w:color w:val="FF0000"/>
          <w:u w:val="single"/>
        </w:rPr>
        <w:t>.</w:t>
      </w:r>
    </w:p>
    <w:p w:rsidR="00BB7B36" w:rsidRPr="00AD4F56" w:rsidRDefault="00BB7B36" w:rsidP="00BB7B36">
      <w:pPr>
        <w:pStyle w:val="NormalWeb"/>
        <w:jc w:val="both"/>
        <w:rPr>
          <w:color w:val="FF0000"/>
          <w:u w:val="single"/>
        </w:rPr>
      </w:pPr>
      <w:r w:rsidRPr="00AD4F56">
        <w:rPr>
          <w:color w:val="FF0000"/>
          <w:u w:val="single"/>
        </w:rPr>
        <w:t xml:space="preserve">El FMI reconoce que el fuerte deterioro de las finanzas públicas que sufren muchos </w:t>
      </w:r>
      <w:r>
        <w:rPr>
          <w:color w:val="FF0000"/>
          <w:u w:val="single"/>
        </w:rPr>
        <w:t>países “ha reavivado el interés”</w:t>
      </w:r>
      <w:r w:rsidRPr="00AD4F56">
        <w:rPr>
          <w:color w:val="FF0000"/>
          <w:u w:val="single"/>
        </w:rPr>
        <w:t xml:space="preserve"> sobre la posible aplicación de este tipo de gravámenes especiales y, de hecho, admite </w:t>
      </w:r>
      <w:r>
        <w:rPr>
          <w:color w:val="FF0000"/>
          <w:u w:val="single"/>
        </w:rPr>
        <w:t>que su aplicación podría tener “éxito”</w:t>
      </w:r>
      <w:r w:rsidRPr="00AD4F56">
        <w:rPr>
          <w:color w:val="FF0000"/>
          <w:u w:val="single"/>
        </w:rPr>
        <w:t xml:space="preserve"> frente a otras alternativas indeseadas, como la suspensión de pagos. En concreto, el informe señala que el tipo impositivo necesario para reducir la deuda a los n</w:t>
      </w:r>
      <w:r>
        <w:rPr>
          <w:color w:val="FF0000"/>
          <w:u w:val="single"/>
        </w:rPr>
        <w:t>iveles previos a la crisis son “considerables”</w:t>
      </w:r>
      <w:r w:rsidRPr="00AD4F56">
        <w:rPr>
          <w:color w:val="FF0000"/>
          <w:u w:val="single"/>
        </w:rPr>
        <w:t xml:space="preserve">: reducir la deuda pública de una muestra de 15 países de la zona euro a los niveles de finales de 2007 requeriría aplicar a las familias una </w:t>
      </w:r>
      <w:r w:rsidRPr="00AD4F56">
        <w:rPr>
          <w:rStyle w:val="Textoennegrita"/>
          <w:rFonts w:eastAsiaTheme="majorEastAsia"/>
          <w:color w:val="FF0000"/>
        </w:rPr>
        <w:t>quita del 10% sobre su patrimonio neto</w:t>
      </w:r>
      <w:r w:rsidRPr="00AD4F56">
        <w:rPr>
          <w:color w:val="FF0000"/>
          <w:u w:val="single"/>
        </w:rPr>
        <w:t xml:space="preserve"> (activos menos pasivos), según el FMI.</w:t>
      </w:r>
    </w:p>
    <w:p w:rsidR="00BB7B36" w:rsidRDefault="00BB7B36" w:rsidP="00BB7B36">
      <w:pPr>
        <w:pStyle w:val="NormalWeb"/>
        <w:jc w:val="both"/>
      </w:pPr>
      <w:r w:rsidRPr="00AD4F56">
        <w:rPr>
          <w:u w:val="single"/>
        </w:rPr>
        <w:t>El organismo no hace distinciones de ningún tipo, tan sólo alude a la posibilidad de gravar la riqueza neta de las familias, aplicando así este particular impuesto a todo tipo de hogares, siempre y cuando el valor de sus activos (vivienda, acciones, ahorros, etc.) sea superior al de sus deudas</w:t>
      </w:r>
      <w:r>
        <w:t>. Además, el organismo hace referencia a otros casos similares acontecidos en el pasado, ya que este tipo de gravámenes fueron ampliamente adoptados en Europa después de la Primera Guerra Mundial, y en Alemania y Japón tras la Segunda Guerra Mundial.</w:t>
      </w:r>
    </w:p>
    <w:p w:rsidR="00BB7B36" w:rsidRDefault="00BB7B36" w:rsidP="00BB7B36">
      <w:pPr>
        <w:pStyle w:val="NormalWeb"/>
        <w:jc w:val="both"/>
      </w:pPr>
      <w:r>
        <w:t xml:space="preserve">Efectivamente, tal y como </w:t>
      </w:r>
      <w:r w:rsidRPr="008170B3">
        <w:t xml:space="preserve">recogen </w:t>
      </w:r>
      <w:hyperlink r:id="rId50" w:tgtFrame="_blank" w:history="1">
        <w:r w:rsidRPr="008170B3">
          <w:rPr>
            <w:rStyle w:val="Hipervnculo"/>
            <w:rFonts w:eastAsiaTheme="majorEastAsia"/>
            <w:color w:val="auto"/>
          </w:rPr>
          <w:t>algunos destacados estudios</w:t>
        </w:r>
      </w:hyperlink>
      <w:r w:rsidRPr="008170B3">
        <w:t xml:space="preserve"> sobre la materia -uno de ellos elaborado en 2008 por el </w:t>
      </w:r>
      <w:hyperlink r:id="rId51" w:tgtFrame="_blank" w:history="1">
        <w:r w:rsidRPr="008170B3">
          <w:rPr>
            <w:rStyle w:val="Hipervnculo"/>
            <w:rFonts w:eastAsiaTheme="majorEastAsia"/>
            <w:color w:val="auto"/>
          </w:rPr>
          <w:t>hoy presidente del BCE, Mario Draghi</w:t>
        </w:r>
      </w:hyperlink>
      <w:r w:rsidRPr="000D33BF">
        <w:t xml:space="preserve">-, </w:t>
      </w:r>
      <w:r w:rsidRPr="000D33BF">
        <w:rPr>
          <w:rStyle w:val="Textoennegrita"/>
          <w:rFonts w:eastAsiaTheme="majorEastAsia"/>
        </w:rPr>
        <w:t>Italia</w:t>
      </w:r>
      <w:r w:rsidRPr="000D33BF">
        <w:t xml:space="preserve"> aplicó un impuesto sobre el capital en 1920, con tipos que oscilaban entre el 4</w:t>
      </w:r>
      <w:r>
        <w:t>,5% y el 50%, aunque el pago podía extenderse durante un total de 20 años;</w:t>
      </w:r>
      <w:r>
        <w:rPr>
          <w:rStyle w:val="Textoennegrita"/>
          <w:rFonts w:eastAsiaTheme="majorEastAsia"/>
        </w:rPr>
        <w:t xml:space="preserve"> Checoslovaquia </w:t>
      </w:r>
      <w:r>
        <w:t xml:space="preserve">también aprobó una tasa progresiva especial sobre todo el patrimonio de las familias que iba del </w:t>
      </w:r>
      <w:r>
        <w:lastRenderedPageBreak/>
        <w:t xml:space="preserve">3% al 30%, aunque recayó, principalmente, sobre una minoría de origen alemán; otros países como </w:t>
      </w:r>
      <w:r>
        <w:rPr>
          <w:rStyle w:val="Textoennegrita"/>
          <w:rFonts w:eastAsiaTheme="majorEastAsia"/>
        </w:rPr>
        <w:t>Austria o Reino Unido</w:t>
      </w:r>
      <w:r>
        <w:t xml:space="preserve"> intentaron imitar estas medidas, pero fracasaron al retrasar su aplicación, disparando la fuga de capitales; en </w:t>
      </w:r>
      <w:r>
        <w:rPr>
          <w:rStyle w:val="Textoennegrita"/>
          <w:rFonts w:eastAsiaTheme="majorEastAsia"/>
        </w:rPr>
        <w:t>Japón</w:t>
      </w:r>
      <w:r>
        <w:t>, las fuerzas de ocupación impusieron dicho impuesto tras la Segunda Guerra Mundial, aunque se limitaba a castigar a quienes se hubieran enriquecido con la guerra.</w:t>
      </w:r>
    </w:p>
    <w:p w:rsidR="00BB7B36" w:rsidRPr="00202257" w:rsidRDefault="00BB7B36" w:rsidP="00BB7B36">
      <w:pPr>
        <w:pStyle w:val="Ttulo3"/>
        <w:jc w:val="both"/>
        <w:rPr>
          <w:rFonts w:ascii="Times New Roman" w:hAnsi="Times New Roman" w:cs="Times New Roman"/>
          <w:b w:val="0"/>
          <w:color w:val="auto"/>
          <w:sz w:val="24"/>
          <w:szCs w:val="24"/>
        </w:rPr>
      </w:pPr>
      <w:r w:rsidRPr="00202257">
        <w:rPr>
          <w:rFonts w:ascii="Times New Roman" w:hAnsi="Times New Roman" w:cs="Times New Roman"/>
          <w:b w:val="0"/>
          <w:color w:val="auto"/>
          <w:sz w:val="24"/>
          <w:szCs w:val="24"/>
        </w:rPr>
        <w:t>Chipre y la propuesta alemana</w:t>
      </w:r>
    </w:p>
    <w:p w:rsidR="00BB7B36" w:rsidRPr="00AD4F56" w:rsidRDefault="00BB7B36" w:rsidP="00BB7B36">
      <w:pPr>
        <w:pStyle w:val="NormalWeb"/>
        <w:jc w:val="both"/>
        <w:rPr>
          <w:u w:val="single"/>
        </w:rPr>
      </w:pPr>
      <w:r w:rsidRPr="00AD4F56">
        <w:rPr>
          <w:u w:val="single"/>
        </w:rPr>
        <w:t xml:space="preserve">El ejemplo más cercano es el de Chipre, en donde se aprobó una </w:t>
      </w:r>
      <w:r w:rsidRPr="00AD4F56">
        <w:rPr>
          <w:rStyle w:val="Textoennegrita"/>
          <w:rFonts w:eastAsiaTheme="majorEastAsia"/>
        </w:rPr>
        <w:t xml:space="preserve">quita sobre los grandes depósitos </w:t>
      </w:r>
      <w:r w:rsidRPr="00AD4F56">
        <w:rPr>
          <w:u w:val="single"/>
        </w:rPr>
        <w:t xml:space="preserve">(de más de 100.000 euros) para reducir la deuda, no del Estado, sino de sus grandes bancos insolventes, aunque a cambio de acciones de dichas entidades. Casualmente, la troika y el </w:t>
      </w:r>
      <w:r>
        <w:rPr>
          <w:u w:val="single"/>
        </w:rPr>
        <w:t>Gobierno chipriota tildaron de “impuesto”</w:t>
      </w:r>
      <w:r w:rsidRPr="00AD4F56">
        <w:rPr>
          <w:u w:val="single"/>
        </w:rPr>
        <w:t xml:space="preserve"> esta quita especial sobre los ahorradores.</w:t>
      </w:r>
    </w:p>
    <w:p w:rsidR="00BB7B36" w:rsidRPr="008170B3" w:rsidRDefault="00BB7B36" w:rsidP="00BB7B36">
      <w:pPr>
        <w:pStyle w:val="NormalWeb"/>
        <w:jc w:val="both"/>
        <w:rPr>
          <w:u w:val="single"/>
        </w:rPr>
      </w:pPr>
      <w:r w:rsidRPr="00AD4F56">
        <w:rPr>
          <w:u w:val="single"/>
        </w:rPr>
        <w:t xml:space="preserve">Además, hace poco más de un año, </w:t>
      </w:r>
      <w:hyperlink r:id="rId52" w:tgtFrame="_blank" w:history="1">
        <w:r w:rsidRPr="008170B3">
          <w:rPr>
            <w:rStyle w:val="Hipervnculo"/>
            <w:rFonts w:eastAsiaTheme="majorEastAsia"/>
            <w:color w:val="auto"/>
          </w:rPr>
          <w:t>destacados analistas alemanes</w:t>
        </w:r>
      </w:hyperlink>
      <w:r w:rsidRPr="008170B3">
        <w:rPr>
          <w:u w:val="single"/>
        </w:rPr>
        <w:t xml:space="preserve"> propusieron un impuesto similar con el fin de reducir la deuda pública de los países en problemas, pero</w:t>
      </w:r>
      <w:r w:rsidRPr="008170B3">
        <w:rPr>
          <w:rStyle w:val="Textoennegrita"/>
          <w:rFonts w:eastAsiaTheme="majorEastAsia"/>
        </w:rPr>
        <w:t xml:space="preserve"> restringida a las grandes fortunas</w:t>
      </w:r>
      <w:r w:rsidRPr="008170B3">
        <w:rPr>
          <w:u w:val="single"/>
        </w:rPr>
        <w:t>. “Los gobiernos deberían considerar la imposición de un impuesto sobre el capital de los ricos con el fin de refinanciar y reducir la deuda nacional”. ¿Su idea? Un</w:t>
      </w:r>
      <w:r w:rsidRPr="008170B3">
        <w:rPr>
          <w:rStyle w:val="Textoennegrita"/>
          <w:rFonts w:eastAsiaTheme="majorEastAsia"/>
        </w:rPr>
        <w:t xml:space="preserve"> impuesto sobre el capital del 10%</w:t>
      </w:r>
      <w:r w:rsidRPr="008170B3">
        <w:rPr>
          <w:u w:val="single"/>
        </w:rPr>
        <w:t xml:space="preserve"> sobre el patrimonio personal neto superior a 250.000 euros por contribuyente (500.000 para parejas) e incluso un tipo más elevado sobre los patrimonios superiores a 500.000 y un 1 millón de euros, respectivamente. Para los gobiernos de la periferia del euro, estas particulares quitas podrían suponer una</w:t>
      </w:r>
      <w:r w:rsidRPr="008170B3">
        <w:rPr>
          <w:rStyle w:val="Textoennegrita"/>
          <w:rFonts w:eastAsiaTheme="majorEastAsia"/>
        </w:rPr>
        <w:t xml:space="preserve"> “fuente adicional” de ingresos</w:t>
      </w:r>
      <w:r w:rsidRPr="008170B3">
        <w:rPr>
          <w:u w:val="single"/>
        </w:rPr>
        <w:t xml:space="preserve"> para asegurar la refinanciación de su deuda pública, “sin tener que depender de la ayuda externa”, añadían.</w:t>
      </w:r>
    </w:p>
    <w:p w:rsidR="00BB7B36" w:rsidRDefault="00BB7B36" w:rsidP="00BB7B36">
      <w:pPr>
        <w:pStyle w:val="NormalWeb"/>
        <w:jc w:val="both"/>
      </w:pPr>
      <w:r w:rsidRPr="008170B3">
        <w:t xml:space="preserve">Sin embargo, también advertían de que “la imposición de tales gravámenes es compleja, ya que implica la valoración de los activos y prevenir la evasión fiscal. Si la élite rica espera que tales gravámenes se repitan, esto podría desalentar la inversión y estimular la fuga de capitales”. En este sentido, </w:t>
      </w:r>
      <w:hyperlink r:id="rId53" w:tgtFrame="_blank" w:history="1">
        <w:r w:rsidRPr="008170B3">
          <w:rPr>
            <w:rStyle w:val="Hipervnculo"/>
            <w:rFonts w:eastAsiaTheme="majorEastAsia"/>
            <w:color w:val="auto"/>
          </w:rPr>
          <w:t>Peter Bofinger y Lars Feld</w:t>
        </w:r>
      </w:hyperlink>
      <w:r w:rsidRPr="008170B3">
        <w:t xml:space="preserve">, dos </w:t>
      </w:r>
      <w:r>
        <w:t>de los principales asesores económicos de la canciller alemana, Angela Merkel, recomendaron</w:t>
      </w:r>
      <w:r>
        <w:rPr>
          <w:rStyle w:val="Textoennegrita"/>
          <w:rFonts w:eastAsiaTheme="majorEastAsia"/>
        </w:rPr>
        <w:t xml:space="preserve"> gravar específicamente la riqueza inmobiliaria</w:t>
      </w:r>
      <w:r>
        <w:t xml:space="preserve"> de las familias del Sur de Europa en caso de precisar un rescate soberano, por ser activos fijos, sin la movilidad propia de los productos financieros, evitando así los nefastos efectos de la fuga de capitales que, sin duda, conllevaría una medida similar.</w:t>
      </w:r>
    </w:p>
    <w:p w:rsidR="00BB7B36" w:rsidRPr="004D6FDD" w:rsidRDefault="00BB7B36" w:rsidP="00BB7B36">
      <w:pPr>
        <w:pStyle w:val="NormalWeb"/>
        <w:jc w:val="both"/>
        <w:rPr>
          <w:b/>
        </w:rPr>
      </w:pPr>
      <w:r w:rsidRPr="004D6FDD">
        <w:rPr>
          <w:b/>
        </w:rPr>
        <w:t>En definitiva el Fondo Monetario Internacional (FMI) no esconde una nueva vuelta de tuerca a los bolsillos de los contribuyentes europeos. El organismo que preside Christine Lagarde plantea, en su informe Fiscal Monitor de octubre, una eventual quita a la riqueza de las familias europeas para que la deuda pública de 15 estados europeos recupere sus niveles de 2007. En el citado informe, la institución económica llega a concretar una cifra: el 10% de los ahorros familiares.</w:t>
      </w:r>
    </w:p>
    <w:p w:rsidR="00BB7B36" w:rsidRPr="004D6FDD" w:rsidRDefault="00BB7B36" w:rsidP="00BB7B36">
      <w:pPr>
        <w:pStyle w:val="NormalWeb"/>
        <w:jc w:val="both"/>
        <w:rPr>
          <w:b/>
        </w:rPr>
      </w:pPr>
      <w:r w:rsidRPr="004D6FDD">
        <w:rPr>
          <w:b/>
        </w:rPr>
        <w:t>Se define como capital levy o impuesto sobre el capital. Y sería un one-off. Es decir, la posible reducción se efectuaría de una sola vez. “Sería una medida excepcional para restaurar la sostenibilidad de la deuda pública”, explica el FMI en su informe. Para justificar esta posible decisión, el FMI cita que es una medida defendida por destacados e históricos economistas como Pigou, Ricardo, Schumpeter o Keynes.</w:t>
      </w:r>
    </w:p>
    <w:p w:rsidR="00BB7B36" w:rsidRPr="004D6FDD" w:rsidRDefault="00BB7B36" w:rsidP="00BB7B36">
      <w:pPr>
        <w:pStyle w:val="NormalWeb"/>
        <w:jc w:val="both"/>
        <w:rPr>
          <w:b/>
        </w:rPr>
      </w:pPr>
      <w:r w:rsidRPr="004D6FDD">
        <w:rPr>
          <w:b/>
        </w:rPr>
        <w:lastRenderedPageBreak/>
        <w:t>En el conjunto de países de la OCDE, la deuda pública media se situará el año próximo en un 113,1% sobre el PIB, cuando en 2007 el promedio apenas superaba el 74%. El mayor nivel de deuda pública bruta corresponderá a Japón, con una cifra del 233,1% sobre el PIB en 2014. Además de España, otros nueve países de la OCDE estarán por encima del 100%. Grecia registrará un 189,2%, figurando a continuación Portugal e Italia con niveles superiores al 140%. Irlanda (126,4%), Islandia (124,4%) y Francia (116,3%) también se situarán por encima del promedio de la OCDE. El Reino Unido alcanzará un 113%, mientras que los Estados Unidos llegarán al 110,4% y Bélgica al 104,5%. Austria, los Países Bajos y Alemania superarán el 85%, mientras que Finlandia rozará un 70%.</w:t>
      </w:r>
    </w:p>
    <w:p w:rsidR="00BB7B36" w:rsidRDefault="00BB7B36" w:rsidP="00BB7B36">
      <w:pPr>
        <w:pStyle w:val="NormalWeb"/>
        <w:jc w:val="both"/>
        <w:rPr>
          <w:b/>
        </w:rPr>
      </w:pPr>
      <w:r w:rsidRPr="004D6FDD">
        <w:rPr>
          <w:b/>
        </w:rPr>
        <w:t>Entre los países de la OCDE que pertenecen a la Unión Europea destacan los niveles relativamente bajos de endeudamiento de Dinamarca (58,4%), Suecia (52,7%) y, sobre todo, Luxemburgo (32%). Estas tres naciones son la excepción en el conjunto de países de la OCDE, donde la deuda pública media se situará el año próximo en un 113,1% sobre el PIB, cuando en 2007 el promedio apenas superaba el 74%.</w:t>
      </w:r>
    </w:p>
    <w:p w:rsidR="00BB7B36" w:rsidRPr="004D6FDD" w:rsidRDefault="00BB7B36" w:rsidP="00BB7B36">
      <w:pPr>
        <w:pStyle w:val="NormalWeb"/>
        <w:jc w:val="both"/>
        <w:rPr>
          <w:b/>
        </w:rPr>
      </w:pPr>
      <w:r>
        <w:rPr>
          <w:b/>
        </w:rPr>
        <w:t xml:space="preserve">Estos “illuminatis” no solo nos “laminan” las prestaciones sociales hasta la extenuación, sino que nos “expropian” de un plumazo, un 10% adicional de nuestro menguado patrimonio. Me queda una sola duda: ¿para cuándo el “derecho de pernada”? (no sé si le apetecerá a Ms. Lagarde, pero estoy seguro que a Mr. Strauss Kahn le hubiera gustado “muchísimo”. A verlas venir... entonces. </w:t>
      </w:r>
    </w:p>
    <w:p w:rsidR="00BB7B36" w:rsidRPr="001C0F65" w:rsidRDefault="00BB7B36" w:rsidP="00BB7B36">
      <w:pPr>
        <w:pStyle w:val="NormalWeb"/>
        <w:jc w:val="both"/>
        <w:rPr>
          <w:b/>
        </w:rPr>
      </w:pPr>
      <w:r>
        <w:rPr>
          <w:b/>
        </w:rPr>
        <w:t>Lo auténticamente “insostenible” es e</w:t>
      </w:r>
      <w:r w:rsidRPr="001C0F65">
        <w:rPr>
          <w:b/>
        </w:rPr>
        <w:t>l círculo vicioso entre</w:t>
      </w:r>
      <w:r>
        <w:rPr>
          <w:b/>
        </w:rPr>
        <w:t xml:space="preserve"> estados y bancos </w:t>
      </w:r>
      <w:r w:rsidRPr="001C0F65">
        <w:rPr>
          <w:b/>
        </w:rPr>
        <w:t xml:space="preserve"> </w:t>
      </w:r>
    </w:p>
    <w:p w:rsidR="00BB7B36" w:rsidRPr="001C0F65" w:rsidRDefault="00BB7B36" w:rsidP="00BB7B36">
      <w:pPr>
        <w:pStyle w:val="NormalWeb"/>
        <w:jc w:val="both"/>
        <w:rPr>
          <w:b/>
        </w:rPr>
      </w:pPr>
      <w:r w:rsidRPr="001C0F65">
        <w:rPr>
          <w:b/>
        </w:rPr>
        <w:t>No se entiende el peso excesivo del sector financiero en el PIB. Nunca antes fue tan elevado. Las finanzas se han divorciado del comercio y la economía real, su razón de ser primigenia.</w:t>
      </w:r>
    </w:p>
    <w:p w:rsidR="00BB7B36" w:rsidRPr="001C0F65" w:rsidRDefault="00BB7B36" w:rsidP="00BB7B36">
      <w:pPr>
        <w:pStyle w:val="NormalWeb"/>
        <w:jc w:val="both"/>
        <w:rPr>
          <w:b/>
        </w:rPr>
      </w:pPr>
      <w:r w:rsidRPr="001C0F65">
        <w:rPr>
          <w:rStyle w:val="Textoennegrita"/>
          <w:rFonts w:eastAsiaTheme="majorEastAsia"/>
        </w:rPr>
        <w:t>Es necesario volver a encarrilar el sistema financiero</w:t>
      </w:r>
      <w:r w:rsidRPr="001C0F65">
        <w:rPr>
          <w:b/>
        </w:rPr>
        <w:t>. Rediseñarlo introduciendo mecanismos que impidan tropelías como las que todavía seguimos padeciendo. Prohibiendo los instrumentos financieros absurdos que exacerban el riesgo a cambio de nada, cuya letra pequeña nadie entiende, empezando por aquellos que los adquieren y contratan.</w:t>
      </w:r>
    </w:p>
    <w:p w:rsidR="00BB7B36" w:rsidRPr="001C0F65" w:rsidRDefault="00BB7B36" w:rsidP="00BB7B36">
      <w:pPr>
        <w:pStyle w:val="NormalWeb"/>
        <w:jc w:val="both"/>
        <w:rPr>
          <w:b/>
        </w:rPr>
      </w:pPr>
      <w:r w:rsidRPr="001C0F65">
        <w:rPr>
          <w:b/>
        </w:rPr>
        <w:t>Es necesario reducir abruptamente la concentración financiera promovida como consecuencia de la crisis financiera en vigor. Poniendo al mando de las entidades resultantes a gente decente y honrada. Reconvirtiendo el contubernio manipulado en que se ha convertido el sistema financiero mundial obligándolo a retornar a sus esencias mercantiles y comerciales.</w:t>
      </w:r>
    </w:p>
    <w:p w:rsidR="00BB7B36" w:rsidRPr="001C0F65" w:rsidRDefault="00BB7B36" w:rsidP="00BB7B36">
      <w:pPr>
        <w:pStyle w:val="NormalWeb"/>
        <w:jc w:val="both"/>
        <w:rPr>
          <w:b/>
        </w:rPr>
      </w:pPr>
      <w:r w:rsidRPr="001C0F65">
        <w:rPr>
          <w:b/>
        </w:rPr>
        <w:t>La banca nació con el fin de servir como simple intermediario entre comprador y vendedor. Se dedicaba a facilitar las transacciones económicas. Apadrinaba de manera rápida, segura y fiable nuevas aventuras mercantiles otorgando crédito de manera sensata.  </w:t>
      </w:r>
    </w:p>
    <w:p w:rsidR="00BB7B36" w:rsidRPr="001C0F65" w:rsidRDefault="00BB7B36" w:rsidP="00BB7B36">
      <w:pPr>
        <w:pStyle w:val="NormalWeb"/>
        <w:jc w:val="both"/>
        <w:rPr>
          <w:b/>
        </w:rPr>
      </w:pPr>
      <w:r w:rsidRPr="001C0F65">
        <w:rPr>
          <w:b/>
        </w:rPr>
        <w:t xml:space="preserve">Desgraciadamente, </w:t>
      </w:r>
      <w:r w:rsidRPr="001C0F65">
        <w:rPr>
          <w:rStyle w:val="Textoennegrita"/>
          <w:rFonts w:eastAsiaTheme="majorEastAsia"/>
        </w:rPr>
        <w:t>las finanzas han dejado de ser un medio capaz de propulsar el bienestar y el comercio para convertirse en un fin en sí mismo</w:t>
      </w:r>
      <w:r w:rsidRPr="001C0F65">
        <w:rPr>
          <w:b/>
        </w:rPr>
        <w:t xml:space="preserve">. En un lastre y en una bomba de relojería recurrente generadora de burbujas diversas destinadas a </w:t>
      </w:r>
      <w:r w:rsidRPr="001C0F65">
        <w:rPr>
          <w:b/>
        </w:rPr>
        <w:lastRenderedPageBreak/>
        <w:t>explotar cada cierto tiempo una vez</w:t>
      </w:r>
      <w:r w:rsidR="00953C11">
        <w:rPr>
          <w:b/>
        </w:rPr>
        <w:t xml:space="preserve"> que</w:t>
      </w:r>
      <w:r w:rsidRPr="001C0F65">
        <w:rPr>
          <w:b/>
        </w:rPr>
        <w:t xml:space="preserve"> los gurús han vuelto a hacer caja con sus prédicas absurdas. Cambio conceptual que tomó carta de naturaleza desacerbada durante los años 80 del siglo pasado.</w:t>
      </w:r>
    </w:p>
    <w:p w:rsidR="00BB7B36" w:rsidRPr="001C0F65" w:rsidRDefault="00BB7B36" w:rsidP="00BB7B36">
      <w:pPr>
        <w:pStyle w:val="NormalWeb"/>
        <w:jc w:val="both"/>
        <w:rPr>
          <w:b/>
        </w:rPr>
      </w:pPr>
      <w:r w:rsidRPr="001C0F65">
        <w:rPr>
          <w:b/>
        </w:rPr>
        <w:t>La economía financiera, el simple intermediario de antaño, se ha convertido en protagonista absoluto del presente económico, pervirtiendo el sistema y empobreciendo a la mayoría de la población.</w:t>
      </w:r>
    </w:p>
    <w:p w:rsidR="00BB7B36" w:rsidRPr="001C0F65" w:rsidRDefault="00BB7B36" w:rsidP="00BB7B36">
      <w:pPr>
        <w:pStyle w:val="NormalWeb"/>
        <w:jc w:val="both"/>
        <w:rPr>
          <w:b/>
        </w:rPr>
      </w:pPr>
      <w:r w:rsidRPr="001C0F65">
        <w:rPr>
          <w:rStyle w:val="Textoennegrita"/>
          <w:rFonts w:eastAsiaTheme="majorEastAsia"/>
        </w:rPr>
        <w:t>El crédito sigue sin fluir hacia particulares y empresas, su razón de ser primigenia</w:t>
      </w:r>
      <w:r w:rsidRPr="001C0F65">
        <w:rPr>
          <w:b/>
        </w:rPr>
        <w:t xml:space="preserve">. Su único destino actual es financiar a reyes metafóricos y tiranos. La burbuja de deuda pública se incrementa, aquí o acullá, hasta que acabe por reventar. Los sistemas financieros, por el contrario, han dejado de funcionar con aquello para lo cual fueron creados. Se vuelve al trueque, se llamen </w:t>
      </w:r>
      <w:r>
        <w:rPr>
          <w:b/>
        </w:rPr>
        <w:t>“</w:t>
      </w:r>
      <w:r w:rsidRPr="00F24911">
        <w:rPr>
          <w:rStyle w:val="nfasis"/>
          <w:b/>
          <w:i w:val="0"/>
        </w:rPr>
        <w:t>bitcoins</w:t>
      </w:r>
      <w:r>
        <w:rPr>
          <w:rStyle w:val="nfasis"/>
          <w:b/>
          <w:i w:val="0"/>
        </w:rPr>
        <w:t>”</w:t>
      </w:r>
      <w:r w:rsidRPr="001C0F65">
        <w:rPr>
          <w:b/>
        </w:rPr>
        <w:t xml:space="preserve"> u otras iniciativas que están surgiendo fuera del sistema. Brutal paradoja.</w:t>
      </w:r>
    </w:p>
    <w:p w:rsidR="00BB7B36" w:rsidRPr="001C0F65" w:rsidRDefault="00BB7B36" w:rsidP="00BB7B36">
      <w:pPr>
        <w:pStyle w:val="NormalWeb"/>
        <w:jc w:val="both"/>
        <w:rPr>
          <w:b/>
        </w:rPr>
      </w:pPr>
      <w:r w:rsidRPr="001C0F65">
        <w:rPr>
          <w:b/>
        </w:rPr>
        <w:t>En vez de analizar con profundidad los hechos y actuar con sensatez, desde que comenzó la crisis se han reforzado los mecanismos financieros que nos han llevado al desastre. La banca mundial se concentra cada vez en menos actores alejándola del objetivo tradicional: la mera intermediación que promueva el crédito, proporcionar facilidades a los empresarios y agilizar el comercio. El crédito ya apenas se otorga a particulares y empresas más que para especular. Su objetivo primigenio raramente se cumple ya.</w:t>
      </w:r>
    </w:p>
    <w:p w:rsidR="00BB7B36" w:rsidRPr="001C0F65" w:rsidRDefault="00BB7B36" w:rsidP="00BB7B36">
      <w:pPr>
        <w:pStyle w:val="NormalWeb"/>
        <w:jc w:val="both"/>
        <w:rPr>
          <w:b/>
        </w:rPr>
      </w:pPr>
      <w:r w:rsidRPr="001C0F65">
        <w:rPr>
          <w:b/>
        </w:rPr>
        <w:t xml:space="preserve">El motor económico no podrá arrancar mientras no vuelva a haber un entramado financiero diverso y disperso con objetivos claros, con activos más reducidos respaldados con algo más que aire. Con entidades sanas y profesionales. </w:t>
      </w:r>
      <w:r w:rsidRPr="001C0F65">
        <w:rPr>
          <w:rStyle w:val="Textoennegrita"/>
          <w:rFonts w:eastAsiaTheme="majorEastAsia"/>
        </w:rPr>
        <w:t>El poder financiero debe dejar de seguir concentrado en manos de unos pocos desalmados</w:t>
      </w:r>
      <w:r w:rsidRPr="001C0F65">
        <w:rPr>
          <w:b/>
        </w:rPr>
        <w:t>.</w:t>
      </w:r>
    </w:p>
    <w:p w:rsidR="00BB7B36" w:rsidRDefault="00BB7B36" w:rsidP="00BB7B36">
      <w:pPr>
        <w:pStyle w:val="NormalWeb"/>
        <w:jc w:val="both"/>
        <w:rPr>
          <w:b/>
        </w:rPr>
      </w:pPr>
      <w:r>
        <w:rPr>
          <w:b/>
        </w:rPr>
        <w:t>“</w:t>
      </w:r>
      <w:r w:rsidRPr="00F24911">
        <w:rPr>
          <w:b/>
        </w:rPr>
        <w:t>Las cenizas de Ángela</w:t>
      </w:r>
      <w:r>
        <w:rPr>
          <w:b/>
        </w:rPr>
        <w:t>”</w:t>
      </w:r>
    </w:p>
    <w:p w:rsidR="00BB7B36" w:rsidRDefault="00BB7B36" w:rsidP="00BB7B36">
      <w:pPr>
        <w:pStyle w:val="NormalWeb"/>
        <w:jc w:val="both"/>
        <w:rPr>
          <w:b/>
        </w:rPr>
      </w:pPr>
      <w:r>
        <w:rPr>
          <w:b/>
        </w:rPr>
        <w:t>E</w:t>
      </w:r>
      <w:r w:rsidRPr="00F24911">
        <w:rPr>
          <w:b/>
        </w:rPr>
        <w:t>s un libro de memorias escrito por el autor irlandés estadounidense Frank McCourt. Fue publicado en 1996 y obtuvo el Premio Pulitzer</w:t>
      </w:r>
      <w:r>
        <w:rPr>
          <w:b/>
        </w:rPr>
        <w:t>.</w:t>
      </w:r>
    </w:p>
    <w:p w:rsidR="00BB7B36" w:rsidRDefault="00BB7B36" w:rsidP="00BB7B36">
      <w:pPr>
        <w:pStyle w:val="NormalWeb"/>
        <w:jc w:val="both"/>
        <w:rPr>
          <w:b/>
        </w:rPr>
      </w:pPr>
      <w:r w:rsidRPr="008F2076">
        <w:rPr>
          <w:b/>
        </w:rPr>
        <w:t>La vida en Irlanda, y especialmente en Limerick, no era fácil en aquella época (años 30 y 40), y el libro la recoge con crudeza. La familia McCourt vive en una casucha minúscula en una callejuela sucia, con una sola bombilla y conviviendo con las pulgas y los chinches, y comparten una única letrina con sus demás vecinos. El padre, vago y alcohólico, apenas logra mantener ningún trabajo, y cuando lo hace es sólo para poder comprar más bebida. Así, la familia se ve obligada a vivir de la caridad, subsistiendo principalmente a base de té y pan</w:t>
      </w:r>
      <w:r>
        <w:rPr>
          <w:b/>
        </w:rPr>
        <w:t>…</w:t>
      </w:r>
    </w:p>
    <w:p w:rsidR="00BB7B36" w:rsidRDefault="00BB7B36" w:rsidP="00BB7B36">
      <w:pPr>
        <w:pStyle w:val="NormalWeb"/>
        <w:jc w:val="both"/>
        <w:rPr>
          <w:b/>
        </w:rPr>
      </w:pPr>
      <w:r>
        <w:rPr>
          <w:b/>
        </w:rPr>
        <w:t xml:space="preserve">Cuando leo que los “illuminatis” europeos (y no digamos los “partys” americanos), sostienen que hay que pasar de la “solidaridad indirecta” (estado del bienestar) a la “solidaridad directa” (caridad privada), porque al estar todo cubierto ha subido el estándar de vida y la sensación de felicidad, generando a su vez individualismo, y erosionando en papel de los ciudadanos en la sociedad, mientras que la solidaridad directa, la del apoyo mutuo, tiene un fuerte componente emocional, no  puedo dejar de pensar en la “emoción” que sentían Ángela y sus hijos cuando mendigaban caridad, dormían todos en la misma cama, o lamían el papel de diario en el que había sido envuelto el misericordioso alimento. Una “gozada”, vamos. </w:t>
      </w:r>
    </w:p>
    <w:p w:rsidR="00E02187" w:rsidRDefault="00E02187" w:rsidP="00E02187">
      <w:pPr>
        <w:pStyle w:val="NormalWeb"/>
        <w:jc w:val="both"/>
        <w:rPr>
          <w:b/>
        </w:rPr>
      </w:pPr>
      <w:r>
        <w:rPr>
          <w:b/>
        </w:rPr>
        <w:lastRenderedPageBreak/>
        <w:t>2 - La mala educación</w:t>
      </w:r>
    </w:p>
    <w:p w:rsidR="00E02187" w:rsidRDefault="00E02187" w:rsidP="00E02187">
      <w:pPr>
        <w:pStyle w:val="NormalWeb"/>
        <w:jc w:val="both"/>
        <w:rPr>
          <w:b/>
        </w:rPr>
      </w:pPr>
      <w:r>
        <w:rPr>
          <w:noProof/>
          <w:color w:val="0000FF"/>
        </w:rPr>
        <w:drawing>
          <wp:inline distT="0" distB="0" distL="0" distR="0" wp14:anchorId="4B36C860" wp14:editId="0FB1F128">
            <wp:extent cx="5400040" cy="2369103"/>
            <wp:effectExtent l="0" t="0" r="0" b="0"/>
            <wp:docPr id="158" name="Imagen 158" descr="Miles de policías «escoltan» la manifestación estudiantil en la City">
              <a:hlinkClick xmlns:a="http://schemas.openxmlformats.org/drawingml/2006/main" r:id=""/>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Miles de policías «escoltan» la manifestación estudiantil en la City"/>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00040" cy="2369103"/>
                    </a:xfrm>
                    <a:prstGeom prst="rect">
                      <a:avLst/>
                    </a:prstGeom>
                    <a:noFill/>
                    <a:ln>
                      <a:noFill/>
                    </a:ln>
                  </pic:spPr>
                </pic:pic>
              </a:graphicData>
            </a:graphic>
          </wp:inline>
        </w:drawing>
      </w:r>
    </w:p>
    <w:p w:rsidR="00E02187" w:rsidRDefault="00E02187" w:rsidP="00E02187">
      <w:pPr>
        <w:spacing w:before="100" w:beforeAutospacing="1" w:after="100" w:afterAutospacing="1" w:line="240" w:lineRule="auto"/>
        <w:jc w:val="both"/>
        <w:outlineLvl w:val="0"/>
        <w:rPr>
          <w:rFonts w:ascii="Times New Roman" w:eastAsia="Times New Roman" w:hAnsi="Times New Roman"/>
          <w:b/>
          <w:bCs/>
          <w:kern w:val="36"/>
          <w:sz w:val="24"/>
          <w:szCs w:val="24"/>
          <w:lang w:eastAsia="es-ES"/>
        </w:rPr>
      </w:pPr>
      <w:r>
        <w:rPr>
          <w:rFonts w:ascii="Times New Roman" w:eastAsia="Times New Roman" w:hAnsi="Times New Roman"/>
          <w:b/>
          <w:bCs/>
          <w:kern w:val="36"/>
          <w:sz w:val="24"/>
          <w:szCs w:val="24"/>
          <w:lang w:eastAsia="es-ES"/>
        </w:rPr>
        <w:t xml:space="preserve">De los tres próximos temas a tratar (educación, salud y pensiones), los asuntos vinculados con la enseñanza (instrucción, formación, cultura, orientación, ilustración, adiestramiento), son los que me resultan más cercanos y </w:t>
      </w:r>
      <w:r w:rsidR="007C5A7D">
        <w:rPr>
          <w:rFonts w:ascii="Times New Roman" w:eastAsia="Times New Roman" w:hAnsi="Times New Roman"/>
          <w:b/>
          <w:bCs/>
          <w:kern w:val="36"/>
          <w:sz w:val="24"/>
          <w:szCs w:val="24"/>
          <w:lang w:eastAsia="es-ES"/>
        </w:rPr>
        <w:t>trascendentes</w:t>
      </w:r>
      <w:r>
        <w:rPr>
          <w:rFonts w:ascii="Times New Roman" w:eastAsia="Times New Roman" w:hAnsi="Times New Roman"/>
          <w:b/>
          <w:bCs/>
          <w:kern w:val="36"/>
          <w:sz w:val="24"/>
          <w:szCs w:val="24"/>
          <w:lang w:eastAsia="es-ES"/>
        </w:rPr>
        <w:t>.</w:t>
      </w:r>
    </w:p>
    <w:p w:rsidR="00E02187" w:rsidRPr="00D65398" w:rsidRDefault="00E02187" w:rsidP="00E02187">
      <w:pPr>
        <w:spacing w:before="100" w:beforeAutospacing="1" w:after="100" w:afterAutospacing="1" w:line="240" w:lineRule="auto"/>
        <w:jc w:val="both"/>
        <w:outlineLvl w:val="0"/>
        <w:rPr>
          <w:rFonts w:ascii="Times New Roman" w:eastAsia="Times New Roman" w:hAnsi="Times New Roman"/>
          <w:b/>
          <w:bCs/>
          <w:kern w:val="36"/>
          <w:sz w:val="24"/>
          <w:szCs w:val="24"/>
          <w:lang w:eastAsia="es-ES"/>
        </w:rPr>
      </w:pPr>
      <w:r w:rsidRPr="003F59D2">
        <w:rPr>
          <w:rFonts w:ascii="Times New Roman" w:eastAsia="Times New Roman" w:hAnsi="Times New Roman"/>
          <w:bCs/>
          <w:kern w:val="36"/>
          <w:sz w:val="24"/>
          <w:szCs w:val="24"/>
          <w:lang w:eastAsia="es-ES"/>
        </w:rPr>
        <w:t>En Febrero, de 2010</w:t>
      </w:r>
      <w:r>
        <w:rPr>
          <w:rFonts w:ascii="Times New Roman" w:eastAsia="Times New Roman" w:hAnsi="Times New Roman"/>
          <w:bCs/>
          <w:kern w:val="36"/>
          <w:sz w:val="24"/>
          <w:szCs w:val="24"/>
          <w:lang w:eastAsia="es-ES"/>
        </w:rPr>
        <w:t xml:space="preserve">, publiqué </w:t>
      </w:r>
      <w:r w:rsidRPr="003F59D2">
        <w:rPr>
          <w:rFonts w:ascii="Times New Roman" w:eastAsia="Times New Roman" w:hAnsi="Times New Roman"/>
          <w:bCs/>
          <w:kern w:val="36"/>
          <w:sz w:val="24"/>
          <w:szCs w:val="24"/>
          <w:lang w:eastAsia="es-ES"/>
        </w:rPr>
        <w:t>el Ensayo titulado:</w:t>
      </w:r>
      <w:r>
        <w:rPr>
          <w:rFonts w:ascii="Times New Roman" w:eastAsia="Times New Roman" w:hAnsi="Times New Roman"/>
          <w:bCs/>
          <w:kern w:val="36"/>
          <w:sz w:val="24"/>
          <w:szCs w:val="24"/>
          <w:lang w:eastAsia="es-ES"/>
        </w:rPr>
        <w:t xml:space="preserve"> </w:t>
      </w:r>
      <w:r w:rsidRPr="00D65398">
        <w:rPr>
          <w:rFonts w:ascii="Times New Roman" w:eastAsia="Times New Roman" w:hAnsi="Times New Roman"/>
          <w:b/>
          <w:bCs/>
          <w:kern w:val="36"/>
          <w:sz w:val="24"/>
          <w:szCs w:val="24"/>
          <w:lang w:eastAsia="es-ES"/>
        </w:rPr>
        <w:t>Esperando la rebelión de los “ni-ni” (ni estudian ni trabajan): Los “babylosers” - De la “Generación Peter Pan” a la “Generación Cero”: el becarismo rampante</w:t>
      </w:r>
    </w:p>
    <w:p w:rsidR="00E02187" w:rsidRPr="003F59D2" w:rsidRDefault="00E02187" w:rsidP="00E02187">
      <w:pPr>
        <w:jc w:val="both"/>
        <w:rPr>
          <w:rFonts w:ascii="Times New Roman" w:hAnsi="Times New Roman"/>
          <w:sz w:val="24"/>
          <w:szCs w:val="24"/>
        </w:rPr>
      </w:pPr>
      <w:r>
        <w:rPr>
          <w:rFonts w:ascii="Times New Roman" w:hAnsi="Times New Roman"/>
          <w:sz w:val="24"/>
          <w:szCs w:val="24"/>
        </w:rPr>
        <w:t xml:space="preserve">En el </w:t>
      </w:r>
      <w:r w:rsidRPr="00AF6425">
        <w:rPr>
          <w:rFonts w:ascii="Times New Roman" w:hAnsi="Times New Roman"/>
          <w:sz w:val="24"/>
          <w:szCs w:val="24"/>
          <w:u w:val="single"/>
        </w:rPr>
        <w:t>Apartado</w:t>
      </w:r>
      <w:r>
        <w:rPr>
          <w:rFonts w:ascii="Times New Roman" w:hAnsi="Times New Roman"/>
          <w:sz w:val="24"/>
          <w:szCs w:val="24"/>
        </w:rPr>
        <w:t xml:space="preserve">: </w:t>
      </w:r>
      <w:r w:rsidRPr="003F59D2">
        <w:rPr>
          <w:rFonts w:ascii="Times New Roman" w:hAnsi="Times New Roman"/>
          <w:sz w:val="24"/>
          <w:szCs w:val="24"/>
        </w:rPr>
        <w:t xml:space="preserve">- </w:t>
      </w:r>
      <w:r w:rsidRPr="00D65398">
        <w:rPr>
          <w:rFonts w:ascii="Times New Roman" w:hAnsi="Times New Roman"/>
          <w:sz w:val="24"/>
          <w:szCs w:val="24"/>
          <w:u w:val="single"/>
        </w:rPr>
        <w:t>Ya sé; no me digás, tenés razón: la vida es una herida absurda…</w:t>
      </w:r>
      <w:r w:rsidRPr="003F59D2">
        <w:rPr>
          <w:rFonts w:ascii="Times New Roman" w:hAnsi="Times New Roman"/>
          <w:sz w:val="24"/>
          <w:szCs w:val="24"/>
        </w:rPr>
        <w:t xml:space="preserve"> (*)</w:t>
      </w:r>
    </w:p>
    <w:p w:rsidR="00E02187" w:rsidRDefault="00E02187" w:rsidP="00E02187">
      <w:pPr>
        <w:jc w:val="both"/>
        <w:rPr>
          <w:rFonts w:ascii="Times New Roman" w:hAnsi="Times New Roman"/>
          <w:sz w:val="24"/>
          <w:szCs w:val="24"/>
        </w:rPr>
      </w:pPr>
      <w:r>
        <w:rPr>
          <w:rFonts w:ascii="Times New Roman" w:hAnsi="Times New Roman"/>
          <w:sz w:val="24"/>
          <w:szCs w:val="24"/>
        </w:rPr>
        <w:t>(*)  (De la letra del Tango “La última curda” de Cátulo Castillo y Aníbal Troilo)</w:t>
      </w:r>
    </w:p>
    <w:p w:rsidR="00E02187" w:rsidRDefault="00E02187" w:rsidP="00E02187">
      <w:pPr>
        <w:jc w:val="both"/>
        <w:rPr>
          <w:rFonts w:ascii="Times New Roman" w:hAnsi="Times New Roman"/>
          <w:sz w:val="24"/>
          <w:szCs w:val="24"/>
        </w:rPr>
      </w:pPr>
      <w:r>
        <w:rPr>
          <w:rFonts w:ascii="Times New Roman" w:hAnsi="Times New Roman"/>
          <w:sz w:val="24"/>
          <w:szCs w:val="24"/>
        </w:rPr>
        <w:t>Decía:</w:t>
      </w:r>
    </w:p>
    <w:p w:rsidR="00E02187" w:rsidRDefault="00E02187" w:rsidP="00E02187">
      <w:pPr>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   “Me resulta tan odioso seguir como conducir”. Nietzsche</w:t>
      </w:r>
    </w:p>
    <w:p w:rsidR="00E02187" w:rsidRDefault="00E02187" w:rsidP="00E02187">
      <w:pPr>
        <w:jc w:val="both"/>
        <w:rPr>
          <w:rFonts w:ascii="Times New Roman" w:hAnsi="Times New Roman"/>
          <w:sz w:val="24"/>
          <w:szCs w:val="24"/>
        </w:rPr>
      </w:pPr>
      <w:r>
        <w:rPr>
          <w:rFonts w:ascii="Times New Roman" w:hAnsi="Times New Roman"/>
          <w:sz w:val="24"/>
          <w:szCs w:val="24"/>
        </w:rPr>
        <w:t>Estimado joven amigo: No tengo la menor autoridad para sermonear a nadie (apenas soy, un millonario en fracasos) y aunque la tuviera, no la desearía utilizar (intento ser liberal hasta el renunciamiento personal). Por otra parte, tampoco puedo dirigirme a mis contemporáneos (los que no se han dado por “vencidos”, disfrutan del hedonismo pasivo de última instancia, mientras duren las migajas). Por supuesto, poco interesan mis pensamientos a nivel académico, por incómodos y fuera de contexto (fui expulsado de las Escuelas de Negocios, por antiglobalizador, desde antes que ese término trascendiera al gran público, o por intentar enseñar ética, a los que sólo se preparaban para matar).</w:t>
      </w:r>
    </w:p>
    <w:p w:rsidR="00E02187" w:rsidRDefault="00E02187" w:rsidP="00E02187">
      <w:pPr>
        <w:jc w:val="both"/>
        <w:rPr>
          <w:rFonts w:ascii="Times New Roman" w:hAnsi="Times New Roman"/>
          <w:sz w:val="24"/>
          <w:szCs w:val="24"/>
        </w:rPr>
      </w:pPr>
      <w:r>
        <w:rPr>
          <w:rFonts w:ascii="Times New Roman" w:hAnsi="Times New Roman"/>
          <w:sz w:val="24"/>
          <w:szCs w:val="24"/>
        </w:rPr>
        <w:t>Así y todo, por el mérito de haber trabajado para ti (sí, al menos para los que aún leen, por supuesto) desde el año 1998, estudiando, documentando y escribiendo sobre  temas de economía para facilitar la difusión, el entendimiento y el debate de ideas desde una óptica “políticamente incorrecta”, además de dejar un amplio archivo de Informes y Hemeroteca para que “no se olvide lo inolvidable”, permíteme compartir contigo esta “confesión”.</w:t>
      </w:r>
    </w:p>
    <w:p w:rsidR="00E02187" w:rsidRDefault="00E02187" w:rsidP="00E02187">
      <w:pPr>
        <w:jc w:val="both"/>
        <w:rPr>
          <w:rFonts w:ascii="Times New Roman" w:hAnsi="Times New Roman"/>
          <w:sz w:val="24"/>
          <w:szCs w:val="24"/>
        </w:rPr>
      </w:pPr>
      <w:r>
        <w:rPr>
          <w:rFonts w:ascii="Times New Roman" w:hAnsi="Times New Roman"/>
          <w:sz w:val="24"/>
          <w:szCs w:val="24"/>
        </w:rPr>
        <w:lastRenderedPageBreak/>
        <w:t>El 54% de los miembros de tu generación (“de los ciudadanos de 18 a 34 años”, según los analistas, que no ahorran en sarcasmos, al llamarlos ciudadanos), no tiene proyectos ni ilusión. No aciertan a vislumbrar una salida airosa, ni combatir este estado de cosas. No tienen prisa para hacerse mayores.</w:t>
      </w:r>
    </w:p>
    <w:p w:rsidR="00E02187" w:rsidRDefault="00E02187" w:rsidP="00E02187">
      <w:pPr>
        <w:jc w:val="both"/>
        <w:rPr>
          <w:rFonts w:ascii="Times New Roman" w:hAnsi="Times New Roman"/>
          <w:sz w:val="24"/>
          <w:szCs w:val="24"/>
        </w:rPr>
      </w:pPr>
      <w:r>
        <w:rPr>
          <w:rFonts w:ascii="Times New Roman" w:hAnsi="Times New Roman"/>
          <w:sz w:val="24"/>
          <w:szCs w:val="24"/>
        </w:rPr>
        <w:t>El virus del desánimo está minando la naturaleza vitalista y combativa de la gente joven. Mientras tanto, el discurso consumista ha resultado una trampa para tantos jóvenes audaces que creyeron en el maná crediticio y el crecimiento económico sin fin.</w:t>
      </w:r>
    </w:p>
    <w:p w:rsidR="00E02187" w:rsidRDefault="00E02187" w:rsidP="00E02187">
      <w:pPr>
        <w:jc w:val="both"/>
        <w:rPr>
          <w:rFonts w:ascii="Times New Roman" w:hAnsi="Times New Roman"/>
          <w:sz w:val="24"/>
          <w:szCs w:val="24"/>
        </w:rPr>
      </w:pPr>
      <w:r>
        <w:rPr>
          <w:rFonts w:ascii="Times New Roman" w:hAnsi="Times New Roman"/>
          <w:sz w:val="24"/>
          <w:szCs w:val="24"/>
        </w:rPr>
        <w:t xml:space="preserve">Vivir peor que sus padres… Podemos estar asistiendo al primer proceso masivo de descenso social desde los tiempos de la Revolución francesa. </w:t>
      </w:r>
    </w:p>
    <w:p w:rsidR="00E02187" w:rsidRDefault="00E02187" w:rsidP="00E02187">
      <w:pPr>
        <w:jc w:val="both"/>
        <w:rPr>
          <w:rFonts w:ascii="Times New Roman" w:hAnsi="Times New Roman"/>
          <w:sz w:val="24"/>
          <w:szCs w:val="24"/>
        </w:rPr>
      </w:pPr>
      <w:r>
        <w:rPr>
          <w:rFonts w:ascii="Times New Roman" w:hAnsi="Times New Roman"/>
          <w:sz w:val="24"/>
          <w:szCs w:val="24"/>
        </w:rPr>
        <w:t>¿Ha surgido una generación apática, desvitalizada, indolente, mecida en el confort familiar? Aplican la estrategia de flexibilizar los deseos (individuos de plastilina) y de restar compromisos (seres invisibles, presentistas). Aprovechar el momento “aquí y ahora”.</w:t>
      </w:r>
    </w:p>
    <w:p w:rsidR="00E02187" w:rsidRDefault="00E02187" w:rsidP="00E02187">
      <w:pPr>
        <w:jc w:val="both"/>
        <w:rPr>
          <w:rFonts w:ascii="Times New Roman" w:hAnsi="Times New Roman"/>
          <w:sz w:val="24"/>
          <w:szCs w:val="24"/>
        </w:rPr>
      </w:pPr>
      <w:r>
        <w:rPr>
          <w:rFonts w:ascii="Times New Roman" w:hAnsi="Times New Roman"/>
          <w:sz w:val="24"/>
          <w:szCs w:val="24"/>
        </w:rPr>
        <w:t>Esclavos libres… Jóvenes rotos… Presa fácil de la devastación laboral, corren el riesgo (casi la certeza) de un nivel de vida peor que el de sus padres. Nuestra sociedad excluye aquellos que representan el futuro, transformándolos en extranjeros de sí misma. Excluidos del futuro, desarrollan una actitud nihilista porque no les exige estar motivados, ni asumir responsabilidades.</w:t>
      </w:r>
    </w:p>
    <w:p w:rsidR="00E02187" w:rsidRDefault="00E02187" w:rsidP="00E02187">
      <w:pPr>
        <w:jc w:val="both"/>
        <w:rPr>
          <w:rFonts w:ascii="Times New Roman" w:hAnsi="Times New Roman"/>
          <w:sz w:val="24"/>
          <w:szCs w:val="24"/>
        </w:rPr>
      </w:pPr>
      <w:r>
        <w:rPr>
          <w:rFonts w:ascii="Times New Roman" w:hAnsi="Times New Roman"/>
          <w:sz w:val="24"/>
          <w:szCs w:val="24"/>
        </w:rPr>
        <w:t>¿Será posible que esta juventud supuestamente acomodaticia y refractaria a la utopía sea la llamada a abrir nuevos caminos? Vivimos un tiempo sin ideologías. Vivimos en una sociedad “anestesiada”. Una sociedad en la que todo vale. Es mejor no aspirar a mucho y “pillar” lo que se pueda.</w:t>
      </w:r>
    </w:p>
    <w:p w:rsidR="00E02187" w:rsidRDefault="00E02187" w:rsidP="00E02187">
      <w:pPr>
        <w:jc w:val="both"/>
        <w:rPr>
          <w:rFonts w:ascii="Times New Roman" w:hAnsi="Times New Roman"/>
          <w:sz w:val="24"/>
          <w:szCs w:val="24"/>
        </w:rPr>
      </w:pPr>
      <w:r>
        <w:rPr>
          <w:rFonts w:ascii="Times New Roman" w:hAnsi="Times New Roman"/>
          <w:sz w:val="24"/>
          <w:szCs w:val="24"/>
        </w:rPr>
        <w:t>Generación decepción… La apatía destructiva que se deriva de la ausencia de valores, de la relatividad moral, de la indiferencia ante quienes nos rodean.</w:t>
      </w:r>
    </w:p>
    <w:p w:rsidR="00E02187" w:rsidRDefault="00E02187" w:rsidP="00E02187">
      <w:pPr>
        <w:jc w:val="both"/>
        <w:rPr>
          <w:rFonts w:ascii="Times New Roman" w:hAnsi="Times New Roman"/>
          <w:sz w:val="24"/>
          <w:szCs w:val="24"/>
        </w:rPr>
      </w:pPr>
      <w:r>
        <w:rPr>
          <w:rFonts w:ascii="Times New Roman" w:hAnsi="Times New Roman"/>
          <w:sz w:val="24"/>
          <w:szCs w:val="24"/>
        </w:rPr>
        <w:t>El riesgo de la eterna adolescencia (síndrome de Peter Pan)… alcohol… beber hasta la embriaguez… drogas… problemas en las aulas… abandono y fracaso escolar… indisciplina y violencia…</w:t>
      </w:r>
    </w:p>
    <w:p w:rsidR="00E02187" w:rsidRDefault="00E02187" w:rsidP="00E02187">
      <w:pPr>
        <w:jc w:val="both"/>
        <w:rPr>
          <w:rFonts w:ascii="Times New Roman" w:hAnsi="Times New Roman"/>
          <w:sz w:val="24"/>
          <w:szCs w:val="24"/>
        </w:rPr>
      </w:pPr>
      <w:r>
        <w:rPr>
          <w:rFonts w:ascii="Times New Roman" w:hAnsi="Times New Roman"/>
          <w:sz w:val="24"/>
          <w:szCs w:val="24"/>
        </w:rPr>
        <w:t>Crisis de identidad… desconfianza y ausencia de valores… conformismo irreversible… Los jóvenes se han instalado en una “impotencia confortable”…</w:t>
      </w:r>
    </w:p>
    <w:p w:rsidR="00E02187" w:rsidRDefault="00E02187" w:rsidP="00E02187">
      <w:pPr>
        <w:jc w:val="both"/>
        <w:rPr>
          <w:rFonts w:ascii="Times New Roman" w:hAnsi="Times New Roman"/>
          <w:sz w:val="24"/>
          <w:szCs w:val="24"/>
        </w:rPr>
      </w:pPr>
      <w:r>
        <w:rPr>
          <w:rFonts w:ascii="Times New Roman" w:hAnsi="Times New Roman"/>
          <w:sz w:val="24"/>
          <w:szCs w:val="24"/>
        </w:rPr>
        <w:t>Seguramente algunos padres (ojalá que muchos, entre los que me incluyo) se estén preguntando: ¿Y qué hemos hecho nosotros para merecer esto? Mi respuesta sería: “todo mal” (asumo mi parte del fracaso).</w:t>
      </w:r>
    </w:p>
    <w:p w:rsidR="00E02187" w:rsidRDefault="00E02187" w:rsidP="00E02187">
      <w:pPr>
        <w:jc w:val="both"/>
        <w:rPr>
          <w:rFonts w:ascii="Times New Roman" w:hAnsi="Times New Roman"/>
          <w:sz w:val="24"/>
          <w:szCs w:val="24"/>
        </w:rPr>
      </w:pPr>
      <w:r>
        <w:rPr>
          <w:rFonts w:ascii="Times New Roman" w:hAnsi="Times New Roman"/>
          <w:sz w:val="24"/>
          <w:szCs w:val="24"/>
        </w:rPr>
        <w:t xml:space="preserve">Hemos criado niños eternos; les hemos dado objetos y no afectos; hemos estado demasiado ausentes demasiado tiempo; no le hemos enseñado el valor del esfuerzo, del trabajo, de la responsabilidad; nunca nos hemos sentado con ellos a escucharlos; nunca les hemos dicho que no; hemos desvalorizado el papel de los maestros; hemos sido </w:t>
      </w:r>
      <w:r>
        <w:rPr>
          <w:rFonts w:ascii="Times New Roman" w:hAnsi="Times New Roman"/>
          <w:sz w:val="24"/>
          <w:szCs w:val="24"/>
        </w:rPr>
        <w:lastRenderedPageBreak/>
        <w:t xml:space="preserve">permisivos, relativistas, consumistas, hedonistas, egoístas, indiferentes, individualistas, insolidarios… y todo ello se ha trasmitido a los hijos. </w:t>
      </w:r>
    </w:p>
    <w:p w:rsidR="00E02187" w:rsidRDefault="00E02187" w:rsidP="00E02187">
      <w:pPr>
        <w:jc w:val="both"/>
        <w:rPr>
          <w:rFonts w:ascii="Times New Roman" w:hAnsi="Times New Roman"/>
          <w:sz w:val="24"/>
          <w:szCs w:val="24"/>
        </w:rPr>
      </w:pPr>
      <w:r>
        <w:rPr>
          <w:rFonts w:ascii="Times New Roman" w:hAnsi="Times New Roman"/>
          <w:sz w:val="24"/>
          <w:szCs w:val="24"/>
        </w:rPr>
        <w:t xml:space="preserve">Hemos deseado que no sufrieran lo que habíamos sufrido nosotros, que tuvieran todo aquello que no habíamos podido tener nosotros, que lograran (sin mirar cómo, ni para qué) el título universitario que no habíamos podido lograr nosotros. Hemos transformado a nuestros hijos en un “trofeo” para demostrar nuestro éxito en la vida. </w:t>
      </w:r>
    </w:p>
    <w:p w:rsidR="00E02187" w:rsidRDefault="00E02187" w:rsidP="00E02187">
      <w:pPr>
        <w:jc w:val="both"/>
        <w:rPr>
          <w:rFonts w:ascii="Times New Roman" w:hAnsi="Times New Roman"/>
          <w:sz w:val="24"/>
          <w:szCs w:val="24"/>
        </w:rPr>
      </w:pPr>
      <w:r>
        <w:rPr>
          <w:rFonts w:ascii="Times New Roman" w:hAnsi="Times New Roman"/>
          <w:sz w:val="24"/>
          <w:szCs w:val="24"/>
        </w:rPr>
        <w:t>Y ahora, tarde y mal, nos damos cuenta que el “trofeo” es un fiasco, que hemos malogrado nuestros objetivos y lo que peor aún, hemos estropeado a nuestros hijos.</w:t>
      </w:r>
    </w:p>
    <w:p w:rsidR="00E02187" w:rsidRDefault="00E02187" w:rsidP="00E02187">
      <w:pPr>
        <w:jc w:val="both"/>
        <w:rPr>
          <w:rFonts w:ascii="Times New Roman" w:hAnsi="Times New Roman"/>
          <w:sz w:val="24"/>
          <w:szCs w:val="24"/>
        </w:rPr>
      </w:pPr>
      <w:r>
        <w:rPr>
          <w:rFonts w:ascii="Times New Roman" w:hAnsi="Times New Roman"/>
          <w:sz w:val="24"/>
          <w:szCs w:val="24"/>
        </w:rPr>
        <w:t>Estamos cosechando lo que hemos sembrado. Los jóvenes no tienen culpa. La culpa es nuestra. La generación que dirige (simula) el mundo es la nuestra, la generación que dirige (especula) los negocios es la nuestra, la generación que educa (por decir…), cura (en fin…) y da de comer (según…), es la nuestra. La generación que trasmite (muy poco) los valores es la nuestra. Somos los “titulares” de todos los descalabros. Nuestros hijos son el resultado de ellos. La prueba final de la insensatez total.</w:t>
      </w:r>
    </w:p>
    <w:p w:rsidR="00E02187" w:rsidRDefault="00E02187" w:rsidP="00E02187">
      <w:pPr>
        <w:jc w:val="both"/>
        <w:rPr>
          <w:rFonts w:ascii="Times New Roman" w:hAnsi="Times New Roman"/>
          <w:sz w:val="24"/>
          <w:szCs w:val="24"/>
        </w:rPr>
      </w:pPr>
      <w:r>
        <w:rPr>
          <w:rFonts w:ascii="Times New Roman" w:hAnsi="Times New Roman"/>
          <w:sz w:val="24"/>
          <w:szCs w:val="24"/>
        </w:rPr>
        <w:t>Después de este “acto de contrición”, volvamos a ti, joven amigo:</w:t>
      </w:r>
    </w:p>
    <w:p w:rsidR="00E02187" w:rsidRDefault="00E02187" w:rsidP="00E02187">
      <w:pPr>
        <w:jc w:val="both"/>
        <w:rPr>
          <w:rFonts w:ascii="Times New Roman" w:hAnsi="Times New Roman"/>
          <w:sz w:val="24"/>
          <w:szCs w:val="24"/>
        </w:rPr>
      </w:pPr>
      <w:r>
        <w:rPr>
          <w:rFonts w:ascii="Times New Roman" w:hAnsi="Times New Roman"/>
          <w:sz w:val="24"/>
          <w:szCs w:val="24"/>
        </w:rPr>
        <w:t>¿Con todos estos “agravantes” y tantos “atenuantes” que piensas hacer tú? ¿Seguir en el vacío total? ¿Continuar excluido del futuro? ¿Esperando heredar la nada?</w:t>
      </w:r>
    </w:p>
    <w:p w:rsidR="00E02187" w:rsidRDefault="00E02187" w:rsidP="00E02187">
      <w:pPr>
        <w:jc w:val="both"/>
        <w:rPr>
          <w:rFonts w:ascii="Times New Roman" w:hAnsi="Times New Roman"/>
          <w:sz w:val="24"/>
          <w:szCs w:val="24"/>
        </w:rPr>
      </w:pPr>
      <w:r>
        <w:rPr>
          <w:rFonts w:ascii="Times New Roman" w:hAnsi="Times New Roman"/>
          <w:sz w:val="24"/>
          <w:szCs w:val="24"/>
        </w:rPr>
        <w:t>Las opciones (visto lo visto) son: idiota o ilota… Tú eliges (aunque no es mucho). Los “ni-ni” no dan para más (y tampoco lo desean los amos del universo). Te mearán en la cabeza y te dirán que es lluvia… ¿Y tú te dejas?</w:t>
      </w:r>
    </w:p>
    <w:p w:rsidR="00E02187" w:rsidRDefault="00E02187" w:rsidP="00E02187">
      <w:pPr>
        <w:jc w:val="both"/>
        <w:rPr>
          <w:rFonts w:ascii="Times New Roman" w:hAnsi="Times New Roman"/>
          <w:sz w:val="24"/>
          <w:szCs w:val="24"/>
        </w:rPr>
      </w:pPr>
      <w:r>
        <w:rPr>
          <w:rFonts w:ascii="Times New Roman" w:hAnsi="Times New Roman"/>
          <w:sz w:val="24"/>
          <w:szCs w:val="24"/>
        </w:rPr>
        <w:t>Por mucho menos que esto, estalló la Revolución Francesa, por mucho menos que esto se asaltó el Palacio de Invierno, por mucho menos que esto se produjo el mayo del 68.</w:t>
      </w:r>
    </w:p>
    <w:p w:rsidR="00E02187" w:rsidRDefault="00E02187" w:rsidP="00E02187">
      <w:pPr>
        <w:jc w:val="both"/>
        <w:rPr>
          <w:rFonts w:ascii="Times New Roman" w:hAnsi="Times New Roman"/>
          <w:sz w:val="24"/>
          <w:szCs w:val="24"/>
        </w:rPr>
      </w:pPr>
      <w:r>
        <w:rPr>
          <w:rFonts w:ascii="Times New Roman" w:hAnsi="Times New Roman"/>
          <w:sz w:val="24"/>
          <w:szCs w:val="24"/>
        </w:rPr>
        <w:t>Y tú ahí, impotente confortable, sentado en el salón viendo la tele (fútbol + reality shows), llenándote de mierda el “gruyere” cerebral que te dejó el sistema, la droga y el alcohol, esperando la sopa boba que tu anciana madre te pone de limosna…  sin aspirar a mucho, pillando lo que puedes…</w:t>
      </w:r>
    </w:p>
    <w:p w:rsidR="00E02187" w:rsidRDefault="00E02187" w:rsidP="00E02187">
      <w:pPr>
        <w:jc w:val="both"/>
        <w:rPr>
          <w:rFonts w:ascii="Times New Roman" w:hAnsi="Times New Roman"/>
          <w:sz w:val="24"/>
          <w:szCs w:val="24"/>
        </w:rPr>
      </w:pPr>
      <w:r>
        <w:rPr>
          <w:rFonts w:ascii="Times New Roman" w:hAnsi="Times New Roman"/>
          <w:sz w:val="24"/>
          <w:szCs w:val="24"/>
        </w:rPr>
        <w:t>Levántate y anda. Apaga la tele. Desconecta el MP3. Date de baja en Facebook. Abandona el Twitter. Deja de enviar SMS. No recargues el móvil…   Patea algún culo, aunque sea el equivocado. Revélate. Toma la calle. Manifiéstate. Tira piedras… Toma la Bastilla, asalta el Palacio de Invierno, revive el espíritu de mayo del 68…</w:t>
      </w:r>
    </w:p>
    <w:p w:rsidR="00E02187" w:rsidRDefault="00E02187" w:rsidP="00E02187">
      <w:pPr>
        <w:jc w:val="both"/>
        <w:rPr>
          <w:rFonts w:ascii="Times New Roman" w:hAnsi="Times New Roman"/>
          <w:sz w:val="24"/>
          <w:szCs w:val="24"/>
        </w:rPr>
      </w:pPr>
      <w:r>
        <w:rPr>
          <w:rFonts w:ascii="Times New Roman" w:hAnsi="Times New Roman"/>
          <w:sz w:val="24"/>
          <w:szCs w:val="24"/>
        </w:rPr>
        <w:t xml:space="preserve">Mientras te lo piensas, intenta contestar alguna de las siguientes preguntas, trata de reflexionar sobre alguna de las siguientes frases y actúa en consecuencia (ojalá). Te guste o no, tú heredaras el mundo. Que sea igual, peor o mejor, está en tu mano. </w:t>
      </w:r>
    </w:p>
    <w:p w:rsidR="00E02187" w:rsidRDefault="00E02187" w:rsidP="00E02187">
      <w:pPr>
        <w:jc w:val="both"/>
        <w:rPr>
          <w:rFonts w:ascii="Times New Roman" w:hAnsi="Times New Roman"/>
          <w:sz w:val="24"/>
          <w:szCs w:val="24"/>
        </w:rPr>
      </w:pPr>
      <w:r>
        <w:rPr>
          <w:rFonts w:ascii="Times New Roman" w:hAnsi="Times New Roman"/>
          <w:sz w:val="24"/>
          <w:szCs w:val="24"/>
        </w:rPr>
        <w:t>Nuestra generación fracasó (a las pruebas me remito), intenta que tus hijos no piensen lo mismo de la vuestra. De no ser así, sólo les quedará esperar el final del final…</w:t>
      </w:r>
    </w:p>
    <w:p w:rsidR="00E02187" w:rsidRPr="00216CFF" w:rsidRDefault="00E02187" w:rsidP="00E02187">
      <w:pPr>
        <w:jc w:val="both"/>
        <w:rPr>
          <w:rFonts w:ascii="Times New Roman" w:hAnsi="Times New Roman"/>
          <w:sz w:val="24"/>
          <w:szCs w:val="24"/>
        </w:rPr>
      </w:pPr>
      <w:r>
        <w:rPr>
          <w:rFonts w:ascii="Times New Roman" w:hAnsi="Times New Roman"/>
          <w:sz w:val="24"/>
          <w:szCs w:val="24"/>
        </w:rPr>
        <w:t>¿</w:t>
      </w:r>
      <w:r w:rsidRPr="00216CFF">
        <w:rPr>
          <w:rFonts w:ascii="Times New Roman" w:hAnsi="Times New Roman"/>
          <w:sz w:val="24"/>
          <w:szCs w:val="24"/>
        </w:rPr>
        <w:t>Qué tan lejos puede llegar la desigualdad antes de que el sistema se derrumbe?</w:t>
      </w:r>
    </w:p>
    <w:p w:rsidR="00E02187" w:rsidRPr="00216CFF" w:rsidRDefault="00E02187" w:rsidP="00E02187">
      <w:pPr>
        <w:jc w:val="both"/>
        <w:rPr>
          <w:rFonts w:ascii="Times New Roman" w:hAnsi="Times New Roman"/>
          <w:sz w:val="24"/>
          <w:szCs w:val="24"/>
        </w:rPr>
      </w:pPr>
      <w:r w:rsidRPr="00216CFF">
        <w:rPr>
          <w:rFonts w:ascii="Times New Roman" w:hAnsi="Times New Roman"/>
          <w:sz w:val="24"/>
          <w:szCs w:val="24"/>
        </w:rPr>
        <w:lastRenderedPageBreak/>
        <w:t>¿Es imaginable otro escenario posible?</w:t>
      </w:r>
    </w:p>
    <w:p w:rsidR="00E02187" w:rsidRPr="00216CFF" w:rsidRDefault="00E02187" w:rsidP="00E02187">
      <w:pPr>
        <w:jc w:val="both"/>
        <w:rPr>
          <w:rFonts w:ascii="Times New Roman" w:hAnsi="Times New Roman"/>
          <w:sz w:val="24"/>
          <w:szCs w:val="24"/>
        </w:rPr>
      </w:pPr>
      <w:r w:rsidRPr="00216CFF">
        <w:rPr>
          <w:rFonts w:ascii="Times New Roman" w:hAnsi="Times New Roman"/>
          <w:sz w:val="24"/>
          <w:szCs w:val="24"/>
        </w:rPr>
        <w:t>¿Existen algunas m</w:t>
      </w:r>
      <w:r>
        <w:rPr>
          <w:rFonts w:ascii="Times New Roman" w:hAnsi="Times New Roman"/>
          <w:sz w:val="24"/>
          <w:szCs w:val="24"/>
        </w:rPr>
        <w:t>edidas de prevención económica?...</w:t>
      </w:r>
    </w:p>
    <w:p w:rsidR="00E02187" w:rsidRPr="00216CFF" w:rsidRDefault="00E02187" w:rsidP="00E02187">
      <w:pPr>
        <w:jc w:val="both"/>
        <w:rPr>
          <w:rFonts w:ascii="Times New Roman" w:hAnsi="Times New Roman"/>
          <w:sz w:val="24"/>
          <w:szCs w:val="24"/>
        </w:rPr>
      </w:pPr>
      <w:r w:rsidRPr="00216CFF">
        <w:rPr>
          <w:rFonts w:ascii="Times New Roman" w:hAnsi="Times New Roman"/>
          <w:sz w:val="24"/>
          <w:szCs w:val="24"/>
        </w:rPr>
        <w:t>Antes que sea demasiado tarde.</w:t>
      </w:r>
    </w:p>
    <w:p w:rsidR="00E02187" w:rsidRPr="00216CFF" w:rsidRDefault="00E02187" w:rsidP="00E02187">
      <w:pPr>
        <w:jc w:val="both"/>
        <w:rPr>
          <w:rFonts w:ascii="Times New Roman" w:hAnsi="Times New Roman"/>
          <w:sz w:val="24"/>
          <w:szCs w:val="24"/>
        </w:rPr>
      </w:pPr>
      <w:r w:rsidRPr="00216CFF">
        <w:rPr>
          <w:rFonts w:ascii="Times New Roman" w:hAnsi="Times New Roman"/>
          <w:sz w:val="24"/>
          <w:szCs w:val="24"/>
        </w:rPr>
        <w:t>Tal vez haya que elegir caminos de heterodoxia.</w:t>
      </w:r>
    </w:p>
    <w:p w:rsidR="00E02187" w:rsidRPr="00216CFF" w:rsidRDefault="00E02187" w:rsidP="00E02187">
      <w:pPr>
        <w:jc w:val="both"/>
        <w:rPr>
          <w:rFonts w:ascii="Times New Roman" w:hAnsi="Times New Roman"/>
          <w:sz w:val="24"/>
          <w:szCs w:val="24"/>
        </w:rPr>
      </w:pPr>
      <w:r w:rsidRPr="00216CFF">
        <w:rPr>
          <w:rFonts w:ascii="Times New Roman" w:hAnsi="Times New Roman"/>
          <w:sz w:val="24"/>
          <w:szCs w:val="24"/>
        </w:rPr>
        <w:t>Tal vez haya llegado el fin de la era de los simulacros cosméticos, máscaras y prótesis.</w:t>
      </w:r>
    </w:p>
    <w:p w:rsidR="00E02187" w:rsidRPr="00216CFF" w:rsidRDefault="00E02187" w:rsidP="00E02187">
      <w:pPr>
        <w:jc w:val="both"/>
        <w:rPr>
          <w:rFonts w:ascii="Times New Roman" w:hAnsi="Times New Roman"/>
          <w:sz w:val="24"/>
          <w:szCs w:val="24"/>
        </w:rPr>
      </w:pPr>
      <w:r w:rsidRPr="00216CFF">
        <w:rPr>
          <w:rFonts w:ascii="Times New Roman" w:hAnsi="Times New Roman"/>
          <w:sz w:val="24"/>
          <w:szCs w:val="24"/>
        </w:rPr>
        <w:t>Tal vez estemos ante el fin de la economía de las siliconas.</w:t>
      </w:r>
    </w:p>
    <w:p w:rsidR="00E02187" w:rsidRPr="00216CFF" w:rsidRDefault="00E02187" w:rsidP="00E02187">
      <w:pPr>
        <w:jc w:val="both"/>
        <w:rPr>
          <w:rFonts w:ascii="Times New Roman" w:hAnsi="Times New Roman"/>
          <w:sz w:val="24"/>
          <w:szCs w:val="24"/>
        </w:rPr>
      </w:pPr>
      <w:r w:rsidRPr="00216CFF">
        <w:rPr>
          <w:rFonts w:ascii="Times New Roman" w:hAnsi="Times New Roman"/>
          <w:sz w:val="24"/>
          <w:szCs w:val="24"/>
        </w:rPr>
        <w:t>Un ciclo que toca a su fin.</w:t>
      </w:r>
    </w:p>
    <w:p w:rsidR="00E02187" w:rsidRPr="00216CFF" w:rsidRDefault="00E02187" w:rsidP="00E02187">
      <w:pPr>
        <w:jc w:val="both"/>
        <w:rPr>
          <w:rFonts w:ascii="Times New Roman" w:hAnsi="Times New Roman"/>
          <w:sz w:val="24"/>
          <w:szCs w:val="24"/>
        </w:rPr>
      </w:pPr>
      <w:r w:rsidRPr="00216CFF">
        <w:rPr>
          <w:rFonts w:ascii="Times New Roman" w:hAnsi="Times New Roman"/>
          <w:sz w:val="24"/>
          <w:szCs w:val="24"/>
        </w:rPr>
        <w:t>El fin de las promesas ficticias.</w:t>
      </w:r>
    </w:p>
    <w:p w:rsidR="00E02187" w:rsidRPr="00216CFF" w:rsidRDefault="00E02187" w:rsidP="00E02187">
      <w:pPr>
        <w:jc w:val="both"/>
        <w:rPr>
          <w:rFonts w:ascii="Times New Roman" w:hAnsi="Times New Roman"/>
          <w:sz w:val="24"/>
          <w:szCs w:val="24"/>
        </w:rPr>
      </w:pPr>
      <w:r w:rsidRPr="00216CFF">
        <w:rPr>
          <w:rFonts w:ascii="Times New Roman" w:hAnsi="Times New Roman"/>
          <w:sz w:val="24"/>
          <w:szCs w:val="24"/>
        </w:rPr>
        <w:t>El fin del reino de lo homogéneo y simultáneo.</w:t>
      </w:r>
    </w:p>
    <w:p w:rsidR="00E02187" w:rsidRPr="00216CFF" w:rsidRDefault="00E02187" w:rsidP="00E02187">
      <w:pPr>
        <w:jc w:val="both"/>
        <w:rPr>
          <w:rFonts w:ascii="Times New Roman" w:hAnsi="Times New Roman"/>
          <w:sz w:val="24"/>
          <w:szCs w:val="24"/>
        </w:rPr>
      </w:pPr>
      <w:r>
        <w:rPr>
          <w:rFonts w:ascii="Times New Roman" w:hAnsi="Times New Roman"/>
          <w:sz w:val="24"/>
          <w:szCs w:val="24"/>
        </w:rPr>
        <w:t>El fin de los “teoremas asesinos”</w:t>
      </w:r>
      <w:r w:rsidRPr="00216CFF">
        <w:rPr>
          <w:rFonts w:ascii="Times New Roman" w:hAnsi="Times New Roman"/>
          <w:sz w:val="24"/>
          <w:szCs w:val="24"/>
        </w:rPr>
        <w:t xml:space="preserve"> de los Organismos Financieros Internacionales.</w:t>
      </w:r>
    </w:p>
    <w:p w:rsidR="00E02187" w:rsidRPr="00216CFF" w:rsidRDefault="00E02187" w:rsidP="00E02187">
      <w:pPr>
        <w:jc w:val="both"/>
        <w:rPr>
          <w:rFonts w:ascii="Times New Roman" w:hAnsi="Times New Roman"/>
          <w:sz w:val="24"/>
          <w:szCs w:val="24"/>
        </w:rPr>
      </w:pPr>
      <w:r>
        <w:rPr>
          <w:rFonts w:ascii="Times New Roman" w:hAnsi="Times New Roman"/>
          <w:sz w:val="24"/>
          <w:szCs w:val="24"/>
        </w:rPr>
        <w:t>El espectáculo debe terminar.</w:t>
      </w:r>
    </w:p>
    <w:p w:rsidR="00E02187" w:rsidRPr="00216CFF" w:rsidRDefault="00E02187" w:rsidP="00E02187">
      <w:pPr>
        <w:jc w:val="both"/>
        <w:rPr>
          <w:rFonts w:ascii="Times New Roman" w:hAnsi="Times New Roman"/>
          <w:sz w:val="24"/>
          <w:szCs w:val="24"/>
        </w:rPr>
      </w:pPr>
      <w:r w:rsidRPr="00216CFF">
        <w:rPr>
          <w:rFonts w:ascii="Times New Roman" w:hAnsi="Times New Roman"/>
          <w:sz w:val="24"/>
          <w:szCs w:val="24"/>
        </w:rPr>
        <w:t>Es imposible negar la miseria que crece en medio de la abundancia.</w:t>
      </w:r>
    </w:p>
    <w:p w:rsidR="00E02187" w:rsidRPr="00216CFF" w:rsidRDefault="00E02187" w:rsidP="00E02187">
      <w:pPr>
        <w:jc w:val="both"/>
        <w:rPr>
          <w:rFonts w:ascii="Times New Roman" w:hAnsi="Times New Roman"/>
          <w:sz w:val="24"/>
          <w:szCs w:val="24"/>
        </w:rPr>
      </w:pPr>
      <w:r w:rsidRPr="00216CFF">
        <w:rPr>
          <w:rFonts w:ascii="Times New Roman" w:hAnsi="Times New Roman"/>
          <w:sz w:val="24"/>
          <w:szCs w:val="24"/>
        </w:rPr>
        <w:t>Es imposible no sent</w:t>
      </w:r>
      <w:r>
        <w:rPr>
          <w:rFonts w:ascii="Times New Roman" w:hAnsi="Times New Roman"/>
          <w:sz w:val="24"/>
          <w:szCs w:val="24"/>
        </w:rPr>
        <w:t>ir el silencio de las víctimas.</w:t>
      </w:r>
    </w:p>
    <w:p w:rsidR="00E02187" w:rsidRPr="00216CFF" w:rsidRDefault="00E02187" w:rsidP="00E02187">
      <w:pPr>
        <w:jc w:val="both"/>
        <w:rPr>
          <w:rFonts w:ascii="Times New Roman" w:hAnsi="Times New Roman"/>
          <w:sz w:val="24"/>
          <w:szCs w:val="24"/>
        </w:rPr>
      </w:pPr>
      <w:r w:rsidRPr="00216CFF">
        <w:rPr>
          <w:rFonts w:ascii="Times New Roman" w:hAnsi="Times New Roman"/>
          <w:sz w:val="24"/>
          <w:szCs w:val="24"/>
        </w:rPr>
        <w:t>¿Puede existir la liberación con exclusión?</w:t>
      </w:r>
    </w:p>
    <w:p w:rsidR="00E02187" w:rsidRPr="00216CFF" w:rsidRDefault="00E02187" w:rsidP="00E02187">
      <w:pPr>
        <w:jc w:val="both"/>
        <w:rPr>
          <w:rFonts w:ascii="Times New Roman" w:hAnsi="Times New Roman"/>
          <w:sz w:val="24"/>
          <w:szCs w:val="24"/>
        </w:rPr>
      </w:pPr>
      <w:r w:rsidRPr="00216CFF">
        <w:rPr>
          <w:rFonts w:ascii="Times New Roman" w:hAnsi="Times New Roman"/>
          <w:sz w:val="24"/>
          <w:szCs w:val="24"/>
        </w:rPr>
        <w:t>Habrá que optar entre el hombre y el instrumento, entre la innovación y la tradición, entre lo nuevo y lo perdurable.</w:t>
      </w:r>
    </w:p>
    <w:p w:rsidR="00E02187" w:rsidRPr="00216CFF" w:rsidRDefault="00E02187" w:rsidP="00E02187">
      <w:pPr>
        <w:jc w:val="both"/>
        <w:rPr>
          <w:rFonts w:ascii="Times New Roman" w:hAnsi="Times New Roman"/>
          <w:sz w:val="24"/>
          <w:szCs w:val="24"/>
        </w:rPr>
      </w:pPr>
      <w:r w:rsidRPr="00216CFF">
        <w:rPr>
          <w:rFonts w:ascii="Times New Roman" w:hAnsi="Times New Roman"/>
          <w:sz w:val="24"/>
          <w:szCs w:val="24"/>
        </w:rPr>
        <w:t>Habrá que optar por reconducir al capitalismo antes que muera de sobredosis…</w:t>
      </w:r>
      <w:r>
        <w:rPr>
          <w:rFonts w:ascii="Times New Roman" w:hAnsi="Times New Roman"/>
          <w:sz w:val="24"/>
          <w:szCs w:val="24"/>
        </w:rPr>
        <w:t xml:space="preserve"> </w:t>
      </w:r>
      <w:r w:rsidRPr="00216CFF">
        <w:rPr>
          <w:rFonts w:ascii="Times New Roman" w:hAnsi="Times New Roman"/>
          <w:sz w:val="24"/>
          <w:szCs w:val="24"/>
        </w:rPr>
        <w:t>Si aún es posible.</w:t>
      </w:r>
    </w:p>
    <w:p w:rsidR="00E02187" w:rsidRPr="00216CFF" w:rsidRDefault="00E02187" w:rsidP="00E02187">
      <w:pPr>
        <w:jc w:val="both"/>
        <w:rPr>
          <w:rFonts w:ascii="Times New Roman" w:hAnsi="Times New Roman"/>
          <w:sz w:val="24"/>
          <w:szCs w:val="24"/>
        </w:rPr>
      </w:pPr>
      <w:r w:rsidRPr="00216CFF">
        <w:rPr>
          <w:rFonts w:ascii="Times New Roman" w:hAnsi="Times New Roman"/>
          <w:sz w:val="24"/>
          <w:szCs w:val="24"/>
        </w:rPr>
        <w:t>Ni Wall Street, ni Silicon Valley, ni Hollywood, son los personajes de la Historia, es el hombre, y a él se debe responder…</w:t>
      </w:r>
    </w:p>
    <w:p w:rsidR="00E02187" w:rsidRDefault="00E02187" w:rsidP="00E02187">
      <w:pPr>
        <w:jc w:val="both"/>
        <w:rPr>
          <w:rFonts w:ascii="Times New Roman" w:hAnsi="Times New Roman"/>
          <w:sz w:val="24"/>
          <w:szCs w:val="24"/>
        </w:rPr>
      </w:pPr>
      <w:r w:rsidRPr="00216CFF">
        <w:rPr>
          <w:rFonts w:ascii="Times New Roman" w:hAnsi="Times New Roman"/>
          <w:sz w:val="24"/>
          <w:szCs w:val="24"/>
        </w:rPr>
        <w:t>Tal vez todo sea cuestión de cambiar una economía de cabotaje por una economía de altura…</w:t>
      </w:r>
      <w:r>
        <w:rPr>
          <w:rFonts w:ascii="Times New Roman" w:hAnsi="Times New Roman"/>
          <w:sz w:val="24"/>
          <w:szCs w:val="24"/>
        </w:rPr>
        <w:t xml:space="preserve"> </w:t>
      </w:r>
    </w:p>
    <w:p w:rsidR="00E02187" w:rsidRDefault="00E02187" w:rsidP="00E02187">
      <w:pPr>
        <w:jc w:val="both"/>
        <w:rPr>
          <w:rFonts w:ascii="Times New Roman" w:hAnsi="Times New Roman"/>
          <w:sz w:val="24"/>
          <w:szCs w:val="24"/>
        </w:rPr>
      </w:pPr>
      <w:r>
        <w:rPr>
          <w:rFonts w:ascii="Times New Roman" w:hAnsi="Times New Roman"/>
          <w:sz w:val="24"/>
          <w:szCs w:val="24"/>
        </w:rPr>
        <w:t xml:space="preserve">Por mucho que la escenografía quiera tapar la realidad, cuando el móvil deje de ser el corazón de la información, cuando la vida cotidiana sea algo más que un SMS, cuando tus pensamientos puedan ir más allá del Twitter (140 caracteres), no heredarás el viento (humo). </w:t>
      </w:r>
    </w:p>
    <w:p w:rsidR="00E02187" w:rsidRDefault="00E02187" w:rsidP="00E02187">
      <w:pPr>
        <w:jc w:val="both"/>
        <w:rPr>
          <w:rFonts w:ascii="Times New Roman" w:hAnsi="Times New Roman"/>
          <w:sz w:val="24"/>
          <w:szCs w:val="24"/>
        </w:rPr>
      </w:pPr>
      <w:r>
        <w:rPr>
          <w:rFonts w:ascii="Times New Roman" w:hAnsi="Times New Roman"/>
          <w:sz w:val="24"/>
          <w:szCs w:val="24"/>
        </w:rPr>
        <w:t>Desde tu insignificancia (la levedad del ser), pero también desde tu grandeza (la fuerza del sujeto activo) podrás ayudar a evitar la “cadena de errores” (las alarmas no saltan hasta que ya es demasiado tarde). La derrota del pensamiento no es generalizada, y el triunfo de la barbarie todavía no es efectivo.</w:t>
      </w:r>
    </w:p>
    <w:p w:rsidR="00E02187" w:rsidRDefault="00E02187" w:rsidP="00E02187">
      <w:pPr>
        <w:jc w:val="both"/>
        <w:rPr>
          <w:rFonts w:ascii="Times New Roman" w:hAnsi="Times New Roman"/>
          <w:sz w:val="24"/>
          <w:szCs w:val="24"/>
        </w:rPr>
      </w:pPr>
      <w:r>
        <w:rPr>
          <w:rFonts w:ascii="Times New Roman" w:hAnsi="Times New Roman"/>
          <w:sz w:val="24"/>
          <w:szCs w:val="24"/>
        </w:rPr>
        <w:lastRenderedPageBreak/>
        <w:t>También los enemigos persisten y siguen siendo los mismos: los promotores del orden tal cual es. El objetivo sigue siendo indefectiblemente nietzscheano: “Castigar la estupidez”. De otro modo, ésta triunfará en forma absoluta, hasta el punto que los autoritarismos de antaño parecerán opacos y pálidos en comparación con los que habrán logrado sojuzgar los cuerpos, pero también, y sobre todo, las almas.</w:t>
      </w:r>
    </w:p>
    <w:p w:rsidR="00E02187" w:rsidRDefault="00E02187" w:rsidP="00E02187">
      <w:pPr>
        <w:jc w:val="both"/>
        <w:rPr>
          <w:rFonts w:ascii="Times New Roman" w:hAnsi="Times New Roman"/>
          <w:sz w:val="24"/>
          <w:szCs w:val="24"/>
        </w:rPr>
      </w:pPr>
      <w:r>
        <w:rPr>
          <w:rFonts w:ascii="Times New Roman" w:hAnsi="Times New Roman"/>
          <w:sz w:val="24"/>
          <w:szCs w:val="24"/>
        </w:rPr>
        <w:t>Hay que hacer una revolución copernicana, terminar con el sometimiento de los hombres a la economía liberal y a su locura generalizada, para someter a la economía a un proyecto de vida en común. No ya servir al capital, sino poner este a disposición de los hombres. El triunfo del capitalismo determinó la muerte de lo político y de la política a favor de un elogio simple y llano de la técnica de la administración de los hombres como bienes.</w:t>
      </w:r>
    </w:p>
    <w:p w:rsidR="00E02187" w:rsidRDefault="00E02187" w:rsidP="00E02187">
      <w:pPr>
        <w:jc w:val="both"/>
        <w:rPr>
          <w:rFonts w:ascii="Times New Roman" w:hAnsi="Times New Roman"/>
          <w:sz w:val="24"/>
          <w:szCs w:val="24"/>
        </w:rPr>
      </w:pPr>
      <w:r>
        <w:rPr>
          <w:rFonts w:ascii="Times New Roman" w:hAnsi="Times New Roman"/>
          <w:sz w:val="24"/>
          <w:szCs w:val="24"/>
        </w:rPr>
        <w:t>Todo prolegómeno al reencanto del mundo pasa por esta revolución copernicana: terminar con esa religión de la economía que hace del capital su Dios, y de los hombres vulgares fieles moldeados a su voluntad. De modo que hay que promover un ateísmo en esta materia, al menos un confinamiento de la economía al único registro de los medios, y no de los fines. Debe estar al servicio y no exigir que se la sirva. Para que esto ocurra, debe someterse a lo político; desde hace demasiado tiempo, la política actúa como sirvienta de la economía.</w:t>
      </w:r>
    </w:p>
    <w:p w:rsidR="00E02187" w:rsidRDefault="00E02187" w:rsidP="00E02187">
      <w:pPr>
        <w:jc w:val="both"/>
        <w:rPr>
          <w:rFonts w:ascii="Times New Roman" w:hAnsi="Times New Roman"/>
          <w:sz w:val="24"/>
          <w:szCs w:val="24"/>
        </w:rPr>
      </w:pPr>
      <w:r>
        <w:rPr>
          <w:rFonts w:ascii="Times New Roman" w:hAnsi="Times New Roman"/>
          <w:sz w:val="24"/>
          <w:szCs w:val="24"/>
        </w:rPr>
        <w:t xml:space="preserve">Y tú joven amigo (mientras) inmóvil, paralizado, clavado como un insecto a un corcho, estás al completo servicio de un orden en el cual no tienes opción. Busca el sentido…  </w:t>
      </w:r>
    </w:p>
    <w:p w:rsidR="00E02187" w:rsidRDefault="00E02187" w:rsidP="00E02187">
      <w:pPr>
        <w:jc w:val="both"/>
        <w:rPr>
          <w:rFonts w:ascii="Times New Roman" w:hAnsi="Times New Roman"/>
          <w:sz w:val="24"/>
          <w:szCs w:val="24"/>
        </w:rPr>
      </w:pPr>
      <w:r>
        <w:rPr>
          <w:rFonts w:ascii="Times New Roman" w:hAnsi="Times New Roman"/>
          <w:sz w:val="24"/>
          <w:szCs w:val="24"/>
        </w:rPr>
        <w:t xml:space="preserve"> Antes, en la </w:t>
      </w:r>
      <w:r w:rsidRPr="00AF6425">
        <w:rPr>
          <w:rFonts w:ascii="Times New Roman" w:hAnsi="Times New Roman"/>
          <w:sz w:val="24"/>
          <w:szCs w:val="24"/>
          <w:u w:val="single"/>
        </w:rPr>
        <w:t>Introducción</w:t>
      </w:r>
      <w:r>
        <w:rPr>
          <w:rFonts w:ascii="Times New Roman" w:hAnsi="Times New Roman"/>
          <w:sz w:val="24"/>
          <w:szCs w:val="24"/>
        </w:rPr>
        <w:t xml:space="preserve"> del Ensayo les había dejado el siguiente mensaje:</w:t>
      </w:r>
    </w:p>
    <w:p w:rsidR="00E02187" w:rsidRDefault="00E02187" w:rsidP="00E02187">
      <w:pPr>
        <w:jc w:val="both"/>
        <w:rPr>
          <w:rFonts w:ascii="Times New Roman" w:hAnsi="Times New Roman"/>
          <w:sz w:val="24"/>
          <w:szCs w:val="24"/>
        </w:rPr>
      </w:pPr>
      <w:r>
        <w:rPr>
          <w:rFonts w:ascii="Times New Roman" w:hAnsi="Times New Roman"/>
          <w:sz w:val="24"/>
          <w:szCs w:val="24"/>
        </w:rPr>
        <w:t>Mientras tú, joven amigo, flotas en la idiocia (trastorno caracterizado por una deficiencia muy profunda de las facultades mentales, congénita o adquirida en las primeras edades de la vida) otros resuelven por ti. Te “mean en la cabeza” mientras te dicen que no te preocupes, “que es lluvia”… Lo único que esperan de ti, es que seas un “idiota feliz”, un “adicto al consumismo” (y a otras drogas), un “zombi abducido”, un “esclavo libre”, un “extranjero” en tu propia sociedad, una “presa fácil” de la devastación laboral, un “excluido” del futuro…</w:t>
      </w:r>
    </w:p>
    <w:p w:rsidR="00E02187" w:rsidRDefault="00E02187" w:rsidP="00E02187">
      <w:pPr>
        <w:jc w:val="both"/>
        <w:rPr>
          <w:rFonts w:ascii="Times New Roman" w:hAnsi="Times New Roman"/>
          <w:sz w:val="24"/>
          <w:szCs w:val="24"/>
        </w:rPr>
      </w:pPr>
      <w:r>
        <w:rPr>
          <w:rFonts w:ascii="Times New Roman" w:hAnsi="Times New Roman"/>
          <w:sz w:val="24"/>
          <w:szCs w:val="24"/>
        </w:rPr>
        <w:t>En las próximas páginas, si me acompañas, intentaremos aclarar si ¿ha surgido una generación apática, desvitalizadora, indolente, mecida en el confort familiar?,  buscaremos las razones por las que el virus del desánimo está minando la naturaleza vitalista y combativa de la gente joven, procuraremos demostrar que el discurso consumista ha resultado una trampa para tantos jóvenes audaces que creyeron en el maná crediticio y el crecimiento económico sin fin…</w:t>
      </w:r>
    </w:p>
    <w:p w:rsidR="00E02187" w:rsidRDefault="00E02187" w:rsidP="00E02187">
      <w:pPr>
        <w:jc w:val="both"/>
        <w:rPr>
          <w:rFonts w:ascii="Times New Roman" w:hAnsi="Times New Roman"/>
          <w:sz w:val="24"/>
          <w:szCs w:val="24"/>
        </w:rPr>
      </w:pPr>
      <w:r>
        <w:rPr>
          <w:rFonts w:ascii="Times New Roman" w:hAnsi="Times New Roman"/>
          <w:sz w:val="24"/>
          <w:szCs w:val="24"/>
        </w:rPr>
        <w:t>¿Será posible que esta juventud supuestamente acomodaticia y refractaria a la utopía sea la llamada a abrir nuevos caminos?</w:t>
      </w:r>
    </w:p>
    <w:p w:rsidR="00E02187" w:rsidRDefault="00E02187" w:rsidP="00E02187">
      <w:pPr>
        <w:jc w:val="both"/>
        <w:rPr>
          <w:rFonts w:ascii="Times New Roman" w:hAnsi="Times New Roman"/>
          <w:sz w:val="24"/>
          <w:szCs w:val="24"/>
        </w:rPr>
      </w:pPr>
      <w:r>
        <w:rPr>
          <w:rFonts w:ascii="Times New Roman" w:hAnsi="Times New Roman"/>
          <w:sz w:val="24"/>
          <w:szCs w:val="24"/>
        </w:rPr>
        <w:t>El asunto no es baladí: podemos estar asistiendo al primer proceso masivo de descenso social desde los tiempos de la Revolución Francesa.</w:t>
      </w:r>
    </w:p>
    <w:p w:rsidR="00E02187" w:rsidRDefault="00E02187" w:rsidP="00E02187">
      <w:pPr>
        <w:jc w:val="both"/>
        <w:rPr>
          <w:rFonts w:ascii="Times New Roman" w:hAnsi="Times New Roman"/>
          <w:sz w:val="24"/>
          <w:szCs w:val="24"/>
        </w:rPr>
      </w:pPr>
      <w:r>
        <w:rPr>
          <w:rFonts w:ascii="Times New Roman" w:hAnsi="Times New Roman"/>
          <w:sz w:val="24"/>
          <w:szCs w:val="24"/>
        </w:rPr>
        <w:lastRenderedPageBreak/>
        <w:t>Vivimos en una “sociedad anestesiada”. Una sociedad en que “todo vale”, y en ella los jóvenes se han instalado en una “impotencia confortable”, en una “apatía destructiva” que se deriva de la ausencia de valores, de la relatividad moral, de la indiferencia ante quienes nos rodean.</w:t>
      </w:r>
    </w:p>
    <w:p w:rsidR="00E02187" w:rsidRDefault="00E02187" w:rsidP="00E02187">
      <w:pPr>
        <w:jc w:val="both"/>
        <w:rPr>
          <w:rFonts w:ascii="Times New Roman" w:hAnsi="Times New Roman"/>
          <w:sz w:val="24"/>
          <w:szCs w:val="24"/>
        </w:rPr>
      </w:pPr>
      <w:r>
        <w:rPr>
          <w:rFonts w:ascii="Times New Roman" w:hAnsi="Times New Roman"/>
          <w:sz w:val="24"/>
          <w:szCs w:val="24"/>
        </w:rPr>
        <w:t>Entre la melancolía de la izquierda y el cinismo de la derecha los líderes políticos están expropiando los años venideros. Resultan ser (por acción u omisión) los enemigos del futuro.</w:t>
      </w:r>
    </w:p>
    <w:p w:rsidR="00E02187" w:rsidRDefault="00E02187" w:rsidP="00E02187">
      <w:pPr>
        <w:jc w:val="both"/>
        <w:rPr>
          <w:rFonts w:ascii="Times New Roman" w:hAnsi="Times New Roman"/>
          <w:sz w:val="24"/>
          <w:szCs w:val="24"/>
        </w:rPr>
      </w:pPr>
      <w:r>
        <w:rPr>
          <w:rFonts w:ascii="Times New Roman" w:hAnsi="Times New Roman"/>
          <w:sz w:val="24"/>
          <w:szCs w:val="24"/>
        </w:rPr>
        <w:t>En medio de este escándalo, muchos de los bancos acusados de pirómanos -y que se salvaron de la quema con montañas de dinero público- vuelven a pagar bonus millonarios a sus ejecutivos. Vuelven a realizar sus actividades inútiles… si no destructivas, desde el punto de vista social.</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 ¿Y después?</w:t>
      </w:r>
    </w:p>
    <w:p w:rsidR="00E02187" w:rsidRDefault="00E02187" w:rsidP="00E02187">
      <w:pPr>
        <w:jc w:val="both"/>
        <w:rPr>
          <w:rFonts w:ascii="Times New Roman" w:hAnsi="Times New Roman"/>
          <w:sz w:val="24"/>
          <w:szCs w:val="24"/>
        </w:rPr>
      </w:pPr>
      <w:r w:rsidRPr="00A00C9D">
        <w:rPr>
          <w:rFonts w:ascii="Times New Roman" w:hAnsi="Times New Roman"/>
          <w:sz w:val="24"/>
          <w:szCs w:val="24"/>
        </w:rPr>
        <w:t xml:space="preserve">Günter Grass nos ayuda a contestar la pregunta, en </w:t>
      </w:r>
      <w:r>
        <w:rPr>
          <w:rFonts w:ascii="Times New Roman" w:hAnsi="Times New Roman"/>
          <w:sz w:val="24"/>
          <w:szCs w:val="24"/>
        </w:rPr>
        <w:t>“</w:t>
      </w:r>
      <w:r w:rsidRPr="00A00C9D">
        <w:rPr>
          <w:rFonts w:ascii="Times New Roman" w:hAnsi="Times New Roman"/>
          <w:sz w:val="24"/>
          <w:szCs w:val="24"/>
        </w:rPr>
        <w:t>Mi Siglo</w:t>
      </w:r>
      <w:r>
        <w:rPr>
          <w:rFonts w:ascii="Times New Roman" w:hAnsi="Times New Roman"/>
          <w:sz w:val="24"/>
          <w:szCs w:val="24"/>
        </w:rPr>
        <w:t>”</w:t>
      </w:r>
      <w:r w:rsidRPr="00A00C9D">
        <w:rPr>
          <w:rFonts w:ascii="Times New Roman" w:hAnsi="Times New Roman"/>
          <w:sz w:val="24"/>
          <w:szCs w:val="24"/>
        </w:rPr>
        <w:t>, citando el último párrafo del breve poema “A los que han de nacer”:</w:t>
      </w:r>
    </w:p>
    <w:p w:rsidR="00E02187" w:rsidRPr="00A00C9D" w:rsidRDefault="00E02187" w:rsidP="00E02187">
      <w:pPr>
        <w:ind w:firstLine="708"/>
        <w:jc w:val="both"/>
        <w:rPr>
          <w:rFonts w:ascii="Times New Roman" w:hAnsi="Times New Roman"/>
          <w:sz w:val="24"/>
          <w:szCs w:val="24"/>
        </w:rPr>
      </w:pPr>
      <w:r w:rsidRPr="00A00C9D">
        <w:rPr>
          <w:rFonts w:ascii="Times New Roman" w:hAnsi="Times New Roman"/>
          <w:sz w:val="24"/>
          <w:szCs w:val="24"/>
        </w:rPr>
        <w:t>Cuando se hayan agotado los errores</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ab/>
        <w:t>tendremos como último acompañante</w:t>
      </w:r>
    </w:p>
    <w:p w:rsidR="00E02187" w:rsidRDefault="00E02187" w:rsidP="00E02187">
      <w:pPr>
        <w:jc w:val="both"/>
        <w:rPr>
          <w:rFonts w:ascii="Times New Roman" w:hAnsi="Times New Roman"/>
          <w:sz w:val="24"/>
          <w:szCs w:val="24"/>
        </w:rPr>
      </w:pPr>
      <w:r w:rsidRPr="00A00C9D">
        <w:rPr>
          <w:rFonts w:ascii="Times New Roman" w:hAnsi="Times New Roman"/>
          <w:sz w:val="24"/>
          <w:szCs w:val="24"/>
        </w:rPr>
        <w:tab/>
        <w:t xml:space="preserve">la Nada en frente. </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Primero la desesperación, luego la cólera y finalmente…</w:t>
      </w:r>
      <w:r>
        <w:rPr>
          <w:rFonts w:ascii="Times New Roman" w:hAnsi="Times New Roman"/>
          <w:sz w:val="24"/>
          <w:szCs w:val="24"/>
        </w:rPr>
        <w:t xml:space="preserve"> </w:t>
      </w:r>
      <w:r w:rsidRPr="00A00C9D">
        <w:rPr>
          <w:rFonts w:ascii="Times New Roman" w:hAnsi="Times New Roman"/>
          <w:sz w:val="24"/>
          <w:szCs w:val="24"/>
        </w:rPr>
        <w:t>la violencia.</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 xml:space="preserve">Lo explica muy bien Albert Camus en </w:t>
      </w:r>
      <w:r>
        <w:rPr>
          <w:rFonts w:ascii="Times New Roman" w:hAnsi="Times New Roman"/>
          <w:sz w:val="24"/>
          <w:szCs w:val="24"/>
        </w:rPr>
        <w:t>“</w:t>
      </w:r>
      <w:r w:rsidRPr="00A00C9D">
        <w:rPr>
          <w:rFonts w:ascii="Times New Roman" w:hAnsi="Times New Roman"/>
          <w:sz w:val="24"/>
          <w:szCs w:val="24"/>
        </w:rPr>
        <w:t>El Hombre Rebelde</w:t>
      </w:r>
      <w:r>
        <w:rPr>
          <w:rFonts w:ascii="Times New Roman" w:hAnsi="Times New Roman"/>
          <w:sz w:val="24"/>
          <w:szCs w:val="24"/>
        </w:rPr>
        <w:t>”:</w:t>
      </w:r>
      <w:r w:rsidRPr="00A00C9D">
        <w:rPr>
          <w:rFonts w:ascii="Times New Roman" w:hAnsi="Times New Roman"/>
          <w:sz w:val="24"/>
          <w:szCs w:val="24"/>
        </w:rPr>
        <w:t xml:space="preserve"> ¿Qué es un hombre rebelde? Es un hombre que dice no. Y se niega, no renuncia: es un hombre que dice sí.</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Un esclavo que ha recibido órdenes toda su vida -sigue razonando Albert Camus- de pronto juzga inaceptable un nuevo mandato ¿Cuál es el contenido de este no?</w:t>
      </w:r>
    </w:p>
    <w:p w:rsidR="00E02187" w:rsidRDefault="00E02187" w:rsidP="00E02187">
      <w:pPr>
        <w:jc w:val="both"/>
        <w:rPr>
          <w:rFonts w:ascii="Times New Roman" w:hAnsi="Times New Roman"/>
          <w:sz w:val="24"/>
          <w:szCs w:val="24"/>
        </w:rPr>
      </w:pPr>
      <w:r w:rsidRPr="00A00C9D">
        <w:rPr>
          <w:rFonts w:ascii="Times New Roman" w:hAnsi="Times New Roman"/>
          <w:sz w:val="24"/>
          <w:szCs w:val="24"/>
        </w:rPr>
        <w:t>Habrá que</w:t>
      </w:r>
      <w:r>
        <w:rPr>
          <w:rFonts w:ascii="Times New Roman" w:hAnsi="Times New Roman"/>
          <w:sz w:val="24"/>
          <w:szCs w:val="24"/>
        </w:rPr>
        <w:t xml:space="preserve"> saber escuchar para saberlo…</w:t>
      </w:r>
    </w:p>
    <w:p w:rsidR="00E02187" w:rsidRPr="00D65398" w:rsidRDefault="00E02187" w:rsidP="00E02187">
      <w:pPr>
        <w:pStyle w:val="NormalWeb"/>
        <w:shd w:val="clear" w:color="auto" w:fill="FFFFFF"/>
        <w:jc w:val="both"/>
        <w:rPr>
          <w:u w:val="single"/>
        </w:rPr>
      </w:pPr>
      <w:r>
        <w:t xml:space="preserve">Luego, en el </w:t>
      </w:r>
      <w:r w:rsidRPr="00AF6425">
        <w:rPr>
          <w:u w:val="single"/>
        </w:rPr>
        <w:t>Apartado</w:t>
      </w:r>
      <w:r w:rsidRPr="00D65398">
        <w:t>:</w:t>
      </w:r>
      <w:r>
        <w:t xml:space="preserve"> - </w:t>
      </w:r>
      <w:r w:rsidRPr="00D65398">
        <w:rPr>
          <w:u w:val="single"/>
        </w:rPr>
        <w:t>Mar de fondo (no hay camino, no hay derecha, izquierda, adelante, detrás)</w:t>
      </w:r>
    </w:p>
    <w:p w:rsidR="00E02187" w:rsidRDefault="00E02187" w:rsidP="00E02187">
      <w:pPr>
        <w:jc w:val="both"/>
        <w:rPr>
          <w:rFonts w:ascii="Times New Roman" w:hAnsi="Times New Roman"/>
          <w:sz w:val="24"/>
          <w:szCs w:val="24"/>
        </w:rPr>
      </w:pPr>
      <w:r w:rsidRPr="00AF6425">
        <w:rPr>
          <w:rFonts w:ascii="Times New Roman" w:hAnsi="Times New Roman"/>
          <w:sz w:val="24"/>
          <w:szCs w:val="24"/>
        </w:rPr>
        <w:t xml:space="preserve">- </w:t>
      </w:r>
      <w:r w:rsidRPr="003F05F9">
        <w:rPr>
          <w:rFonts w:ascii="Times New Roman" w:hAnsi="Times New Roman"/>
          <w:sz w:val="24"/>
          <w:szCs w:val="24"/>
          <w:u w:val="single"/>
        </w:rPr>
        <w:t>Chau… no va más!</w:t>
      </w:r>
      <w:r w:rsidRPr="003F05F9">
        <w:rPr>
          <w:rFonts w:ascii="Times New Roman" w:hAnsi="Times New Roman"/>
          <w:b/>
          <w:sz w:val="24"/>
          <w:szCs w:val="24"/>
          <w:u w:val="single"/>
        </w:rPr>
        <w:t xml:space="preserve"> </w:t>
      </w:r>
      <w:r w:rsidRPr="003F05F9">
        <w:rPr>
          <w:rFonts w:ascii="Times New Roman" w:hAnsi="Times New Roman"/>
          <w:sz w:val="24"/>
          <w:szCs w:val="24"/>
          <w:u w:val="single"/>
        </w:rPr>
        <w:t>(para continuar con los tangos)</w:t>
      </w:r>
      <w:r>
        <w:rPr>
          <w:rFonts w:ascii="Times New Roman" w:hAnsi="Times New Roman"/>
          <w:sz w:val="24"/>
          <w:szCs w:val="24"/>
        </w:rPr>
        <w:t xml:space="preserve"> (*)</w:t>
      </w:r>
    </w:p>
    <w:p w:rsidR="00E02187" w:rsidRDefault="00E02187" w:rsidP="00E02187">
      <w:pPr>
        <w:jc w:val="both"/>
        <w:rPr>
          <w:rFonts w:ascii="Times New Roman" w:hAnsi="Times New Roman"/>
          <w:sz w:val="24"/>
          <w:szCs w:val="24"/>
        </w:rPr>
      </w:pPr>
      <w:r>
        <w:rPr>
          <w:rFonts w:ascii="Times New Roman" w:hAnsi="Times New Roman"/>
          <w:sz w:val="24"/>
          <w:szCs w:val="24"/>
        </w:rPr>
        <w:t>(*)  (Tango de Virgilio Expósito y Homero Expósito)</w:t>
      </w:r>
    </w:p>
    <w:p w:rsidR="00E02187" w:rsidRDefault="00E02187" w:rsidP="00E02187">
      <w:pPr>
        <w:jc w:val="both"/>
        <w:rPr>
          <w:rFonts w:ascii="Times New Roman" w:hAnsi="Times New Roman"/>
          <w:sz w:val="24"/>
          <w:szCs w:val="24"/>
        </w:rPr>
      </w:pPr>
      <w:r>
        <w:rPr>
          <w:rFonts w:ascii="Times New Roman" w:hAnsi="Times New Roman"/>
          <w:sz w:val="24"/>
          <w:szCs w:val="24"/>
        </w:rPr>
        <w:t>Escribía:</w:t>
      </w:r>
    </w:p>
    <w:p w:rsidR="00E02187" w:rsidRDefault="00E02187" w:rsidP="00E02187">
      <w:pPr>
        <w:jc w:val="both"/>
        <w:rPr>
          <w:rFonts w:ascii="Times New Roman" w:hAnsi="Times New Roman"/>
          <w:sz w:val="24"/>
          <w:szCs w:val="24"/>
        </w:rPr>
      </w:pPr>
      <w:r>
        <w:rPr>
          <w:rFonts w:ascii="Times New Roman" w:hAnsi="Times New Roman"/>
          <w:sz w:val="24"/>
          <w:szCs w:val="24"/>
        </w:rPr>
        <w:t>Estimado joven amigo: Te voy a contar una historia. Una historia de “ganadores” y “perdedores”. Luego, al final, tú me dices de qué lado de las vías del tren has quedado (si del lado bueno o del lado malo)… Perdona que necesite algo más que un Twitter.</w:t>
      </w:r>
    </w:p>
    <w:p w:rsidR="00E02187" w:rsidRDefault="00E02187" w:rsidP="00E02187">
      <w:pPr>
        <w:jc w:val="both"/>
        <w:rPr>
          <w:rFonts w:ascii="Times New Roman" w:hAnsi="Times New Roman"/>
          <w:sz w:val="24"/>
          <w:szCs w:val="24"/>
        </w:rPr>
      </w:pPr>
    </w:p>
    <w:p w:rsidR="00E02187" w:rsidRPr="000B3CA7" w:rsidRDefault="00E02187" w:rsidP="00E02187">
      <w:pPr>
        <w:jc w:val="both"/>
        <w:rPr>
          <w:rFonts w:ascii="Times New Roman" w:hAnsi="Times New Roman"/>
          <w:sz w:val="24"/>
          <w:szCs w:val="24"/>
        </w:rPr>
      </w:pPr>
      <w:r w:rsidRPr="000B3CA7">
        <w:rPr>
          <w:rFonts w:ascii="Times New Roman" w:hAnsi="Times New Roman"/>
          <w:sz w:val="24"/>
          <w:szCs w:val="24"/>
        </w:rPr>
        <w:lastRenderedPageBreak/>
        <w:t>La desvalorización del “capital humano”</w:t>
      </w:r>
    </w:p>
    <w:p w:rsidR="00E02187" w:rsidRPr="000B3CA7" w:rsidRDefault="00E02187" w:rsidP="00E02187">
      <w:pPr>
        <w:jc w:val="both"/>
        <w:rPr>
          <w:rFonts w:ascii="Times New Roman" w:hAnsi="Times New Roman"/>
          <w:sz w:val="24"/>
          <w:szCs w:val="24"/>
        </w:rPr>
      </w:pPr>
      <w:r w:rsidRPr="000B3CA7">
        <w:rPr>
          <w:rFonts w:ascii="Times New Roman" w:hAnsi="Times New Roman"/>
          <w:sz w:val="24"/>
          <w:szCs w:val="24"/>
        </w:rPr>
        <w:t xml:space="preserve">La crisis económica alcanza ahora, incluso en Occidente, a amplias capas sociales, que hasta entonces se habían librado. Por eso la cuestión social vuelve en el discurso intelectual. Pero las interpretaciones continúan adoleciendo de una notoria ligereza y parecen francamente anacrónicas. La polarización entre pobres y ricos, exacerbada de forma irresistible, no encuentra todavía un nuevo concepto. Si el concepto marxista tradicional de “clase” tiene una súbita coyuntura favorable, eso es ante todo una señal de desamparo. En la comprensión tradicional, la “clase obrera”, que producía la plusvalía, era explotada por la “clase de los capitalistas” por medio de la “propiedad privada de los medios de producción”. </w:t>
      </w:r>
    </w:p>
    <w:p w:rsidR="00E02187" w:rsidRPr="000B3CA7" w:rsidRDefault="00E02187" w:rsidP="00E02187">
      <w:pPr>
        <w:jc w:val="both"/>
        <w:rPr>
          <w:rFonts w:ascii="Times New Roman" w:hAnsi="Times New Roman"/>
          <w:sz w:val="24"/>
          <w:szCs w:val="24"/>
        </w:rPr>
      </w:pPr>
      <w:r w:rsidRPr="000B3CA7">
        <w:rPr>
          <w:rFonts w:ascii="Times New Roman" w:hAnsi="Times New Roman"/>
          <w:sz w:val="24"/>
          <w:szCs w:val="24"/>
        </w:rPr>
        <w:t>Ninguno de estos conceptos puede explicar con exactitud los problemas actuales. La nueva pobreza no surge por cuenta de la explotación en la producción, sino por la exclusión de la producción. Quien todavía está empleado en la producción capitalista regular figura ya entre los relativamente privilegiados. La masa problemática y “peligrosa” de la sociedad ya no se define por su posición en el “proceso de producción”, sino por su posición en los ámbitos secundarios, derivados de la circulación y de la distribución. Se trata de desempleados permanentes, de receptores de operaciones estatales de transferencia o de agentes de servicios en los campos de la terciarización, hasta llegar a los empresarios de la miseria, los vendedores ambulantes y los rebuscadores de basura. Esas formas de reproducción son, según criterios jurídicos, cada vez más irregulares, inseguras y a menudo, ilegales; la ocupación es irregular, y las ganancias transitan en el límite del mínimo necesario para la existencia o inc</w:t>
      </w:r>
      <w:r>
        <w:rPr>
          <w:rFonts w:ascii="Times New Roman" w:hAnsi="Times New Roman"/>
          <w:sz w:val="24"/>
          <w:szCs w:val="24"/>
        </w:rPr>
        <w:t xml:space="preserve">luso, caen por debajo de esto. </w:t>
      </w:r>
    </w:p>
    <w:p w:rsidR="00E02187" w:rsidRPr="000B3CA7" w:rsidRDefault="00E02187" w:rsidP="00E02187">
      <w:pPr>
        <w:jc w:val="both"/>
        <w:rPr>
          <w:rFonts w:ascii="Times New Roman" w:hAnsi="Times New Roman"/>
          <w:sz w:val="24"/>
          <w:szCs w:val="24"/>
        </w:rPr>
      </w:pPr>
      <w:r w:rsidRPr="000B3CA7">
        <w:rPr>
          <w:rFonts w:ascii="Times New Roman" w:hAnsi="Times New Roman"/>
          <w:sz w:val="24"/>
          <w:szCs w:val="24"/>
        </w:rPr>
        <w:t>Inversamente, tampoco la “clase de los capitalistas” puede aún ser definida en el viejo sentido, según los parámetros de la clásica “propiedad privada de los medios de producción”. En el cuerpo del aparato estatal y de las infraestructuras así como en el cuerpo de las grandes sociedades accionistas (hoy transnacionales) el capital aparece en cierto modo como socializado y anonimizado; se volvió abstracto, dejando la forma personalizable de toda la sociedad. “El capital” ya no es un grupo de propietarios legales, sino el principio común que determina la vida y la acción de todos los miembros de la sociedad, no solo exteriormente sino también en su propia subjetividad.</w:t>
      </w:r>
    </w:p>
    <w:p w:rsidR="00E02187" w:rsidRPr="000B3CA7" w:rsidRDefault="00E02187" w:rsidP="00E02187">
      <w:pPr>
        <w:jc w:val="both"/>
        <w:rPr>
          <w:rFonts w:ascii="Times New Roman" w:hAnsi="Times New Roman"/>
          <w:sz w:val="24"/>
          <w:szCs w:val="24"/>
        </w:rPr>
      </w:pPr>
      <w:r w:rsidRPr="000B3CA7">
        <w:rPr>
          <w:rFonts w:ascii="Times New Roman" w:hAnsi="Times New Roman"/>
          <w:sz w:val="24"/>
          <w:szCs w:val="24"/>
        </w:rPr>
        <w:t xml:space="preserve">En la crisis y a través de la crisis, se efectúa una vez más una mutación estructural de la sociedad capitalista, disolviendo las situaciones sociales antiguas, aparentemente claras. El meollo de la crisis consiste justamente en que las nuevas fuerzas productivas de la microelectrónica funden el trabajo y, con él, la sustancia del propio capital. Dada la reducción cada vez mayor de la clase obrera industrial, se crea cada vez menos plusvalía. El capital monetario huye rumbo a los mercados financieros especulativos, visto que las inversiones en nuevas fábricas se vuelven no-rentables. Mientras partes crecientes de la sociedad fuera de la producción se pauperizan o incluso caen en la miseria, por otro lado se realiza tan sólo una acumulación simuladora del capital por medio de burbujas financieras. Por lógica, eso no es nada nuevo, pues ese desarrollo ya </w:t>
      </w:r>
      <w:r w:rsidRPr="000B3CA7">
        <w:rPr>
          <w:rFonts w:ascii="Times New Roman" w:hAnsi="Times New Roman"/>
          <w:sz w:val="24"/>
          <w:szCs w:val="24"/>
        </w:rPr>
        <w:lastRenderedPageBreak/>
        <w:t>marca al capitalismo global hace dos décadas. Pero lo que es nuevo es que ahora la clase media en los países occiden</w:t>
      </w:r>
      <w:r>
        <w:rPr>
          <w:rFonts w:ascii="Times New Roman" w:hAnsi="Times New Roman"/>
          <w:sz w:val="24"/>
          <w:szCs w:val="24"/>
        </w:rPr>
        <w:t xml:space="preserve">tales también sea atropellada. </w:t>
      </w:r>
    </w:p>
    <w:p w:rsidR="00E02187" w:rsidRPr="000B3CA7" w:rsidRDefault="00E02187" w:rsidP="00E02187">
      <w:pPr>
        <w:jc w:val="both"/>
        <w:rPr>
          <w:rFonts w:ascii="Times New Roman" w:hAnsi="Times New Roman"/>
          <w:sz w:val="24"/>
          <w:szCs w:val="24"/>
        </w:rPr>
      </w:pPr>
      <w:r w:rsidRPr="000B3CA7">
        <w:rPr>
          <w:rFonts w:ascii="Times New Roman" w:hAnsi="Times New Roman"/>
          <w:sz w:val="24"/>
          <w:szCs w:val="24"/>
        </w:rPr>
        <w:t>Barbara Ehrenreich (ensayista norteamericana) había publicado ya en 1989 un libro sobre la “angustia de la clase media ante la quiebra”. Sin embargo el problema fue aplazado enseguida por una década entera, ya que la coyuntura basada en burbujas financieras de los años 90, junto con el impulso de la tecnología de la información y de la comercialización de Internet, despertó una vez más nuevos sueños de florescencia. El colapso de la nueva economía y la explosión de l</w:t>
      </w:r>
      <w:r>
        <w:rPr>
          <w:rFonts w:ascii="Times New Roman" w:hAnsi="Times New Roman"/>
          <w:sz w:val="24"/>
          <w:szCs w:val="24"/>
        </w:rPr>
        <w:t xml:space="preserve">as burbujas financieras </w:t>
      </w:r>
      <w:r w:rsidRPr="000B3CA7">
        <w:rPr>
          <w:rFonts w:ascii="Times New Roman" w:hAnsi="Times New Roman"/>
          <w:sz w:val="24"/>
          <w:szCs w:val="24"/>
        </w:rPr>
        <w:t>en los Estados Unidos,</w:t>
      </w:r>
      <w:r>
        <w:rPr>
          <w:rFonts w:ascii="Times New Roman" w:hAnsi="Times New Roman"/>
          <w:sz w:val="24"/>
          <w:szCs w:val="24"/>
        </w:rPr>
        <w:t xml:space="preserve"> en Europa y, en parte, en Asia, comienzan ahora (</w:t>
      </w:r>
      <w:r w:rsidRPr="000B3CA7">
        <w:rPr>
          <w:rFonts w:ascii="Times New Roman" w:hAnsi="Times New Roman"/>
          <w:sz w:val="24"/>
          <w:szCs w:val="24"/>
        </w:rPr>
        <w:t>desde el año 2000</w:t>
      </w:r>
      <w:r>
        <w:rPr>
          <w:rFonts w:ascii="Times New Roman" w:hAnsi="Times New Roman"/>
          <w:sz w:val="24"/>
          <w:szCs w:val="24"/>
        </w:rPr>
        <w:t xml:space="preserve"> en adelante)</w:t>
      </w:r>
      <w:r w:rsidRPr="000B3CA7">
        <w:rPr>
          <w:rFonts w:ascii="Times New Roman" w:hAnsi="Times New Roman"/>
          <w:sz w:val="24"/>
          <w:szCs w:val="24"/>
        </w:rPr>
        <w:t xml:space="preserve">, a hacer efectiva de manera brutal la quiebra de la clase media, ya temida anteriormente. </w:t>
      </w:r>
    </w:p>
    <w:p w:rsidR="00E02187" w:rsidRPr="000B3CA7" w:rsidRDefault="00E02187" w:rsidP="00E02187">
      <w:pPr>
        <w:jc w:val="both"/>
        <w:rPr>
          <w:rFonts w:ascii="Times New Roman" w:hAnsi="Times New Roman"/>
          <w:sz w:val="24"/>
          <w:szCs w:val="24"/>
        </w:rPr>
      </w:pPr>
      <w:r w:rsidRPr="000B3CA7">
        <w:rPr>
          <w:rFonts w:ascii="Times New Roman" w:hAnsi="Times New Roman"/>
          <w:sz w:val="24"/>
          <w:szCs w:val="24"/>
        </w:rPr>
        <w:t>Se propagó el concepto del “Estado antisocial”; las asignaciones para formación y cultura, para el sistema de salud y numerosas otras instituciones públicas fueron cortadas; se iniciaba la demolición del Estado social. También en las grandes empresas sectores enteros de actividad calificada fueron víctimas de la racionalización. Dado el desmoronamiento de la nueva economía, hasta las mismas calificaciones de muchos especialistas “high-tech” se vieron desvalorizadas. Hoy ya no se puede ignorar que la ascensión de la nueva clase media no tenía una base capitalista autónoma; por el contrario, dependía de la redistribución social de la plusvalía proveniente de los sectores industriales. De la misma manera que la producción social real de plusvalía entra en una crisis estructural debido a la tercera revolución industrial, los sectores secundarios de la nueva clase media van siendo sucesivamente privados de su suelo fértil. El resultado no es solamente un dese</w:t>
      </w:r>
      <w:r>
        <w:rPr>
          <w:rFonts w:ascii="Times New Roman" w:hAnsi="Times New Roman"/>
          <w:sz w:val="24"/>
          <w:szCs w:val="24"/>
        </w:rPr>
        <w:t xml:space="preserve">mpleo creciente de académicos. </w:t>
      </w:r>
    </w:p>
    <w:p w:rsidR="00E02187" w:rsidRPr="000B3CA7" w:rsidRDefault="00E02187" w:rsidP="00E02187">
      <w:pPr>
        <w:jc w:val="both"/>
        <w:rPr>
          <w:rFonts w:ascii="Times New Roman" w:hAnsi="Times New Roman"/>
          <w:sz w:val="24"/>
          <w:szCs w:val="24"/>
        </w:rPr>
      </w:pPr>
      <w:r w:rsidRPr="000B3CA7">
        <w:rPr>
          <w:rFonts w:ascii="Times New Roman" w:hAnsi="Times New Roman"/>
          <w:sz w:val="24"/>
          <w:szCs w:val="24"/>
        </w:rPr>
        <w:t xml:space="preserve">La privatización y la terciarización desvalorizan el “capital humano” de las calificaciones incluso en el interior de la parcela empleada y degradada en su estatus. Jornaleros intelectuales, trabajadores baratos y empresarios de miseria como los free-lance en los medios de comunicación, universidades privadas, despachos de abogados o clínicas privadas no son ya excepciones, sino la regla. A pesar de esto, a fin de cuentas tampoco Kautsky tuvo razón. Pues la nueva clase media decayó, es verdad, pero no para convertirse en el proletariado industrial clásico de los productores directos, convertidos en una minoría que va desapareciendo pausadamente. De forma paradójica, la “proletarización” de las capas calificadas está ligada a una “desproletarización” de la producción. </w:t>
      </w:r>
    </w:p>
    <w:p w:rsidR="00E02187" w:rsidRDefault="00E02187" w:rsidP="00E02187">
      <w:pPr>
        <w:jc w:val="both"/>
        <w:rPr>
          <w:rFonts w:ascii="Times New Roman" w:hAnsi="Times New Roman"/>
          <w:sz w:val="24"/>
          <w:szCs w:val="24"/>
        </w:rPr>
      </w:pPr>
      <w:r w:rsidRPr="000B3CA7">
        <w:rPr>
          <w:rFonts w:ascii="Times New Roman" w:hAnsi="Times New Roman"/>
          <w:sz w:val="24"/>
          <w:szCs w:val="24"/>
        </w:rPr>
        <w:t xml:space="preserve">Por otra parte la desvalorización de las calificaciones corre pareja con una expansión objetiva del concepto de “capital humano”. Al revés de la decadencia de la nueva clase media, se realiza en cierto modo un inédito “pequeño-aburguesamiento” general de la sociedad, cuando los recursos industriales e infra-estructurales aparecen más como megaestructuras anónimas. El “medio de producción independiente” se deteriora hasta llegar a la piel de los individuos: todos se convierten en su propio “capital humano”, aunque sea simplemente el cuerpo desnudo. Surge una relación inmediata entre las personas atomizadas y la economía del valor, que se limita a reproducirse de manera </w:t>
      </w:r>
      <w:r w:rsidRPr="000B3CA7">
        <w:rPr>
          <w:rFonts w:ascii="Times New Roman" w:hAnsi="Times New Roman"/>
          <w:sz w:val="24"/>
          <w:szCs w:val="24"/>
        </w:rPr>
        <w:lastRenderedPageBreak/>
        <w:t>simulada, por medio de déficits y burbujas financieras. Cuanto mayor se vuelven las diferencias entre el pobre y el rico, más desaparecen las diferencias estructurales de las clases en la estructuración del capitalismo.</w:t>
      </w:r>
    </w:p>
    <w:p w:rsidR="00E02187" w:rsidRPr="000B3CA7" w:rsidRDefault="00E02187" w:rsidP="00E02187">
      <w:pPr>
        <w:jc w:val="both"/>
        <w:rPr>
          <w:rFonts w:ascii="Times New Roman" w:hAnsi="Times New Roman"/>
          <w:sz w:val="24"/>
          <w:szCs w:val="24"/>
        </w:rPr>
      </w:pPr>
      <w:r w:rsidRPr="000B3CA7">
        <w:rPr>
          <w:rFonts w:ascii="Times New Roman" w:hAnsi="Times New Roman"/>
          <w:sz w:val="24"/>
          <w:szCs w:val="24"/>
        </w:rPr>
        <w:t>Ruegos y preguntas</w:t>
      </w:r>
    </w:p>
    <w:p w:rsidR="00E02187" w:rsidRPr="000B3CA7" w:rsidRDefault="00E02187" w:rsidP="00E02187">
      <w:pPr>
        <w:jc w:val="both"/>
        <w:rPr>
          <w:rFonts w:ascii="Times New Roman" w:hAnsi="Times New Roman"/>
          <w:sz w:val="24"/>
          <w:szCs w:val="24"/>
        </w:rPr>
      </w:pPr>
      <w:r w:rsidRPr="000B3CA7">
        <w:rPr>
          <w:rFonts w:ascii="Times New Roman" w:hAnsi="Times New Roman"/>
          <w:sz w:val="24"/>
          <w:szCs w:val="24"/>
        </w:rPr>
        <w:t>Es muy probable que a los “ideólogos” del mercado les convenga más una sociedad “religiosamente” controlada como la india o una sociedad “políticamente” controlada como la china para desarrollar nuevos consumidores que sustituyan a las clases medias de los países desarrollados. Es la creación de una sociedad de consumidores “sin pasado” (</w:t>
      </w:r>
      <w:r>
        <w:rPr>
          <w:rFonts w:ascii="Times New Roman" w:hAnsi="Times New Roman"/>
          <w:sz w:val="24"/>
          <w:szCs w:val="24"/>
        </w:rPr>
        <w:t>sin las conquistas del pasado).</w:t>
      </w:r>
    </w:p>
    <w:p w:rsidR="00E02187" w:rsidRDefault="00E02187" w:rsidP="00E02187">
      <w:pPr>
        <w:jc w:val="both"/>
        <w:rPr>
          <w:rFonts w:ascii="Times New Roman" w:hAnsi="Times New Roman"/>
          <w:sz w:val="24"/>
          <w:szCs w:val="24"/>
        </w:rPr>
      </w:pPr>
      <w:r w:rsidRPr="000B3CA7">
        <w:rPr>
          <w:rFonts w:ascii="Times New Roman" w:hAnsi="Times New Roman"/>
          <w:sz w:val="24"/>
          <w:szCs w:val="24"/>
        </w:rPr>
        <w:t>Ha llegado el fin del matrimonio perfecto: el consumidor de “última necesidad” y la “estructura industrial” (antigua forma de producción). La “eutanasia” (más o menos lenta) del consumidor burgués. El desmantelamiento de la clase media, columna vertebral de la revolución industrial, custodio de la defensa de los derechos de propiedad, consumidores pasivos y… estúpidos perfectos.  Ya no se los necesita más.</w:t>
      </w:r>
      <w:r>
        <w:rPr>
          <w:rFonts w:ascii="Times New Roman" w:hAnsi="Times New Roman"/>
          <w:sz w:val="24"/>
          <w:szCs w:val="24"/>
        </w:rPr>
        <w:t xml:space="preserve"> </w:t>
      </w:r>
      <w:r w:rsidRPr="000B3CA7">
        <w:rPr>
          <w:rFonts w:ascii="Times New Roman" w:hAnsi="Times New Roman"/>
          <w:sz w:val="24"/>
          <w:szCs w:val="24"/>
        </w:rPr>
        <w:t>¿De quién van a defender los derechos de propiedad?</w:t>
      </w:r>
    </w:p>
    <w:p w:rsidR="00E02187" w:rsidRDefault="00E02187" w:rsidP="00E02187">
      <w:pPr>
        <w:jc w:val="both"/>
        <w:rPr>
          <w:rFonts w:ascii="Times New Roman" w:hAnsi="Times New Roman"/>
          <w:sz w:val="24"/>
          <w:szCs w:val="24"/>
        </w:rPr>
      </w:pPr>
      <w:r w:rsidRPr="003F1244">
        <w:rPr>
          <w:rFonts w:ascii="Times New Roman" w:hAnsi="Times New Roman"/>
          <w:sz w:val="24"/>
          <w:szCs w:val="24"/>
        </w:rPr>
        <w:t>La pauperización de la clase media es quizás la desmentida más cruda de la promesa originaria de progreso colectivo…</w:t>
      </w:r>
    </w:p>
    <w:p w:rsidR="00E02187" w:rsidRPr="003F1244" w:rsidRDefault="00E02187" w:rsidP="00E02187">
      <w:pPr>
        <w:jc w:val="both"/>
        <w:rPr>
          <w:rFonts w:ascii="Times New Roman" w:hAnsi="Times New Roman"/>
          <w:sz w:val="24"/>
          <w:szCs w:val="24"/>
        </w:rPr>
      </w:pPr>
      <w:r w:rsidRPr="003F1244">
        <w:rPr>
          <w:rFonts w:ascii="Times New Roman" w:hAnsi="Times New Roman"/>
          <w:sz w:val="24"/>
          <w:szCs w:val="24"/>
        </w:rPr>
        <w:t>Empobrecimiento individual o familiar, empobrecimiento como ciudadano y como trabajador son las facetas de una caída colectiva comenzada hace más de dos décadas y que hoy continúa…</w:t>
      </w:r>
    </w:p>
    <w:p w:rsidR="00E02187" w:rsidRPr="000B3CA7" w:rsidRDefault="00E02187" w:rsidP="00E02187">
      <w:pPr>
        <w:jc w:val="both"/>
        <w:rPr>
          <w:rFonts w:ascii="Times New Roman" w:hAnsi="Times New Roman"/>
          <w:sz w:val="24"/>
          <w:szCs w:val="24"/>
        </w:rPr>
      </w:pPr>
      <w:r w:rsidRPr="003F1244">
        <w:rPr>
          <w:rFonts w:ascii="Times New Roman" w:hAnsi="Times New Roman"/>
          <w:sz w:val="24"/>
          <w:szCs w:val="24"/>
        </w:rPr>
        <w:t>Con la caída económica cae un valor central de nuestro imaginario: la creencia en el progreso ¿Qué lugar queda entonces para la esper</w:t>
      </w:r>
      <w:r>
        <w:rPr>
          <w:rFonts w:ascii="Times New Roman" w:hAnsi="Times New Roman"/>
          <w:sz w:val="24"/>
          <w:szCs w:val="24"/>
        </w:rPr>
        <w:t>anza? ¿Qué futuros nos esperan?</w:t>
      </w:r>
    </w:p>
    <w:p w:rsidR="00E02187" w:rsidRDefault="00E02187" w:rsidP="00E02187">
      <w:pPr>
        <w:jc w:val="both"/>
        <w:rPr>
          <w:rFonts w:ascii="Times New Roman" w:hAnsi="Times New Roman"/>
          <w:sz w:val="24"/>
          <w:szCs w:val="24"/>
        </w:rPr>
      </w:pPr>
      <w:r>
        <w:rPr>
          <w:rFonts w:ascii="Times New Roman" w:hAnsi="Times New Roman"/>
          <w:sz w:val="24"/>
          <w:szCs w:val="24"/>
        </w:rPr>
        <w:t>Estimado joven amigo: si has llegado hasta aquí (venciendo la analfabetismo funcional imperante), te ruego que sigas un poco más, e intentes contestar las siguientes preguntas:</w:t>
      </w:r>
    </w:p>
    <w:p w:rsidR="00E02187" w:rsidRPr="000B3CA7" w:rsidRDefault="00E02187" w:rsidP="00E02187">
      <w:pPr>
        <w:jc w:val="both"/>
        <w:rPr>
          <w:rFonts w:ascii="Times New Roman" w:hAnsi="Times New Roman"/>
          <w:sz w:val="24"/>
          <w:szCs w:val="24"/>
        </w:rPr>
      </w:pPr>
      <w:r w:rsidRPr="000B3CA7">
        <w:rPr>
          <w:rFonts w:ascii="Times New Roman" w:hAnsi="Times New Roman"/>
          <w:sz w:val="24"/>
          <w:szCs w:val="24"/>
        </w:rPr>
        <w:t xml:space="preserve">¿Habrá llegado la hora final de </w:t>
      </w:r>
      <w:r>
        <w:rPr>
          <w:rFonts w:ascii="Times New Roman" w:hAnsi="Times New Roman"/>
          <w:sz w:val="24"/>
          <w:szCs w:val="24"/>
        </w:rPr>
        <w:t>la ambigüedad pequeño-burguesa?</w:t>
      </w:r>
    </w:p>
    <w:p w:rsidR="00E02187" w:rsidRPr="000B3CA7" w:rsidRDefault="00E02187" w:rsidP="00E02187">
      <w:pPr>
        <w:jc w:val="both"/>
        <w:rPr>
          <w:rFonts w:ascii="Times New Roman" w:hAnsi="Times New Roman"/>
          <w:sz w:val="24"/>
          <w:szCs w:val="24"/>
        </w:rPr>
      </w:pPr>
      <w:r w:rsidRPr="000B3CA7">
        <w:rPr>
          <w:rFonts w:ascii="Times New Roman" w:hAnsi="Times New Roman"/>
          <w:sz w:val="24"/>
          <w:szCs w:val="24"/>
        </w:rPr>
        <w:t>¿Se convencerá la clase media (o lo que queda de ella) que debe dejar de ser la clase “contrarrevolucionaria”?</w:t>
      </w:r>
    </w:p>
    <w:p w:rsidR="00E02187" w:rsidRPr="000B3CA7" w:rsidRDefault="00E02187" w:rsidP="00E02187">
      <w:pPr>
        <w:jc w:val="both"/>
        <w:rPr>
          <w:rFonts w:ascii="Times New Roman" w:hAnsi="Times New Roman"/>
          <w:sz w:val="24"/>
          <w:szCs w:val="24"/>
        </w:rPr>
      </w:pPr>
      <w:r w:rsidRPr="000B3CA7">
        <w:rPr>
          <w:rFonts w:ascii="Times New Roman" w:hAnsi="Times New Roman"/>
          <w:sz w:val="24"/>
          <w:szCs w:val="24"/>
        </w:rPr>
        <w:t>¿Será capaz de exigir la firma de un nuevo Contrato S</w:t>
      </w:r>
      <w:r>
        <w:rPr>
          <w:rFonts w:ascii="Times New Roman" w:hAnsi="Times New Roman"/>
          <w:sz w:val="24"/>
          <w:szCs w:val="24"/>
        </w:rPr>
        <w:t>ocial?</w:t>
      </w:r>
    </w:p>
    <w:p w:rsidR="00E02187" w:rsidRPr="000B3CA7" w:rsidRDefault="00E02187" w:rsidP="00E02187">
      <w:pPr>
        <w:jc w:val="both"/>
        <w:rPr>
          <w:rFonts w:ascii="Times New Roman" w:hAnsi="Times New Roman"/>
          <w:sz w:val="24"/>
          <w:szCs w:val="24"/>
        </w:rPr>
      </w:pPr>
      <w:r w:rsidRPr="000B3CA7">
        <w:rPr>
          <w:rFonts w:ascii="Times New Roman" w:hAnsi="Times New Roman"/>
          <w:sz w:val="24"/>
          <w:szCs w:val="24"/>
        </w:rPr>
        <w:t>¿Tendrá voluntad y fuerzas para oponerse a la “voladura” del Estado del Bienestar?</w:t>
      </w:r>
    </w:p>
    <w:p w:rsidR="00E02187" w:rsidRPr="000B3CA7" w:rsidRDefault="00E02187" w:rsidP="00E02187">
      <w:pPr>
        <w:jc w:val="both"/>
        <w:rPr>
          <w:rFonts w:ascii="Times New Roman" w:hAnsi="Times New Roman"/>
          <w:sz w:val="24"/>
          <w:szCs w:val="24"/>
        </w:rPr>
      </w:pPr>
      <w:r w:rsidRPr="000B3CA7">
        <w:rPr>
          <w:rFonts w:ascii="Times New Roman" w:hAnsi="Times New Roman"/>
          <w:sz w:val="24"/>
          <w:szCs w:val="24"/>
        </w:rPr>
        <w:t>¿Podrá alcanzarse la alianza de la clase media (o lo que qued</w:t>
      </w:r>
      <w:r>
        <w:rPr>
          <w:rFonts w:ascii="Times New Roman" w:hAnsi="Times New Roman"/>
          <w:sz w:val="24"/>
          <w:szCs w:val="24"/>
        </w:rPr>
        <w:t>a de ella) con la clase obrera?</w:t>
      </w:r>
    </w:p>
    <w:p w:rsidR="00E02187" w:rsidRPr="000B3CA7" w:rsidRDefault="00E02187" w:rsidP="00E02187">
      <w:pPr>
        <w:jc w:val="both"/>
        <w:rPr>
          <w:rFonts w:ascii="Times New Roman" w:hAnsi="Times New Roman"/>
          <w:sz w:val="24"/>
          <w:szCs w:val="24"/>
        </w:rPr>
      </w:pPr>
      <w:r w:rsidRPr="000B3CA7">
        <w:rPr>
          <w:rFonts w:ascii="Times New Roman" w:hAnsi="Times New Roman"/>
          <w:sz w:val="24"/>
          <w:szCs w:val="24"/>
        </w:rPr>
        <w:t>De la traición a la promoción del cambio…</w:t>
      </w:r>
    </w:p>
    <w:p w:rsidR="00E02187" w:rsidRDefault="00E02187" w:rsidP="00E02187">
      <w:pPr>
        <w:jc w:val="both"/>
        <w:rPr>
          <w:rFonts w:ascii="Times New Roman" w:hAnsi="Times New Roman"/>
          <w:sz w:val="24"/>
          <w:szCs w:val="24"/>
        </w:rPr>
      </w:pPr>
      <w:r w:rsidRPr="000B3CA7">
        <w:rPr>
          <w:rFonts w:ascii="Times New Roman" w:hAnsi="Times New Roman"/>
          <w:sz w:val="24"/>
          <w:szCs w:val="24"/>
        </w:rPr>
        <w:t>Del servilismo a la revolución…</w:t>
      </w:r>
    </w:p>
    <w:p w:rsidR="00E02187" w:rsidRPr="003F05F9" w:rsidRDefault="00E02187" w:rsidP="00E02187">
      <w:pPr>
        <w:jc w:val="both"/>
        <w:rPr>
          <w:rFonts w:ascii="Times New Roman" w:hAnsi="Times New Roman"/>
          <w:sz w:val="24"/>
          <w:szCs w:val="24"/>
          <w:u w:val="single"/>
        </w:rPr>
      </w:pPr>
      <w:r w:rsidRPr="00D65398">
        <w:rPr>
          <w:rFonts w:ascii="Times New Roman" w:hAnsi="Times New Roman"/>
          <w:sz w:val="24"/>
          <w:szCs w:val="24"/>
        </w:rPr>
        <w:lastRenderedPageBreak/>
        <w:t xml:space="preserve">Más adelante, en el </w:t>
      </w:r>
      <w:r w:rsidRPr="00D65398">
        <w:rPr>
          <w:rFonts w:ascii="Times New Roman" w:hAnsi="Times New Roman"/>
          <w:sz w:val="24"/>
          <w:szCs w:val="24"/>
          <w:u w:val="single"/>
        </w:rPr>
        <w:t>Apartado</w:t>
      </w:r>
      <w:r w:rsidRPr="00D65398">
        <w:rPr>
          <w:rFonts w:ascii="Times New Roman" w:hAnsi="Times New Roman"/>
          <w:sz w:val="24"/>
          <w:szCs w:val="24"/>
        </w:rPr>
        <w:t>:</w:t>
      </w:r>
      <w:r>
        <w:rPr>
          <w:rFonts w:ascii="Times New Roman" w:hAnsi="Times New Roman"/>
          <w:b/>
          <w:sz w:val="24"/>
          <w:szCs w:val="24"/>
        </w:rPr>
        <w:t xml:space="preserve"> - </w:t>
      </w:r>
      <w:r w:rsidRPr="003F05F9">
        <w:rPr>
          <w:rFonts w:ascii="Times New Roman" w:hAnsi="Times New Roman"/>
          <w:sz w:val="24"/>
          <w:szCs w:val="24"/>
          <w:u w:val="single"/>
        </w:rPr>
        <w:t>Conductas bastardas (buscando el futurible perdido)</w:t>
      </w:r>
    </w:p>
    <w:p w:rsidR="00E02187" w:rsidRDefault="00E02187" w:rsidP="00E02187">
      <w:pPr>
        <w:jc w:val="both"/>
        <w:rPr>
          <w:rFonts w:ascii="Times New Roman" w:hAnsi="Times New Roman"/>
          <w:sz w:val="24"/>
          <w:szCs w:val="24"/>
          <w:u w:val="single"/>
        </w:rPr>
      </w:pPr>
      <w:r>
        <w:rPr>
          <w:rFonts w:ascii="Times New Roman" w:hAnsi="Times New Roman"/>
          <w:sz w:val="24"/>
          <w:szCs w:val="24"/>
        </w:rPr>
        <w:t xml:space="preserve">- </w:t>
      </w:r>
      <w:r w:rsidRPr="003F05F9">
        <w:rPr>
          <w:rFonts w:ascii="Times New Roman" w:hAnsi="Times New Roman"/>
          <w:sz w:val="24"/>
          <w:szCs w:val="24"/>
          <w:u w:val="single"/>
        </w:rPr>
        <w:t>Lo que dejó la crisis (con la ayuda del árbitro)</w:t>
      </w:r>
    </w:p>
    <w:p w:rsidR="00E02187" w:rsidRPr="002B0F8C" w:rsidRDefault="00E02187" w:rsidP="00E02187">
      <w:pPr>
        <w:jc w:val="both"/>
        <w:rPr>
          <w:rFonts w:ascii="Times New Roman" w:hAnsi="Times New Roman"/>
          <w:sz w:val="24"/>
          <w:szCs w:val="24"/>
        </w:rPr>
      </w:pPr>
      <w:r w:rsidRPr="002B0F8C">
        <w:rPr>
          <w:rFonts w:ascii="Times New Roman" w:hAnsi="Times New Roman"/>
          <w:sz w:val="24"/>
          <w:szCs w:val="24"/>
        </w:rPr>
        <w:t>Proponía:</w:t>
      </w:r>
    </w:p>
    <w:p w:rsidR="00E02187" w:rsidRDefault="00E02187" w:rsidP="00E02187">
      <w:pPr>
        <w:jc w:val="both"/>
        <w:rPr>
          <w:rFonts w:ascii="Times New Roman" w:hAnsi="Times New Roman"/>
          <w:sz w:val="24"/>
          <w:szCs w:val="24"/>
        </w:rPr>
      </w:pPr>
      <w:r>
        <w:rPr>
          <w:rFonts w:ascii="Times New Roman" w:hAnsi="Times New Roman"/>
          <w:sz w:val="24"/>
          <w:szCs w:val="24"/>
        </w:rPr>
        <w:t>Estimado joven amigo: Al momento de escribir este apartado (10/8/09) se cumple el segundo aniversario de la “crisis de las  hipotecas  subprime” y creo que puede resultarte de interés “repasar” algunos aspectos de la misma (el incendio y las vísperas):</w:t>
      </w:r>
    </w:p>
    <w:p w:rsidR="00E02187" w:rsidRPr="00C871E9" w:rsidRDefault="00E02187" w:rsidP="00E02187">
      <w:pPr>
        <w:jc w:val="both"/>
        <w:rPr>
          <w:rFonts w:ascii="Times New Roman" w:hAnsi="Times New Roman"/>
          <w:sz w:val="24"/>
          <w:szCs w:val="24"/>
        </w:rPr>
      </w:pPr>
      <w:r w:rsidRPr="00C871E9">
        <w:rPr>
          <w:rFonts w:ascii="Times New Roman" w:hAnsi="Times New Roman"/>
          <w:sz w:val="24"/>
          <w:szCs w:val="24"/>
        </w:rPr>
        <w:t>El 9 de agosto de 2007 marcó el inicio de la mayor crisis económica y financiera global de la historia moderna. Ni siquiera el “crack del 29” y la Gran Depresión posterior pueden compararse con el caos vivido en los últimos dos años. Las quiebras de algunas de las empresas más grandes del mundo se han ido sucediendo a lo largo  de estos meses y las economías de las principales potencias se han  deteriorado hasta extremos inimaginables hace apenas 24 meses. A  pesar de las ingentes inyecciones de capital acometidas por los  gobiernos y bancos centrales, la recuperación se prevé aún lejana y,  en estos momentos, volver a ver los índices de crecimiento anteriores a la crisis es una utopía.</w:t>
      </w:r>
    </w:p>
    <w:p w:rsidR="00E02187" w:rsidRPr="00C871E9" w:rsidRDefault="00E02187" w:rsidP="00E02187">
      <w:pPr>
        <w:jc w:val="both"/>
        <w:rPr>
          <w:rFonts w:ascii="Times New Roman" w:hAnsi="Times New Roman"/>
          <w:sz w:val="24"/>
          <w:szCs w:val="24"/>
        </w:rPr>
      </w:pPr>
      <w:r w:rsidRPr="00C871E9">
        <w:rPr>
          <w:rFonts w:ascii="Times New Roman" w:hAnsi="Times New Roman"/>
          <w:sz w:val="24"/>
          <w:szCs w:val="24"/>
        </w:rPr>
        <w:t>El sector financiero fue, sin duda, el detonador de esta crisis y a pesar de que los problemas financieros de la banca se iniciaron en Estados Unidos, el efecto dominó no se hizo esperar y los bancos europeos también se vieron -aún hoy lo hacen- salpicados por la crisis. Las quiebras de algunos de los principales bancos, aseguradoras, cajas de ahorros o entidades hipotecarias han protagonizado muchas de las portadas de los últimos meses.</w:t>
      </w:r>
    </w:p>
    <w:p w:rsidR="00E02187" w:rsidRPr="00F92F02" w:rsidRDefault="00E02187" w:rsidP="00E02187">
      <w:pPr>
        <w:jc w:val="both"/>
        <w:rPr>
          <w:rFonts w:ascii="Times New Roman" w:hAnsi="Times New Roman"/>
          <w:sz w:val="24"/>
          <w:szCs w:val="24"/>
        </w:rPr>
      </w:pPr>
      <w:r w:rsidRPr="00F92F02">
        <w:rPr>
          <w:rFonts w:ascii="Times New Roman" w:hAnsi="Times New Roman"/>
          <w:sz w:val="24"/>
          <w:szCs w:val="24"/>
        </w:rPr>
        <w:t>El origen de las turbulencias es muy concreto: un número limitado de entidades financieras estadounidenses especializadas en las hipotecas más arriesgadas, las tristemente conocidas subprime, empezaron a pagar la explosión de la burbuja. El contagio fue inmediato. La primera crisis financiera de la globalización se extendió con una virulencia formidable. Al cabo, la dilatada fase de expansión se había cimentado sobre bases muy débiles, alimentada por bajos tipos de interés, sobreendeudamiento y persistentes desequilibrios globales. Aunque eso sólo se publicó después: apenas nadie vio venir el incendio.</w:t>
      </w:r>
    </w:p>
    <w:p w:rsidR="00E02187" w:rsidRPr="00F92F02" w:rsidRDefault="00E02187" w:rsidP="00E02187">
      <w:pPr>
        <w:jc w:val="both"/>
        <w:rPr>
          <w:rFonts w:ascii="Times New Roman" w:hAnsi="Times New Roman"/>
          <w:sz w:val="24"/>
          <w:szCs w:val="24"/>
        </w:rPr>
      </w:pPr>
      <w:r w:rsidRPr="00F92F02">
        <w:rPr>
          <w:rFonts w:ascii="Times New Roman" w:hAnsi="Times New Roman"/>
          <w:sz w:val="24"/>
          <w:szCs w:val="24"/>
        </w:rPr>
        <w:t>El fuego, iniciado en el mundo desarrollado, se propagó por todo el sector financiero y con el tiempo acabó abrasando la economía real, pese a que los principales bancos centrales, ese mismo 9 de agosto, inundaron de liquidez los mercados a modo de cortafuegos. Y así siguen dos años después, sin poder evitar que el incendio siga activo en tres cuartas partes del mundo: desempleo, pobreza, pérdidas, sequía crediticia, problemas en prácticamente todos los sectores y un lacerante etcétera sin un final claro a la vista. Y alguna paradoja. A veces el capitalismo parece reírse de nosotros: muchos de los bancos acusados de pirómanos -y que se salvaron de la quema con montañas de dinero público- vuelven a pagar bonus millonarios a sus ejecutivos.</w:t>
      </w:r>
    </w:p>
    <w:p w:rsidR="00E02187" w:rsidRPr="00F92F02" w:rsidRDefault="00E02187" w:rsidP="00E02187">
      <w:pPr>
        <w:jc w:val="both"/>
        <w:rPr>
          <w:rFonts w:ascii="Times New Roman" w:hAnsi="Times New Roman"/>
          <w:sz w:val="24"/>
          <w:szCs w:val="24"/>
        </w:rPr>
      </w:pPr>
      <w:r>
        <w:rPr>
          <w:rFonts w:ascii="Times New Roman" w:hAnsi="Times New Roman"/>
          <w:sz w:val="24"/>
          <w:szCs w:val="24"/>
        </w:rPr>
        <w:lastRenderedPageBreak/>
        <w:t>“</w:t>
      </w:r>
      <w:r w:rsidRPr="007B1360">
        <w:rPr>
          <w:rFonts w:ascii="Times New Roman" w:hAnsi="Times New Roman"/>
          <w:sz w:val="24"/>
          <w:szCs w:val="24"/>
        </w:rPr>
        <w:t>O</w:t>
      </w:r>
      <w:r>
        <w:rPr>
          <w:rFonts w:ascii="Times New Roman" w:hAnsi="Times New Roman"/>
          <w:sz w:val="24"/>
          <w:szCs w:val="24"/>
        </w:rPr>
        <w:t>jalá vivas tiempos interesantes”</w:t>
      </w:r>
      <w:r w:rsidRPr="007B1360">
        <w:rPr>
          <w:rFonts w:ascii="Times New Roman" w:hAnsi="Times New Roman"/>
          <w:sz w:val="24"/>
          <w:szCs w:val="24"/>
        </w:rPr>
        <w:t xml:space="preserve">, reza una vieja y ambigua maldición china. Así es esta crisis: no hay un único culpable, no hay una sola causa sino una serie de historias entrelazadas que explican la Gran Recesión con el vibrante ritmo de un thriller difícil de encasillar. </w:t>
      </w:r>
      <w:r w:rsidRPr="00F92F02">
        <w:rPr>
          <w:rFonts w:ascii="Times New Roman" w:hAnsi="Times New Roman"/>
          <w:sz w:val="24"/>
          <w:szCs w:val="24"/>
        </w:rPr>
        <w:t>Porque la verdadera naturaleza de la crisis todavía es incierta</w:t>
      </w:r>
      <w:r>
        <w:rPr>
          <w:rFonts w:ascii="Times New Roman" w:hAnsi="Times New Roman"/>
          <w:sz w:val="24"/>
          <w:szCs w:val="24"/>
        </w:rPr>
        <w:t xml:space="preserve">. El economista </w:t>
      </w:r>
      <w:r w:rsidRPr="00F92F02">
        <w:rPr>
          <w:rFonts w:ascii="Times New Roman" w:hAnsi="Times New Roman"/>
          <w:sz w:val="24"/>
          <w:szCs w:val="24"/>
        </w:rPr>
        <w:t>la resume como la combinación “de una política monetaria demasiado laxa -esto es, bajos tipos de interés-, de mala regulación financiera, de la formación de burbujas mientras los bancos centrales miraban hacia otro lado y de la avidez de los banqu</w:t>
      </w:r>
      <w:r>
        <w:rPr>
          <w:rFonts w:ascii="Times New Roman" w:hAnsi="Times New Roman"/>
          <w:sz w:val="24"/>
          <w:szCs w:val="24"/>
        </w:rPr>
        <w:t xml:space="preserve">eros, entre otras cosas”. </w:t>
      </w:r>
      <w:r w:rsidRPr="00F92F02">
        <w:rPr>
          <w:rFonts w:ascii="Times New Roman" w:hAnsi="Times New Roman"/>
          <w:sz w:val="24"/>
          <w:szCs w:val="24"/>
        </w:rPr>
        <w:t>Efectos secundar</w:t>
      </w:r>
      <w:r>
        <w:rPr>
          <w:rFonts w:ascii="Times New Roman" w:hAnsi="Times New Roman"/>
          <w:sz w:val="24"/>
          <w:szCs w:val="24"/>
        </w:rPr>
        <w:t>ios de un capitalismo mal hecho</w:t>
      </w:r>
      <w:r w:rsidRPr="00F92F02">
        <w:rPr>
          <w:rFonts w:ascii="Times New Roman" w:hAnsi="Times New Roman"/>
          <w:sz w:val="24"/>
          <w:szCs w:val="24"/>
        </w:rPr>
        <w:t>.</w:t>
      </w:r>
    </w:p>
    <w:p w:rsidR="00E02187" w:rsidRPr="00F92F02" w:rsidRDefault="00E02187" w:rsidP="00E02187">
      <w:pPr>
        <w:jc w:val="both"/>
        <w:rPr>
          <w:rFonts w:ascii="Times New Roman" w:hAnsi="Times New Roman"/>
          <w:sz w:val="24"/>
          <w:szCs w:val="24"/>
        </w:rPr>
      </w:pPr>
      <w:r w:rsidRPr="00F92F02">
        <w:rPr>
          <w:rFonts w:ascii="Times New Roman" w:hAnsi="Times New Roman"/>
          <w:sz w:val="24"/>
          <w:szCs w:val="24"/>
        </w:rPr>
        <w:t>El desenlace del thriller tampoco está claro. Los políticos insisten desde hace meses con los brotes verdes, una fórmula tramposa: lo único cierto es que ha bajado el ritmo de desplome. La economía sigue cayendo; eso sí, a menor velocidad. Los Gobiernos observan ese cambio con agrado, pero en el fondo se trata de una satisfacción ruinosa: queda crisis para rato. “La resaca va a ser dura. Mientras no se revitalice el crédito y no</w:t>
      </w:r>
      <w:r w:rsidRPr="00437C2A">
        <w:rPr>
          <w:rFonts w:ascii="Times New Roman" w:hAnsi="Times New Roman"/>
          <w:sz w:val="24"/>
          <w:szCs w:val="24"/>
          <w:u w:val="single"/>
        </w:rPr>
        <w:t xml:space="preserve"> </w:t>
      </w:r>
      <w:r w:rsidRPr="00F92F02">
        <w:rPr>
          <w:rFonts w:ascii="Times New Roman" w:hAnsi="Times New Roman"/>
          <w:sz w:val="24"/>
          <w:szCs w:val="24"/>
        </w:rPr>
        <w:t>se constate una reactivación duradera en los mercados, se seguirán viendo efectos del shock, sobre todo el paro”, vaticinan algunos analistas, pese a la reciente mejoría del desempleo en EEUU. Tan sólo se dan las precondiciones para que la economía empiece a moverse en la dirección correcta. Lo peor tal vez haya pasado, pero no hay atisbos de tranquilidad.</w:t>
      </w:r>
    </w:p>
    <w:p w:rsidR="00E02187" w:rsidRPr="00F92F02" w:rsidRDefault="00E02187" w:rsidP="00E02187">
      <w:pPr>
        <w:jc w:val="both"/>
        <w:rPr>
          <w:rFonts w:ascii="Times New Roman" w:hAnsi="Times New Roman"/>
          <w:sz w:val="24"/>
          <w:szCs w:val="24"/>
        </w:rPr>
      </w:pPr>
      <w:r w:rsidRPr="00F92F02">
        <w:rPr>
          <w:rFonts w:ascii="Times New Roman" w:hAnsi="Times New Roman"/>
          <w:sz w:val="24"/>
          <w:szCs w:val="24"/>
        </w:rPr>
        <w:t>De hecho, los p</w:t>
      </w:r>
      <w:r>
        <w:rPr>
          <w:rFonts w:ascii="Times New Roman" w:hAnsi="Times New Roman"/>
          <w:sz w:val="24"/>
          <w:szCs w:val="24"/>
        </w:rPr>
        <w:t>roblemas económicos -paro inclui</w:t>
      </w:r>
      <w:r w:rsidRPr="00F92F02">
        <w:rPr>
          <w:rFonts w:ascii="Times New Roman" w:hAnsi="Times New Roman"/>
          <w:sz w:val="24"/>
          <w:szCs w:val="24"/>
        </w:rPr>
        <w:t xml:space="preserve">do- se han convertido en la primera preocupación de los ciudadanos de los países desarrollados, por encima del terrorismo, la guerra, el acceso a una vivienda o la inmigración. Pero la crisis también afecta, por supuesto, a los más pobres. El incesante incremento del desempleo está causando estragos en las familias y la Organización Internacional del Trabajo (OIT) calcula que 50 millones de personas se sumarán a las listas de parados en 2009, con lo que la cifra total se situará entre 210 y 239 millones. </w:t>
      </w:r>
    </w:p>
    <w:p w:rsidR="00E02187" w:rsidRDefault="00E02187" w:rsidP="00E02187">
      <w:pPr>
        <w:jc w:val="both"/>
        <w:rPr>
          <w:rFonts w:ascii="Times New Roman" w:hAnsi="Times New Roman"/>
          <w:sz w:val="24"/>
          <w:szCs w:val="24"/>
        </w:rPr>
      </w:pPr>
      <w:r w:rsidRPr="00F92F02">
        <w:rPr>
          <w:rFonts w:ascii="Times New Roman" w:hAnsi="Times New Roman"/>
          <w:sz w:val="24"/>
          <w:szCs w:val="24"/>
        </w:rPr>
        <w:t>En esta coyuntura, la pobreza mundial se está disparando. Según las previsiones de la OIT, a finales de este año habrá alrededor de 1.422 millones de pobres, lo que representa casi la cuarta parte de la población mundial. El empleo tampoco es garantía de estabilidad en muchos países porque un alto porcentaje de los nuevos pobres tienen un puesto de trabajo, pero ganan menos de dos dólares.</w:t>
      </w:r>
    </w:p>
    <w:p w:rsidR="00E02187" w:rsidRPr="00071712" w:rsidRDefault="00E02187" w:rsidP="00E02187">
      <w:pPr>
        <w:jc w:val="both"/>
        <w:rPr>
          <w:rFonts w:ascii="Times New Roman" w:hAnsi="Times New Roman"/>
          <w:sz w:val="24"/>
          <w:szCs w:val="24"/>
        </w:rPr>
      </w:pPr>
      <w:r>
        <w:rPr>
          <w:rFonts w:ascii="Times New Roman" w:hAnsi="Times New Roman"/>
          <w:sz w:val="24"/>
          <w:szCs w:val="24"/>
        </w:rPr>
        <w:t xml:space="preserve">Pero estos asuntos, estimado joven amigo, forman parte de las “crisis invisibles”, aquellas de la que casi nadie se acuerda o quiere acordar. Para que te enteres, en </w:t>
      </w:r>
      <w:r w:rsidRPr="00071712">
        <w:rPr>
          <w:rFonts w:ascii="Times New Roman" w:hAnsi="Times New Roman"/>
          <w:sz w:val="24"/>
          <w:szCs w:val="24"/>
        </w:rPr>
        <w:t xml:space="preserve">el mundo hay crisis visibles e invisibles. </w:t>
      </w:r>
    </w:p>
    <w:p w:rsidR="00E02187" w:rsidRPr="00071712" w:rsidRDefault="00E02187" w:rsidP="00E02187">
      <w:pPr>
        <w:jc w:val="both"/>
        <w:rPr>
          <w:rFonts w:ascii="Times New Roman" w:hAnsi="Times New Roman"/>
          <w:sz w:val="24"/>
          <w:szCs w:val="24"/>
        </w:rPr>
      </w:pPr>
      <w:r w:rsidRPr="00071712">
        <w:rPr>
          <w:rFonts w:ascii="Times New Roman" w:hAnsi="Times New Roman"/>
          <w:sz w:val="24"/>
          <w:szCs w:val="24"/>
        </w:rPr>
        <w:t>La crisis financiera está en los radares de los medios y en la atención permanente de los gobiernos. La de la pobreza o el desempleo sólo aparece en las páginas de temas sociales.</w:t>
      </w:r>
    </w:p>
    <w:p w:rsidR="00E02187" w:rsidRPr="007636A2" w:rsidRDefault="00E02187" w:rsidP="00E02187">
      <w:pPr>
        <w:jc w:val="both"/>
        <w:rPr>
          <w:rFonts w:ascii="Times New Roman" w:hAnsi="Times New Roman"/>
          <w:sz w:val="24"/>
          <w:szCs w:val="24"/>
        </w:rPr>
      </w:pPr>
      <w:r w:rsidRPr="007636A2">
        <w:rPr>
          <w:rFonts w:ascii="Times New Roman" w:hAnsi="Times New Roman"/>
          <w:sz w:val="24"/>
          <w:szCs w:val="24"/>
        </w:rPr>
        <w:t>En algunos casos la vis</w:t>
      </w:r>
      <w:r>
        <w:rPr>
          <w:rFonts w:ascii="Times New Roman" w:hAnsi="Times New Roman"/>
          <w:sz w:val="24"/>
          <w:szCs w:val="24"/>
        </w:rPr>
        <w:t>ibilidad de una noticia -</w:t>
      </w:r>
      <w:r w:rsidRPr="007636A2">
        <w:rPr>
          <w:rFonts w:ascii="Times New Roman" w:hAnsi="Times New Roman"/>
          <w:sz w:val="24"/>
          <w:szCs w:val="24"/>
        </w:rPr>
        <w:t>para</w:t>
      </w:r>
      <w:r>
        <w:rPr>
          <w:rFonts w:ascii="Times New Roman" w:hAnsi="Times New Roman"/>
          <w:sz w:val="24"/>
          <w:szCs w:val="24"/>
        </w:rPr>
        <w:t>ísos fiscales o activos tóxicos</w:t>
      </w:r>
      <w:r w:rsidRPr="007636A2">
        <w:rPr>
          <w:rFonts w:ascii="Times New Roman" w:hAnsi="Times New Roman"/>
          <w:sz w:val="24"/>
          <w:szCs w:val="24"/>
        </w:rPr>
        <w:t xml:space="preserve">- esconde una esencial invisibilidad con una técnica similar a la que usó Edgar </w:t>
      </w:r>
      <w:r>
        <w:rPr>
          <w:rFonts w:ascii="Times New Roman" w:hAnsi="Times New Roman"/>
          <w:sz w:val="24"/>
          <w:szCs w:val="24"/>
        </w:rPr>
        <w:t>Allan Poe en su célebre cuento “La carta robada”</w:t>
      </w:r>
      <w:r w:rsidRPr="007636A2">
        <w:rPr>
          <w:rFonts w:ascii="Times New Roman" w:hAnsi="Times New Roman"/>
          <w:sz w:val="24"/>
          <w:szCs w:val="24"/>
        </w:rPr>
        <w:t>: la mejor manera de esconder una carta compro</w:t>
      </w:r>
      <w:r>
        <w:rPr>
          <w:rFonts w:ascii="Times New Roman" w:hAnsi="Times New Roman"/>
          <w:sz w:val="24"/>
          <w:szCs w:val="24"/>
        </w:rPr>
        <w:t>metedora es dejarla a la vista…</w:t>
      </w:r>
    </w:p>
    <w:p w:rsidR="00E02187" w:rsidRPr="009518C4" w:rsidRDefault="00E02187" w:rsidP="00E02187">
      <w:pPr>
        <w:shd w:val="clear" w:color="auto" w:fill="FFFFFF"/>
        <w:spacing w:after="150" w:line="240" w:lineRule="auto"/>
        <w:jc w:val="both"/>
        <w:rPr>
          <w:rFonts w:ascii="Times New Roman" w:eastAsia="Times New Roman" w:hAnsi="Times New Roman"/>
          <w:sz w:val="24"/>
          <w:szCs w:val="24"/>
          <w:u w:val="single"/>
          <w:lang w:eastAsia="es-ES"/>
        </w:rPr>
      </w:pPr>
      <w:r w:rsidRPr="009518C4">
        <w:rPr>
          <w:rFonts w:ascii="Times New Roman" w:eastAsia="Times New Roman" w:hAnsi="Times New Roman"/>
          <w:sz w:val="24"/>
          <w:szCs w:val="24"/>
          <w:lang w:eastAsia="es-ES"/>
        </w:rPr>
        <w:lastRenderedPageBreak/>
        <w:t xml:space="preserve">Luego, en el </w:t>
      </w:r>
      <w:r w:rsidRPr="009518C4">
        <w:rPr>
          <w:rFonts w:ascii="Times New Roman" w:eastAsia="Times New Roman" w:hAnsi="Times New Roman"/>
          <w:sz w:val="24"/>
          <w:szCs w:val="24"/>
          <w:u w:val="single"/>
          <w:lang w:eastAsia="es-ES"/>
        </w:rPr>
        <w:t>Apartado</w:t>
      </w:r>
      <w:r w:rsidRPr="009518C4">
        <w:rPr>
          <w:rFonts w:ascii="Times New Roman" w:eastAsia="Times New Roman" w:hAnsi="Times New Roman"/>
          <w:sz w:val="24"/>
          <w:szCs w:val="24"/>
          <w:lang w:eastAsia="es-ES"/>
        </w:rPr>
        <w:t xml:space="preserve">: </w:t>
      </w:r>
      <w:r w:rsidRPr="009518C4">
        <w:rPr>
          <w:rFonts w:ascii="Times New Roman" w:eastAsia="Times New Roman" w:hAnsi="Times New Roman"/>
          <w:sz w:val="24"/>
          <w:szCs w:val="24"/>
          <w:u w:val="single"/>
          <w:lang w:eastAsia="es-ES"/>
        </w:rPr>
        <w:t>Esperando el estallido social (la hora de los “justos”)</w:t>
      </w:r>
    </w:p>
    <w:p w:rsidR="00E02187" w:rsidRPr="009518C4" w:rsidRDefault="00E02187" w:rsidP="00E02187">
      <w:pPr>
        <w:shd w:val="clear" w:color="auto" w:fill="FFFFFF"/>
        <w:spacing w:after="150" w:line="240" w:lineRule="auto"/>
        <w:jc w:val="both"/>
        <w:rPr>
          <w:rFonts w:ascii="Times New Roman" w:eastAsia="Times New Roman" w:hAnsi="Times New Roman"/>
          <w:sz w:val="24"/>
          <w:szCs w:val="24"/>
          <w:lang w:eastAsia="es-ES"/>
        </w:rPr>
      </w:pPr>
      <w:r w:rsidRPr="009518C4">
        <w:rPr>
          <w:rFonts w:ascii="Times New Roman" w:eastAsia="Times New Roman" w:hAnsi="Times New Roman"/>
          <w:sz w:val="24"/>
          <w:szCs w:val="24"/>
          <w:lang w:eastAsia="es-ES"/>
        </w:rPr>
        <w:t xml:space="preserve">- </w:t>
      </w:r>
      <w:r w:rsidRPr="009518C4">
        <w:rPr>
          <w:rFonts w:ascii="Times New Roman" w:eastAsia="Times New Roman" w:hAnsi="Times New Roman"/>
          <w:sz w:val="24"/>
          <w:szCs w:val="24"/>
          <w:u w:val="single"/>
          <w:lang w:eastAsia="es-ES"/>
        </w:rPr>
        <w:t>Cuando estén secas las pilas de todos los timbres que vos apretás…</w:t>
      </w:r>
      <w:r w:rsidRPr="009518C4">
        <w:rPr>
          <w:rFonts w:ascii="Times New Roman" w:eastAsia="Times New Roman" w:hAnsi="Times New Roman"/>
          <w:sz w:val="24"/>
          <w:szCs w:val="24"/>
          <w:lang w:eastAsia="es-ES"/>
        </w:rPr>
        <w:t xml:space="preserve"> (*) </w:t>
      </w:r>
    </w:p>
    <w:p w:rsidR="00E02187" w:rsidRDefault="00E02187" w:rsidP="00E02187">
      <w:pPr>
        <w:jc w:val="both"/>
        <w:rPr>
          <w:rFonts w:ascii="Times New Roman" w:hAnsi="Times New Roman"/>
          <w:sz w:val="24"/>
          <w:szCs w:val="24"/>
        </w:rPr>
      </w:pPr>
      <w:r>
        <w:rPr>
          <w:rFonts w:ascii="Times New Roman" w:hAnsi="Times New Roman"/>
          <w:sz w:val="24"/>
          <w:szCs w:val="24"/>
        </w:rPr>
        <w:t xml:space="preserve"> (*) (De la letra del Tango “Yira, yira” de Enrique Santos Discépolo)</w:t>
      </w:r>
    </w:p>
    <w:p w:rsidR="00E02187" w:rsidRPr="00537944" w:rsidRDefault="00E02187" w:rsidP="00E02187">
      <w:pPr>
        <w:jc w:val="both"/>
        <w:rPr>
          <w:rFonts w:ascii="Times New Roman" w:hAnsi="Times New Roman"/>
          <w:sz w:val="24"/>
          <w:szCs w:val="24"/>
        </w:rPr>
      </w:pPr>
      <w:r>
        <w:rPr>
          <w:rFonts w:ascii="Times New Roman" w:hAnsi="Times New Roman"/>
          <w:sz w:val="24"/>
          <w:szCs w:val="24"/>
        </w:rPr>
        <w:t>Recordaba:</w:t>
      </w:r>
    </w:p>
    <w:p w:rsidR="00E02187" w:rsidRPr="00836714" w:rsidRDefault="00E02187" w:rsidP="00E02187">
      <w:pPr>
        <w:jc w:val="both"/>
        <w:rPr>
          <w:rFonts w:ascii="Times New Roman" w:hAnsi="Times New Roman"/>
          <w:sz w:val="24"/>
          <w:szCs w:val="24"/>
        </w:rPr>
      </w:pPr>
      <w:r>
        <w:rPr>
          <w:rFonts w:ascii="Times New Roman" w:hAnsi="Times New Roman"/>
          <w:sz w:val="24"/>
          <w:szCs w:val="24"/>
        </w:rPr>
        <w:t>Estimado joven amigo: Según dicen los libros de Historia (es que a los viejos nos gusta la Historia)... y</w:t>
      </w:r>
      <w:r w:rsidRPr="00836714">
        <w:rPr>
          <w:rFonts w:ascii="Times New Roman" w:hAnsi="Times New Roman"/>
          <w:sz w:val="24"/>
          <w:szCs w:val="24"/>
        </w:rPr>
        <w:t xml:space="preserve">a en proceso de desatarse la </w:t>
      </w:r>
      <w:r>
        <w:rPr>
          <w:rFonts w:ascii="Times New Roman" w:hAnsi="Times New Roman"/>
          <w:sz w:val="24"/>
          <w:szCs w:val="24"/>
        </w:rPr>
        <w:t>revolución francesa,</w:t>
      </w:r>
      <w:r w:rsidRPr="00836714">
        <w:rPr>
          <w:rFonts w:ascii="Times New Roman" w:hAnsi="Times New Roman"/>
          <w:sz w:val="24"/>
          <w:szCs w:val="24"/>
        </w:rPr>
        <w:t xml:space="preserve"> cuando la gente del pueblo, a falta de harina y trigo, fue directamente a Versalles a enca</w:t>
      </w:r>
      <w:r>
        <w:rPr>
          <w:rFonts w:ascii="Times New Roman" w:hAnsi="Times New Roman"/>
          <w:sz w:val="24"/>
          <w:szCs w:val="24"/>
        </w:rPr>
        <w:t>rar a la Reina,</w:t>
      </w:r>
      <w:r w:rsidRPr="00836714">
        <w:rPr>
          <w:rFonts w:ascii="Times New Roman" w:hAnsi="Times New Roman"/>
          <w:sz w:val="24"/>
          <w:szCs w:val="24"/>
        </w:rPr>
        <w:t xml:space="preserve"> ésta habría respondido con la frase: “Que coman pasteles” (Qu’ils mang</w:t>
      </w:r>
      <w:r>
        <w:rPr>
          <w:rFonts w:ascii="Times New Roman" w:hAnsi="Times New Roman"/>
          <w:sz w:val="24"/>
          <w:szCs w:val="24"/>
        </w:rPr>
        <w:t>ent de la brioche), lo que causó</w:t>
      </w:r>
      <w:r w:rsidRPr="00836714">
        <w:rPr>
          <w:rFonts w:ascii="Times New Roman" w:hAnsi="Times New Roman"/>
          <w:sz w:val="24"/>
          <w:szCs w:val="24"/>
        </w:rPr>
        <w:t xml:space="preserve"> un gran enojo en el pueblo, algo que sólo ayudó</w:t>
      </w:r>
      <w:r>
        <w:rPr>
          <w:rFonts w:ascii="Times New Roman" w:hAnsi="Times New Roman"/>
          <w:sz w:val="24"/>
          <w:szCs w:val="24"/>
        </w:rPr>
        <w:t xml:space="preserve"> a odiar más a María Antonieta.</w:t>
      </w:r>
    </w:p>
    <w:p w:rsidR="00E02187" w:rsidRDefault="00E02187" w:rsidP="00E02187">
      <w:pPr>
        <w:jc w:val="both"/>
        <w:rPr>
          <w:rFonts w:ascii="Times New Roman" w:hAnsi="Times New Roman"/>
          <w:sz w:val="24"/>
          <w:szCs w:val="24"/>
        </w:rPr>
      </w:pPr>
      <w:r w:rsidRPr="00836714">
        <w:rPr>
          <w:rFonts w:ascii="Times New Roman" w:hAnsi="Times New Roman"/>
          <w:sz w:val="24"/>
          <w:szCs w:val="24"/>
        </w:rPr>
        <w:t>Hay muchas versi</w:t>
      </w:r>
      <w:r>
        <w:rPr>
          <w:rFonts w:ascii="Times New Roman" w:hAnsi="Times New Roman"/>
          <w:sz w:val="24"/>
          <w:szCs w:val="24"/>
        </w:rPr>
        <w:t>ones que señalan por qué Marí</w:t>
      </w:r>
      <w:r w:rsidRPr="00836714">
        <w:rPr>
          <w:rFonts w:ascii="Times New Roman" w:hAnsi="Times New Roman"/>
          <w:sz w:val="24"/>
          <w:szCs w:val="24"/>
        </w:rPr>
        <w:t xml:space="preserve">a Antonieta habría dicho aquello. Sin embargo, el filósofo Jean-Jacques Rousseau dice que la frase no provino de ella, sino de otra reina María Teresa de Austria (esposa de Luis XIV); la frase original era </w:t>
      </w:r>
      <w:r>
        <w:rPr>
          <w:rFonts w:ascii="Times New Roman" w:hAnsi="Times New Roman"/>
          <w:sz w:val="24"/>
          <w:szCs w:val="24"/>
        </w:rPr>
        <w:t>“</w:t>
      </w:r>
      <w:r w:rsidRPr="00836714">
        <w:rPr>
          <w:rFonts w:ascii="Times New Roman" w:hAnsi="Times New Roman"/>
          <w:sz w:val="24"/>
          <w:szCs w:val="24"/>
        </w:rPr>
        <w:t>S'il ait aucun pain, donnez-leur la croûte au loin du pâté</w:t>
      </w:r>
      <w:r>
        <w:rPr>
          <w:rFonts w:ascii="Times New Roman" w:hAnsi="Times New Roman"/>
          <w:sz w:val="24"/>
          <w:szCs w:val="24"/>
        </w:rPr>
        <w:t>”</w:t>
      </w:r>
      <w:r w:rsidRPr="00836714">
        <w:rPr>
          <w:rFonts w:ascii="Times New Roman" w:hAnsi="Times New Roman"/>
          <w:sz w:val="24"/>
          <w:szCs w:val="24"/>
        </w:rPr>
        <w:t xml:space="preserve"> (Si no tienen pan, que les den </w:t>
      </w:r>
      <w:r>
        <w:rPr>
          <w:rFonts w:ascii="Times New Roman" w:hAnsi="Times New Roman"/>
          <w:sz w:val="24"/>
          <w:szCs w:val="24"/>
        </w:rPr>
        <w:t>el hojaldre en lugar del paté. “Pâtè en croûte”</w:t>
      </w:r>
      <w:r w:rsidRPr="00836714">
        <w:rPr>
          <w:rFonts w:ascii="Times New Roman" w:hAnsi="Times New Roman"/>
          <w:sz w:val="24"/>
          <w:szCs w:val="24"/>
        </w:rPr>
        <w:t>), pero para muchas personas María Antonieta fue la que dijo esa frase, que en cierto sentido ha sido analizada y reconocida por todo el mundo</w:t>
      </w:r>
      <w:r>
        <w:rPr>
          <w:rFonts w:ascii="Times New Roman" w:hAnsi="Times New Roman"/>
          <w:sz w:val="24"/>
          <w:szCs w:val="24"/>
        </w:rPr>
        <w:t>…</w:t>
      </w:r>
    </w:p>
    <w:p w:rsidR="00E02187" w:rsidRDefault="00E02187" w:rsidP="00E02187">
      <w:pPr>
        <w:jc w:val="both"/>
        <w:rPr>
          <w:rFonts w:ascii="Times New Roman" w:hAnsi="Times New Roman"/>
          <w:sz w:val="24"/>
          <w:szCs w:val="24"/>
        </w:rPr>
      </w:pPr>
      <w:r w:rsidRPr="00C82267">
        <w:rPr>
          <w:rFonts w:ascii="Times New Roman" w:hAnsi="Times New Roman"/>
          <w:sz w:val="24"/>
          <w:szCs w:val="24"/>
        </w:rPr>
        <w:t>El 10 de agosto</w:t>
      </w:r>
      <w:r>
        <w:rPr>
          <w:rFonts w:ascii="Times New Roman" w:hAnsi="Times New Roman"/>
          <w:sz w:val="24"/>
          <w:szCs w:val="24"/>
        </w:rPr>
        <w:t xml:space="preserve"> (1792)</w:t>
      </w:r>
      <w:r w:rsidRPr="00C82267">
        <w:rPr>
          <w:rFonts w:ascii="Times New Roman" w:hAnsi="Times New Roman"/>
          <w:sz w:val="24"/>
          <w:szCs w:val="24"/>
        </w:rPr>
        <w:t xml:space="preserve"> se produce la insurrección. Las Tullerías son asaltadas, el Rey se refugia en la Convención, que vota su suspensión provisional, y ambos son internados en el convento de los Feuillants. Al día siguiente, la familia real es transferida a la prisión del Temple. Allí moriría, casi dos años más tarde, su segundo hijo varón, a los 10 años de edad, conocido como Luis XVII, aunque por supuesto nunca reinó. Durante las matanzas de septiembre, la princesa de Lamballe, víctima simbólica, es salvajemente asesinada y su cabeza se exhibe en la punta de una pica, paseándola por delante de las ventanas tras las que se halla</w:t>
      </w:r>
      <w:r>
        <w:rPr>
          <w:rFonts w:ascii="Times New Roman" w:hAnsi="Times New Roman"/>
          <w:sz w:val="24"/>
          <w:szCs w:val="24"/>
        </w:rPr>
        <w:t>ba</w:t>
      </w:r>
      <w:r w:rsidRPr="00C82267">
        <w:rPr>
          <w:rFonts w:ascii="Times New Roman" w:hAnsi="Times New Roman"/>
          <w:sz w:val="24"/>
          <w:szCs w:val="24"/>
        </w:rPr>
        <w:t xml:space="preserve"> María Antonieta. Poco después, cuando ya la guerra ha empezado, la familia real queda retenida por la Convención. A principios</w:t>
      </w:r>
      <w:r>
        <w:rPr>
          <w:rFonts w:ascii="Times New Roman" w:hAnsi="Times New Roman"/>
          <w:sz w:val="24"/>
          <w:szCs w:val="24"/>
        </w:rPr>
        <w:t xml:space="preserve"> de diciembre, se descubre el “armario de hierro”</w:t>
      </w:r>
      <w:r w:rsidRPr="00C82267">
        <w:rPr>
          <w:rFonts w:ascii="Times New Roman" w:hAnsi="Times New Roman"/>
          <w:sz w:val="24"/>
          <w:szCs w:val="24"/>
        </w:rPr>
        <w:t xml:space="preserve"> en el que Luis XVI guarda sus papeles secretos. El proceso, a partir de ese momento, es inevitable.</w:t>
      </w:r>
    </w:p>
    <w:p w:rsidR="00E02187" w:rsidRPr="00C82267" w:rsidRDefault="00E02187" w:rsidP="00E02187">
      <w:pPr>
        <w:jc w:val="both"/>
        <w:rPr>
          <w:rFonts w:ascii="Times New Roman" w:hAnsi="Times New Roman"/>
          <w:sz w:val="24"/>
          <w:szCs w:val="24"/>
        </w:rPr>
      </w:pPr>
      <w:r w:rsidRPr="00CA0475">
        <w:rPr>
          <w:rFonts w:ascii="Times New Roman" w:hAnsi="Times New Roman"/>
          <w:sz w:val="24"/>
          <w:szCs w:val="24"/>
        </w:rPr>
        <w:t>El 14 de agosto de 1793, María Antonieta es puesta a disposición judicial ante el Tribunal revolucionario, presentá</w:t>
      </w:r>
      <w:r>
        <w:rPr>
          <w:rFonts w:ascii="Times New Roman" w:hAnsi="Times New Roman"/>
          <w:sz w:val="24"/>
          <w:szCs w:val="24"/>
        </w:rPr>
        <w:t>ndose como acusador público Fou</w:t>
      </w:r>
      <w:r w:rsidRPr="00CA0475">
        <w:rPr>
          <w:rFonts w:ascii="Times New Roman" w:hAnsi="Times New Roman"/>
          <w:sz w:val="24"/>
          <w:szCs w:val="24"/>
        </w:rPr>
        <w:t>quier-Tinville. Si en el juicio de Luis XVI se había intentado guardar las apariencias de una cierta equidad, no se hizo así con el proceso a María Antonieta. El dossier se prepara a toda prisa; es, a todas luces, incompleto, Fouquier-Tinville no logra encontrar todos los documentos de Luis XVI.</w:t>
      </w:r>
    </w:p>
    <w:p w:rsidR="00E02187" w:rsidRPr="00CA0475" w:rsidRDefault="00E02187" w:rsidP="00E02187">
      <w:pPr>
        <w:jc w:val="both"/>
        <w:rPr>
          <w:rFonts w:ascii="Times New Roman" w:hAnsi="Times New Roman"/>
          <w:sz w:val="24"/>
          <w:szCs w:val="24"/>
        </w:rPr>
      </w:pPr>
      <w:r w:rsidRPr="00CA0475">
        <w:rPr>
          <w:rFonts w:ascii="Times New Roman" w:hAnsi="Times New Roman"/>
          <w:sz w:val="24"/>
          <w:szCs w:val="24"/>
        </w:rPr>
        <w:t xml:space="preserve">María Antonieta es condenada a la pena capital el 16 de octubre, dos días después del inicio del juicio, acusada de alta traición. De madrugada escribe una carta a Madame Isabel, la hermana de Luis XVI: </w:t>
      </w:r>
    </w:p>
    <w:p w:rsidR="00E02187" w:rsidRPr="00CA0475" w:rsidRDefault="00E02187" w:rsidP="00E02187">
      <w:pPr>
        <w:jc w:val="both"/>
        <w:rPr>
          <w:rFonts w:ascii="Times New Roman" w:hAnsi="Times New Roman"/>
          <w:sz w:val="24"/>
          <w:szCs w:val="24"/>
        </w:rPr>
      </w:pPr>
      <w:r>
        <w:rPr>
          <w:rFonts w:ascii="Times New Roman" w:hAnsi="Times New Roman"/>
          <w:sz w:val="24"/>
          <w:szCs w:val="24"/>
        </w:rPr>
        <w:t>“</w:t>
      </w:r>
      <w:r w:rsidRPr="00CA0475">
        <w:rPr>
          <w:rFonts w:ascii="Times New Roman" w:hAnsi="Times New Roman"/>
          <w:sz w:val="24"/>
          <w:szCs w:val="24"/>
        </w:rPr>
        <w:t xml:space="preserve">Acabo de ser condenada, no a una muerte honrosa, que se reserva para los criminales, pero voy </w:t>
      </w:r>
      <w:r>
        <w:rPr>
          <w:rFonts w:ascii="Times New Roman" w:hAnsi="Times New Roman"/>
          <w:sz w:val="24"/>
          <w:szCs w:val="24"/>
        </w:rPr>
        <w:t>a reunirme con vuestro hermano”.</w:t>
      </w:r>
    </w:p>
    <w:p w:rsidR="00E02187" w:rsidRDefault="00E02187" w:rsidP="00E02187">
      <w:pPr>
        <w:jc w:val="both"/>
        <w:rPr>
          <w:rFonts w:ascii="Times New Roman" w:hAnsi="Times New Roman"/>
          <w:sz w:val="24"/>
          <w:szCs w:val="24"/>
        </w:rPr>
      </w:pPr>
      <w:r w:rsidRPr="00CA0475">
        <w:rPr>
          <w:rFonts w:ascii="Times New Roman" w:hAnsi="Times New Roman"/>
          <w:sz w:val="24"/>
          <w:szCs w:val="24"/>
        </w:rPr>
        <w:lastRenderedPageBreak/>
        <w:t>Al mediodía del día siguiente María Antonieta es guillotinada, sin haber querido confesarse con el sacerdote constitucional que le habían propuesto. Fue enterrada en el cementerio de la Madeleine, calle de Anjou-Saint-Honoré, con la cabeza entre las piernas. Su cuerpo fue exhumado posteriormente el 18 de enero de 1815 y transportado el 21 a Saint-Denis.</w:t>
      </w:r>
    </w:p>
    <w:p w:rsidR="00E02187" w:rsidRPr="00CA0475" w:rsidRDefault="00E02187" w:rsidP="00E02187">
      <w:pPr>
        <w:jc w:val="both"/>
        <w:rPr>
          <w:rFonts w:ascii="Times New Roman" w:hAnsi="Times New Roman"/>
          <w:sz w:val="24"/>
          <w:szCs w:val="24"/>
        </w:rPr>
      </w:pPr>
      <w:r w:rsidRPr="00CA0475">
        <w:rPr>
          <w:rFonts w:ascii="Times New Roman" w:hAnsi="Times New Roman"/>
          <w:sz w:val="24"/>
          <w:szCs w:val="24"/>
        </w:rPr>
        <w:t>Frases rel</w:t>
      </w:r>
      <w:r>
        <w:rPr>
          <w:rFonts w:ascii="Times New Roman" w:hAnsi="Times New Roman"/>
          <w:sz w:val="24"/>
          <w:szCs w:val="24"/>
        </w:rPr>
        <w:t>evantes en sus últimos momentos</w:t>
      </w:r>
    </w:p>
    <w:p w:rsidR="00E02187" w:rsidRPr="00CA0475" w:rsidRDefault="00E02187" w:rsidP="00E02187">
      <w:pPr>
        <w:jc w:val="both"/>
        <w:rPr>
          <w:rFonts w:ascii="Times New Roman" w:hAnsi="Times New Roman"/>
          <w:sz w:val="24"/>
          <w:szCs w:val="24"/>
        </w:rPr>
      </w:pPr>
      <w:r w:rsidRPr="00CA0475">
        <w:rPr>
          <w:rFonts w:ascii="Times New Roman" w:hAnsi="Times New Roman"/>
          <w:sz w:val="24"/>
          <w:szCs w:val="24"/>
        </w:rPr>
        <w:t>•</w:t>
      </w:r>
      <w:r>
        <w:rPr>
          <w:rFonts w:ascii="Times New Roman" w:hAnsi="Times New Roman"/>
          <w:sz w:val="24"/>
          <w:szCs w:val="24"/>
        </w:rPr>
        <w:t xml:space="preserve"> </w:t>
      </w:r>
      <w:r w:rsidRPr="00CA0475">
        <w:rPr>
          <w:rFonts w:ascii="Times New Roman" w:hAnsi="Times New Roman"/>
          <w:sz w:val="24"/>
          <w:szCs w:val="24"/>
        </w:rPr>
        <w:t>Días antes de su muerte, después de que su marido fuera ejecutado, sus hijos arrancados de su lado, el Delfín manipulado para acusarla de estupro, y completamente sola, en su prisión María Antonieta se golpeó la cabeza contra una viga del techo haciéndose una herida que no paraba de sangrar. La todavía reina no se quejó. Ante la pr</w:t>
      </w:r>
      <w:r>
        <w:rPr>
          <w:rFonts w:ascii="Times New Roman" w:hAnsi="Times New Roman"/>
          <w:sz w:val="24"/>
          <w:szCs w:val="24"/>
        </w:rPr>
        <w:t>egunta de uno de los guardias: “¿Os habéis hecho daño?”, María Antonieta contestó: “</w:t>
      </w:r>
      <w:r w:rsidRPr="00CA0475">
        <w:rPr>
          <w:rFonts w:ascii="Times New Roman" w:hAnsi="Times New Roman"/>
          <w:sz w:val="24"/>
          <w:szCs w:val="24"/>
        </w:rPr>
        <w:t>No, ahora ya n</w:t>
      </w:r>
      <w:r>
        <w:rPr>
          <w:rFonts w:ascii="Times New Roman" w:hAnsi="Times New Roman"/>
          <w:sz w:val="24"/>
          <w:szCs w:val="24"/>
        </w:rPr>
        <w:t>o hay nada que pueda hacérmelo”.</w:t>
      </w:r>
    </w:p>
    <w:p w:rsidR="00E02187" w:rsidRPr="00CA0475" w:rsidRDefault="00E02187" w:rsidP="00E02187">
      <w:pPr>
        <w:jc w:val="both"/>
        <w:rPr>
          <w:rFonts w:ascii="Times New Roman" w:hAnsi="Times New Roman"/>
          <w:sz w:val="24"/>
          <w:szCs w:val="24"/>
        </w:rPr>
      </w:pPr>
      <w:r w:rsidRPr="00CA0475">
        <w:rPr>
          <w:rFonts w:ascii="Times New Roman" w:hAnsi="Times New Roman"/>
          <w:sz w:val="24"/>
          <w:szCs w:val="24"/>
        </w:rPr>
        <w:t>•</w:t>
      </w:r>
      <w:r>
        <w:rPr>
          <w:rFonts w:ascii="Times New Roman" w:hAnsi="Times New Roman"/>
          <w:sz w:val="24"/>
          <w:szCs w:val="24"/>
        </w:rPr>
        <w:t xml:space="preserve"> </w:t>
      </w:r>
      <w:r w:rsidRPr="00CA0475">
        <w:rPr>
          <w:rFonts w:ascii="Times New Roman" w:hAnsi="Times New Roman"/>
          <w:sz w:val="24"/>
          <w:szCs w:val="24"/>
        </w:rPr>
        <w:t>Vale la pena recordar uno de sus momentos más estremecedores cuando supo el descuartizamiento cruel y sangriento de su leal amiga María Luisa de Saboya-Carignan, princesa de Lamballe, quien fuera salvajemente asesinada en la prisión de la Force, el 3 de septiembre de 1792, y su cabeza peinada y empalada fue desfilada por las calles entre risas y gritos salvajes.</w:t>
      </w:r>
    </w:p>
    <w:p w:rsidR="00E02187" w:rsidRDefault="00E02187" w:rsidP="00E02187">
      <w:pPr>
        <w:jc w:val="both"/>
        <w:rPr>
          <w:rFonts w:ascii="Times New Roman" w:hAnsi="Times New Roman"/>
          <w:sz w:val="24"/>
          <w:szCs w:val="24"/>
        </w:rPr>
      </w:pPr>
      <w:r w:rsidRPr="00CA0475">
        <w:rPr>
          <w:rFonts w:ascii="Times New Roman" w:hAnsi="Times New Roman"/>
          <w:sz w:val="24"/>
          <w:szCs w:val="24"/>
        </w:rPr>
        <w:t>•</w:t>
      </w:r>
      <w:r>
        <w:rPr>
          <w:rFonts w:ascii="Times New Roman" w:hAnsi="Times New Roman"/>
          <w:sz w:val="24"/>
          <w:szCs w:val="24"/>
        </w:rPr>
        <w:t xml:space="preserve"> </w:t>
      </w:r>
      <w:r w:rsidRPr="00CA0475">
        <w:rPr>
          <w:rFonts w:ascii="Times New Roman" w:hAnsi="Times New Roman"/>
          <w:sz w:val="24"/>
          <w:szCs w:val="24"/>
        </w:rPr>
        <w:t>El día de su ejecución, mientras el pueblo entero la abucheaba e insultaba, María Antonieta se tropezó subiendo al cadalso y pisó al verdugo que estaba a punto de gu</w:t>
      </w:r>
      <w:r>
        <w:rPr>
          <w:rFonts w:ascii="Times New Roman" w:hAnsi="Times New Roman"/>
          <w:sz w:val="24"/>
          <w:szCs w:val="24"/>
        </w:rPr>
        <w:t>illotinarla. La reina le dijo: “</w:t>
      </w:r>
      <w:r w:rsidRPr="00CA0475">
        <w:rPr>
          <w:rFonts w:ascii="Times New Roman" w:hAnsi="Times New Roman"/>
          <w:sz w:val="24"/>
          <w:szCs w:val="24"/>
        </w:rPr>
        <w:t>Disculpe</w:t>
      </w:r>
      <w:r>
        <w:rPr>
          <w:rFonts w:ascii="Times New Roman" w:hAnsi="Times New Roman"/>
          <w:sz w:val="24"/>
          <w:szCs w:val="24"/>
        </w:rPr>
        <w:t xml:space="preserve"> señor, no lo hice a propósito”.</w:t>
      </w:r>
    </w:p>
    <w:p w:rsidR="00E02187" w:rsidRDefault="00E02187" w:rsidP="00E02187">
      <w:pPr>
        <w:jc w:val="both"/>
        <w:rPr>
          <w:rFonts w:ascii="Times New Roman" w:hAnsi="Times New Roman"/>
          <w:sz w:val="24"/>
          <w:szCs w:val="24"/>
        </w:rPr>
      </w:pPr>
      <w:r>
        <w:rPr>
          <w:rFonts w:ascii="Times New Roman" w:hAnsi="Times New Roman"/>
          <w:sz w:val="24"/>
          <w:szCs w:val="24"/>
        </w:rPr>
        <w:t>(En el mismo Paper (de febrero de 2010) se citaban algunos escritos anteriores)</w:t>
      </w:r>
    </w:p>
    <w:p w:rsidR="00E02187" w:rsidRDefault="00E02187" w:rsidP="00E02187">
      <w:pPr>
        <w:jc w:val="both"/>
        <w:rPr>
          <w:rFonts w:ascii="Times New Roman" w:hAnsi="Times New Roman"/>
          <w:sz w:val="24"/>
          <w:szCs w:val="24"/>
        </w:rPr>
      </w:pPr>
      <w:r>
        <w:rPr>
          <w:rFonts w:ascii="Times New Roman" w:hAnsi="Times New Roman"/>
          <w:sz w:val="24"/>
          <w:szCs w:val="24"/>
        </w:rPr>
        <w:t>Decía en  “</w:t>
      </w:r>
      <w:r w:rsidRPr="00B77C0D">
        <w:rPr>
          <w:rFonts w:ascii="Times New Roman" w:hAnsi="Times New Roman"/>
          <w:sz w:val="24"/>
          <w:szCs w:val="24"/>
          <w:u w:val="single"/>
        </w:rPr>
        <w:t>Los “animales” modelo</w:t>
      </w:r>
      <w:r w:rsidRPr="00B77C0D">
        <w:rPr>
          <w:rFonts w:ascii="Times New Roman" w:hAnsi="Times New Roman"/>
          <w:sz w:val="24"/>
          <w:szCs w:val="24"/>
        </w:rPr>
        <w:t>”</w:t>
      </w:r>
      <w:r>
        <w:rPr>
          <w:rFonts w:ascii="Times New Roman" w:hAnsi="Times New Roman"/>
          <w:sz w:val="24"/>
          <w:szCs w:val="24"/>
        </w:rPr>
        <w:t xml:space="preserve"> - (Paper publicado el </w:t>
      </w:r>
      <w:r w:rsidRPr="00A00C9D">
        <w:rPr>
          <w:rFonts w:ascii="Times New Roman" w:hAnsi="Times New Roman"/>
          <w:b/>
          <w:sz w:val="24"/>
          <w:szCs w:val="24"/>
        </w:rPr>
        <w:t>5/2/06</w:t>
      </w:r>
      <w:r>
        <w:rPr>
          <w:rFonts w:ascii="Times New Roman" w:hAnsi="Times New Roman"/>
          <w:sz w:val="24"/>
          <w:szCs w:val="24"/>
        </w:rPr>
        <w:t>):</w:t>
      </w:r>
    </w:p>
    <w:p w:rsidR="00E02187" w:rsidRPr="00722469" w:rsidRDefault="00E02187" w:rsidP="00E02187">
      <w:pPr>
        <w:jc w:val="both"/>
        <w:rPr>
          <w:rFonts w:ascii="Times New Roman" w:hAnsi="Times New Roman"/>
          <w:sz w:val="24"/>
          <w:szCs w:val="24"/>
        </w:rPr>
      </w:pPr>
      <w:r>
        <w:rPr>
          <w:rFonts w:ascii="Times New Roman" w:hAnsi="Times New Roman"/>
          <w:sz w:val="24"/>
          <w:szCs w:val="24"/>
        </w:rPr>
        <w:t xml:space="preserve">- </w:t>
      </w:r>
      <w:r w:rsidRPr="009518C4">
        <w:rPr>
          <w:rFonts w:ascii="Times New Roman" w:hAnsi="Times New Roman"/>
          <w:sz w:val="24"/>
          <w:szCs w:val="24"/>
          <w:u w:val="single"/>
        </w:rPr>
        <w:t>Cuando la violencia es el mensaje</w:t>
      </w:r>
    </w:p>
    <w:p w:rsidR="00E02187" w:rsidRPr="00722469" w:rsidRDefault="00E02187" w:rsidP="00E02187">
      <w:pPr>
        <w:jc w:val="both"/>
        <w:rPr>
          <w:rFonts w:ascii="Times New Roman" w:hAnsi="Times New Roman"/>
          <w:sz w:val="24"/>
          <w:szCs w:val="24"/>
        </w:rPr>
      </w:pPr>
      <w:r>
        <w:rPr>
          <w:rFonts w:ascii="Times New Roman" w:hAnsi="Times New Roman"/>
          <w:sz w:val="24"/>
          <w:szCs w:val="24"/>
        </w:rPr>
        <w:t>“</w:t>
      </w:r>
      <w:r w:rsidRPr="00722469">
        <w:rPr>
          <w:rFonts w:ascii="Times New Roman" w:hAnsi="Times New Roman"/>
          <w:sz w:val="24"/>
          <w:szCs w:val="24"/>
        </w:rPr>
        <w:t>Hace alrededor de cuarenta años, los jóvenes bullían por el mundo -hoy aquí, mañana allá- pugnando por romper el cemento que cuajó tras el horror de la Segunda Guerra Mundial y el miedo a la Guerra Fría. La década de los 60, aquella década prodigiosa, trajo las protestas estudiantiles, la lucha por los derechos civiles y el rechazo de la guerra de Vietnam en los campus y en las contagiosas calles de los Estados Unidos. Los jóvenes disidentes pugnaban por quebrar en Praga y en más sitios el granito de las dictaduras comunistas. Fueron los años de la contracultura en la Costa Oeste y de los adoquines de mayo en París. La música trajo el pacifismo, la ilusión de las drogas y del amor libre. Florecieron las comunas, las formas de vida y de organización alternativas, y se alzó la canción, y el cine, y el teatro de protesta y de denuncia.</w:t>
      </w:r>
    </w:p>
    <w:p w:rsidR="00E02187" w:rsidRPr="00722469" w:rsidRDefault="00E02187" w:rsidP="00E02187">
      <w:pPr>
        <w:jc w:val="both"/>
        <w:rPr>
          <w:rFonts w:ascii="Times New Roman" w:hAnsi="Times New Roman"/>
          <w:sz w:val="24"/>
          <w:szCs w:val="24"/>
        </w:rPr>
      </w:pPr>
      <w:r w:rsidRPr="00722469">
        <w:rPr>
          <w:rFonts w:ascii="Times New Roman" w:hAnsi="Times New Roman"/>
          <w:sz w:val="24"/>
          <w:szCs w:val="24"/>
        </w:rPr>
        <w:t xml:space="preserve">¿Qué queda de todo aquello? Queda bastante, porque las corrientes de cambio impregnaron la vida cotidiana de la gente. El cambio tuvo la paradoja de integrarse tanto en los nuevos usos que desapareció como fuerza distinguible. “El sida y las calaveras del caballo y de los narcos fueron imprevistas resacas dolorosas de las noches de vino y flores” (dice Manuel Hidalgo - El Mundo - 9/12/05). El sistema decidió que </w:t>
      </w:r>
      <w:r w:rsidRPr="00722469">
        <w:rPr>
          <w:rFonts w:ascii="Times New Roman" w:hAnsi="Times New Roman"/>
          <w:sz w:val="24"/>
          <w:szCs w:val="24"/>
        </w:rPr>
        <w:lastRenderedPageBreak/>
        <w:t xml:space="preserve">ya había habido un reparto suficiente de libertades personales y de conquistas colectivas. Hoy hay más democracia que entonces, es verdad, pero el triunfo del mercado y del consumo, unidos diabólicamente a la inseguridad económica y al pánico al desempleo, han echado el cerrojo al espíritu del cambio. Sobran nuevos motivos para el surgimiento de otra generación revoltosa, pero, de momento, prima el instinto de conservación frente al afán de </w:t>
      </w:r>
      <w:r>
        <w:rPr>
          <w:rFonts w:ascii="Times New Roman" w:hAnsi="Times New Roman"/>
          <w:sz w:val="24"/>
          <w:szCs w:val="24"/>
        </w:rPr>
        <w:t>ruptura. Por poco tiempo, creo…</w:t>
      </w:r>
    </w:p>
    <w:p w:rsidR="00E02187" w:rsidRPr="00722469" w:rsidRDefault="00E02187" w:rsidP="00E02187">
      <w:pPr>
        <w:jc w:val="both"/>
        <w:rPr>
          <w:rFonts w:ascii="Times New Roman" w:hAnsi="Times New Roman"/>
          <w:sz w:val="24"/>
          <w:szCs w:val="24"/>
        </w:rPr>
      </w:pPr>
      <w:r w:rsidRPr="00722469">
        <w:rPr>
          <w:rFonts w:ascii="Times New Roman" w:hAnsi="Times New Roman"/>
          <w:sz w:val="24"/>
          <w:szCs w:val="24"/>
        </w:rPr>
        <w:t>Todos tuvimos siempre una impresión maravillosa de Francia, una admiración por su cultura y su democracia, aún antes de visitar París y de conocer algunos de sus barrios no digo que deprimidos pero sí populares. Supe entonces que no</w:t>
      </w:r>
      <w:r>
        <w:rPr>
          <w:rFonts w:ascii="Times New Roman" w:hAnsi="Times New Roman"/>
          <w:sz w:val="24"/>
          <w:szCs w:val="24"/>
        </w:rPr>
        <w:t xml:space="preserve"> todo París son los Champs Élysé</w:t>
      </w:r>
      <w:r w:rsidRPr="00722469">
        <w:rPr>
          <w:rFonts w:ascii="Times New Roman" w:hAnsi="Times New Roman"/>
          <w:sz w:val="24"/>
          <w:szCs w:val="24"/>
        </w:rPr>
        <w:t>es, y eso se ha hecho hoy notorio gracias a la asonada de las zonas pobladas por inmigrantes (aunque pertenezcan a inmigrantes ya con muchos años en Francia), en las que la discriminación social y racial han finalmente eclosionado en disturbios en los que predominan la cólera y el descontento. No era, ya lo suponíamos, oro todo lo que relucía. Francia va a tener que aprender de verdad, o de nuevo, la tolerancia y la igualdad, la libertad y la fraternidad que parecía que sus habitantes habían dejado sólo para el himno nacional. Nada justifica los desmanes, pero son en definitiva una campanada, una voz de alerta para este país maravilloso. Los marroquíes, los moros, los negros, los latinos, los pobres en definitiva, deberán ocupar el lugar que se merecen como seres humanos.</w:t>
      </w:r>
    </w:p>
    <w:p w:rsidR="00E02187" w:rsidRPr="00722469" w:rsidRDefault="00E02187" w:rsidP="00E02187">
      <w:pPr>
        <w:jc w:val="both"/>
        <w:rPr>
          <w:rFonts w:ascii="Times New Roman" w:hAnsi="Times New Roman"/>
          <w:sz w:val="24"/>
          <w:szCs w:val="24"/>
        </w:rPr>
      </w:pPr>
      <w:r w:rsidRPr="00722469">
        <w:rPr>
          <w:rFonts w:ascii="Times New Roman" w:hAnsi="Times New Roman"/>
          <w:sz w:val="24"/>
          <w:szCs w:val="24"/>
        </w:rPr>
        <w:t>Si no es así, y rápido, los coches seguirán ardie</w:t>
      </w:r>
      <w:r>
        <w:rPr>
          <w:rFonts w:ascii="Times New Roman" w:hAnsi="Times New Roman"/>
          <w:sz w:val="24"/>
          <w:szCs w:val="24"/>
        </w:rPr>
        <w:t>ndo. Y luego sabe Dios que más…</w:t>
      </w:r>
    </w:p>
    <w:p w:rsidR="00E02187" w:rsidRDefault="00E02187" w:rsidP="00E02187">
      <w:pPr>
        <w:jc w:val="both"/>
        <w:rPr>
          <w:rFonts w:ascii="Times New Roman" w:hAnsi="Times New Roman"/>
          <w:sz w:val="24"/>
          <w:szCs w:val="24"/>
        </w:rPr>
      </w:pPr>
      <w:r w:rsidRPr="00722469">
        <w:rPr>
          <w:rFonts w:ascii="Times New Roman" w:hAnsi="Times New Roman"/>
          <w:sz w:val="24"/>
          <w:szCs w:val="24"/>
        </w:rPr>
        <w:t>Las huelgas generales, las letales olas de calor, los juicios a colaboradores nazis…, les parecen legítimos y suficientes motivos a un inglés para dar rienda suelta a su regocijo en su fuero interno…por la sencilla razón de que no resulta probable que sucedan en su propio suelo.  A propósito de los recientes disturbios acaecidos en Francia, las chanzas y burlas sobre las barriadas en llamas son omnipresentes y, por las conversaciones de algunos, cabría pensar que tal cosa resulta efectivamente inimaginable en suelo inglés. Pero ha ocurrido: hace tan sólo cuatro años, tres localidades del norte de Inglaterra -en especial Bradford- presenciaron disturbios a gran escala. Las tensiones entre británicos blancos y de color -que representan uno de cada ocho residentes en Gran Bretaña- siguen siendo potencialmente explosivas. Como para dar fe de tal afirmación basta señalar la reciente apertura del juicio a dos hombres acusados del asesinato, en el año 2004, del estudiante de bachillerato Anthony Walter, de 18 años, en Huyton, Merseyside, que falleció porque el miembro de una banda le hundió el filo de un hacha en la sien. El muchacho estaba esperando el autobús en una parada en Huyton cuando un grupo de jóvenes blancos los acosaron a él, a su novia y a su primo. Los tres, para evitar complicaciones, se desplazaron a una parada cercana, pero sus acosadores los siguieron y atacaron bárbaramente a Anthony. Paul Taylor ya se ha declarado culpable de su asesinato. El fiscal sostiene que él y su amigo Michael Barton decidieron perseguir y dar alcance a Anthony Walter y a su primo “por ninguna otra razón que el color de su piel”.</w:t>
      </w:r>
    </w:p>
    <w:p w:rsidR="00E02187" w:rsidRPr="00722469" w:rsidRDefault="00E02187" w:rsidP="00E02187">
      <w:pPr>
        <w:jc w:val="both"/>
        <w:rPr>
          <w:rFonts w:ascii="Times New Roman" w:hAnsi="Times New Roman"/>
          <w:sz w:val="24"/>
          <w:szCs w:val="24"/>
        </w:rPr>
      </w:pPr>
    </w:p>
    <w:p w:rsidR="00E02187" w:rsidRPr="00722469" w:rsidRDefault="00E02187" w:rsidP="00E02187">
      <w:pPr>
        <w:jc w:val="both"/>
        <w:rPr>
          <w:rFonts w:ascii="Times New Roman" w:hAnsi="Times New Roman"/>
          <w:sz w:val="24"/>
          <w:szCs w:val="24"/>
        </w:rPr>
      </w:pPr>
      <w:r>
        <w:rPr>
          <w:rFonts w:ascii="Times New Roman" w:hAnsi="Times New Roman"/>
          <w:sz w:val="24"/>
          <w:szCs w:val="24"/>
        </w:rPr>
        <w:lastRenderedPageBreak/>
        <w:t>¿Hasta qué</w:t>
      </w:r>
      <w:r w:rsidRPr="00722469">
        <w:rPr>
          <w:rFonts w:ascii="Times New Roman" w:hAnsi="Times New Roman"/>
          <w:sz w:val="24"/>
          <w:szCs w:val="24"/>
        </w:rPr>
        <w:t xml:space="preserve"> punto se halla extendida la violencia de carácter racial en Gran Bretaña?</w:t>
      </w:r>
    </w:p>
    <w:p w:rsidR="00E02187" w:rsidRPr="00722469" w:rsidRDefault="00E02187" w:rsidP="00E02187">
      <w:pPr>
        <w:jc w:val="both"/>
        <w:rPr>
          <w:rFonts w:ascii="Times New Roman" w:hAnsi="Times New Roman"/>
          <w:sz w:val="24"/>
          <w:szCs w:val="24"/>
        </w:rPr>
      </w:pPr>
      <w:r w:rsidRPr="00722469">
        <w:rPr>
          <w:rFonts w:ascii="Times New Roman" w:hAnsi="Times New Roman"/>
          <w:sz w:val="24"/>
          <w:szCs w:val="24"/>
        </w:rPr>
        <w:t>Según el Crown Prosecution Service -departamento gubernamental que entiende de delitos penales y actúa bajo la supervisión de la fiscalía general-, la cifra de delitos debidos a odio racial en Inglaterra y Gales  ha aumentado notablemente en el año 2005. El CPS ha denunciado a 4.600 personas por tales delitos de carácter penal entre marzo del 2004 y marzo del 2005, cifra que representa un aumento de un 29% sobre el año anterior. Pero la violencia no es el único problema. Al igual que en Francia, existen indicios de que las comunidades de color instaladas desde hace mucho tiempo en Gran Bretaña se hallan sometidas a una segregación no oficial, así como a la discriminación en el mercado de trabajo y al acoso policial. Trevor Phillips, responsable de la Comisión por la Igualdad Racial, advirtió que “ciertos distritos de ciudades inglesas van de cabeza hacia su pronta conversión en guetos”…</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“Estamos contentos… ¡Qué bien se vive en el suelo!”</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¿Cuántas personas podrían decir lo mismo?</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La bomba atómica lanzada sobre Hiroshima destruyó 62.000 hogares. Las inundaciones provocadas por la rotura de los diques que separan la ciudad  del lago Pontchartrain han desplazado o dañado irreversiblemente más de 200.000 viviendas del área metropolitana de Nueva Orleáns. Han sido arrasados por el agua los barrios marginales donde se concentran los afroamericanos más pobres: San Bernardo, Lafitte o Seventh Ward, pero también los barrios de los negros de clase media, Pontchartrain Park o City Park. Tampoco se han librado las mansiones de la alta burguesía blanca, expulsada de sus confortables casas de Lakeview o Lake Shore -tan sólo el 28% de la población de Nueva Orleáns es de raza blanca, frente a un 67% de ciudadanos afroamericanos-.</w:t>
      </w:r>
    </w:p>
    <w:p w:rsidR="00E02187" w:rsidRDefault="00E02187" w:rsidP="00E02187">
      <w:pPr>
        <w:jc w:val="both"/>
        <w:rPr>
          <w:rFonts w:ascii="Times New Roman" w:hAnsi="Times New Roman"/>
          <w:sz w:val="24"/>
          <w:szCs w:val="24"/>
        </w:rPr>
      </w:pPr>
      <w:r w:rsidRPr="00A00C9D">
        <w:rPr>
          <w:rFonts w:ascii="Times New Roman" w:hAnsi="Times New Roman"/>
          <w:sz w:val="24"/>
          <w:szCs w:val="24"/>
        </w:rPr>
        <w:t>El paso del “Katrina” fue demoledor. Los muertos “oficiales” dejaron de contarse el 1 de octubre, cuando el Departamento de Salud declaró 1.067 fallecidos. Pero sigue habiendo decenas de personas buscando a familiares desaparecidos, 6.000 en total. Lo cierto es que el desbordamiento de las aguas del lago Pontchartrain y la destrucción de los barrios del este de la ciudad ha sido la causa del mayor éxodo producido en el interior de los EEUU. De los más de 1.300.000 habitantes de la gran Nueva Orleáns metropolitana, un 80% de almas tuvo que abandonar su hogar. Aunque el drenaje ha concluido, gran parte de esos residentes sigue sin regresar tres meses después, porque el agua, la electricidad y el gas no han sido aún restablecidos…</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“Se diría que el ser humano puede soportarlo todo”, escribió William Faulkner. “Incluso somos capaces de sobreponernos a la idea de que ya no nos será posible soportar más dolor”…</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El edificio donde Faulkner escribió “La paga del soldado” es hoy una mítica librería cerrada por los destrozos del “Katrina”. Algún muchacho guatemalteco o mexicano, transportado al Mississippi en busca de un sueño, arreglará el tejado de la casa en la que un día vivió el gran e</w:t>
      </w:r>
      <w:r>
        <w:rPr>
          <w:rFonts w:ascii="Times New Roman" w:hAnsi="Times New Roman"/>
          <w:sz w:val="24"/>
          <w:szCs w:val="24"/>
        </w:rPr>
        <w:t>scritor del sur norteamericano.</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lastRenderedPageBreak/>
        <w:t>Creamos nuestro Godot, que nunca va a venir. Le tenemos miedo, le veneramos, no queremos que nos abandone, nos humillamos, doblamos hasta renunciar a nuestra esencia sólo para apaciguar nuestro miedo por el futuro y no sentirnos abandonados en un vacío existencial.</w:t>
      </w:r>
    </w:p>
    <w:p w:rsidR="00E02187" w:rsidRPr="00A00C9D" w:rsidRDefault="00E02187" w:rsidP="00E02187">
      <w:pPr>
        <w:jc w:val="both"/>
        <w:rPr>
          <w:rFonts w:ascii="Times New Roman" w:hAnsi="Times New Roman"/>
          <w:sz w:val="24"/>
          <w:szCs w:val="24"/>
        </w:rPr>
      </w:pPr>
      <w:r>
        <w:rPr>
          <w:rFonts w:ascii="Times New Roman" w:hAnsi="Times New Roman"/>
          <w:sz w:val="24"/>
          <w:szCs w:val="24"/>
        </w:rPr>
        <w:t>Lo malo es despertar…</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 xml:space="preserve">Así y todo, el único modo de orientarse en el porvenir es hacerse cargo de lo que ha sido el pasado cuyo entorno es inequívoco, fijo e inmutable.  </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 xml:space="preserve">Parafraseando a Henry George, podríamos acercarnos a la certeza de que “la pobreza que, en medio de la abundancia oprime y embrutece a los hombres y todos los males que de ella se derivan, nacen </w:t>
      </w:r>
      <w:r>
        <w:rPr>
          <w:rFonts w:ascii="Times New Roman" w:hAnsi="Times New Roman"/>
          <w:sz w:val="24"/>
          <w:szCs w:val="24"/>
        </w:rPr>
        <w:t>de la negación de la justicia”.</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Los acontecimientos de Londres, Nueva Orleáns y París, ocurridos durante el año 2005, puede que, para ciertos analistas y más aún para el público general,  no tuvieran ninguna relación “aparente” y menos aspectos vinculantes.</w:t>
      </w:r>
    </w:p>
    <w:p w:rsidR="00E02187" w:rsidRDefault="00E02187" w:rsidP="00E02187">
      <w:pPr>
        <w:jc w:val="both"/>
        <w:rPr>
          <w:rFonts w:ascii="Times New Roman" w:hAnsi="Times New Roman"/>
          <w:sz w:val="24"/>
          <w:szCs w:val="24"/>
        </w:rPr>
      </w:pPr>
      <w:r w:rsidRPr="00A00C9D">
        <w:rPr>
          <w:rFonts w:ascii="Times New Roman" w:hAnsi="Times New Roman"/>
          <w:sz w:val="24"/>
          <w:szCs w:val="24"/>
        </w:rPr>
        <w:t>Con toda humildad, intentaré establecer algunas afinidades, cierta correspondencia, encadenamiento, connotación, y por sobre todo una clara “igualdad” entre quienes los han provocado y/o padecido. A lo peor, puede servir como “alerta previa” ante próximos sucesos violentos</w:t>
      </w:r>
      <w:r>
        <w:rPr>
          <w:rFonts w:ascii="Times New Roman" w:hAnsi="Times New Roman"/>
          <w:sz w:val="24"/>
          <w:szCs w:val="24"/>
        </w:rPr>
        <w:t>”..</w:t>
      </w:r>
      <w:r w:rsidRPr="00A00C9D">
        <w:rPr>
          <w:rFonts w:ascii="Times New Roman" w:hAnsi="Times New Roman"/>
          <w:sz w:val="24"/>
          <w:szCs w:val="24"/>
        </w:rPr>
        <w:t>.</w:t>
      </w:r>
    </w:p>
    <w:p w:rsidR="00E02187" w:rsidRPr="009518C4" w:rsidRDefault="00E02187" w:rsidP="00E02187">
      <w:pPr>
        <w:jc w:val="both"/>
        <w:rPr>
          <w:rFonts w:ascii="Times New Roman" w:hAnsi="Times New Roman"/>
          <w:sz w:val="24"/>
          <w:szCs w:val="24"/>
          <w:u w:val="single"/>
        </w:rPr>
      </w:pPr>
      <w:r>
        <w:rPr>
          <w:rFonts w:ascii="Times New Roman" w:hAnsi="Times New Roman"/>
          <w:sz w:val="24"/>
          <w:szCs w:val="24"/>
        </w:rPr>
        <w:t xml:space="preserve">- </w:t>
      </w:r>
      <w:r w:rsidRPr="009518C4">
        <w:rPr>
          <w:rFonts w:ascii="Times New Roman" w:hAnsi="Times New Roman"/>
          <w:sz w:val="24"/>
          <w:szCs w:val="24"/>
          <w:u w:val="single"/>
        </w:rPr>
        <w:t>“Low cost” (De los bolsones de “pobreza “a los bolsones de “odio”)</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Lo más sorprendente de estos sucesos es que hayan sorprendido tanto.</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 xml:space="preserve">Lo único novedoso es la “ferocidad, que irá a más, si nadie </w:t>
      </w:r>
      <w:r>
        <w:rPr>
          <w:rFonts w:ascii="Times New Roman" w:hAnsi="Times New Roman"/>
          <w:sz w:val="24"/>
          <w:szCs w:val="24"/>
        </w:rPr>
        <w:t>se ocupa de reparar las causas.</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Dos Inglaterras (la rica y el resto), dos Estados Unidos (el rico y el resto), dos Francias (la rica y el resto)…sólo pueden engendrar la “rebelión de los miserables”.</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Si desean pueden modificar la frase anterior sustituyendo la “rica” por la “blanca”, el resto sigue igual, y l</w:t>
      </w:r>
      <w:r>
        <w:rPr>
          <w:rFonts w:ascii="Times New Roman" w:hAnsi="Times New Roman"/>
          <w:sz w:val="24"/>
          <w:szCs w:val="24"/>
        </w:rPr>
        <w:t>os resultados serán los mismos…</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En todos estos países (puede extenderse a la Unión Europea) existe segregación económica, territorial y étnica.</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La “integración” (francesa) falló, la “multiculturidad” y el “comunitarismo” (inglés, norteamericano u holandés) falló. Los inmigrantes de segunda o tercera generación (en Inglaterra, Francia, Holanda, Alemania, Bélgica…) siguen siendo siempre “los otros” y los negros de “enésima” generación (en Estados Unidos) siguen siendo siempre “esclavos”</w:t>
      </w:r>
      <w:r>
        <w:rPr>
          <w:rFonts w:ascii="Times New Roman" w:hAnsi="Times New Roman"/>
          <w:sz w:val="24"/>
          <w:szCs w:val="24"/>
        </w:rPr>
        <w:t>.</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Ni Bush (el texano tóxico), ni Chirac (el megalómano), ni Blair (el chambelán), ni Villepin (el aristocrático), ni Sarkozy (el converso), supieron (</w:t>
      </w:r>
      <w:r>
        <w:rPr>
          <w:rFonts w:ascii="Times New Roman" w:hAnsi="Times New Roman"/>
          <w:sz w:val="24"/>
          <w:szCs w:val="24"/>
        </w:rPr>
        <w:t>¿</w:t>
      </w:r>
      <w:r w:rsidRPr="00A00C9D">
        <w:rPr>
          <w:rFonts w:ascii="Times New Roman" w:hAnsi="Times New Roman"/>
          <w:sz w:val="24"/>
          <w:szCs w:val="24"/>
        </w:rPr>
        <w:t>quisieron?) escuchar “los gritos del silencio”.</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lastRenderedPageBreak/>
        <w:t>Ninguno de ellos supo (</w:t>
      </w:r>
      <w:r>
        <w:rPr>
          <w:rFonts w:ascii="Times New Roman" w:hAnsi="Times New Roman"/>
          <w:sz w:val="24"/>
          <w:szCs w:val="24"/>
        </w:rPr>
        <w:t>¿</w:t>
      </w:r>
      <w:r w:rsidRPr="00A00C9D">
        <w:rPr>
          <w:rFonts w:ascii="Times New Roman" w:hAnsi="Times New Roman"/>
          <w:sz w:val="24"/>
          <w:szCs w:val="24"/>
        </w:rPr>
        <w:t>quiso?) ver los almacenes consentidos de la miseria, donde la</w:t>
      </w:r>
      <w:r>
        <w:rPr>
          <w:rFonts w:ascii="Times New Roman" w:hAnsi="Times New Roman"/>
          <w:sz w:val="24"/>
          <w:szCs w:val="24"/>
        </w:rPr>
        <w:t xml:space="preserve"> gente de “bajo precio” habita.</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Le Monde ha recordado en un editorial una frase de François Mitterrand, pronunciada en 1990, que retrataba ya la situación: ¿Qué puede esperar un ser joven que nace en un barrio sin alma, que vive en un edificio feo, rodeado de otras fealdades, de muros grises sobre un paisaje gris para una vida gris, con toda una sociedad a su alrededor que prefiere girar la mirada y que sólo interviene cuando hay que enfadarse, prohibir?</w:t>
      </w:r>
    </w:p>
    <w:p w:rsidR="00E02187" w:rsidRPr="00A00C9D" w:rsidRDefault="00E02187" w:rsidP="00E02187">
      <w:pPr>
        <w:jc w:val="both"/>
        <w:rPr>
          <w:rFonts w:ascii="Times New Roman" w:hAnsi="Times New Roman"/>
          <w:sz w:val="24"/>
          <w:szCs w:val="24"/>
        </w:rPr>
      </w:pPr>
      <w:r>
        <w:rPr>
          <w:rFonts w:ascii="Times New Roman" w:hAnsi="Times New Roman"/>
          <w:sz w:val="24"/>
          <w:szCs w:val="24"/>
        </w:rPr>
        <w:t>Éste es ahora el caso…</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Las distintas “fórmulas” de explosión social espontánea utilizadas resultan una advertencia de los peligros que se ciernen sobre todos nosotros.</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 xml:space="preserve">En las sociedades complejas, interdependientes, globalizadas, todos los ciudadanos sin excepción están a merced de fuerzas económicas que no pueden controlar y necesitan </w:t>
      </w:r>
      <w:r>
        <w:rPr>
          <w:rFonts w:ascii="Times New Roman" w:hAnsi="Times New Roman"/>
          <w:sz w:val="24"/>
          <w:szCs w:val="24"/>
        </w:rPr>
        <w:t>y exigen protección del Estado.</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No es un problema de integración, sino de promoción.</w:t>
      </w:r>
    </w:p>
    <w:p w:rsidR="00E02187" w:rsidRDefault="00E02187" w:rsidP="00E02187">
      <w:pPr>
        <w:jc w:val="both"/>
        <w:rPr>
          <w:rFonts w:ascii="Times New Roman" w:hAnsi="Times New Roman"/>
          <w:sz w:val="24"/>
          <w:szCs w:val="24"/>
        </w:rPr>
      </w:pPr>
      <w:r w:rsidRPr="00A00C9D">
        <w:rPr>
          <w:rFonts w:ascii="Times New Roman" w:hAnsi="Times New Roman"/>
          <w:sz w:val="24"/>
          <w:szCs w:val="24"/>
        </w:rPr>
        <w:t>El hedonismo desalmado, la práctica de la deslocalización industrial, la competitividad y el librecambio, provocan la escasez de empleos de media y baja cualificación, que contribuyen a crear famil</w:t>
      </w:r>
      <w:r>
        <w:rPr>
          <w:rFonts w:ascii="Times New Roman" w:hAnsi="Times New Roman"/>
          <w:sz w:val="24"/>
          <w:szCs w:val="24"/>
        </w:rPr>
        <w:t>ias y grupos sociales estables…</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La lección que puede sacarse es que a menudo los débiles y los vulnerables tienen cosas útiles que enseñar a los fuertes.</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Avanzando un poco más, Günter Grass en Mi Siglo, nos dice: “A veces, aunque con retraso de decenios, inclus</w:t>
      </w:r>
      <w:r>
        <w:rPr>
          <w:rFonts w:ascii="Times New Roman" w:hAnsi="Times New Roman"/>
          <w:sz w:val="24"/>
          <w:szCs w:val="24"/>
        </w:rPr>
        <w:t>o ganan los que tiran piedras”…</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“Despertares abruptos” producto de la falta de esperanza, dignidad y justicia.</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El ascensor social  no funciona. “Out of order”.</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Ante la fractura social, los líderes (apócrifos) de turno (rapacidad y ambición: pura ansia de poder) sólo atinan a proclamar la “tolerancia cero”. Aunque -tal vez-, estos indocumentados conservadores compasivos, sea</w:t>
      </w:r>
      <w:r>
        <w:rPr>
          <w:rFonts w:ascii="Times New Roman" w:hAnsi="Times New Roman"/>
          <w:sz w:val="24"/>
          <w:szCs w:val="24"/>
        </w:rPr>
        <w:t>n los “auténticos” terroristas.</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¿Declararán la rebelión de los miserables como el eje del mal?</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¿Revelarán que las manifestaciones violentas son un arma de destrucción masiva?</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¿Invadirán las zonas de la revuelta?</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¿Lanzarán bombas con uranio empobrecido a los pobres sublevados?</w:t>
      </w:r>
    </w:p>
    <w:p w:rsidR="00E02187" w:rsidRDefault="00E02187" w:rsidP="00E02187">
      <w:pPr>
        <w:jc w:val="both"/>
        <w:rPr>
          <w:rFonts w:ascii="Times New Roman" w:hAnsi="Times New Roman"/>
          <w:sz w:val="24"/>
          <w:szCs w:val="24"/>
        </w:rPr>
      </w:pPr>
      <w:r w:rsidRPr="00A00C9D">
        <w:rPr>
          <w:rFonts w:ascii="Times New Roman" w:hAnsi="Times New Roman"/>
          <w:sz w:val="24"/>
          <w:szCs w:val="24"/>
        </w:rPr>
        <w:t>¿Les arrojarán explosivos con fósforo blanco</w:t>
      </w:r>
      <w:r>
        <w:rPr>
          <w:rFonts w:ascii="Times New Roman" w:hAnsi="Times New Roman"/>
          <w:sz w:val="24"/>
          <w:szCs w:val="24"/>
        </w:rPr>
        <w:t xml:space="preserve"> a los invisibles de la Tierra?</w:t>
      </w:r>
    </w:p>
    <w:p w:rsidR="00E02187" w:rsidRPr="00A00C9D" w:rsidRDefault="00E02187" w:rsidP="00E02187">
      <w:pPr>
        <w:jc w:val="both"/>
        <w:rPr>
          <w:rFonts w:ascii="Times New Roman" w:hAnsi="Times New Roman"/>
          <w:sz w:val="24"/>
          <w:szCs w:val="24"/>
        </w:rPr>
      </w:pPr>
    </w:p>
    <w:p w:rsidR="00E02187" w:rsidRPr="002B0F8C" w:rsidRDefault="00E02187" w:rsidP="00E02187">
      <w:pPr>
        <w:jc w:val="both"/>
        <w:rPr>
          <w:rFonts w:ascii="Times New Roman" w:hAnsi="Times New Roman"/>
          <w:sz w:val="24"/>
          <w:szCs w:val="24"/>
          <w:u w:val="single"/>
        </w:rPr>
      </w:pPr>
      <w:r w:rsidRPr="00A00C9D">
        <w:rPr>
          <w:rFonts w:ascii="Times New Roman" w:hAnsi="Times New Roman"/>
          <w:sz w:val="24"/>
          <w:szCs w:val="24"/>
        </w:rPr>
        <w:lastRenderedPageBreak/>
        <w:t xml:space="preserve">- </w:t>
      </w:r>
      <w:r w:rsidRPr="002B0F8C">
        <w:rPr>
          <w:rFonts w:ascii="Times New Roman" w:hAnsi="Times New Roman"/>
          <w:sz w:val="24"/>
          <w:szCs w:val="24"/>
          <w:u w:val="single"/>
        </w:rPr>
        <w:t>¿Y después?</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Un fracaso de todos</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Mucho me temo que el “después”, sólo sea una repetición de lo dicho por María Antonieta (esta vez en cabeza de la “Reina Madre” Barbara Bush, o si ustedes prefieren de la “Papisa Negra” Condi Rice), cuando pregunta</w:t>
      </w:r>
      <w:r>
        <w:rPr>
          <w:rFonts w:ascii="Times New Roman" w:hAnsi="Times New Roman"/>
          <w:sz w:val="24"/>
          <w:szCs w:val="24"/>
        </w:rPr>
        <w:t>ba:</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 xml:space="preserve">“¿Por qué chillan?” </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Y le contestaban: “Porque</w:t>
      </w:r>
      <w:r>
        <w:rPr>
          <w:rFonts w:ascii="Times New Roman" w:hAnsi="Times New Roman"/>
          <w:sz w:val="24"/>
          <w:szCs w:val="24"/>
        </w:rPr>
        <w:t xml:space="preserve"> tienen hambre, no tienen pan”.</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Y ella replicaba con toda la “buena intención” (?) del mundo:</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“Pues que les den brioche” (bollo de leche - pâtisserie).</w:t>
      </w:r>
    </w:p>
    <w:p w:rsidR="00E02187" w:rsidRPr="00A00C9D" w:rsidRDefault="00E02187" w:rsidP="00E02187">
      <w:pPr>
        <w:jc w:val="both"/>
        <w:rPr>
          <w:rFonts w:ascii="Times New Roman" w:hAnsi="Times New Roman"/>
          <w:sz w:val="24"/>
          <w:szCs w:val="24"/>
        </w:rPr>
      </w:pPr>
      <w:r w:rsidRPr="00A00C9D">
        <w:rPr>
          <w:rFonts w:ascii="Times New Roman" w:hAnsi="Times New Roman"/>
          <w:sz w:val="24"/>
          <w:szCs w:val="24"/>
        </w:rPr>
        <w:t>Para concluir, desearía recurrir a una magnífica frase de Charles Maurice de Talleyrand:</w:t>
      </w:r>
    </w:p>
    <w:p w:rsidR="00E02187" w:rsidRDefault="00E02187" w:rsidP="00E02187">
      <w:pPr>
        <w:jc w:val="both"/>
        <w:rPr>
          <w:rFonts w:ascii="Times New Roman" w:hAnsi="Times New Roman"/>
          <w:sz w:val="24"/>
          <w:szCs w:val="24"/>
        </w:rPr>
      </w:pPr>
      <w:r w:rsidRPr="00A00C9D">
        <w:rPr>
          <w:rFonts w:ascii="Times New Roman" w:hAnsi="Times New Roman"/>
          <w:sz w:val="24"/>
          <w:szCs w:val="24"/>
        </w:rPr>
        <w:t>“Un descontento es un pobre que piensa”</w:t>
      </w:r>
      <w:r>
        <w:rPr>
          <w:rFonts w:ascii="Times New Roman" w:hAnsi="Times New Roman"/>
          <w:sz w:val="24"/>
          <w:szCs w:val="24"/>
        </w:rPr>
        <w:t>…</w:t>
      </w:r>
    </w:p>
    <w:p w:rsidR="00E02187" w:rsidRPr="001D642E" w:rsidRDefault="00E02187" w:rsidP="00E02187">
      <w:pPr>
        <w:jc w:val="both"/>
        <w:rPr>
          <w:rFonts w:ascii="Times New Roman" w:hAnsi="Times New Roman"/>
          <w:sz w:val="24"/>
          <w:szCs w:val="24"/>
        </w:rPr>
      </w:pPr>
      <w:r>
        <w:rPr>
          <w:rFonts w:ascii="Times New Roman" w:hAnsi="Times New Roman"/>
          <w:sz w:val="24"/>
          <w:szCs w:val="24"/>
        </w:rPr>
        <w:t>Decía en “</w:t>
      </w:r>
      <w:r w:rsidRPr="00B77C0D">
        <w:rPr>
          <w:rFonts w:ascii="Times New Roman" w:hAnsi="Times New Roman"/>
          <w:sz w:val="24"/>
          <w:szCs w:val="24"/>
          <w:u w:val="single"/>
        </w:rPr>
        <w:t>Egalité, fraternité y… “globalité</w:t>
      </w:r>
      <w:r w:rsidRPr="001D642E">
        <w:rPr>
          <w:rFonts w:ascii="Times New Roman" w:hAnsi="Times New Roman"/>
          <w:sz w:val="24"/>
          <w:szCs w:val="24"/>
        </w:rPr>
        <w:t>”</w:t>
      </w:r>
      <w:r>
        <w:rPr>
          <w:rFonts w:ascii="Times New Roman" w:hAnsi="Times New Roman"/>
          <w:sz w:val="24"/>
          <w:szCs w:val="24"/>
        </w:rPr>
        <w:t xml:space="preserve"> - (Paper publicado el </w:t>
      </w:r>
      <w:r w:rsidRPr="00327231">
        <w:rPr>
          <w:rFonts w:ascii="Times New Roman" w:hAnsi="Times New Roman"/>
          <w:b/>
          <w:sz w:val="24"/>
          <w:szCs w:val="24"/>
        </w:rPr>
        <w:t>17/4/06</w:t>
      </w:r>
      <w:r>
        <w:rPr>
          <w:rFonts w:ascii="Times New Roman" w:hAnsi="Times New Roman"/>
          <w:sz w:val="24"/>
          <w:szCs w:val="24"/>
        </w:rPr>
        <w:t>)</w:t>
      </w:r>
    </w:p>
    <w:p w:rsidR="00E02187" w:rsidRPr="003F05F9" w:rsidRDefault="00E02187" w:rsidP="00E02187">
      <w:pPr>
        <w:jc w:val="both"/>
        <w:rPr>
          <w:rFonts w:ascii="Times New Roman" w:hAnsi="Times New Roman"/>
          <w:sz w:val="24"/>
          <w:szCs w:val="24"/>
          <w:u w:val="single"/>
        </w:rPr>
      </w:pPr>
      <w:r>
        <w:rPr>
          <w:rFonts w:ascii="Times New Roman" w:hAnsi="Times New Roman"/>
          <w:sz w:val="24"/>
          <w:szCs w:val="24"/>
        </w:rPr>
        <w:t xml:space="preserve">- </w:t>
      </w:r>
      <w:r w:rsidRPr="003F05F9">
        <w:rPr>
          <w:rFonts w:ascii="Times New Roman" w:hAnsi="Times New Roman"/>
          <w:sz w:val="24"/>
          <w:szCs w:val="24"/>
          <w:u w:val="single"/>
        </w:rPr>
        <w:t>Contrato de Precariedad Eterna - La teoría de la “flexiseguridad”</w:t>
      </w:r>
    </w:p>
    <w:p w:rsidR="00E02187" w:rsidRPr="00327231" w:rsidRDefault="00E02187" w:rsidP="00E02187">
      <w:pPr>
        <w:jc w:val="both"/>
        <w:rPr>
          <w:rFonts w:ascii="Times New Roman" w:hAnsi="Times New Roman"/>
          <w:sz w:val="24"/>
          <w:szCs w:val="24"/>
        </w:rPr>
      </w:pPr>
      <w:r>
        <w:rPr>
          <w:rFonts w:ascii="Times New Roman" w:hAnsi="Times New Roman"/>
          <w:sz w:val="24"/>
          <w:szCs w:val="24"/>
        </w:rPr>
        <w:t xml:space="preserve"> “</w:t>
      </w:r>
      <w:r w:rsidRPr="00327231">
        <w:rPr>
          <w:rFonts w:ascii="Times New Roman" w:hAnsi="Times New Roman"/>
          <w:sz w:val="24"/>
          <w:szCs w:val="24"/>
        </w:rPr>
        <w:t xml:space="preserve">Éste es un “Paper de barricada”. Sin anestesia, pero con preaviso. Ese que no se quiere dar a los jóvenes. </w:t>
      </w:r>
    </w:p>
    <w:p w:rsidR="00E02187" w:rsidRPr="00327231" w:rsidRDefault="00E02187" w:rsidP="00E02187">
      <w:pPr>
        <w:jc w:val="both"/>
        <w:rPr>
          <w:rFonts w:ascii="Times New Roman" w:hAnsi="Times New Roman"/>
          <w:sz w:val="24"/>
          <w:szCs w:val="24"/>
        </w:rPr>
      </w:pPr>
      <w:r w:rsidRPr="00327231">
        <w:rPr>
          <w:rFonts w:ascii="Times New Roman" w:hAnsi="Times New Roman"/>
          <w:sz w:val="24"/>
          <w:szCs w:val="24"/>
        </w:rPr>
        <w:t>Con espíritu “sesenta y ochista”. Aunque dé pena recordar que entonces se gritaba: “la imaginación al poder” y ahora -apenas- se mendiga: “un puesto de  trabajo”.</w:t>
      </w:r>
    </w:p>
    <w:p w:rsidR="00E02187" w:rsidRPr="00327231" w:rsidRDefault="00E02187" w:rsidP="00E02187">
      <w:pPr>
        <w:jc w:val="both"/>
        <w:rPr>
          <w:rFonts w:ascii="Times New Roman" w:hAnsi="Times New Roman"/>
          <w:sz w:val="24"/>
          <w:szCs w:val="24"/>
        </w:rPr>
      </w:pPr>
      <w:r w:rsidRPr="00327231">
        <w:rPr>
          <w:rFonts w:ascii="Times New Roman" w:hAnsi="Times New Roman"/>
          <w:sz w:val="24"/>
          <w:szCs w:val="24"/>
        </w:rPr>
        <w:t>La riqueza no alcanza para todos. Prosperidad y pobreza de fondo.</w:t>
      </w:r>
    </w:p>
    <w:p w:rsidR="00E02187" w:rsidRPr="00327231" w:rsidRDefault="00E02187" w:rsidP="00E02187">
      <w:pPr>
        <w:jc w:val="both"/>
        <w:rPr>
          <w:rFonts w:ascii="Times New Roman" w:hAnsi="Times New Roman"/>
          <w:sz w:val="24"/>
          <w:szCs w:val="24"/>
        </w:rPr>
      </w:pPr>
      <w:r w:rsidRPr="00327231">
        <w:rPr>
          <w:rFonts w:ascii="Times New Roman" w:hAnsi="Times New Roman"/>
          <w:sz w:val="24"/>
          <w:szCs w:val="24"/>
        </w:rPr>
        <w:t>La generación de la precariedad. La “cláusula” del país más precario.</w:t>
      </w:r>
    </w:p>
    <w:p w:rsidR="00E02187" w:rsidRPr="00327231" w:rsidRDefault="00E02187" w:rsidP="00E02187">
      <w:pPr>
        <w:jc w:val="both"/>
        <w:rPr>
          <w:rFonts w:ascii="Times New Roman" w:hAnsi="Times New Roman"/>
          <w:sz w:val="24"/>
          <w:szCs w:val="24"/>
        </w:rPr>
      </w:pPr>
      <w:r w:rsidRPr="00327231">
        <w:rPr>
          <w:rFonts w:ascii="Times New Roman" w:hAnsi="Times New Roman"/>
          <w:sz w:val="24"/>
          <w:szCs w:val="24"/>
        </w:rPr>
        <w:t>De la banlieue a la Sorbona. De la indignación a la</w:t>
      </w:r>
      <w:r>
        <w:rPr>
          <w:rFonts w:ascii="Times New Roman" w:hAnsi="Times New Roman"/>
          <w:sz w:val="24"/>
          <w:szCs w:val="24"/>
        </w:rPr>
        <w:t xml:space="preserve"> rebelión. Que de eso se trata.</w:t>
      </w:r>
    </w:p>
    <w:p w:rsidR="00E02187" w:rsidRPr="00A00C9D" w:rsidRDefault="00E02187" w:rsidP="00E02187">
      <w:pPr>
        <w:jc w:val="both"/>
        <w:rPr>
          <w:rFonts w:ascii="Times New Roman" w:hAnsi="Times New Roman"/>
          <w:sz w:val="24"/>
          <w:szCs w:val="24"/>
        </w:rPr>
      </w:pPr>
      <w:r w:rsidRPr="00327231">
        <w:rPr>
          <w:rFonts w:ascii="Times New Roman" w:hAnsi="Times New Roman"/>
          <w:sz w:val="24"/>
          <w:szCs w:val="24"/>
        </w:rPr>
        <w:t>Los males se veían venir. Un prolongado “vía crucis” hacia el precipicio social…</w:t>
      </w:r>
    </w:p>
    <w:p w:rsidR="00E02187" w:rsidRPr="00327231" w:rsidRDefault="00E02187" w:rsidP="00E02187">
      <w:pPr>
        <w:jc w:val="both"/>
        <w:rPr>
          <w:rFonts w:ascii="Times New Roman" w:hAnsi="Times New Roman"/>
          <w:sz w:val="24"/>
          <w:szCs w:val="24"/>
        </w:rPr>
      </w:pPr>
      <w:r w:rsidRPr="00327231">
        <w:rPr>
          <w:rFonts w:ascii="Times New Roman" w:hAnsi="Times New Roman"/>
          <w:sz w:val="24"/>
          <w:szCs w:val="24"/>
        </w:rPr>
        <w:t>El 21 de septiembre de 2005 el Gobierno de Dominique de Villepin proponía retirar el subsidio de desempleo a los parados que rechacen tres veces un empleo. Los parados que rechacen el primer trabajo que se les ofrezca podrán ser penalizados con una rebaja del 20% del subsidio de desempleo y perder definitivamente el 100% de la prestación</w:t>
      </w:r>
      <w:r>
        <w:rPr>
          <w:rFonts w:ascii="Times New Roman" w:hAnsi="Times New Roman"/>
          <w:sz w:val="24"/>
          <w:szCs w:val="24"/>
        </w:rPr>
        <w:t xml:space="preserve"> al tercer rechazo consecutivo…</w:t>
      </w:r>
    </w:p>
    <w:p w:rsidR="00E02187" w:rsidRDefault="00E02187" w:rsidP="00E02187">
      <w:pPr>
        <w:jc w:val="both"/>
        <w:rPr>
          <w:rFonts w:ascii="Times New Roman" w:hAnsi="Times New Roman"/>
          <w:sz w:val="24"/>
          <w:szCs w:val="24"/>
        </w:rPr>
      </w:pPr>
      <w:r w:rsidRPr="00327231">
        <w:rPr>
          <w:rFonts w:ascii="Times New Roman" w:hAnsi="Times New Roman"/>
          <w:sz w:val="24"/>
          <w:szCs w:val="24"/>
        </w:rPr>
        <w:t xml:space="preserve"> El 20 de diciembre de 2005 tomaba “estado público” una movilización sin precedentes, cuyo nombre escogido como bandera lo decía todo: “Generación Precaria”. En apenas tres meses, y a partir de Internet, habían logrado organizar una movilización sin precedentes de los becarios franceses, un colectivo atomizado y al margen de la lógica sindical que nunca hasta entonces había levantado la voz. Su objetivo, acabar con la </w:t>
      </w:r>
      <w:r w:rsidRPr="00327231">
        <w:rPr>
          <w:rFonts w:ascii="Times New Roman" w:hAnsi="Times New Roman"/>
          <w:sz w:val="24"/>
          <w:szCs w:val="24"/>
        </w:rPr>
        <w:lastRenderedPageBreak/>
        <w:t>situación de explotación laboral a la que se enfrentan muchos de los 800.000 estudiantes franceses que realizan prácticas en empresas</w:t>
      </w:r>
      <w:r>
        <w:rPr>
          <w:rFonts w:ascii="Times New Roman" w:hAnsi="Times New Roman"/>
          <w:sz w:val="24"/>
          <w:szCs w:val="24"/>
        </w:rPr>
        <w:t>…</w:t>
      </w:r>
    </w:p>
    <w:p w:rsidR="00E02187" w:rsidRPr="00327231" w:rsidRDefault="00E02187" w:rsidP="00E02187">
      <w:pPr>
        <w:jc w:val="both"/>
        <w:rPr>
          <w:rFonts w:ascii="Times New Roman" w:hAnsi="Times New Roman"/>
          <w:sz w:val="24"/>
          <w:szCs w:val="24"/>
        </w:rPr>
      </w:pPr>
      <w:r w:rsidRPr="00327231">
        <w:rPr>
          <w:rFonts w:ascii="Times New Roman" w:hAnsi="Times New Roman"/>
          <w:sz w:val="24"/>
          <w:szCs w:val="24"/>
        </w:rPr>
        <w:t>Paro, deslocalizaciones, precariedad laboral, pérdida de poder adquisitivo…, el panorama tiene sumidos en un profundo desánimo a los franceses, haciéndoles perder el gusto por el porvenir.</w:t>
      </w:r>
    </w:p>
    <w:p w:rsidR="00E02187" w:rsidRDefault="00E02187" w:rsidP="00E02187">
      <w:pPr>
        <w:jc w:val="both"/>
        <w:rPr>
          <w:rFonts w:ascii="Times New Roman" w:hAnsi="Times New Roman"/>
          <w:sz w:val="24"/>
          <w:szCs w:val="24"/>
        </w:rPr>
      </w:pPr>
      <w:r w:rsidRPr="00327231">
        <w:rPr>
          <w:rFonts w:ascii="Times New Roman" w:hAnsi="Times New Roman"/>
          <w:sz w:val="24"/>
          <w:szCs w:val="24"/>
        </w:rPr>
        <w:t>El problema del día a día que más temen los franceses es que el dinero no llegue a fin de mes (92%), mientras de cara al futuro les preocupa tener garantizada una buena protección de salud, poder pagar la educación de los hijos, la jubilación, disponer de ahorros, la vivienda…</w:t>
      </w:r>
    </w:p>
    <w:p w:rsidR="00E02187" w:rsidRPr="00327231" w:rsidRDefault="00E02187" w:rsidP="00E02187">
      <w:pPr>
        <w:jc w:val="both"/>
        <w:rPr>
          <w:rFonts w:ascii="Times New Roman" w:hAnsi="Times New Roman"/>
          <w:sz w:val="24"/>
          <w:szCs w:val="24"/>
        </w:rPr>
      </w:pPr>
      <w:r w:rsidRPr="00327231">
        <w:rPr>
          <w:rFonts w:ascii="Times New Roman" w:hAnsi="Times New Roman"/>
          <w:sz w:val="24"/>
          <w:szCs w:val="24"/>
        </w:rPr>
        <w:t>Si el ascensor  social no funciona entre generaciones, tampoco lo hace entre clases sociales. La violenta crisis de las “banlieues”, que el pasado noviembre conmocionó a todo el país, puso dramáticamente en evidencia el grave problema de la exclusión social en las periferias urbanas, del que son víctimas los hijos de la inmigración, tratados en la prác</w:t>
      </w:r>
      <w:r>
        <w:rPr>
          <w:rFonts w:ascii="Times New Roman" w:hAnsi="Times New Roman"/>
          <w:sz w:val="24"/>
          <w:szCs w:val="24"/>
        </w:rPr>
        <w:t>tica como franceses de segunda.</w:t>
      </w:r>
    </w:p>
    <w:p w:rsidR="00E02187" w:rsidRDefault="00E02187" w:rsidP="00E02187">
      <w:pPr>
        <w:jc w:val="both"/>
        <w:rPr>
          <w:rFonts w:ascii="Times New Roman" w:hAnsi="Times New Roman"/>
          <w:sz w:val="24"/>
          <w:szCs w:val="24"/>
        </w:rPr>
      </w:pPr>
      <w:r w:rsidRPr="00327231">
        <w:rPr>
          <w:rFonts w:ascii="Times New Roman" w:hAnsi="Times New Roman"/>
          <w:sz w:val="24"/>
          <w:szCs w:val="24"/>
        </w:rPr>
        <w:t>El sistema se ha quedado sin aliento. Hay un conjunto de problemas que son comunes a otros países europeos, como los vinculados a la globalización. Además en Francia hay una cultura del Estado muy acusada. Y la clase política no tiene un discurso movilizador. Se está ante el caso de un país que no tiene confianza en sus líderes, unos líderes que no muestran el camino. El declive acaba pesando en los espíritus… (males de Francia, males de Europa)…</w:t>
      </w:r>
    </w:p>
    <w:p w:rsidR="00E02187" w:rsidRPr="00327231" w:rsidRDefault="00E02187" w:rsidP="00E02187">
      <w:pPr>
        <w:jc w:val="both"/>
        <w:rPr>
          <w:rFonts w:ascii="Times New Roman" w:hAnsi="Times New Roman"/>
          <w:sz w:val="24"/>
          <w:szCs w:val="24"/>
        </w:rPr>
      </w:pPr>
      <w:r w:rsidRPr="00327231">
        <w:rPr>
          <w:rFonts w:ascii="Times New Roman" w:hAnsi="Times New Roman"/>
          <w:sz w:val="24"/>
          <w:szCs w:val="24"/>
        </w:rPr>
        <w:t>El mal de esta Europa tranquila y modélica es no darse cuenta de que todo el éxito alcanzado puede dilapidarse si no se tienen en cuenta cuestiones tan básicas como el esfuerzo, el conocimiento, la iniciativa y el imprescindible reparto de la riqueza entre los que tienen mucho y los que no tienen casi nada, ni siquiera la esperanza de un futuro con cierta esperanza.</w:t>
      </w:r>
    </w:p>
    <w:p w:rsidR="00E02187" w:rsidRPr="00327231" w:rsidRDefault="00E02187" w:rsidP="00E02187">
      <w:pPr>
        <w:jc w:val="both"/>
        <w:rPr>
          <w:rFonts w:ascii="Times New Roman" w:hAnsi="Times New Roman"/>
          <w:sz w:val="24"/>
          <w:szCs w:val="24"/>
        </w:rPr>
      </w:pPr>
      <w:r w:rsidRPr="00327231">
        <w:rPr>
          <w:rFonts w:ascii="Times New Roman" w:hAnsi="Times New Roman"/>
          <w:sz w:val="24"/>
          <w:szCs w:val="24"/>
        </w:rPr>
        <w:t>El fin del comunismo y el emerger de un mercado amplísimo supusieron barra libre para la economía neoliberal. La gran receta. Es más: la norma única sin alternativa posible. Y las sociedades del Estado del bienestar occidental zozobran. Fallan todos los resortes y la brecha se hace cada vez más ancha y honda. Estados Unidos, campeón de la libertad de mercado, desmontó el andamiaje del New Deal roos</w:t>
      </w:r>
      <w:r>
        <w:rPr>
          <w:rFonts w:ascii="Times New Roman" w:hAnsi="Times New Roman"/>
          <w:sz w:val="24"/>
          <w:szCs w:val="24"/>
        </w:rPr>
        <w:t>e</w:t>
      </w:r>
      <w:r w:rsidRPr="00327231">
        <w:rPr>
          <w:rFonts w:ascii="Times New Roman" w:hAnsi="Times New Roman"/>
          <w:sz w:val="24"/>
          <w:szCs w:val="24"/>
        </w:rPr>
        <w:t>veltiano. Margaret Thatcher y Tony Blair han seguido con decisión el cambio de rumbo. Pero los estados continentales europeos, los gobiernos europeos, los políticos europeos, se mueven con un estrecho margen de maniobra. Desfloran el Estado protector hoja a hoja, pétalo a pétalo, ante la gran pregunta: ¿no hay alternativa?, ¿es obligado agachar la cabeza y aceptar que hemos entrado en el ú</w:t>
      </w:r>
      <w:r>
        <w:rPr>
          <w:rFonts w:ascii="Times New Roman" w:hAnsi="Times New Roman"/>
          <w:sz w:val="24"/>
          <w:szCs w:val="24"/>
        </w:rPr>
        <w:t>nico, angosto, camino andadero?</w:t>
      </w:r>
    </w:p>
    <w:p w:rsidR="00E02187" w:rsidRPr="00327231" w:rsidRDefault="00E02187" w:rsidP="00E02187">
      <w:pPr>
        <w:jc w:val="both"/>
        <w:rPr>
          <w:rFonts w:ascii="Times New Roman" w:hAnsi="Times New Roman"/>
          <w:sz w:val="24"/>
          <w:szCs w:val="24"/>
        </w:rPr>
      </w:pPr>
      <w:r w:rsidRPr="00327231">
        <w:rPr>
          <w:rFonts w:ascii="Times New Roman" w:hAnsi="Times New Roman"/>
          <w:sz w:val="24"/>
          <w:szCs w:val="24"/>
        </w:rPr>
        <w:t xml:space="preserve">La cuestión es cómo quemar las naves sin provocar tremendas convulsiones. Que no aparezca, visible de un golpe, la descripción del futuro que el analista francés François Khan expone: “Precariedad laboral de larga duración, tribalismo generalizado, búsqueda compulsiva de la ganancia a cualquier precio, exasperación de las relaciones </w:t>
      </w:r>
      <w:r w:rsidRPr="00327231">
        <w:rPr>
          <w:rFonts w:ascii="Times New Roman" w:hAnsi="Times New Roman"/>
          <w:sz w:val="24"/>
          <w:szCs w:val="24"/>
        </w:rPr>
        <w:lastRenderedPageBreak/>
        <w:t>intersociales, egoísmo institucionalizado, encierro en el comunitarismo, exasperación de las relaciones de dominación y violencia, relegación, amoralidad, fracturación de la sociedad”.</w:t>
      </w:r>
    </w:p>
    <w:p w:rsidR="00E02187" w:rsidRPr="00327231" w:rsidRDefault="00E02187" w:rsidP="00E02187">
      <w:pPr>
        <w:jc w:val="both"/>
        <w:rPr>
          <w:rFonts w:ascii="Times New Roman" w:hAnsi="Times New Roman"/>
          <w:sz w:val="24"/>
          <w:szCs w:val="24"/>
        </w:rPr>
      </w:pPr>
      <w:r w:rsidRPr="00327231">
        <w:rPr>
          <w:rFonts w:ascii="Times New Roman" w:hAnsi="Times New Roman"/>
          <w:sz w:val="24"/>
          <w:szCs w:val="24"/>
        </w:rPr>
        <w:t>¿Negras tintas, predicciones excesivamente tenebrosas? Basta mirar en torno: lentamente, en una pendiente más o menos graduable, los síntomas van aflorando pese a la fuerza de la inercia, a las muchas aportaciones que concurren en el trabajo de anestesiar la conciencia colectiva, el sentido crítico,</w:t>
      </w:r>
      <w:r>
        <w:rPr>
          <w:rFonts w:ascii="Times New Roman" w:hAnsi="Times New Roman"/>
          <w:sz w:val="24"/>
          <w:szCs w:val="24"/>
        </w:rPr>
        <w:t xml:space="preserve"> la exigencia de transparencia.</w:t>
      </w:r>
    </w:p>
    <w:p w:rsidR="00E02187" w:rsidRPr="00327231" w:rsidRDefault="00E02187" w:rsidP="00E02187">
      <w:pPr>
        <w:jc w:val="both"/>
        <w:rPr>
          <w:rFonts w:ascii="Times New Roman" w:hAnsi="Times New Roman"/>
          <w:sz w:val="24"/>
          <w:szCs w:val="24"/>
        </w:rPr>
      </w:pPr>
      <w:r w:rsidRPr="00327231">
        <w:rPr>
          <w:rFonts w:ascii="Times New Roman" w:hAnsi="Times New Roman"/>
          <w:sz w:val="24"/>
          <w:szCs w:val="24"/>
        </w:rPr>
        <w:t>Hay países, colectividades, que todavía no perciben que el agua les llega a la cintura.</w:t>
      </w:r>
    </w:p>
    <w:p w:rsidR="00E02187" w:rsidRDefault="00E02187" w:rsidP="00E02187">
      <w:pPr>
        <w:jc w:val="both"/>
        <w:rPr>
          <w:rFonts w:ascii="Times New Roman" w:hAnsi="Times New Roman"/>
          <w:sz w:val="24"/>
          <w:szCs w:val="24"/>
        </w:rPr>
      </w:pPr>
      <w:r w:rsidRPr="00327231">
        <w:rPr>
          <w:rFonts w:ascii="Times New Roman" w:hAnsi="Times New Roman"/>
          <w:sz w:val="24"/>
          <w:szCs w:val="24"/>
        </w:rPr>
        <w:t>Sigue dando vueltas el carrusel del consumo, sirviéndose del endeudamiento de por vida, del trabajo a salto de mata y las previsiones personales en plazos cada vez más breves</w:t>
      </w:r>
      <w:r>
        <w:rPr>
          <w:rFonts w:ascii="Times New Roman" w:hAnsi="Times New Roman"/>
          <w:sz w:val="24"/>
          <w:szCs w:val="24"/>
        </w:rPr>
        <w:t>…</w:t>
      </w:r>
    </w:p>
    <w:p w:rsidR="00E02187" w:rsidRDefault="00E02187" w:rsidP="00E02187">
      <w:pPr>
        <w:jc w:val="both"/>
        <w:rPr>
          <w:rFonts w:ascii="Times New Roman" w:hAnsi="Times New Roman"/>
          <w:sz w:val="24"/>
          <w:szCs w:val="24"/>
        </w:rPr>
      </w:pPr>
      <w:r>
        <w:rPr>
          <w:rFonts w:ascii="Times New Roman" w:hAnsi="Times New Roman"/>
          <w:sz w:val="24"/>
          <w:szCs w:val="24"/>
        </w:rPr>
        <w:t xml:space="preserve">Casi al </w:t>
      </w:r>
      <w:r w:rsidRPr="00F77509">
        <w:rPr>
          <w:rFonts w:ascii="Times New Roman" w:hAnsi="Times New Roman"/>
          <w:sz w:val="24"/>
          <w:szCs w:val="24"/>
          <w:u w:val="single"/>
        </w:rPr>
        <w:t>final del Ensayo</w:t>
      </w:r>
      <w:r>
        <w:rPr>
          <w:rFonts w:ascii="Times New Roman" w:hAnsi="Times New Roman"/>
          <w:sz w:val="24"/>
          <w:szCs w:val="24"/>
        </w:rPr>
        <w:t xml:space="preserve"> (Esperando la rebelión de los “ni-ni”…), enviaba el siguiente mensaje:</w:t>
      </w:r>
    </w:p>
    <w:p w:rsidR="00E02187" w:rsidRDefault="00E02187" w:rsidP="00E02187">
      <w:pPr>
        <w:pStyle w:val="NormalWeb"/>
        <w:shd w:val="clear" w:color="auto" w:fill="FFFFFF"/>
        <w:jc w:val="both"/>
        <w:rPr>
          <w:b/>
        </w:rPr>
      </w:pPr>
      <w:r>
        <w:rPr>
          <w:b/>
        </w:rPr>
        <w:t xml:space="preserve">- </w:t>
      </w:r>
      <w:r w:rsidRPr="00F77509">
        <w:rPr>
          <w:u w:val="single"/>
        </w:rPr>
        <w:t>Post data: La brújula (claves económicas)</w:t>
      </w:r>
      <w:r>
        <w:rPr>
          <w:b/>
        </w:rPr>
        <w:t xml:space="preserve"> </w:t>
      </w:r>
    </w:p>
    <w:p w:rsidR="00E02187" w:rsidRDefault="00E02187" w:rsidP="00E02187">
      <w:pPr>
        <w:pStyle w:val="NormalWeb"/>
        <w:shd w:val="clear" w:color="auto" w:fill="FFFFFF"/>
        <w:jc w:val="both"/>
      </w:pPr>
      <w:r>
        <w:t>Días antes de finalizar la redacción de este Ensayo (</w:t>
      </w:r>
      <w:r>
        <w:rPr>
          <w:b/>
        </w:rPr>
        <w:t>20</w:t>
      </w:r>
      <w:r w:rsidRPr="00FD3752">
        <w:rPr>
          <w:b/>
        </w:rPr>
        <w:t>/8/09</w:t>
      </w:r>
      <w:r>
        <w:t>), se cumplía el segundo aniversario del estallido de la crisis de las hipotecas subprime. Casi simultáneamente, comenzaron a publicarse algunos datos y análisis que anticipaban el fin de la recesión…</w:t>
      </w:r>
    </w:p>
    <w:p w:rsidR="00E02187" w:rsidRDefault="00E02187" w:rsidP="00E02187">
      <w:pPr>
        <w:pStyle w:val="NormalWeb"/>
        <w:shd w:val="clear" w:color="auto" w:fill="FFFFFF"/>
        <w:jc w:val="both"/>
      </w:pPr>
      <w:r>
        <w:t>Querido Twitter, he roto aguas… (ahora estoy midiendo las contracciones con una aplicación para el iPhone)…</w:t>
      </w:r>
    </w:p>
    <w:p w:rsidR="00E02187" w:rsidRDefault="00E02187" w:rsidP="00E02187">
      <w:pPr>
        <w:pStyle w:val="NormalWeb"/>
        <w:shd w:val="clear" w:color="auto" w:fill="FFFFFF"/>
        <w:jc w:val="both"/>
      </w:pPr>
      <w:r>
        <w:t>Jóvenes amigos, por favor, antes que sea demasiado tarde, guarden estos antecedentes para que jamás se pueda borrar la memoria. No olviden lo inolvidable. Conserven el “huevo de la serpiente”, para tener claro quiénes son los culpables y cuáles sus efectos.</w:t>
      </w:r>
    </w:p>
    <w:p w:rsidR="00E02187" w:rsidRDefault="00E02187" w:rsidP="00E02187">
      <w:pPr>
        <w:pStyle w:val="NormalWeb"/>
        <w:shd w:val="clear" w:color="auto" w:fill="FFFFFF"/>
        <w:jc w:val="both"/>
      </w:pPr>
      <w:r>
        <w:t xml:space="preserve">Nada de lo ocurrido ha sido casual (hechos de la naturaleza), el desempleo no es un daño colateral (efecto no deseado) y los jóvenes no han sido “vaciados” de todo pensamiento accidentalmente (cadena de errores). Es una estrategia de ingeniería social, a largo plazo, para crear ejércitos de consumidores “anestesiados” que no vean, no escuchen y no hablen… sólo consuman (cadena de favores). Generar una juventud idiota feliz… (NINJA: no income, no job, no assets). Y lo están logrando.  </w:t>
      </w:r>
    </w:p>
    <w:p w:rsidR="00E02187" w:rsidRDefault="00E02187" w:rsidP="00E02187">
      <w:pPr>
        <w:pStyle w:val="NormalWeb"/>
        <w:shd w:val="clear" w:color="auto" w:fill="FFFFFF"/>
        <w:jc w:val="both"/>
      </w:pPr>
      <w:r>
        <w:t>Entre la melancolía de la izquierda y el cinismo de la derecha los líderes políticos están expropiando los años venideros. Son los enemigos del futuro.</w:t>
      </w:r>
    </w:p>
    <w:p w:rsidR="00E02187" w:rsidRDefault="00E02187" w:rsidP="00E02187">
      <w:pPr>
        <w:pStyle w:val="NormalWeb"/>
        <w:shd w:val="clear" w:color="auto" w:fill="FFFFFF"/>
        <w:jc w:val="both"/>
      </w:pPr>
      <w:r>
        <w:t xml:space="preserve">En vuestras manos, jóvenes amigos, está no permitirlo. Primero, tomando conciencia (para lo que hay que estudiar), segundo, llevando a la calle el reclamo social (para lo que hay que pasar a la acción) y finalmente, de ser necesario, levantando nuevamente las guillotinas (para lo que hay que tener hambre y sed de justicia). No se dejen arrear como sus padres (me incluyo). Al menos, expresen la bronca de saber que les roban un futuro que no han pedido… </w:t>
      </w:r>
    </w:p>
    <w:p w:rsidR="00E02187" w:rsidRDefault="00E02187" w:rsidP="00E02187">
      <w:pPr>
        <w:pStyle w:val="NormalWeb"/>
        <w:shd w:val="clear" w:color="auto" w:fill="FFFFFF"/>
        <w:jc w:val="both"/>
      </w:pPr>
      <w:r>
        <w:lastRenderedPageBreak/>
        <w:t xml:space="preserve">Para que no se les olvide, o por si los “borradores de cabeza” vuelven a intentarlo, les dejo algunos de los artículos publicados sobre el “segundo aniversario de la crisis”. Nos encontramos en la historia… </w:t>
      </w:r>
    </w:p>
    <w:p w:rsidR="00E02187" w:rsidRDefault="00E02187" w:rsidP="00E02187">
      <w:pPr>
        <w:pStyle w:val="NormalWeb"/>
        <w:shd w:val="clear" w:color="auto" w:fill="FFFFFF"/>
        <w:jc w:val="both"/>
      </w:pPr>
      <w:r>
        <w:t>También les adjunto los primeros análisis que anticipan “el fin de la recesión”, producidos -muchos de ellos- por los “socios del silencio” (presuntos implicados), que les sugiero tomar con mucha cautela. Cuidado con los cantos de sirena. Puede que hayamos tocado fondo, pero podemos arrastrarnos por el fondo durante bastante tiempo. Hay crisis para rato, y para los trabajadores, para más rato. Recomiendo continuar velando las armas. El tiempo dará o quitará razones. Nos encontramos en la historia…</w:t>
      </w:r>
    </w:p>
    <w:p w:rsidR="00E02187" w:rsidRDefault="00E02187" w:rsidP="00E02187">
      <w:pPr>
        <w:pStyle w:val="NormalWeb"/>
        <w:shd w:val="clear" w:color="auto" w:fill="FFFFFF"/>
        <w:jc w:val="both"/>
      </w:pPr>
      <w:r>
        <w:t>Estimados jóvenes amigos, no les pido un juramento contra la codicia (que también), sino que con vuestra actitud (no consumista, no crédito dependiente, de recuperación de la ideología, de reclamación social permanente…) le cierren los espacios operativos (las fuentes de ambición) a los codiciosos. Si por lo menos no pueden dejar de ser “los de abajo”, que no sigan siendo “los de afuera”. Nos encontramos en la historia…</w:t>
      </w:r>
    </w:p>
    <w:p w:rsidR="00E02187" w:rsidRPr="009E7753" w:rsidRDefault="00E02187" w:rsidP="00E02187">
      <w:pPr>
        <w:pStyle w:val="NormalWeb"/>
        <w:shd w:val="clear" w:color="auto" w:fill="FFFFFF"/>
        <w:jc w:val="both"/>
      </w:pPr>
      <w:r w:rsidRPr="009E7753">
        <w:t xml:space="preserve">“Había seres humanos y cerdos pero cuando volvió la mirada no sabía diferenciar entre unos y otros”, escribió George Orwell en “Rebelión en la granja”. </w:t>
      </w:r>
    </w:p>
    <w:p w:rsidR="00E02187" w:rsidRDefault="00E02187" w:rsidP="00E02187">
      <w:pPr>
        <w:pStyle w:val="NormalWeb"/>
        <w:shd w:val="clear" w:color="auto" w:fill="FFFFFF"/>
        <w:jc w:val="both"/>
        <w:rPr>
          <w:b/>
        </w:rPr>
      </w:pPr>
      <w:r>
        <w:rPr>
          <w:b/>
        </w:rPr>
        <w:t>Este largo recorrido por mis antiguos escritos, no ha sido un bucle melancólico, tampoco una conversación sobre viejas y queridas causas perdidas o la amargura de la victoria, aunque, tal vez, tenga la intención de  resaltar ciertas dramaturgias y evitar algunos olvidos.</w:t>
      </w:r>
    </w:p>
    <w:p w:rsidR="00E02187" w:rsidRDefault="00E02187" w:rsidP="00E02187">
      <w:pPr>
        <w:pStyle w:val="NormalWeb"/>
        <w:shd w:val="clear" w:color="auto" w:fill="FFFFFF"/>
        <w:jc w:val="both"/>
        <w:rPr>
          <w:b/>
        </w:rPr>
      </w:pPr>
      <w:r>
        <w:rPr>
          <w:b/>
        </w:rPr>
        <w:t>Como antes, me siguen sacando de las casillas la injusticia, la estupidez, la mentira, la mediocridad moral intelectual, la traición, la corrupción, la hipocresía y la cobardía.</w:t>
      </w:r>
    </w:p>
    <w:p w:rsidR="00E02187" w:rsidRDefault="00E02187" w:rsidP="00E02187">
      <w:pPr>
        <w:pStyle w:val="NormalWeb"/>
        <w:shd w:val="clear" w:color="auto" w:fill="FFFFFF"/>
        <w:jc w:val="both"/>
        <w:rPr>
          <w:b/>
        </w:rPr>
      </w:pPr>
      <w:r>
        <w:rPr>
          <w:b/>
        </w:rPr>
        <w:t>Como antes, me siguen enardeciendo unos líderes que castigan, que no abrazan ni comprenden. Que son unos integristas del predominio de la aristocracia del poder, de la liturgia amurallada del dinero y de la intransigencia dogmática del mercado.</w:t>
      </w:r>
    </w:p>
    <w:p w:rsidR="00E02187" w:rsidRDefault="00E02187" w:rsidP="00E02187">
      <w:pPr>
        <w:pStyle w:val="NormalWeb"/>
        <w:shd w:val="clear" w:color="auto" w:fill="FFFFFF"/>
        <w:jc w:val="both"/>
        <w:rPr>
          <w:b/>
        </w:rPr>
      </w:pPr>
      <w:r>
        <w:rPr>
          <w:b/>
        </w:rPr>
        <w:t xml:space="preserve">Como antes, me sigue resultando difícil no perder la confianza en las “instituciones” en un mundo donde los que trabajan ven menguados sus salarios mientras los más pudientes aumentan obscenamente sus beneficios, en unos países asolados por una crisis cuyos responsables quedan impunes mientras sus víctimas no reciben justicia, donde la tarea bien hecha tantas veces cuenta menos que la trampa o la conexión clientelar. </w:t>
      </w:r>
    </w:p>
    <w:p w:rsidR="00E02187" w:rsidRDefault="00E02187" w:rsidP="00E02187">
      <w:pPr>
        <w:pStyle w:val="NormalWeb"/>
        <w:shd w:val="clear" w:color="auto" w:fill="FFFFFF"/>
        <w:jc w:val="both"/>
        <w:rPr>
          <w:b/>
        </w:rPr>
      </w:pPr>
      <w:r>
        <w:rPr>
          <w:b/>
        </w:rPr>
        <w:t>Como antes, me sigue alarmando la indecisión y la cobardía política de unos gobernantes mediocres que han perpetrado la “dejación” de Europa. La globalización (internacionalización) de los bancos y empresas ha llevado a la Unión Europea a una situación de baratura y proletarización “tercermundista”, por la enorme devaluación de sus activos y de las rentas de sus ciudadanos, que está totalmente fuera de lugar en una Europa tradicional (previsible).</w:t>
      </w:r>
    </w:p>
    <w:p w:rsidR="00E02187" w:rsidRDefault="00E02187" w:rsidP="00E02187">
      <w:pPr>
        <w:pStyle w:val="NormalWeb"/>
        <w:shd w:val="clear" w:color="auto" w:fill="FFFFFF"/>
        <w:jc w:val="both"/>
        <w:rPr>
          <w:b/>
        </w:rPr>
      </w:pPr>
      <w:r>
        <w:rPr>
          <w:b/>
        </w:rPr>
        <w:t>Como antes, sigo echando en falta a ciertos “estadistas” que según Churchill, son la transformación de los políticos que se convierten en tales “cuando comienzan a pensar en las próximas generaciones y no en las próximas elecciones”.</w:t>
      </w:r>
    </w:p>
    <w:p w:rsidR="00E02187" w:rsidRDefault="00E02187" w:rsidP="00E02187">
      <w:pPr>
        <w:pStyle w:val="NormalWeb"/>
        <w:shd w:val="clear" w:color="auto" w:fill="FFFFFF"/>
        <w:jc w:val="both"/>
        <w:rPr>
          <w:b/>
        </w:rPr>
      </w:pPr>
      <w:r>
        <w:rPr>
          <w:b/>
        </w:rPr>
        <w:lastRenderedPageBreak/>
        <w:t xml:space="preserve">Y eso es de lo que se trata (volviendo al tema de la educación), de “pensar en las próximas generaciones”… </w:t>
      </w:r>
    </w:p>
    <w:p w:rsidR="00E02187" w:rsidRDefault="00E02187" w:rsidP="00E02187">
      <w:pPr>
        <w:pStyle w:val="NormalWeb"/>
        <w:shd w:val="clear" w:color="auto" w:fill="FFFFFF"/>
        <w:jc w:val="both"/>
        <w:rPr>
          <w:b/>
        </w:rPr>
      </w:pPr>
      <w:r>
        <w:rPr>
          <w:b/>
        </w:rPr>
        <w:t>En medio de una crisis que está dejando a Europa a un precio de saldo en lo político, en lo social, en lo económico y, ahora también, en lo ético y moral ¿hay alguien</w:t>
      </w:r>
      <w:r w:rsidR="00FE2739">
        <w:rPr>
          <w:b/>
        </w:rPr>
        <w:t xml:space="preserve"> que</w:t>
      </w:r>
      <w:r>
        <w:rPr>
          <w:b/>
        </w:rPr>
        <w:t xml:space="preserve"> lo esté haciendo? ¿hay alguien que esté pensando más allá de su bolsillo? Algo que ni saben, ni pueden, ni quieren abordar. El des-valor de los valores.</w:t>
      </w:r>
    </w:p>
    <w:p w:rsidR="00E02187" w:rsidRDefault="00E02187" w:rsidP="00E02187">
      <w:pPr>
        <w:pStyle w:val="NormalWeb"/>
        <w:shd w:val="clear" w:color="auto" w:fill="FFFFFF"/>
        <w:jc w:val="both"/>
        <w:rPr>
          <w:b/>
        </w:rPr>
      </w:pPr>
      <w:r>
        <w:rPr>
          <w:b/>
        </w:rPr>
        <w:t xml:space="preserve">La educación en algunos países europeos (tal vez, demasiados) está sufriendo una “colisión” contra sí misma. En muchos casos (tal vez, demasiados) no se está haciendo una evaluación “seria”, del costo y la eficiencia del sistema público de educación. La extrema ideologización lleva a algunos gobiernos (tal vez, demasiados) a obviar las evaluaciones de calidad / precio. </w:t>
      </w:r>
    </w:p>
    <w:p w:rsidR="00E02187" w:rsidRDefault="00E02187" w:rsidP="00E02187">
      <w:pPr>
        <w:pStyle w:val="NormalWeb"/>
        <w:shd w:val="clear" w:color="auto" w:fill="FFFFFF"/>
        <w:jc w:val="both"/>
        <w:rPr>
          <w:b/>
        </w:rPr>
      </w:pPr>
      <w:r>
        <w:rPr>
          <w:b/>
        </w:rPr>
        <w:t xml:space="preserve">Igualdad de oportunidades no quiere decir “igualar haca abajo”.  Masificación estudiantil, relajamiento del nivel de exigencia y endogamia académica, no son garantía de talento, sino pruebas de vulgaridad y analfabetismo funcional. </w:t>
      </w:r>
    </w:p>
    <w:p w:rsidR="00E02187" w:rsidRDefault="00E02187" w:rsidP="00E02187">
      <w:pPr>
        <w:pStyle w:val="NormalWeb"/>
        <w:shd w:val="clear" w:color="auto" w:fill="FFFFFF"/>
        <w:jc w:val="both"/>
        <w:rPr>
          <w:b/>
        </w:rPr>
      </w:pPr>
      <w:r>
        <w:rPr>
          <w:b/>
        </w:rPr>
        <w:t xml:space="preserve">Las falacias argumentales de la izquierda, que en muchos países (tal vez, demasiados) mantiene un título de propiedad a perpetuidad sobre los asuntos de la formación, han conseguido un sistema educativo insufriblemente lento y caprichoso, sincrético y manipulable al tiempo, a lo que se añade la existencia de una elite académica (altamente ideologizada, sectaria y corporativista) con una gran capacidad para moldearlo a su gusto. </w:t>
      </w:r>
    </w:p>
    <w:p w:rsidR="00E02187" w:rsidRDefault="00E02187" w:rsidP="00E02187">
      <w:pPr>
        <w:pStyle w:val="NormalWeb"/>
        <w:shd w:val="clear" w:color="auto" w:fill="FFFFFF"/>
        <w:jc w:val="both"/>
        <w:rPr>
          <w:b/>
        </w:rPr>
      </w:pPr>
      <w:r>
        <w:rPr>
          <w:b/>
        </w:rPr>
        <w:t>Educación a la carta, endogamia docente, meter la mano en programas, circuitos formativos, salir (seguir) siempre a flote, dando además, lecciones morales. Final del experimento: una educación raquítica. Una educación provinciana, dogmática, masificada, incompetente (en todos los sentidos), difusa, confusa, poco efectiva</w:t>
      </w:r>
      <w:r w:rsidR="00FE2739">
        <w:rPr>
          <w:b/>
        </w:rPr>
        <w:t>, postrada, ineficiente y sumisa</w:t>
      </w:r>
      <w:r>
        <w:rPr>
          <w:b/>
        </w:rPr>
        <w:t>.</w:t>
      </w:r>
    </w:p>
    <w:p w:rsidR="00E02187" w:rsidRDefault="00E02187" w:rsidP="00E02187">
      <w:pPr>
        <w:pStyle w:val="NormalWeb"/>
        <w:shd w:val="clear" w:color="auto" w:fill="FFFFFF"/>
        <w:jc w:val="both"/>
        <w:rPr>
          <w:b/>
        </w:rPr>
      </w:pPr>
      <w:r>
        <w:rPr>
          <w:b/>
        </w:rPr>
        <w:t>Ante tamaño fracaso del sistema público de educación en muchos países europeos (tal vez, demasiados), como puede constatarse en los pobres resultados de los informes PISA, ¿quiere esto decir que debe “privatizarse” la educación?</w:t>
      </w:r>
    </w:p>
    <w:p w:rsidR="00E02187" w:rsidRDefault="00E02187" w:rsidP="00E02187">
      <w:pPr>
        <w:pStyle w:val="NormalWeb"/>
        <w:shd w:val="clear" w:color="auto" w:fill="FFFFFF"/>
        <w:jc w:val="both"/>
        <w:rPr>
          <w:b/>
        </w:rPr>
      </w:pPr>
      <w:r w:rsidRPr="00656B32">
        <w:rPr>
          <w:b/>
        </w:rPr>
        <w:t>La experiencia</w:t>
      </w:r>
      <w:r>
        <w:rPr>
          <w:b/>
        </w:rPr>
        <w:t xml:space="preserve"> de los Estados Unidos, con una educación pública de pésima calidad y una educación privada de excelencia, pero solo para los miembros de las familias ricas, representantes deportivos de elite, o alumnos que se endeudan por largo plazo para pagar las tasas y matrículas, no parecería un objetivo democrático y de igualdad de oportunidades. Resultado: una educación magnífica para los ricos y muy deficiente para el resto de la sociedad.</w:t>
      </w:r>
    </w:p>
    <w:p w:rsidR="00E02187" w:rsidRDefault="00E02187" w:rsidP="00E02187">
      <w:pPr>
        <w:pStyle w:val="NormalWeb"/>
        <w:shd w:val="clear" w:color="auto" w:fill="FFFFFF"/>
        <w:jc w:val="both"/>
        <w:rPr>
          <w:b/>
        </w:rPr>
      </w:pPr>
      <w:r>
        <w:rPr>
          <w:b/>
        </w:rPr>
        <w:t>La experiencia del Reino Unido, con una educación pública de bajo nivel y una educación privada (a veces, de alta calidad y otras, no tanto) en la que el gobierno conservador (David Cameron) ha puesto las tasas y matrículas a niveles casi prohibitivos, poniendo en serias dificultades de continuidad, incluso, a ciertos alumnos que están próximos a la finalización de la carrera. Resultado: una educación de excelencia para el que se la puede pagar y más allá… la desigualdad.</w:t>
      </w:r>
    </w:p>
    <w:p w:rsidR="00E02187" w:rsidRPr="003F5C0C" w:rsidRDefault="00E02187" w:rsidP="00E02187">
      <w:pPr>
        <w:pStyle w:val="NormalWeb"/>
        <w:shd w:val="clear" w:color="auto" w:fill="FFFFFF"/>
        <w:jc w:val="both"/>
        <w:rPr>
          <w:i/>
        </w:rPr>
      </w:pPr>
      <w:r w:rsidRPr="003F5C0C">
        <w:rPr>
          <w:i/>
        </w:rPr>
        <w:lastRenderedPageBreak/>
        <w:t>“El capitalismo como sistema económico-social genera desigualdad en sí mismo, siendo el Estado el responsable de redistribuir la riqueza y compensar las desigualdades a través del denominado Estado del Bienestar, esencialmente en su intervención en la educación y la sanidad. Ha sido la escuela pública la que en la segunda mitad del siglo XX ha tratado de universalizar la educación posibilitando que todos tengan las mismas posibilidades de acceder a la educación en todos sus niveles, posibilitando la igualdad de oportunidades y compensando las desigualdades producidas por el sistema capitalista. Un niño podía cursar toda la escolaridad desde los 3 años hasta finalizar la Universidad de forma gratuita y con ayudas cuando lo necesitaba por el sistema de becas.</w:t>
      </w:r>
    </w:p>
    <w:p w:rsidR="00E02187" w:rsidRPr="003F5C0C" w:rsidRDefault="00E02187" w:rsidP="00E02187">
      <w:pPr>
        <w:pStyle w:val="NormalWeb"/>
        <w:shd w:val="clear" w:color="auto" w:fill="FFFFFF"/>
        <w:jc w:val="both"/>
        <w:rPr>
          <w:i/>
        </w:rPr>
      </w:pPr>
      <w:r w:rsidRPr="003F5C0C">
        <w:rPr>
          <w:i/>
        </w:rPr>
        <w:t>Con los recortes actuales en educación se va a producir más desigualdad, ya que la desigualdad que produce el capitalismo no va a contar con el elemento compensador, en este caso la escuela pública. La privatización de la escuela pública va a significar un elemento más de potenciación de la desigualdad en nuestra sociedad. Podemos volver a los años 60, en donde de cada 100 alumnos que comenzaban la primaria solamente el 3 llegaban a la universidad, lógicamente, de familias pudientes.</w:t>
      </w:r>
    </w:p>
    <w:p w:rsidR="00E02187" w:rsidRPr="003F5C0C" w:rsidRDefault="00E02187" w:rsidP="00E02187">
      <w:pPr>
        <w:pStyle w:val="NormalWeb"/>
        <w:shd w:val="clear" w:color="auto" w:fill="FFFFFF"/>
        <w:jc w:val="both"/>
        <w:rPr>
          <w:i/>
        </w:rPr>
      </w:pPr>
      <w:r w:rsidRPr="003F5C0C">
        <w:rPr>
          <w:i/>
        </w:rPr>
        <w:t>Es necesario, por lo tanto, comprender los procesos de privatización de la educación pública que se van desarrollando con el fin de hacerlos visibles y proponer alternativas viables, ya que algunos de ellos se ven como algo natural y necesarios, y otros ni se perciben ya que están encubiertos en medidas perversas.</w:t>
      </w:r>
    </w:p>
    <w:p w:rsidR="00E02187" w:rsidRPr="003F5C0C" w:rsidRDefault="00E02187" w:rsidP="00E02187">
      <w:pPr>
        <w:pStyle w:val="NormalWeb"/>
        <w:shd w:val="clear" w:color="auto" w:fill="FFFFFF"/>
        <w:jc w:val="both"/>
        <w:rPr>
          <w:i/>
        </w:rPr>
      </w:pPr>
      <w:r w:rsidRPr="003F5C0C">
        <w:rPr>
          <w:i/>
        </w:rPr>
        <w:t>La educación como mecanismo de cohesión social en una sociedad en libertad, tolerante y cohesionada, se ha llevado a cabo esencialmente a través de la escuela pública, que ha actuado como referente clave de una sociedad democrática, en donde la integración, la tolerancia y la equidad constituyen logros conseguidos en la escala de valores asumidos por la sociedad.</w:t>
      </w:r>
    </w:p>
    <w:p w:rsidR="00E02187" w:rsidRDefault="00E02187" w:rsidP="00E02187">
      <w:pPr>
        <w:pStyle w:val="NormalWeb"/>
        <w:shd w:val="clear" w:color="auto" w:fill="FFFFFF"/>
        <w:jc w:val="both"/>
      </w:pPr>
      <w:r w:rsidRPr="003F5C0C">
        <w:rPr>
          <w:i/>
        </w:rPr>
        <w:t>Como nos dicen Ball y Youdell (2007, p.14), “las tendencias de privatización son fundamentales en el cambio que se está produciendo de considerar a la educación como un bien público que sirve a toda la sociedad, a pasar a considerarla como un bien privado que sirve a los intereses de las personas con mayor grado de educación, de los empresarios y de la economía”. Privatizar significa ceder parcelas de poder y responsabilidad a entes privados, que per se deben buscar un beneficio económico, lo que conlleva el desarrollar valores y referencias que en una escuela pública serían cuestionables y, desde luego, innecesarias”..</w:t>
      </w:r>
      <w:r>
        <w:t>. (La privatización de la educación pública, un camino encubierto hacia la desigualdad, por  José Luís Bernal Agudo y Juan Lorenzo Lacruz, Universidad de Zaragoza, Revista Profesorado, Sept. - Dic. 2012)</w:t>
      </w:r>
    </w:p>
    <w:p w:rsidR="00E02187" w:rsidRDefault="00E02187" w:rsidP="00E02187">
      <w:pPr>
        <w:pStyle w:val="NormalWeb"/>
        <w:shd w:val="clear" w:color="auto" w:fill="FFFFFF"/>
        <w:jc w:val="both"/>
        <w:rPr>
          <w:b/>
        </w:rPr>
      </w:pPr>
      <w:r>
        <w:rPr>
          <w:b/>
        </w:rPr>
        <w:t xml:space="preserve">Que quieren que les diga, como graduado universitario que ha realizado toda su carrera (jardín de infantes, escuela primaria, escuela secundaria, y facultad) en el sistema público de educación, la anterior “argumentación” (citada) me suena demasiado dogmática, corporativista e ideologizada (sectaria). Creo que termina defendiendo y respaldando al docente del sistema público, y en el nombre sacrosanto de la “igualdad” (gran mantra utilizado para arrear la manada), todo lo justifican y toleran, interesándose poco por el alumno y el resultado académico. </w:t>
      </w:r>
    </w:p>
    <w:p w:rsidR="00E02187" w:rsidRDefault="00E02187" w:rsidP="00E02187">
      <w:pPr>
        <w:pStyle w:val="NormalWeb"/>
        <w:shd w:val="clear" w:color="auto" w:fill="FFFFFF"/>
        <w:jc w:val="both"/>
        <w:rPr>
          <w:b/>
        </w:rPr>
      </w:pPr>
      <w:r>
        <w:rPr>
          <w:b/>
        </w:rPr>
        <w:t xml:space="preserve">Pareciera que lo único que les importa, a ciertos talibanes del sistema público de educación, es llenar las aulas de alumnos (la manada), para seguir manteniendo su </w:t>
      </w:r>
      <w:r>
        <w:rPr>
          <w:b/>
        </w:rPr>
        <w:lastRenderedPageBreak/>
        <w:t>puesto de trabajo (a perpetuidad), sus ventajas sindicales (sistema de promoción tasado, jornada reducida, límite de alumnos por aula, largas vacaciones, bajas médicas prolongadas -muchas veces innecesarias-…), sus canonjías y sinecuras.</w:t>
      </w:r>
    </w:p>
    <w:p w:rsidR="00E02187" w:rsidRDefault="00E02187" w:rsidP="00E02187">
      <w:pPr>
        <w:pStyle w:val="NormalWeb"/>
        <w:shd w:val="clear" w:color="auto" w:fill="FFFFFF"/>
        <w:jc w:val="both"/>
        <w:rPr>
          <w:b/>
        </w:rPr>
      </w:pPr>
      <w:r>
        <w:rPr>
          <w:b/>
        </w:rPr>
        <w:t xml:space="preserve">Si los alumnos aprenden o no, qué más da. ¿A quién le importa? ¿A las autoridades de educación, encerradas en su burbuja ideológica, indiferentes a las necesidades formativas del mercado de trabajo, preocupados por llevarse bien con el gremio docente, y evitar que los estudiantes salgan a protestar a las calles? ¿A los padres, que muchas veces, no saben o no contestan, y que otras, lamentablemente, solo les importa que su hijo esté en una “guardería” para jóvenes el mayor tiempo posible? </w:t>
      </w:r>
      <w:r w:rsidR="007C5A7D">
        <w:rPr>
          <w:b/>
        </w:rPr>
        <w:t>¿A los mismos estudiantes, casi siempre incapaces (por voluntad propia y mérito ajeno), de entender de qué se trata, exigir y exigirse, y que dilapidan su tiempo y su vida, en largas jornadas de vacío, ignorancia, anestesia, sms, whatsapp, o enredados en las redes sociales?</w:t>
      </w:r>
    </w:p>
    <w:p w:rsidR="00E02187" w:rsidRDefault="00E02187" w:rsidP="00E02187">
      <w:pPr>
        <w:pStyle w:val="NormalWeb"/>
        <w:shd w:val="clear" w:color="auto" w:fill="FFFFFF"/>
        <w:jc w:val="both"/>
        <w:rPr>
          <w:b/>
        </w:rPr>
      </w:pPr>
      <w:r>
        <w:rPr>
          <w:b/>
        </w:rPr>
        <w:t xml:space="preserve">En vez de debatir sobre educación pública o privada, lo que podría resultar de más utilidad sería buscar la excelencia, controlar el rendimiento, premiar el éxito, castigar el fracaso, exigir a los alumnos y a los docentes, dar libertad de cátedra, dejar que los institutos de enseñanza compitan entre sí, desregular el sistema, dar posibilidad de elección abierta del instituto educativo… (podría seguir). </w:t>
      </w:r>
    </w:p>
    <w:p w:rsidR="00E02187" w:rsidRDefault="00E02187" w:rsidP="00E02187">
      <w:pPr>
        <w:pStyle w:val="NormalWeb"/>
        <w:shd w:val="clear" w:color="auto" w:fill="FFFFFF"/>
        <w:jc w:val="both"/>
        <w:rPr>
          <w:b/>
        </w:rPr>
      </w:pPr>
      <w:r>
        <w:rPr>
          <w:b/>
        </w:rPr>
        <w:t xml:space="preserve">Entonces recién, una vez puesto el sistema educativo a un nivel de calidad y exigencia serio y riguroso (con un sistema de premios y castigos práctico), libre de toda sospecha corporativista, se podría comenzar a reestablecer la famosa “igualdad de oportunidades” (justa y necesaria), para posibilitar a los alumnos más capaces el acceso a la enseñanza con un sistema de becas, en función de sus posibilidades económicas (propias o familiares). </w:t>
      </w:r>
    </w:p>
    <w:p w:rsidR="00E02187" w:rsidRDefault="00E02187" w:rsidP="00E02187">
      <w:pPr>
        <w:pStyle w:val="NormalWeb"/>
        <w:shd w:val="clear" w:color="auto" w:fill="FFFFFF"/>
        <w:jc w:val="both"/>
        <w:rPr>
          <w:b/>
        </w:rPr>
      </w:pPr>
      <w:r>
        <w:rPr>
          <w:b/>
        </w:rPr>
        <w:t xml:space="preserve">Sin hacer demagogia con la enseñanza, sin masificaciones inconducentes, sin sindicalización docente ni estudiantil, con un alto nivel de exigencia (en alumnos y profesores), con un ojo puesto en la formación académica (de excelencia) y el otro en las necesidades del mercado (futuro laboral), y dando las debidas garantías a los más capaces (alumnos y profesores) que tendrán una plaza asegurada en la institución en función de sus calificaciones y rendimiento. Simple meritocracia. </w:t>
      </w:r>
    </w:p>
    <w:p w:rsidR="00E02187" w:rsidRDefault="00E02187" w:rsidP="00E02187">
      <w:pPr>
        <w:pStyle w:val="NormalWeb"/>
        <w:shd w:val="clear" w:color="auto" w:fill="FFFFFF"/>
        <w:jc w:val="both"/>
      </w:pPr>
      <w:r>
        <w:rPr>
          <w:b/>
        </w:rPr>
        <w:t xml:space="preserve">¿Sería eso romper la cohesión social? ¿Sería eso generar desigualdad? ¿Sería eso atentar contra el Estado del Bienestar? ¿Sería eso romper la universalización de la educación?  ¿Sería eso eliminar </w:t>
      </w:r>
      <w:r w:rsidRPr="003B65A3">
        <w:rPr>
          <w:b/>
        </w:rPr>
        <w:t>que todos tengan las mismas posibilidades de acceder a la educación en todos sus niveles?</w:t>
      </w:r>
      <w:r>
        <w:t xml:space="preserve"> </w:t>
      </w:r>
    </w:p>
    <w:p w:rsidR="00E02187" w:rsidRDefault="00E02187" w:rsidP="00E02187">
      <w:pPr>
        <w:pStyle w:val="NormalWeb"/>
        <w:shd w:val="clear" w:color="auto" w:fill="FFFFFF"/>
        <w:jc w:val="both"/>
        <w:rPr>
          <w:b/>
        </w:rPr>
      </w:pPr>
      <w:r w:rsidRPr="00DF1358">
        <w:rPr>
          <w:b/>
        </w:rPr>
        <w:t>Señore</w:t>
      </w:r>
      <w:r>
        <w:rPr>
          <w:b/>
        </w:rPr>
        <w:t>s burócratas (en mi humilde opinión</w:t>
      </w:r>
      <w:r w:rsidRPr="00DF1358">
        <w:rPr>
          <w:b/>
        </w:rPr>
        <w:t>): lo que produce desigualdad (una vez resuelto un sistema de becas que garant</w:t>
      </w:r>
      <w:r>
        <w:rPr>
          <w:b/>
        </w:rPr>
        <w:t>ice</w:t>
      </w:r>
      <w:r w:rsidRPr="00DF1358">
        <w:rPr>
          <w:b/>
        </w:rPr>
        <w:t xml:space="preserve"> el acceso a los más capaces), no son las posibilidades económicas. Sino los malos programas de estudio (como queda demostrado en el ranking de</w:t>
      </w:r>
      <w:r>
        <w:rPr>
          <w:b/>
        </w:rPr>
        <w:t xml:space="preserve"> </w:t>
      </w:r>
      <w:r w:rsidRPr="00DF1358">
        <w:rPr>
          <w:b/>
        </w:rPr>
        <w:t>universidades), los malos profesores (como muchos de ustedes) y los pésimos alumnos (que van a la</w:t>
      </w:r>
      <w:r>
        <w:rPr>
          <w:b/>
        </w:rPr>
        <w:t xml:space="preserve"> universidad a pasar el rato</w:t>
      </w:r>
      <w:r w:rsidRPr="00DF1358">
        <w:rPr>
          <w:b/>
        </w:rPr>
        <w:t>, y para sacar un dip</w:t>
      </w:r>
      <w:r>
        <w:rPr>
          <w:b/>
        </w:rPr>
        <w:t>loma con el que sus padres adorn</w:t>
      </w:r>
      <w:r w:rsidRPr="00DF1358">
        <w:rPr>
          <w:b/>
        </w:rPr>
        <w:t>en el saló</w:t>
      </w:r>
      <w:r>
        <w:rPr>
          <w:b/>
        </w:rPr>
        <w:t>n</w:t>
      </w:r>
      <w:r w:rsidRPr="00DF1358">
        <w:rPr>
          <w:b/>
        </w:rPr>
        <w:t xml:space="preserve"> de su casa).</w:t>
      </w:r>
    </w:p>
    <w:p w:rsidR="00E02187" w:rsidRDefault="00E02187" w:rsidP="00E02187">
      <w:pPr>
        <w:pStyle w:val="NormalWeb"/>
        <w:shd w:val="clear" w:color="auto" w:fill="FFFFFF"/>
        <w:jc w:val="both"/>
        <w:rPr>
          <w:b/>
        </w:rPr>
      </w:pPr>
      <w:r>
        <w:rPr>
          <w:b/>
        </w:rPr>
        <w:t xml:space="preserve">Un enorme desperdicio de recursos públicos, una estafa social, y una imperdonable dejación de responsabilidades (de parte de las autoridades educativas, profesores y alumnos). En definitiva: no es un problema de dinero, sino de capacidad y gestión. </w:t>
      </w:r>
    </w:p>
    <w:p w:rsidR="00E02187" w:rsidRDefault="00E02187" w:rsidP="00E02187">
      <w:pPr>
        <w:pStyle w:val="NormalWeb"/>
        <w:shd w:val="clear" w:color="auto" w:fill="FFFFFF"/>
        <w:jc w:val="both"/>
        <w:rPr>
          <w:b/>
        </w:rPr>
      </w:pPr>
      <w:r>
        <w:rPr>
          <w:b/>
        </w:rPr>
        <w:lastRenderedPageBreak/>
        <w:t>Si todo se deja como está… o si todo se cambia para que nada cambie… se corre el riesgo de mantener a la juventud en un permanente estado de “jet lag” intelectual, al margen del tiempo y la realidad. Un bostezo permanente (y no solo por el soporífero docente), provocado por la mediocridad deliberada y el vacío existencial calculado. La “ignorancia” perfecta: ni estudiar, ni trabajar, ni pensar. The end.</w:t>
      </w:r>
    </w:p>
    <w:p w:rsidR="00E02187" w:rsidRDefault="00E02187" w:rsidP="00E02187">
      <w:pPr>
        <w:pStyle w:val="NormalWeb"/>
        <w:shd w:val="clear" w:color="auto" w:fill="FFFFFF"/>
        <w:jc w:val="both"/>
        <w:rPr>
          <w:b/>
        </w:rPr>
      </w:pPr>
      <w:r>
        <w:rPr>
          <w:b/>
        </w:rPr>
        <w:t>Así como Nicolás Maduro (el heredero de Chávez) impone la “felicidad”, ustedes, burócratas docentes (prestidigitadores de una izquierda sectaria y provinciana, que intentan hacer pasar la “cantidad” por la “calidad”) pueden imponer la “educación”… al menos hasta que PISA los delate, y se venga abajo todo el “tinglado”, o los “adocenados” alumnos se ahoguen en su analfabetismo funcional, gracias a vuestro invalorable esfuerzo por “igualar hacia abajo”.</w:t>
      </w:r>
    </w:p>
    <w:p w:rsidR="00E02187" w:rsidRDefault="00E02187" w:rsidP="00E02187">
      <w:pPr>
        <w:pStyle w:val="NormalWeb"/>
        <w:shd w:val="clear" w:color="auto" w:fill="FFFFFF"/>
        <w:jc w:val="both"/>
        <w:rPr>
          <w:b/>
        </w:rPr>
      </w:pPr>
      <w:r>
        <w:rPr>
          <w:b/>
        </w:rPr>
        <w:t xml:space="preserve">Y si Venezuela tiene un viceministro para la Suprema Felicidad Social, España (que es la que me pilla más cerca) o alguno de los otros países europeos sub-PISA, podría tener un viceministro de la Estupidez, o de la Ignorancia o de la Parálisis Mental (ustedes eligen). ¿Y qué tal un ministerio de las “Ilusiones Perdidas”? </w:t>
      </w:r>
    </w:p>
    <w:p w:rsidR="00E02187" w:rsidRDefault="00E02187" w:rsidP="00E02187">
      <w:pPr>
        <w:pStyle w:val="NormalWeb"/>
        <w:shd w:val="clear" w:color="auto" w:fill="FFFFFF"/>
        <w:jc w:val="both"/>
        <w:rPr>
          <w:b/>
        </w:rPr>
      </w:pPr>
      <w:r>
        <w:rPr>
          <w:b/>
        </w:rPr>
        <w:t xml:space="preserve">Hay crisis mucho más peligrosas que la crisis económica. La de la educación es una de ellas. Pero no me olvido de la crisis moral, de la crisis de valores… Que probablemente sean la causa de estos efectos. El polvo de estos lodos… </w:t>
      </w:r>
    </w:p>
    <w:p w:rsidR="00E02187" w:rsidRDefault="00E02187" w:rsidP="00E02187">
      <w:pPr>
        <w:pStyle w:val="NormalWeb"/>
        <w:shd w:val="clear" w:color="auto" w:fill="FFFFFF"/>
        <w:jc w:val="both"/>
        <w:rPr>
          <w:b/>
        </w:rPr>
      </w:pPr>
      <w:r>
        <w:rPr>
          <w:b/>
        </w:rPr>
        <w:t>En definitiva (y con esto termino) hay que invertir en aprender y no para mantener pesebres y mamandurrias. Hay que modernizar la educación, con orgullo, valentía, y sin conformismo; es una necesidad objetiva del sistema.</w:t>
      </w:r>
    </w:p>
    <w:p w:rsidR="00E02187" w:rsidRDefault="00E02187" w:rsidP="00E02187">
      <w:pPr>
        <w:pStyle w:val="NormalWeb"/>
        <w:shd w:val="clear" w:color="auto" w:fill="FFFFFF"/>
        <w:jc w:val="both"/>
        <w:rPr>
          <w:b/>
        </w:rPr>
      </w:pPr>
      <w:r>
        <w:rPr>
          <w:b/>
        </w:rPr>
        <w:t>No es necesario descubrir nada (ya está todo inventado), basta con mirar como lo hacen aquellos países que alcanzan los mejores resultados académicos y adoptar su sistema. Otras veces (por qué no) basta con “dar vuelta el calcetín” y volver a la escuela de antes. Con más disciplina, con más exigencia, donde el Maestro era respetado y valorado por los alumnos, los padres y las instituciones educativas.</w:t>
      </w:r>
    </w:p>
    <w:p w:rsidR="00E02187" w:rsidRDefault="00E02187" w:rsidP="00E02187">
      <w:pPr>
        <w:pStyle w:val="NormalWeb"/>
        <w:shd w:val="clear" w:color="auto" w:fill="FFFFFF"/>
        <w:jc w:val="both"/>
        <w:rPr>
          <w:b/>
        </w:rPr>
      </w:pPr>
      <w:r>
        <w:rPr>
          <w:b/>
        </w:rPr>
        <w:t xml:space="preserve">En ese salto adelante (modernización) o en ese regreso a las fuentes (vuelta al origen), qué más da, si el colegio (o la universidad) es público o privado. Lo que debe importar es la calidad de la enseñanza, del cuerpo directivo y docente, y el resultado alcanzado por los alumnos. </w:t>
      </w:r>
    </w:p>
    <w:p w:rsidR="00E02187" w:rsidRDefault="00E02187" w:rsidP="00E02187">
      <w:pPr>
        <w:pStyle w:val="NormalWeb"/>
        <w:shd w:val="clear" w:color="auto" w:fill="FFFFFF"/>
        <w:jc w:val="both"/>
        <w:rPr>
          <w:b/>
        </w:rPr>
      </w:pPr>
      <w:r>
        <w:rPr>
          <w:b/>
        </w:rPr>
        <w:t>Menos reglamentos y más libertad de acción y de elección del centro educativo, menos cantidad y más calidad, menos estabilidad laboral y más competencia, menos gasto y más resultados, menos politización y más realismo, menos demagogia y más efectividad, menos mediocracia y más meritocracia…</w:t>
      </w:r>
    </w:p>
    <w:p w:rsidR="00E02187" w:rsidRDefault="00E02187" w:rsidP="00E02187">
      <w:pPr>
        <w:pStyle w:val="NormalWeb"/>
        <w:shd w:val="clear" w:color="auto" w:fill="FFFFFF"/>
        <w:jc w:val="both"/>
        <w:rPr>
          <w:b/>
        </w:rPr>
      </w:pPr>
      <w:r>
        <w:rPr>
          <w:b/>
        </w:rPr>
        <w:t xml:space="preserve">Antes de dar la palabra a los que saben, les propongo una prueba: designar un área test (ayuntamiento, cuidad o provincia) y entregar a las familias un “cheque educativo” (proporcional al gasto público per cápita en educación), dejando a su libre elección el centro educativo donde enviar a sus hijos y abonar en forma directa las tasas y matrícula correspondientes. Luego revisar los “logros” de cada centro y establecer un sistema de incentivos según resultados. ¿Por qué no dejar a los padres asumir esa responsabilidad? Tal vez, habría muchas sorpresas. Tal vez, muchos burócratas tendrían los días contados.  Tal vez, se podría reducir el gasto.   </w:t>
      </w:r>
    </w:p>
    <w:p w:rsidR="00E02187" w:rsidRPr="00DF1358" w:rsidRDefault="00E02187" w:rsidP="00E02187">
      <w:pPr>
        <w:pStyle w:val="NormalWeb"/>
        <w:shd w:val="clear" w:color="auto" w:fill="FFFFFF"/>
        <w:jc w:val="both"/>
        <w:rPr>
          <w:b/>
        </w:rPr>
      </w:pPr>
      <w:r w:rsidRPr="00C26470">
        <w:rPr>
          <w:b/>
          <w:bCs/>
          <w:kern w:val="36"/>
        </w:rPr>
        <w:lastRenderedPageBreak/>
        <w:t>Un recorrido</w:t>
      </w:r>
      <w:r>
        <w:rPr>
          <w:b/>
          <w:bCs/>
          <w:kern w:val="36"/>
        </w:rPr>
        <w:t xml:space="preserve"> de cabotaje, por la hemeroteca (2011 - 2013)</w:t>
      </w:r>
    </w:p>
    <w:p w:rsidR="00E02187" w:rsidRPr="00935D00" w:rsidRDefault="00E02187" w:rsidP="00E02187">
      <w:pPr>
        <w:spacing w:before="100" w:beforeAutospacing="1" w:after="100" w:afterAutospacing="1" w:line="240" w:lineRule="auto"/>
        <w:outlineLvl w:val="0"/>
        <w:rPr>
          <w:rFonts w:ascii="Times New Roman" w:eastAsia="Times New Roman" w:hAnsi="Times New Roman"/>
          <w:bCs/>
          <w:kern w:val="36"/>
          <w:sz w:val="24"/>
          <w:szCs w:val="24"/>
          <w:u w:val="single"/>
          <w:lang w:eastAsia="es-ES"/>
        </w:rPr>
      </w:pPr>
      <w:r w:rsidRPr="00935D00">
        <w:rPr>
          <w:rFonts w:ascii="Times New Roman" w:eastAsia="Times New Roman" w:hAnsi="Times New Roman"/>
          <w:bCs/>
          <w:kern w:val="36"/>
          <w:sz w:val="24"/>
          <w:szCs w:val="24"/>
          <w:u w:val="single"/>
          <w:lang w:eastAsia="es-ES"/>
        </w:rPr>
        <w:t>(2011) La realidad educativa europea reflejada en algunos gráficos</w:t>
      </w:r>
      <w:r w:rsidR="00DA47DE">
        <w:rPr>
          <w:rFonts w:ascii="Times New Roman" w:eastAsia="Times New Roman" w:hAnsi="Times New Roman"/>
          <w:bCs/>
          <w:kern w:val="36"/>
          <w:sz w:val="24"/>
          <w:szCs w:val="24"/>
          <w:u w:val="single"/>
          <w:lang w:eastAsia="es-ES"/>
        </w:rPr>
        <w:t>…</w:t>
      </w:r>
      <w:r>
        <w:rPr>
          <w:rFonts w:ascii="Times New Roman" w:eastAsia="Times New Roman" w:hAnsi="Times New Roman"/>
          <w:bCs/>
          <w:kern w:val="36"/>
          <w:sz w:val="24"/>
          <w:szCs w:val="24"/>
          <w:u w:val="single"/>
          <w:lang w:eastAsia="es-ES"/>
        </w:rPr>
        <w:t xml:space="preserve"> “metafóricos”</w:t>
      </w:r>
      <w:r w:rsidRPr="00935D00">
        <w:rPr>
          <w:rFonts w:ascii="Times New Roman" w:eastAsia="Times New Roman" w:hAnsi="Times New Roman"/>
          <w:bCs/>
          <w:kern w:val="36"/>
          <w:sz w:val="24"/>
          <w:szCs w:val="24"/>
          <w:u w:val="single"/>
          <w:lang w:eastAsia="es-ES"/>
        </w:rPr>
        <w:t xml:space="preserve"> </w:t>
      </w:r>
    </w:p>
    <w:p w:rsidR="00E02187" w:rsidRPr="00935D00" w:rsidRDefault="00E02187" w:rsidP="00E02187">
      <w:pPr>
        <w:spacing w:before="100" w:beforeAutospacing="1" w:after="100" w:afterAutospacing="1" w:line="240" w:lineRule="auto"/>
        <w:jc w:val="both"/>
        <w:outlineLvl w:val="0"/>
        <w:rPr>
          <w:rFonts w:ascii="Times New Roman" w:eastAsia="Times New Roman" w:hAnsi="Times New Roman"/>
          <w:bCs/>
          <w:kern w:val="36"/>
          <w:sz w:val="24"/>
          <w:szCs w:val="24"/>
          <w:lang w:eastAsia="es-ES"/>
        </w:rPr>
      </w:pPr>
      <w:r>
        <w:rPr>
          <w:rFonts w:ascii="Times New Roman" w:eastAsia="Times New Roman" w:hAnsi="Times New Roman"/>
          <w:i/>
          <w:sz w:val="24"/>
          <w:szCs w:val="24"/>
          <w:lang w:eastAsia="es-ES"/>
        </w:rPr>
        <w:t>“</w:t>
      </w:r>
      <w:r w:rsidRPr="00935D00">
        <w:rPr>
          <w:rFonts w:ascii="Times New Roman" w:eastAsia="Times New Roman" w:hAnsi="Times New Roman"/>
          <w:i/>
          <w:sz w:val="24"/>
          <w:szCs w:val="24"/>
          <w:lang w:eastAsia="es-ES"/>
        </w:rPr>
        <w:t>Vamos a comenzar con una evidencia descriptiva internacional muy sugerente, que muestra unas correlaciones (negativas) muy robustas entre resultados en lectura y uso de videoconsolas</w:t>
      </w:r>
      <w:r>
        <w:rPr>
          <w:rFonts w:ascii="Times New Roman" w:eastAsia="Times New Roman" w:hAnsi="Times New Roman"/>
          <w:i/>
          <w:sz w:val="24"/>
          <w:szCs w:val="24"/>
          <w:lang w:eastAsia="es-ES"/>
        </w:rPr>
        <w:t>”..</w:t>
      </w:r>
      <w:r w:rsidRPr="00935D00">
        <w:rPr>
          <w:rFonts w:ascii="Times New Roman" w:eastAsia="Times New Roman" w:hAnsi="Times New Roman"/>
          <w:i/>
          <w:sz w:val="24"/>
          <w:szCs w:val="24"/>
          <w:lang w:eastAsia="es-ES"/>
        </w:rPr>
        <w:t xml:space="preserve">. </w:t>
      </w:r>
      <w:r w:rsidRPr="00456595">
        <w:rPr>
          <w:rFonts w:ascii="Times New Roman" w:eastAsia="Times New Roman" w:hAnsi="Times New Roman"/>
          <w:bCs/>
          <w:kern w:val="36"/>
          <w:sz w:val="24"/>
          <w:szCs w:val="24"/>
          <w:u w:val="single"/>
          <w:lang w:eastAsia="es-ES"/>
        </w:rPr>
        <w:t>Los regalos, aún los de Reyes, tampoco son gratis: videoconsolas y efecto sobre la lectura en PISA</w:t>
      </w:r>
      <w:r>
        <w:rPr>
          <w:rFonts w:ascii="Times New Roman" w:eastAsia="Times New Roman" w:hAnsi="Times New Roman"/>
          <w:bCs/>
          <w:kern w:val="36"/>
          <w:sz w:val="24"/>
          <w:szCs w:val="24"/>
          <w:lang w:eastAsia="es-ES"/>
        </w:rPr>
        <w:t xml:space="preserve"> (Fedea - </w:t>
      </w:r>
      <w:r w:rsidRPr="00456595">
        <w:rPr>
          <w:rFonts w:ascii="Times New Roman" w:eastAsia="Times New Roman" w:hAnsi="Times New Roman"/>
          <w:b/>
          <w:bCs/>
          <w:kern w:val="36"/>
          <w:sz w:val="24"/>
          <w:szCs w:val="24"/>
          <w:lang w:eastAsia="es-ES"/>
        </w:rPr>
        <w:t>3/1/11</w:t>
      </w:r>
      <w:r>
        <w:rPr>
          <w:rFonts w:ascii="Times New Roman" w:eastAsia="Times New Roman" w:hAnsi="Times New Roman"/>
          <w:bCs/>
          <w:kern w:val="36"/>
          <w:sz w:val="24"/>
          <w:szCs w:val="24"/>
          <w:lang w:eastAsia="es-ES"/>
        </w:rPr>
        <w:t>)</w:t>
      </w:r>
    </w:p>
    <w:p w:rsidR="00E02187" w:rsidRPr="005E0CBB"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5E0CBB">
        <w:rPr>
          <w:rFonts w:ascii="Times New Roman" w:eastAsia="Times New Roman" w:hAnsi="Times New Roman"/>
          <w:sz w:val="24"/>
          <w:szCs w:val="24"/>
          <w:lang w:eastAsia="es-ES"/>
        </w:rPr>
        <w:t>La evidencia internacional viene, cómo no, del examen de PISA. Estos exámenes ponen en todas las ediciones el acento principal en una de las dimensiones (matemáticas, lectura o ciencia). En el último examen, hecho en el 2009 y cuyos resultados se publicaron recientemente, el énfasis era en lectura. Y el cuestionario que rellenan los estudiantes tiene varias preguntas que son útiles para el análisis.</w:t>
      </w:r>
    </w:p>
    <w:p w:rsidR="00E02187" w:rsidRPr="005E0CBB"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5E0CBB">
        <w:rPr>
          <w:rFonts w:ascii="Times New Roman" w:eastAsia="Times New Roman" w:hAnsi="Times New Roman"/>
          <w:sz w:val="24"/>
          <w:szCs w:val="24"/>
          <w:lang w:eastAsia="es-ES"/>
        </w:rPr>
        <w:t>Una de esas preguntas es: “¿Tienes alguno de los siguientes aparatos en casa?” Uno de esos aparatos es “Consola de videojuegos, por ejemplo, Sony Play Station TM”. Las respuestas posibles son: “Sí y la uso”, “Sí, pero no la uso” y “No”. La otra pregunta es: “¿Cuánto tiempo usas aproximadamente al día para leer como diversión?”. Las respuestas posibles son: “No leo por diversión”, “30 minutos o menos al día”, “Entre 30 y 60 minutos”, “De 1 a 2 horas al día”, “Más de 2 horas al día”.</w:t>
      </w:r>
    </w:p>
    <w:p w:rsidR="00E02187" w:rsidRPr="005E0CBB"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5E0CBB">
        <w:rPr>
          <w:rFonts w:ascii="Times New Roman" w:eastAsia="Times New Roman" w:hAnsi="Times New Roman"/>
          <w:sz w:val="24"/>
          <w:szCs w:val="24"/>
          <w:lang w:eastAsia="es-ES"/>
        </w:rPr>
        <w:t>Es tentador sacar la conclusión de que la videoconsola es un símbolo de estatus para las familias, que lo consiguen para los hijos (con la ayuda de los magos de Oriente o el antiguo crédito fácil) sin pensar mucho en las consecuencias.</w:t>
      </w:r>
    </w:p>
    <w:p w:rsidR="00E02187" w:rsidRPr="00456595"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Primero, </w:t>
      </w:r>
      <w:r w:rsidRPr="00456595">
        <w:rPr>
          <w:rFonts w:ascii="Times New Roman" w:eastAsia="Times New Roman" w:hAnsi="Times New Roman"/>
          <w:sz w:val="24"/>
          <w:szCs w:val="24"/>
          <w:lang w:eastAsia="es-ES"/>
        </w:rPr>
        <w:t>un gráfico con las tasas de propiedad de videoconsolas por países.</w:t>
      </w:r>
    </w:p>
    <w:p w:rsidR="00E02187" w:rsidRPr="00456595"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083CD079" wp14:editId="20166F8D">
            <wp:extent cx="5581496" cy="3423514"/>
            <wp:effectExtent l="0" t="0" r="635" b="5715"/>
            <wp:docPr id="4" name="Imagen 4" descr="graficos_post_video_game_def-1">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ficos_post_video_game_def-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81253" cy="3423365"/>
                    </a:xfrm>
                    <a:prstGeom prst="rect">
                      <a:avLst/>
                    </a:prstGeom>
                    <a:noFill/>
                    <a:ln>
                      <a:noFill/>
                    </a:ln>
                  </pic:spPr>
                </pic:pic>
              </a:graphicData>
            </a:graphic>
          </wp:inline>
        </w:drawing>
      </w:r>
      <w:r>
        <w:rPr>
          <w:rFonts w:ascii="Times New Roman" w:eastAsia="Times New Roman" w:hAnsi="Times New Roman"/>
          <w:sz w:val="24"/>
          <w:szCs w:val="24"/>
          <w:lang w:eastAsia="es-ES"/>
        </w:rPr>
        <w:t>El siguiente es</w:t>
      </w:r>
      <w:r w:rsidRPr="00456595">
        <w:rPr>
          <w:rFonts w:ascii="Times New Roman" w:eastAsia="Times New Roman" w:hAnsi="Times New Roman"/>
          <w:sz w:val="24"/>
          <w:szCs w:val="24"/>
          <w:lang w:eastAsia="es-ES"/>
        </w:rPr>
        <w:t xml:space="preserve"> un gráfico en el que para cada país vemos la diferencia media en los distintos exámenes entre el grupo que usa videoconsolas y el que no la usa (la tenga o no la tenga).</w:t>
      </w:r>
    </w:p>
    <w:p w:rsidR="00E02187" w:rsidRPr="00456595"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lastRenderedPageBreak/>
        <w:drawing>
          <wp:inline distT="0" distB="0" distL="0" distR="0" wp14:anchorId="103FFB45" wp14:editId="01973A25">
            <wp:extent cx="5647333" cy="3299155"/>
            <wp:effectExtent l="0" t="0" r="0" b="0"/>
            <wp:docPr id="3" name="Imagen 3" descr="graficos_post_video_game_def-2">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ficos_post_video_game_def-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47088" cy="3299012"/>
                    </a:xfrm>
                    <a:prstGeom prst="rect">
                      <a:avLst/>
                    </a:prstGeom>
                    <a:noFill/>
                    <a:ln>
                      <a:noFill/>
                    </a:ln>
                  </pic:spPr>
                </pic:pic>
              </a:graphicData>
            </a:graphic>
          </wp:inline>
        </w:drawing>
      </w:r>
    </w:p>
    <w:p w:rsidR="00E02187" w:rsidRPr="005E0CBB"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5E0CBB">
        <w:rPr>
          <w:rFonts w:ascii="Times New Roman" w:eastAsia="Times New Roman" w:hAnsi="Times New Roman"/>
          <w:sz w:val="24"/>
          <w:szCs w:val="24"/>
          <w:lang w:eastAsia="es-ES"/>
        </w:rPr>
        <w:t>Este gráfico es bastante revelador. Con unas pocas excepciones (que ocurren en países en desarrollo para los cuales la posesión del artilugio es un puro indicador de estatus socioeconómico) el uso de videoconsolas tiene una correlación negativa clarísima con los resultados en lectura. Y no tan clara, pero también negativa, con los resultados de matemáticas y ciencia. Por cierto, el gráfico sería muy parecido (aunque no idéntico) si ponemos la diferencia de notas entre el grupo que tiene y el que no tiene videoconsolas (porque como se veía en el primero, la mayor parte de los que la tienen la usan).</w:t>
      </w:r>
    </w:p>
    <w:p w:rsidR="00E02187" w:rsidRPr="00456595"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456595">
        <w:rPr>
          <w:rFonts w:ascii="Times New Roman" w:eastAsia="Times New Roman" w:hAnsi="Times New Roman"/>
          <w:sz w:val="24"/>
          <w:szCs w:val="24"/>
          <w:lang w:eastAsia="es-ES"/>
        </w:rPr>
        <w:t>Para entender lo que pasa es útil ver el siguiente gráfico que nos relaciona el tiempo que dedican a la lectura por diversión los chicos según sus respuestas a la pregunta de las videoconsolas.</w:t>
      </w:r>
    </w:p>
    <w:p w:rsidR="00E02187" w:rsidRPr="005E0CBB"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7A912D3D" wp14:editId="2E817439">
            <wp:extent cx="5793638" cy="2670048"/>
            <wp:effectExtent l="0" t="0" r="0" b="0"/>
            <wp:docPr id="2" name="Imagen 2" descr="graficos_post_video_game_def-3">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aficos_post_video_game_def-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08018" cy="2676675"/>
                    </a:xfrm>
                    <a:prstGeom prst="rect">
                      <a:avLst/>
                    </a:prstGeom>
                    <a:noFill/>
                    <a:ln>
                      <a:noFill/>
                    </a:ln>
                  </pic:spPr>
                </pic:pic>
              </a:graphicData>
            </a:graphic>
          </wp:inline>
        </w:drawing>
      </w:r>
      <w:r w:rsidRPr="005E0CBB">
        <w:rPr>
          <w:rFonts w:ascii="Times New Roman" w:eastAsia="Times New Roman" w:hAnsi="Times New Roman"/>
          <w:sz w:val="24"/>
          <w:szCs w:val="24"/>
          <w:lang w:eastAsia="es-ES"/>
        </w:rPr>
        <w:t>Como se puede ver con facilidad, el uso de la consola tiene una correlación negativa clarísima con la lectura.</w:t>
      </w:r>
    </w:p>
    <w:p w:rsidR="00E02187" w:rsidRPr="005E0CBB"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5E0CBB">
        <w:rPr>
          <w:rFonts w:ascii="Times New Roman" w:eastAsia="Times New Roman" w:hAnsi="Times New Roman"/>
          <w:sz w:val="24"/>
          <w:szCs w:val="24"/>
          <w:lang w:eastAsia="es-ES"/>
        </w:rPr>
        <w:lastRenderedPageBreak/>
        <w:t>La conclusión es evidente. Como ya saben todos los padres, el uso de la videoconsola tiene que ser controlado estrictamente. Pero como tampoco queremos que tiren la consola a la basura inmediatamente, les dejamos con una pieza de evidencia más. Veamos la nota media de los distintos grupos pero separada por el tiempo de lectura por diversión.</w:t>
      </w:r>
    </w:p>
    <w:p w:rsidR="00E02187" w:rsidRDefault="00E02187" w:rsidP="00E02187">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noProof/>
          <w:color w:val="0000FF"/>
          <w:sz w:val="24"/>
          <w:szCs w:val="24"/>
          <w:lang w:eastAsia="es-ES"/>
        </w:rPr>
        <w:drawing>
          <wp:inline distT="0" distB="0" distL="0" distR="0" wp14:anchorId="74348791" wp14:editId="1E41BFD0">
            <wp:extent cx="5691225" cy="3043124"/>
            <wp:effectExtent l="0" t="0" r="5080" b="5080"/>
            <wp:docPr id="1" name="Imagen 1" descr="graficos_post_video_game_def-4">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raficos_post_video_game_def-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90977" cy="3042991"/>
                    </a:xfrm>
                    <a:prstGeom prst="rect">
                      <a:avLst/>
                    </a:prstGeom>
                    <a:noFill/>
                    <a:ln>
                      <a:noFill/>
                    </a:ln>
                  </pic:spPr>
                </pic:pic>
              </a:graphicData>
            </a:graphic>
          </wp:inline>
        </w:drawing>
      </w:r>
    </w:p>
    <w:p w:rsidR="00E02187" w:rsidRPr="00C26470"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5E0CBB">
        <w:rPr>
          <w:rFonts w:ascii="Times New Roman" w:eastAsia="Times New Roman" w:hAnsi="Times New Roman"/>
          <w:sz w:val="24"/>
          <w:szCs w:val="24"/>
          <w:lang w:eastAsia="es-ES"/>
        </w:rPr>
        <w:t xml:space="preserve">Como verán, los chicos que usan la consola lo hacen peor que los que no la usan, cuando leen poco. Pero si leen mucho, el orden se invierte. </w:t>
      </w:r>
    </w:p>
    <w:p w:rsidR="00E02187" w:rsidRPr="00D33F7D" w:rsidRDefault="00E02187" w:rsidP="00E02187">
      <w:pPr>
        <w:spacing w:before="100" w:beforeAutospacing="1" w:after="100" w:afterAutospacing="1" w:line="240" w:lineRule="auto"/>
        <w:jc w:val="both"/>
        <w:outlineLvl w:val="0"/>
        <w:rPr>
          <w:rFonts w:ascii="Times New Roman" w:eastAsia="Times New Roman" w:hAnsi="Times New Roman"/>
          <w:bCs/>
          <w:kern w:val="36"/>
          <w:sz w:val="24"/>
          <w:szCs w:val="24"/>
          <w:lang w:eastAsia="es-ES"/>
        </w:rPr>
      </w:pPr>
      <w:r w:rsidRPr="007B7B8C">
        <w:rPr>
          <w:rFonts w:ascii="Times New Roman" w:eastAsia="Times New Roman" w:hAnsi="Times New Roman"/>
          <w:i/>
          <w:sz w:val="24"/>
          <w:szCs w:val="24"/>
          <w:lang w:eastAsia="es-ES"/>
        </w:rPr>
        <w:t xml:space="preserve">“La primera observación importante aquí es que la universidad española, medida en términos generales no presta suficiente atención a la excelencia. Una forma de verlo es la situación que reflejan los </w:t>
      </w:r>
      <w:r w:rsidRPr="00C26470">
        <w:rPr>
          <w:rFonts w:ascii="Times New Roman" w:eastAsia="Times New Roman" w:hAnsi="Times New Roman"/>
          <w:i/>
          <w:sz w:val="24"/>
          <w:szCs w:val="24"/>
          <w:lang w:eastAsia="es-ES"/>
        </w:rPr>
        <w:t xml:space="preserve">famosos </w:t>
      </w:r>
      <w:hyperlink r:id="rId63" w:history="1">
        <w:r w:rsidRPr="00C26470">
          <w:rPr>
            <w:rFonts w:ascii="Times New Roman" w:eastAsia="Times New Roman" w:hAnsi="Times New Roman"/>
            <w:i/>
            <w:sz w:val="24"/>
            <w:szCs w:val="24"/>
            <w:lang w:eastAsia="es-ES"/>
          </w:rPr>
          <w:t>rankings de Shanghái.</w:t>
        </w:r>
      </w:hyperlink>
      <w:r w:rsidRPr="007B7B8C">
        <w:rPr>
          <w:rFonts w:ascii="Times New Roman" w:eastAsia="Times New Roman" w:hAnsi="Times New Roman"/>
          <w:i/>
          <w:sz w:val="24"/>
          <w:szCs w:val="24"/>
          <w:lang w:eastAsia="es-ES"/>
        </w:rPr>
        <w:t xml:space="preserve"> Estos rankings combinan información acerca del número de premios Nobel entre los profesores de una universidad, o que hicieron allí su doctorado, el número de </w:t>
      </w:r>
      <w:hyperlink r:id="rId64" w:history="1">
        <w:r w:rsidRPr="00C26470">
          <w:rPr>
            <w:rFonts w:ascii="Times New Roman" w:eastAsia="Times New Roman" w:hAnsi="Times New Roman"/>
            <w:i/>
            <w:sz w:val="24"/>
            <w:szCs w:val="24"/>
            <w:lang w:eastAsia="es-ES"/>
          </w:rPr>
          <w:t>highly cited researchers</w:t>
        </w:r>
      </w:hyperlink>
      <w:r w:rsidRPr="00C26470">
        <w:rPr>
          <w:rFonts w:ascii="Times New Roman" w:eastAsia="Times New Roman" w:hAnsi="Times New Roman"/>
          <w:i/>
          <w:sz w:val="24"/>
          <w:szCs w:val="24"/>
          <w:lang w:eastAsia="es-ES"/>
        </w:rPr>
        <w:t xml:space="preserve"> </w:t>
      </w:r>
      <w:r w:rsidRPr="007B7B8C">
        <w:rPr>
          <w:rFonts w:ascii="Times New Roman" w:eastAsia="Times New Roman" w:hAnsi="Times New Roman"/>
          <w:i/>
          <w:sz w:val="24"/>
          <w:szCs w:val="24"/>
          <w:lang w:eastAsia="es-ES"/>
        </w:rPr>
        <w:t xml:space="preserve">(investigadores altamente citados, </w:t>
      </w:r>
      <w:hyperlink r:id="rId65" w:history="1">
        <w:r w:rsidRPr="00C26470">
          <w:rPr>
            <w:rFonts w:ascii="Times New Roman" w:eastAsia="Times New Roman" w:hAnsi="Times New Roman"/>
            <w:i/>
            <w:sz w:val="24"/>
            <w:szCs w:val="24"/>
            <w:lang w:eastAsia="es-ES"/>
          </w:rPr>
          <w:t>de los que he hablado alguna vez</w:t>
        </w:r>
      </w:hyperlink>
      <w:r w:rsidRPr="00C26470">
        <w:rPr>
          <w:rFonts w:ascii="Times New Roman" w:eastAsia="Times New Roman" w:hAnsi="Times New Roman"/>
          <w:i/>
          <w:sz w:val="24"/>
          <w:szCs w:val="24"/>
          <w:lang w:eastAsia="es-ES"/>
        </w:rPr>
        <w:t>)</w:t>
      </w:r>
      <w:r w:rsidRPr="007B7B8C">
        <w:rPr>
          <w:rFonts w:ascii="Times New Roman" w:eastAsia="Times New Roman" w:hAnsi="Times New Roman"/>
          <w:i/>
          <w:sz w:val="24"/>
          <w:szCs w:val="24"/>
          <w:lang w:eastAsia="es-ES"/>
        </w:rPr>
        <w:t xml:space="preserve">, publicaciones en Science o Nature y publicaciones en revistas indiciadas por el ISI. Como verán, España no tiene universidades en el ranking hasta la 200”...  </w:t>
      </w:r>
      <w:r w:rsidRPr="00D33F7D">
        <w:rPr>
          <w:rFonts w:ascii="Times New Roman" w:eastAsia="Times New Roman" w:hAnsi="Times New Roman"/>
          <w:bCs/>
          <w:kern w:val="36"/>
          <w:sz w:val="24"/>
          <w:szCs w:val="24"/>
          <w:u w:val="single"/>
          <w:lang w:eastAsia="es-ES"/>
        </w:rPr>
        <w:t>Cómo conseguir la excelencia en la universidad</w:t>
      </w:r>
      <w:r>
        <w:rPr>
          <w:rFonts w:ascii="Times New Roman" w:eastAsia="Times New Roman" w:hAnsi="Times New Roman"/>
          <w:bCs/>
          <w:kern w:val="36"/>
          <w:sz w:val="24"/>
          <w:szCs w:val="24"/>
          <w:lang w:eastAsia="es-ES"/>
        </w:rPr>
        <w:t xml:space="preserve"> (Fedea - </w:t>
      </w:r>
      <w:r w:rsidRPr="00D33F7D">
        <w:rPr>
          <w:rFonts w:ascii="Times New Roman" w:eastAsia="Times New Roman" w:hAnsi="Times New Roman"/>
          <w:b/>
          <w:bCs/>
          <w:kern w:val="36"/>
          <w:sz w:val="24"/>
          <w:szCs w:val="24"/>
          <w:lang w:eastAsia="es-ES"/>
        </w:rPr>
        <w:t>10/1/11</w:t>
      </w:r>
      <w:r>
        <w:rPr>
          <w:rFonts w:ascii="Times New Roman" w:eastAsia="Times New Roman" w:hAnsi="Times New Roman"/>
          <w:bCs/>
          <w:kern w:val="36"/>
          <w:sz w:val="24"/>
          <w:szCs w:val="24"/>
          <w:lang w:eastAsia="es-ES"/>
        </w:rPr>
        <w:t>)</w:t>
      </w:r>
    </w:p>
    <w:p w:rsidR="00E02187" w:rsidRPr="00D33F7D"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 xml:space="preserve">Un primer paso en el análisis, que tiene interés </w:t>
      </w:r>
      <w:r w:rsidRPr="00D33F7D">
        <w:rPr>
          <w:rFonts w:ascii="Times New Roman" w:eastAsia="Times New Roman" w:hAnsi="Times New Roman"/>
          <w:i/>
          <w:iCs/>
          <w:sz w:val="24"/>
          <w:szCs w:val="24"/>
          <w:lang w:eastAsia="es-ES"/>
        </w:rPr>
        <w:t>per se</w:t>
      </w:r>
      <w:r w:rsidRPr="00D33F7D">
        <w:rPr>
          <w:rFonts w:ascii="Times New Roman" w:eastAsia="Times New Roman" w:hAnsi="Times New Roman"/>
          <w:sz w:val="24"/>
          <w:szCs w:val="24"/>
          <w:lang w:eastAsia="es-ES"/>
        </w:rPr>
        <w:t xml:space="preserve"> es cardinalizar el ranking ordinal, es decir, le ponen números. En la lista de las 50 primeras, le dan 50 puntos al primero, 49 al segundo y así sucesivamente. Esto les permite tener medidas </w:t>
      </w:r>
      <w:r w:rsidRPr="00D33F7D">
        <w:rPr>
          <w:rFonts w:ascii="Times New Roman" w:eastAsia="Times New Roman" w:hAnsi="Times New Roman"/>
          <w:i/>
          <w:iCs/>
          <w:sz w:val="24"/>
          <w:szCs w:val="24"/>
          <w:lang w:eastAsia="es-ES"/>
        </w:rPr>
        <w:t>per cápita</w:t>
      </w:r>
      <w:r w:rsidRPr="00D33F7D">
        <w:rPr>
          <w:rFonts w:ascii="Times New Roman" w:eastAsia="Times New Roman" w:hAnsi="Times New Roman"/>
          <w:sz w:val="24"/>
          <w:szCs w:val="24"/>
          <w:lang w:eastAsia="es-ES"/>
        </w:rPr>
        <w:t xml:space="preserve"> por países (es lógico que un país más grande tenga más universidades buenas). Luego estandarizan la puntuación de los Estados Unidos a 100. En esta comparación España también va fatal, pero algunos países (Reino Unido, escandinavos y Holanda) lo hacen relativamente bien una vez ampliamos el ranking más allá de los primeros 100.</w:t>
      </w:r>
    </w:p>
    <w:p w:rsidR="00E02187" w:rsidRPr="00D33F7D"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lastRenderedPageBreak/>
        <w:drawing>
          <wp:inline distT="0" distB="0" distL="0" distR="0" wp14:anchorId="7265E59E" wp14:editId="4A26E498">
            <wp:extent cx="5610758" cy="5230368"/>
            <wp:effectExtent l="0" t="0" r="0" b="8890"/>
            <wp:docPr id="11" name="Imagen 11" descr="graficos-universidad-11">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raficos-universidad-1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610513" cy="5230140"/>
                    </a:xfrm>
                    <a:prstGeom prst="rect">
                      <a:avLst/>
                    </a:prstGeom>
                    <a:noFill/>
                    <a:ln>
                      <a:noFill/>
                    </a:ln>
                  </pic:spPr>
                </pic:pic>
              </a:graphicData>
            </a:graphic>
          </wp:inline>
        </w:drawing>
      </w:r>
    </w:p>
    <w:p w:rsidR="00E02187" w:rsidRPr="00D33F7D"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 xml:space="preserve">Pero lo más interesante es la parte que tiene que ver con los determinantes del éxito relativo. Aquí hay dos tipos de análisis. Uno de puras correlaciones entre naciones, que tiene su interés para sugerir hipótesis, y otro más propiamente causal, que explota variaciones entre los estados americanos. </w:t>
      </w:r>
    </w:p>
    <w:p w:rsidR="00E02187" w:rsidRPr="00D33F7D"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Los autores enviaron un cuestionario a las universidades para conocer su grado de autonomía y de competencia (para atraer alumnos, profesores y fondos).</w:t>
      </w:r>
      <w:r>
        <w:rPr>
          <w:rFonts w:ascii="Times New Roman" w:eastAsia="Times New Roman" w:hAnsi="Times New Roman"/>
          <w:sz w:val="24"/>
          <w:szCs w:val="24"/>
          <w:lang w:eastAsia="es-ES"/>
        </w:rPr>
        <w:t xml:space="preserve"> Las preguntas eran como sigue:</w:t>
      </w:r>
    </w:p>
    <w:p w:rsidR="00E02187" w:rsidRPr="00D33F7D" w:rsidRDefault="00E02187" w:rsidP="00E02187">
      <w:pPr>
        <w:numPr>
          <w:ilvl w:val="0"/>
          <w:numId w:val="3"/>
        </w:num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 xml:space="preserve">¿La universidad establece su propio plan de estudios? </w:t>
      </w:r>
    </w:p>
    <w:p w:rsidR="00E02187" w:rsidRPr="00D33F7D" w:rsidRDefault="00E02187" w:rsidP="00E02187">
      <w:pPr>
        <w:numPr>
          <w:ilvl w:val="0"/>
          <w:numId w:val="3"/>
        </w:num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 xml:space="preserve">¿Puede la universidad seleccionar a sus propios alumnos o hay asignación centralizada? </w:t>
      </w:r>
    </w:p>
    <w:p w:rsidR="00E02187" w:rsidRPr="00D33F7D" w:rsidRDefault="00E02187" w:rsidP="00E02187">
      <w:pPr>
        <w:numPr>
          <w:ilvl w:val="0"/>
          <w:numId w:val="3"/>
        </w:num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 xml:space="preserve">¿En qué medida puede la universidad seleccionar a sus propios profesores? </w:t>
      </w:r>
    </w:p>
    <w:p w:rsidR="00E02187" w:rsidRPr="00D33F7D" w:rsidRDefault="00E02187" w:rsidP="00E02187">
      <w:pPr>
        <w:numPr>
          <w:ilvl w:val="0"/>
          <w:numId w:val="3"/>
        </w:num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 xml:space="preserve">¿Cuánto interviene el estado en la fijación de los salarios? </w:t>
      </w:r>
    </w:p>
    <w:p w:rsidR="00E02187" w:rsidRPr="00D33F7D" w:rsidRDefault="00E02187" w:rsidP="00E02187">
      <w:pPr>
        <w:numPr>
          <w:ilvl w:val="0"/>
          <w:numId w:val="3"/>
        </w:num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 xml:space="preserve">¿Todos los profesores con la misma antigüedad y categoría tienen el mismo salario? </w:t>
      </w:r>
    </w:p>
    <w:p w:rsidR="00E02187" w:rsidRPr="00D33F7D" w:rsidRDefault="00E02187" w:rsidP="00E02187">
      <w:pPr>
        <w:numPr>
          <w:ilvl w:val="0"/>
          <w:numId w:val="3"/>
        </w:num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 xml:space="preserve">¿Debe aprobar el gobierno el presupuesto de la Universidad? </w:t>
      </w:r>
    </w:p>
    <w:p w:rsidR="00E02187" w:rsidRPr="00D33F7D" w:rsidRDefault="00E02187" w:rsidP="00E02187">
      <w:pPr>
        <w:numPr>
          <w:ilvl w:val="0"/>
          <w:numId w:val="3"/>
        </w:num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 xml:space="preserve">¿Qué parte del presupuesto de la universidad proviene de fondos del gobierno? </w:t>
      </w:r>
    </w:p>
    <w:p w:rsidR="00E02187" w:rsidRPr="00D33F7D" w:rsidRDefault="00E02187" w:rsidP="00E02187">
      <w:pPr>
        <w:numPr>
          <w:ilvl w:val="0"/>
          <w:numId w:val="3"/>
        </w:num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lastRenderedPageBreak/>
        <w:t xml:space="preserve">¿Qué parte del presupuesto de la universidad viene de becas de investigación por las cuales la universidad debe competir? </w:t>
      </w:r>
    </w:p>
    <w:p w:rsidR="00E02187" w:rsidRPr="00D33F7D" w:rsidRDefault="00E02187" w:rsidP="00E02187">
      <w:pPr>
        <w:spacing w:after="0"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 xml:space="preserve">Con estas preguntas se construye un índice de autonomía y competencia. La hipótesis es que cuanta más autonomía y competencia, mejores resultados en los rankings. Los autores dicen que no tiene mucho sentido separar autonomía de competencia. Por un lado porque tienden a ir juntas en casi todas partes, de manera que sería difícil separar sus efectos estadísticamente. Pero además autonomía sin competencia lleva a dilapidar rentas y competencia sin autonomía no permite reaccionar. </w:t>
      </w:r>
    </w:p>
    <w:p w:rsidR="00E02187"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Para ver las correlaciones entre este índice de autonomía y competencia, y los rankings, podemos usar los próximos gráficos (que los autores complementan con análisis de regresión). Los gráficos separan los Estados Unidos de Europa porque índices americanos y europeos de autonomía se calculan de forma diferente. Lo hacen así porque en muchas medidas de autonomía todas las universidades americanas la tienen, y por tanto habría poca variación para ellas.</w:t>
      </w:r>
    </w:p>
    <w:p w:rsidR="00E02187" w:rsidRPr="00D33F7D"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br/>
      </w:r>
      <w:r>
        <w:rPr>
          <w:rFonts w:ascii="Times New Roman" w:eastAsia="Times New Roman" w:hAnsi="Times New Roman"/>
          <w:noProof/>
          <w:color w:val="0000FF"/>
          <w:sz w:val="24"/>
          <w:szCs w:val="24"/>
          <w:lang w:eastAsia="es-ES"/>
        </w:rPr>
        <w:drawing>
          <wp:inline distT="0" distB="0" distL="0" distR="0" wp14:anchorId="5497A95A" wp14:editId="5948B9A9">
            <wp:extent cx="5449824" cy="2516429"/>
            <wp:effectExtent l="0" t="0" r="0" b="0"/>
            <wp:docPr id="10" name="Imagen 10" descr="graficos-universidad-2">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raficos-universidad-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49824" cy="2516429"/>
                    </a:xfrm>
                    <a:prstGeom prst="rect">
                      <a:avLst/>
                    </a:prstGeom>
                    <a:noFill/>
                    <a:ln>
                      <a:noFill/>
                    </a:ln>
                  </pic:spPr>
                </pic:pic>
              </a:graphicData>
            </a:graphic>
          </wp:inline>
        </w:drawing>
      </w:r>
    </w:p>
    <w:p w:rsidR="00E02187" w:rsidRPr="00D33F7D"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75BA992C" wp14:editId="12931836">
            <wp:extent cx="5383987" cy="2757830"/>
            <wp:effectExtent l="0" t="0" r="7620" b="4445"/>
            <wp:docPr id="9" name="Imagen 9" descr="graficos-universidad-3">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raficos-universidad-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83752" cy="2757710"/>
                    </a:xfrm>
                    <a:prstGeom prst="rect">
                      <a:avLst/>
                    </a:prstGeom>
                    <a:noFill/>
                    <a:ln>
                      <a:noFill/>
                    </a:ln>
                  </pic:spPr>
                </pic:pic>
              </a:graphicData>
            </a:graphic>
          </wp:inline>
        </w:drawing>
      </w:r>
    </w:p>
    <w:p w:rsidR="00E02187" w:rsidRPr="00D33F7D"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lastRenderedPageBreak/>
        <w:t xml:space="preserve">La conclusión parece clara. Las universidades más autónomas y que se enfrentan a mayor competencia, tienden a tener mejores resultados. Como ya hemos dicho muchas veces, el análisis de correlaciones apunta a un posible culpable, pero no basta para establecer la causalidad que nos interesa (en las películas de juicios dirían que es </w:t>
      </w:r>
      <w:r w:rsidRPr="00D33F7D">
        <w:rPr>
          <w:rFonts w:ascii="Times New Roman" w:eastAsia="Times New Roman" w:hAnsi="Times New Roman"/>
          <w:i/>
          <w:iCs/>
          <w:sz w:val="24"/>
          <w:szCs w:val="24"/>
          <w:lang w:eastAsia="es-ES"/>
        </w:rPr>
        <w:t>evidencia circunstancial</w:t>
      </w:r>
      <w:r w:rsidRPr="00D33F7D">
        <w:rPr>
          <w:rFonts w:ascii="Times New Roman" w:eastAsia="Times New Roman" w:hAnsi="Times New Roman"/>
          <w:sz w:val="24"/>
          <w:szCs w:val="24"/>
          <w:lang w:eastAsia="es-ES"/>
        </w:rPr>
        <w:t xml:space="preserve">). La causalidad la buscan los autores en el análisis de cómo las patentes y publicaciones de cada Universidad en Estados Unidos se ven afectadas por la competitividad de los fondos públicos que reciben. Para establecer la causalidad explotan una particularidad del sistema presupuestario americano. Gran parte de los fondos de investigación se gestionan vía convocatorias públicas competitivas, pero un comité del Congreso (el </w:t>
      </w:r>
      <w:r w:rsidRPr="00D33F7D">
        <w:rPr>
          <w:rFonts w:ascii="Times New Roman" w:eastAsia="Times New Roman" w:hAnsi="Times New Roman"/>
          <w:i/>
          <w:iCs/>
          <w:sz w:val="24"/>
          <w:szCs w:val="24"/>
          <w:lang w:eastAsia="es-ES"/>
        </w:rPr>
        <w:t>Appropriations Committee</w:t>
      </w:r>
      <w:r w:rsidRPr="00D33F7D">
        <w:rPr>
          <w:rFonts w:ascii="Times New Roman" w:eastAsia="Times New Roman" w:hAnsi="Times New Roman"/>
          <w:sz w:val="24"/>
          <w:szCs w:val="24"/>
          <w:lang w:eastAsia="es-ES"/>
        </w:rPr>
        <w:t xml:space="preserve">) tiene poder para hacer asignaciones bastante arbitrarias (lo que se suele llamar el </w:t>
      </w:r>
      <w:hyperlink r:id="rId72" w:history="1">
        <w:r w:rsidRPr="003836AB">
          <w:rPr>
            <w:rFonts w:ascii="Times New Roman" w:eastAsia="Times New Roman" w:hAnsi="Times New Roman"/>
            <w:sz w:val="24"/>
            <w:szCs w:val="24"/>
            <w:u w:val="single"/>
            <w:lang w:eastAsia="es-ES"/>
          </w:rPr>
          <w:t>pork barrel spending</w:t>
        </w:r>
      </w:hyperlink>
      <w:r w:rsidRPr="00D33F7D">
        <w:rPr>
          <w:rFonts w:ascii="Times New Roman" w:eastAsia="Times New Roman" w:hAnsi="Times New Roman"/>
          <w:sz w:val="24"/>
          <w:szCs w:val="24"/>
          <w:lang w:eastAsia="es-ES"/>
        </w:rPr>
        <w:t xml:space="preserve">) Dado el poder de este comité, ningún político quiere dejarlo, y solamente eventos aleatorios (una muerte o una jubilación, por ejemplo) crean vacantes. El </w:t>
      </w:r>
      <w:r w:rsidRPr="00D33F7D">
        <w:rPr>
          <w:rFonts w:ascii="Times New Roman" w:eastAsia="Times New Roman" w:hAnsi="Times New Roman"/>
          <w:i/>
          <w:iCs/>
          <w:sz w:val="24"/>
          <w:szCs w:val="24"/>
          <w:lang w:eastAsia="es-ES"/>
        </w:rPr>
        <w:t>shock</w:t>
      </w:r>
      <w:r w:rsidRPr="00D33F7D">
        <w:rPr>
          <w:rFonts w:ascii="Times New Roman" w:eastAsia="Times New Roman" w:hAnsi="Times New Roman"/>
          <w:sz w:val="24"/>
          <w:szCs w:val="24"/>
          <w:lang w:eastAsia="es-ES"/>
        </w:rPr>
        <w:t xml:space="preserve"> exógeno que les permite analizar la causalidad es el acceso, esencialmente aleatorio argumentan los autores, de un representante del estado al comité, que se traduce en un aumento de financiación no competitiva a las universidades de su estado.</w:t>
      </w:r>
    </w:p>
    <w:p w:rsidR="00E02187" w:rsidRPr="00D33F7D"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 xml:space="preserve">La tabla que sigue mide los efectos de las inversiones en instituciones educativas en el número de patentes. Los dos primeros coeficientes en negrita miden cómo el efecto del dinero gastado aumenta de manera significativa con el índice de autonomía (sobre universidades propiamente de investigación y </w:t>
      </w:r>
      <w:r w:rsidRPr="00D33F7D">
        <w:rPr>
          <w:rFonts w:ascii="Times New Roman" w:eastAsia="Times New Roman" w:hAnsi="Times New Roman"/>
          <w:i/>
          <w:iCs/>
          <w:sz w:val="24"/>
          <w:szCs w:val="24"/>
          <w:lang w:eastAsia="es-ES"/>
        </w:rPr>
        <w:t>teaching colleges</w:t>
      </w:r>
      <w:r w:rsidRPr="00D33F7D">
        <w:rPr>
          <w:rFonts w:ascii="Times New Roman" w:eastAsia="Times New Roman" w:hAnsi="Times New Roman"/>
          <w:sz w:val="24"/>
          <w:szCs w:val="24"/>
          <w:lang w:eastAsia="es-ES"/>
        </w:rPr>
        <w:t xml:space="preserve"> que enfatizan más el aspecto docente pero donde también se hace investigación). Los dos segundos analizan cómo la presencia de universidades privadas potencia el efecto del gasto en universidades, y el tercero como la cercanía a la frontera tecnológica (donde los retornos a las patentes son mayores) aumenta el efecto del gasto. Los efectos sobre publicaciones son muy parecidos, con la excepción de que disminuye el efecto de la presencia de universidades privadas.</w:t>
      </w:r>
    </w:p>
    <w:p w:rsidR="00E02187" w:rsidRPr="00D33F7D"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030B43C6" wp14:editId="6233B402">
            <wp:extent cx="5508345" cy="3642969"/>
            <wp:effectExtent l="0" t="0" r="0" b="0"/>
            <wp:docPr id="8" name="Imagen 8" descr="graficos-universidad-4">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raficos-universidad-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508104" cy="3642810"/>
                    </a:xfrm>
                    <a:prstGeom prst="rect">
                      <a:avLst/>
                    </a:prstGeom>
                    <a:noFill/>
                    <a:ln>
                      <a:noFill/>
                    </a:ln>
                  </pic:spPr>
                </pic:pic>
              </a:graphicData>
            </a:graphic>
          </wp:inline>
        </w:drawing>
      </w:r>
    </w:p>
    <w:p w:rsidR="00E02187"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lastRenderedPageBreak/>
        <w:t xml:space="preserve">Creo que las conclusiones que podemos sacar son evidentes. Es prioritario aumentar el grado de autonomía y competencia de nuestras universidades. Más flexibilidad contractual y salarial, y más competencia en la provisión de fondos públicos. Un sistema fácilmente copiable es el británico. Cada cuatro o cinco años se hace un </w:t>
      </w:r>
      <w:hyperlink r:id="rId75" w:history="1">
        <w:r w:rsidRPr="003836AB">
          <w:rPr>
            <w:rFonts w:ascii="Times New Roman" w:eastAsia="Times New Roman" w:hAnsi="Times New Roman"/>
            <w:sz w:val="24"/>
            <w:szCs w:val="24"/>
            <w:u w:val="single"/>
            <w:lang w:eastAsia="es-ES"/>
          </w:rPr>
          <w:t>research assessment exercise</w:t>
        </w:r>
      </w:hyperlink>
      <w:r w:rsidRPr="00D33F7D">
        <w:rPr>
          <w:rFonts w:ascii="Times New Roman" w:eastAsia="Times New Roman" w:hAnsi="Times New Roman"/>
          <w:sz w:val="24"/>
          <w:szCs w:val="24"/>
          <w:lang w:eastAsia="es-ES"/>
        </w:rPr>
        <w:t xml:space="preserve"> (ejercicio de evaluación de la investigación) en el que se clasifica a las universidades por ramas del saber en categorías (de 5 estrellas a cero estrellas como los hoteles). Y en el período siguiente la financiación de la investigación depende de manera crucial de estos resultados, que los estudiantes también utilizan para saber cuáles son las mejores </w:t>
      </w:r>
      <w:r>
        <w:rPr>
          <w:rFonts w:ascii="Times New Roman" w:eastAsia="Times New Roman" w:hAnsi="Times New Roman"/>
          <w:sz w:val="24"/>
          <w:szCs w:val="24"/>
          <w:lang w:eastAsia="es-ES"/>
        </w:rPr>
        <w:t>universidades a las que asistir</w:t>
      </w:r>
      <w:r w:rsidRPr="00D33F7D">
        <w:rPr>
          <w:rFonts w:ascii="Times New Roman" w:eastAsia="Times New Roman" w:hAnsi="Times New Roman"/>
          <w:sz w:val="24"/>
          <w:szCs w:val="24"/>
          <w:lang w:eastAsia="es-ES"/>
        </w:rPr>
        <w:t xml:space="preserve">. Obviamente, los británicos no dan </w:t>
      </w:r>
      <w:r w:rsidRPr="00D33F7D">
        <w:rPr>
          <w:rFonts w:ascii="Times New Roman" w:eastAsia="Times New Roman" w:hAnsi="Times New Roman"/>
          <w:i/>
          <w:iCs/>
          <w:sz w:val="24"/>
          <w:szCs w:val="24"/>
          <w:lang w:eastAsia="es-ES"/>
        </w:rPr>
        <w:t>café para todos</w:t>
      </w:r>
      <w:r w:rsidRPr="00D33F7D">
        <w:rPr>
          <w:rFonts w:ascii="Times New Roman" w:eastAsia="Times New Roman" w:hAnsi="Times New Roman"/>
          <w:sz w:val="24"/>
          <w:szCs w:val="24"/>
          <w:lang w:eastAsia="es-ES"/>
        </w:rPr>
        <w:t xml:space="preserve"> (o en su caso, quizá té). Los resultados a la vista están.</w:t>
      </w:r>
    </w:p>
    <w:p w:rsidR="00E02187" w:rsidRPr="00193E31" w:rsidRDefault="00E02187" w:rsidP="00E02187">
      <w:pPr>
        <w:spacing w:before="100" w:beforeAutospacing="1" w:after="100" w:afterAutospacing="1" w:line="240" w:lineRule="auto"/>
        <w:jc w:val="both"/>
        <w:outlineLvl w:val="0"/>
        <w:rPr>
          <w:rFonts w:ascii="Times New Roman" w:eastAsia="Times New Roman" w:hAnsi="Times New Roman"/>
          <w:bCs/>
          <w:kern w:val="36"/>
          <w:sz w:val="24"/>
          <w:szCs w:val="24"/>
          <w:lang w:eastAsia="es-ES"/>
        </w:rPr>
      </w:pPr>
      <w:r>
        <w:rPr>
          <w:rFonts w:ascii="Times New Roman" w:eastAsia="Times New Roman" w:hAnsi="Times New Roman"/>
          <w:i/>
          <w:sz w:val="24"/>
          <w:szCs w:val="24"/>
          <w:lang w:eastAsia="es-ES"/>
        </w:rPr>
        <w:t>“</w:t>
      </w:r>
      <w:r w:rsidRPr="003836AB">
        <w:rPr>
          <w:rFonts w:ascii="Times New Roman" w:eastAsia="Times New Roman" w:hAnsi="Times New Roman"/>
          <w:i/>
          <w:sz w:val="24"/>
          <w:szCs w:val="24"/>
          <w:lang w:eastAsia="es-ES"/>
        </w:rPr>
        <w:t>El informe de PISA 2009 nos sigue dando material para discutir sobre los gravísimos problemas de nuestro sistema educativo… Con los</w:t>
      </w:r>
      <w:hyperlink r:id="rId76" w:anchor="C2.1!A1" w:history="1">
        <w:r w:rsidRPr="003836AB">
          <w:rPr>
            <w:rFonts w:ascii="Times New Roman" w:eastAsia="Times New Roman" w:hAnsi="Times New Roman"/>
            <w:i/>
            <w:sz w:val="24"/>
            <w:szCs w:val="24"/>
            <w:lang w:eastAsia="es-ES"/>
          </w:rPr>
          <w:t xml:space="preserve"> datos</w:t>
        </w:r>
      </w:hyperlink>
      <w:r w:rsidRPr="003836AB">
        <w:rPr>
          <w:rFonts w:ascii="Times New Roman" w:eastAsia="Times New Roman" w:hAnsi="Times New Roman"/>
          <w:i/>
          <w:sz w:val="24"/>
          <w:szCs w:val="24"/>
          <w:lang w:eastAsia="es-ES"/>
        </w:rPr>
        <w:t>  facilitados por nuestro Ministerio de Educación, ya sabíamos que las tasas de idoneidad no cesaron de caer en la última década. En el curso 2008-2009, sólo un 58.7% de los alumnos de 15 años estaba matriculado en el curso que le correspondía a su edad, es decir, nunca había repetido curso. Una década antes, en el curso 1998-1999, esta tasa era del 64,6%, y es en el período de la ESO, de los 12 a los 15 años, durante el cual experimentó su mayor caída</w:t>
      </w:r>
      <w:r>
        <w:rPr>
          <w:rFonts w:ascii="Times New Roman" w:eastAsia="Times New Roman" w:hAnsi="Times New Roman"/>
          <w:i/>
          <w:sz w:val="24"/>
          <w:szCs w:val="24"/>
          <w:lang w:eastAsia="es-ES"/>
        </w:rPr>
        <w:t>”..</w:t>
      </w:r>
      <w:r w:rsidRPr="003836AB">
        <w:rPr>
          <w:rFonts w:ascii="Times New Roman" w:eastAsia="Times New Roman" w:hAnsi="Times New Roman"/>
          <w:i/>
          <w:sz w:val="24"/>
          <w:szCs w:val="24"/>
          <w:lang w:eastAsia="es-ES"/>
        </w:rPr>
        <w:t>.</w:t>
      </w:r>
      <w:r w:rsidRPr="003836AB">
        <w:rPr>
          <w:rFonts w:ascii="Times New Roman" w:eastAsia="Times New Roman" w:hAnsi="Times New Roman"/>
          <w:bCs/>
          <w:kern w:val="36"/>
          <w:sz w:val="24"/>
          <w:szCs w:val="24"/>
          <w:u w:val="single"/>
          <w:lang w:eastAsia="es-ES"/>
        </w:rPr>
        <w:t xml:space="preserve"> </w:t>
      </w:r>
      <w:r w:rsidRPr="00193E31">
        <w:rPr>
          <w:rFonts w:ascii="Times New Roman" w:eastAsia="Times New Roman" w:hAnsi="Times New Roman"/>
          <w:bCs/>
          <w:kern w:val="36"/>
          <w:sz w:val="24"/>
          <w:szCs w:val="24"/>
          <w:u w:val="single"/>
          <w:lang w:eastAsia="es-ES"/>
        </w:rPr>
        <w:t>¿Pero cómo van a aprender los buenos alumnos con estas condiciones?</w:t>
      </w:r>
      <w:r>
        <w:rPr>
          <w:rFonts w:ascii="Times New Roman" w:eastAsia="Times New Roman" w:hAnsi="Times New Roman"/>
          <w:bCs/>
          <w:kern w:val="36"/>
          <w:sz w:val="24"/>
          <w:szCs w:val="24"/>
          <w:lang w:eastAsia="es-ES"/>
        </w:rPr>
        <w:t xml:space="preserve"> (Fedea - </w:t>
      </w:r>
      <w:r w:rsidRPr="00DE34C3">
        <w:rPr>
          <w:rFonts w:ascii="Times New Roman" w:eastAsia="Times New Roman" w:hAnsi="Times New Roman"/>
          <w:b/>
          <w:bCs/>
          <w:kern w:val="36"/>
          <w:sz w:val="24"/>
          <w:szCs w:val="24"/>
          <w:lang w:eastAsia="es-ES"/>
        </w:rPr>
        <w:t>18/1/11</w:t>
      </w:r>
      <w:r>
        <w:rPr>
          <w:rFonts w:ascii="Times New Roman" w:eastAsia="Times New Roman" w:hAnsi="Times New Roman"/>
          <w:bCs/>
          <w:kern w:val="36"/>
          <w:sz w:val="24"/>
          <w:szCs w:val="24"/>
          <w:lang w:eastAsia="es-ES"/>
        </w:rPr>
        <w:t>)</w:t>
      </w:r>
    </w:p>
    <w:p w:rsidR="00E02187" w:rsidRPr="00193E31"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35723E">
        <w:rPr>
          <w:rFonts w:ascii="Times New Roman" w:eastAsia="Times New Roman" w:hAnsi="Times New Roman"/>
          <w:sz w:val="24"/>
          <w:szCs w:val="24"/>
          <w:lang w:eastAsia="es-ES"/>
        </w:rPr>
        <w:t>En el Gráfico 1 se muestra el porcentaje de alumnos repetidores que pasaron el último test de PISA (15-16 años). Se puede observar que, entre los 61 países para los que se dispone de esta información en la muestra,  ¡¡¡somos los 3º con mayor proporción de repetidores, prácticamente empatados con Túnez y Macao!!!</w:t>
      </w:r>
      <w:r w:rsidRPr="00193E31">
        <w:rPr>
          <w:rFonts w:ascii="Times New Roman" w:eastAsia="Times New Roman" w:hAnsi="Times New Roman"/>
          <w:sz w:val="24"/>
          <w:szCs w:val="24"/>
          <w:lang w:eastAsia="es-ES"/>
        </w:rPr>
        <w:t xml:space="preserve"> Con un 32%, estamos ni más ni menos que a 23 puntos de la media de PISA, a 21.5 de la UE27. Somos los primeros entre las mujeres, los terceros entre los varones. Por poner otros ejemplos extremos, Dinamarca, Finlandia o Reino Unido, no llegan ni al 1%.</w:t>
      </w:r>
    </w:p>
    <w:p w:rsidR="00E02187" w:rsidRPr="0035723E"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35723E">
        <w:rPr>
          <w:rFonts w:ascii="Times New Roman" w:eastAsia="Times New Roman" w:hAnsi="Times New Roman"/>
          <w:iCs/>
          <w:sz w:val="24"/>
          <w:szCs w:val="24"/>
          <w:lang w:eastAsia="es-ES"/>
        </w:rPr>
        <w:t>El problema se sitúa especialmente en la Secundaria.  </w:t>
      </w:r>
      <w:r w:rsidRPr="0035723E">
        <w:rPr>
          <w:rFonts w:ascii="Times New Roman" w:eastAsia="Times New Roman" w:hAnsi="Times New Roman"/>
          <w:sz w:val="24"/>
          <w:szCs w:val="24"/>
          <w:lang w:eastAsia="es-ES"/>
        </w:rPr>
        <w:t>En Primaria Francia, Portugal y Bélgica, por ejemplo, nos superan ampliamente, y estamos muy cerquita de EEUU. Es pues, un problema que se concentra en nuestra ESO. Esto nos ayuda a rechazar la hipótesis de que haya un problema intrínseco con los niños españoles o sus padres o los profesores y apunta a que el culpable es el sistema, la ESO</w:t>
      </w:r>
    </w:p>
    <w:p w:rsidR="00E02187" w:rsidRPr="00193E31"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69AFE380" wp14:editId="1BB794C5">
            <wp:extent cx="5486327" cy="2728569"/>
            <wp:effectExtent l="0" t="0" r="635" b="0"/>
            <wp:docPr id="21" name="Imagen 21" descr="graf1">
              <a:hlinkClick xmlns:a="http://schemas.openxmlformats.org/drawingml/2006/main" r:id="rId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raf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86400" cy="2728605"/>
                    </a:xfrm>
                    <a:prstGeom prst="rect">
                      <a:avLst/>
                    </a:prstGeom>
                    <a:noFill/>
                    <a:ln>
                      <a:noFill/>
                    </a:ln>
                  </pic:spPr>
                </pic:pic>
              </a:graphicData>
            </a:graphic>
          </wp:inline>
        </w:drawing>
      </w:r>
    </w:p>
    <w:p w:rsidR="00E02187" w:rsidRPr="0035723E"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35723E">
        <w:rPr>
          <w:rFonts w:ascii="Times New Roman" w:eastAsia="Times New Roman" w:hAnsi="Times New Roman"/>
          <w:sz w:val="24"/>
          <w:szCs w:val="24"/>
          <w:lang w:eastAsia="es-ES"/>
        </w:rPr>
        <w:lastRenderedPageBreak/>
        <w:t>Podemos mirar a las diferencias por nacionalidad, por nivel educativo de los padres o por tipo de colegio- en todas ellas estamos en el top de los rankings de repetidores en la Enseñanza Segundaria Obligatoria. Como se puede ver en el Gráfico 2:</w:t>
      </w:r>
    </w:p>
    <w:p w:rsidR="00E02187" w:rsidRPr="0035723E" w:rsidRDefault="00E02187" w:rsidP="00E02187">
      <w:pPr>
        <w:numPr>
          <w:ilvl w:val="0"/>
          <w:numId w:val="4"/>
        </w:numPr>
        <w:spacing w:before="100" w:beforeAutospacing="1" w:after="100" w:afterAutospacing="1" w:line="240" w:lineRule="auto"/>
        <w:jc w:val="both"/>
        <w:rPr>
          <w:rFonts w:ascii="Times New Roman" w:eastAsia="Times New Roman" w:hAnsi="Times New Roman"/>
          <w:sz w:val="24"/>
          <w:szCs w:val="24"/>
          <w:lang w:eastAsia="es-ES"/>
        </w:rPr>
      </w:pPr>
      <w:r w:rsidRPr="0035723E">
        <w:rPr>
          <w:rFonts w:ascii="Times New Roman" w:eastAsia="Times New Roman" w:hAnsi="Times New Roman"/>
          <w:sz w:val="24"/>
          <w:szCs w:val="24"/>
          <w:lang w:eastAsia="es-ES"/>
        </w:rPr>
        <w:t xml:space="preserve">Entre nuestros estudiantes nativos, seguimos también en lo más alto del ranking, a más de 20 puntos de la media de la muestra, y ya claro, entre nuestros inmigrantes saltamos a 32 puntos entre los de segunda generación y 44 puntos entre  los de primera generación. </w:t>
      </w:r>
    </w:p>
    <w:p w:rsidR="00E02187" w:rsidRPr="0035723E" w:rsidRDefault="00E02187" w:rsidP="00E02187">
      <w:pPr>
        <w:numPr>
          <w:ilvl w:val="0"/>
          <w:numId w:val="4"/>
        </w:numPr>
        <w:spacing w:before="100" w:beforeAutospacing="1" w:after="100" w:afterAutospacing="1" w:line="240" w:lineRule="auto"/>
        <w:jc w:val="both"/>
        <w:rPr>
          <w:rFonts w:ascii="Times New Roman" w:eastAsia="Times New Roman" w:hAnsi="Times New Roman"/>
          <w:sz w:val="24"/>
          <w:szCs w:val="24"/>
          <w:lang w:eastAsia="es-ES"/>
        </w:rPr>
      </w:pPr>
      <w:r w:rsidRPr="0035723E">
        <w:rPr>
          <w:rFonts w:ascii="Times New Roman" w:eastAsia="Times New Roman" w:hAnsi="Times New Roman"/>
          <w:sz w:val="24"/>
          <w:szCs w:val="24"/>
          <w:lang w:eastAsia="es-ES"/>
        </w:rPr>
        <w:t xml:space="preserve">Como en todas partes, la probabilidad de repetir disminuye con el nivel educativo de los padres. Batimos todos los records cuando al menos uno de ellos no es universitario, pero incluso en este caso, los porcentajes siguen siendo tremendos: el 15% de repetidores, 3,3 veces la media de la muestra. </w:t>
      </w:r>
    </w:p>
    <w:p w:rsidR="00E02187" w:rsidRPr="0035723E" w:rsidRDefault="00E02187" w:rsidP="00E02187">
      <w:pPr>
        <w:numPr>
          <w:ilvl w:val="0"/>
          <w:numId w:val="4"/>
        </w:numPr>
        <w:spacing w:before="100" w:beforeAutospacing="1" w:after="100" w:afterAutospacing="1" w:line="240" w:lineRule="auto"/>
        <w:jc w:val="both"/>
        <w:rPr>
          <w:rFonts w:ascii="Times New Roman" w:eastAsia="Times New Roman" w:hAnsi="Times New Roman"/>
          <w:sz w:val="24"/>
          <w:szCs w:val="24"/>
          <w:lang w:eastAsia="es-ES"/>
        </w:rPr>
      </w:pPr>
      <w:r w:rsidRPr="0035723E">
        <w:rPr>
          <w:rFonts w:ascii="Times New Roman" w:eastAsia="Times New Roman" w:hAnsi="Times New Roman"/>
          <w:sz w:val="24"/>
          <w:szCs w:val="24"/>
          <w:lang w:eastAsia="es-ES"/>
        </w:rPr>
        <w:t xml:space="preserve">Y de, nuevo, no sólo es en la Escuela Pública (38% de repetidores, 30 pp por encima de la muestra), seguimos estando por encima tanto para la concertada como para la pública (13 y 8.5 pp. de diferencia, respectivamente) </w:t>
      </w:r>
    </w:p>
    <w:p w:rsidR="00E02187" w:rsidRPr="00193E31"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193E31">
        <w:rPr>
          <w:rFonts w:ascii="Times New Roman" w:eastAsia="Times New Roman" w:hAnsi="Times New Roman"/>
          <w:b/>
          <w:bCs/>
          <w:sz w:val="24"/>
          <w:szCs w:val="24"/>
          <w:lang w:eastAsia="es-ES"/>
        </w:rPr>
        <w:t> </w:t>
      </w:r>
      <w:r>
        <w:rPr>
          <w:rFonts w:ascii="Times New Roman" w:eastAsia="Times New Roman" w:hAnsi="Times New Roman"/>
          <w:b/>
          <w:bCs/>
          <w:noProof/>
          <w:color w:val="0000FF"/>
          <w:sz w:val="24"/>
          <w:szCs w:val="24"/>
          <w:lang w:eastAsia="es-ES"/>
        </w:rPr>
        <w:drawing>
          <wp:inline distT="0" distB="0" distL="0" distR="0" wp14:anchorId="672C6DE1" wp14:editId="2E803A04">
            <wp:extent cx="5552440" cy="3855085"/>
            <wp:effectExtent l="0" t="0" r="0" b="0"/>
            <wp:docPr id="20" name="Imagen 20" descr="graf22">
              <a:hlinkClick xmlns:a="http://schemas.openxmlformats.org/drawingml/2006/main" r:id="rId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graf2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552440" cy="3855085"/>
                    </a:xfrm>
                    <a:prstGeom prst="rect">
                      <a:avLst/>
                    </a:prstGeom>
                    <a:noFill/>
                    <a:ln>
                      <a:noFill/>
                    </a:ln>
                  </pic:spPr>
                </pic:pic>
              </a:graphicData>
            </a:graphic>
          </wp:inline>
        </w:drawing>
      </w:r>
    </w:p>
    <w:p w:rsidR="00E02187" w:rsidRPr="0035723E"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35723E">
        <w:rPr>
          <w:rFonts w:ascii="Times New Roman" w:eastAsia="Times New Roman" w:hAnsi="Times New Roman"/>
          <w:sz w:val="24"/>
          <w:szCs w:val="24"/>
          <w:lang w:eastAsia="es-ES"/>
        </w:rPr>
        <w:t>Este mal sistema tiene nefastas consecuencias para los malos estudiantes y para los buenos:</w:t>
      </w:r>
    </w:p>
    <w:p w:rsidR="00E02187" w:rsidRPr="0035723E"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35723E">
        <w:rPr>
          <w:rFonts w:ascii="Times New Roman" w:eastAsia="Times New Roman" w:hAnsi="Times New Roman"/>
          <w:sz w:val="24"/>
          <w:szCs w:val="24"/>
          <w:lang w:eastAsia="es-ES"/>
        </w:rPr>
        <w:t xml:space="preserve">a)     Para los malos estudiantes: es probable que, al llegar a 4º de ESO, la acumulación de retraso sea tan grande que no puedan conseguir el certificado ESO con lo que no pueden ni siquiera cursar los ciclos de FP, descolgándose, en consecuencia, del sistema educativo. </w:t>
      </w:r>
    </w:p>
    <w:p w:rsidR="00E02187" w:rsidRPr="0035723E"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35723E">
        <w:rPr>
          <w:rFonts w:ascii="Times New Roman" w:eastAsia="Times New Roman" w:hAnsi="Times New Roman"/>
          <w:sz w:val="24"/>
          <w:szCs w:val="24"/>
          <w:lang w:eastAsia="es-ES"/>
        </w:rPr>
        <w:t xml:space="preserve">b)     Para los buenos estudiantes: la presencia masiva de repetidores destruye el ambiente de estudio necesario para que aprendan. Y este es otro dato más, también </w:t>
      </w:r>
      <w:r w:rsidRPr="0035723E">
        <w:rPr>
          <w:rFonts w:ascii="Times New Roman" w:eastAsia="Times New Roman" w:hAnsi="Times New Roman"/>
          <w:sz w:val="24"/>
          <w:szCs w:val="24"/>
          <w:lang w:eastAsia="es-ES"/>
        </w:rPr>
        <w:lastRenderedPageBreak/>
        <w:t>asombroso, del último informe de PISA 2009- España tiene una de las mayores tasas de disrupción del aprendizaje por las interrupciones de los alumnos. El Gráfico 3 muestra la proporción de alumnos que se encuentran en colegios públicos en los que los propios profesores consideran que el aprendizaje se ve muy afectado</w:t>
      </w:r>
      <w:r>
        <w:rPr>
          <w:rFonts w:ascii="Times New Roman" w:eastAsia="Times New Roman" w:hAnsi="Times New Roman"/>
          <w:sz w:val="24"/>
          <w:szCs w:val="24"/>
          <w:lang w:eastAsia="es-ES"/>
        </w:rPr>
        <w:t>,</w:t>
      </w:r>
      <w:r w:rsidRPr="0035723E">
        <w:rPr>
          <w:rFonts w:ascii="Times New Roman" w:eastAsia="Times New Roman" w:hAnsi="Times New Roman"/>
          <w:sz w:val="24"/>
          <w:szCs w:val="24"/>
          <w:lang w:eastAsia="es-ES"/>
        </w:rPr>
        <w:t xml:space="preserve"> por las interrupciones en clase. Aunque en el mismo no aparecen todos los países (y hay algunos casos aún más extremos que el español), observamos que la incidencia de las interrupciones en España supera las de cualquier país de la UE27: ¡sencillamente intolerable!</w:t>
      </w:r>
    </w:p>
    <w:p w:rsidR="00E02187" w:rsidRPr="0035723E"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35723E">
        <w:rPr>
          <w:rFonts w:ascii="Times New Roman" w:eastAsia="Times New Roman" w:hAnsi="Times New Roman"/>
          <w:sz w:val="24"/>
          <w:szCs w:val="24"/>
          <w:lang w:eastAsia="es-ES"/>
        </w:rPr>
        <w:t xml:space="preserve">En conclusión, la ESO, tal como funciona, ha fracasado. Cuanto antes se reconozca, mejor. Y cuanto antes se ahorre el estado el gasto que suponen las repeticiones en este nivel de nuestra enseñanza (gasto que ha sido estimado entre </w:t>
      </w:r>
      <w:hyperlink r:id="rId81" w:history="1">
        <w:r w:rsidRPr="0035723E">
          <w:rPr>
            <w:rFonts w:ascii="Times New Roman" w:eastAsia="Times New Roman" w:hAnsi="Times New Roman"/>
            <w:sz w:val="24"/>
            <w:szCs w:val="24"/>
            <w:lang w:eastAsia="es-ES"/>
          </w:rPr>
          <w:t>1500</w:t>
        </w:r>
      </w:hyperlink>
      <w:r w:rsidRPr="0035723E">
        <w:rPr>
          <w:rFonts w:ascii="Times New Roman" w:eastAsia="Times New Roman" w:hAnsi="Times New Roman"/>
          <w:sz w:val="24"/>
          <w:szCs w:val="24"/>
          <w:lang w:eastAsia="es-ES"/>
        </w:rPr>
        <w:t xml:space="preserve"> y </w:t>
      </w:r>
      <w:hyperlink r:id="rId82" w:history="1">
        <w:r w:rsidRPr="0035723E">
          <w:rPr>
            <w:rFonts w:ascii="Times New Roman" w:eastAsia="Times New Roman" w:hAnsi="Times New Roman"/>
            <w:sz w:val="24"/>
            <w:szCs w:val="24"/>
            <w:lang w:eastAsia="es-ES"/>
          </w:rPr>
          <w:t>2000</w:t>
        </w:r>
      </w:hyperlink>
      <w:r w:rsidRPr="0035723E">
        <w:rPr>
          <w:rFonts w:ascii="Times New Roman" w:eastAsia="Times New Roman" w:hAnsi="Times New Roman"/>
          <w:sz w:val="24"/>
          <w:szCs w:val="24"/>
          <w:lang w:eastAsia="es-ES"/>
        </w:rPr>
        <w:t xml:space="preserve"> millones de euros al año) y lo destine a </w:t>
      </w:r>
      <w:hyperlink r:id="rId83" w:history="1">
        <w:r w:rsidRPr="0035723E">
          <w:rPr>
            <w:rFonts w:ascii="Times New Roman" w:eastAsia="Times New Roman" w:hAnsi="Times New Roman"/>
            <w:sz w:val="24"/>
            <w:szCs w:val="24"/>
            <w:lang w:eastAsia="es-ES"/>
          </w:rPr>
          <w:t>medidas complementarias de refuerzo y acompañamiento</w:t>
        </w:r>
      </w:hyperlink>
      <w:r w:rsidRPr="0035723E">
        <w:rPr>
          <w:rFonts w:ascii="Times New Roman" w:eastAsia="Times New Roman" w:hAnsi="Times New Roman"/>
          <w:sz w:val="24"/>
          <w:szCs w:val="24"/>
          <w:lang w:eastAsia="es-ES"/>
        </w:rPr>
        <w:t>, mejor.</w:t>
      </w:r>
    </w:p>
    <w:p w:rsidR="00E02187" w:rsidRPr="00193E31"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72861084" wp14:editId="1C347DB5">
            <wp:extent cx="5552236" cy="2699308"/>
            <wp:effectExtent l="0" t="0" r="0" b="6350"/>
            <wp:docPr id="19" name="Imagen 19" descr="graf3">
              <a:hlinkClick xmlns:a="http://schemas.openxmlformats.org/drawingml/2006/main" r:id="rId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graf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552440" cy="2699407"/>
                    </a:xfrm>
                    <a:prstGeom prst="rect">
                      <a:avLst/>
                    </a:prstGeom>
                    <a:noFill/>
                    <a:ln>
                      <a:noFill/>
                    </a:ln>
                  </pic:spPr>
                </pic:pic>
              </a:graphicData>
            </a:graphic>
          </wp:inline>
        </w:drawing>
      </w:r>
    </w:p>
    <w:p w:rsidR="00E02187" w:rsidRPr="00CA33AD" w:rsidRDefault="00E02187" w:rsidP="00E02187">
      <w:pPr>
        <w:spacing w:before="100" w:beforeAutospacing="1" w:after="100" w:afterAutospacing="1" w:line="240" w:lineRule="auto"/>
        <w:jc w:val="both"/>
        <w:rPr>
          <w:rFonts w:ascii="Times New Roman" w:hAnsi="Times New Roman" w:cs="Times New Roman"/>
          <w:sz w:val="24"/>
          <w:szCs w:val="24"/>
        </w:rPr>
      </w:pPr>
      <w:r>
        <w:rPr>
          <w:rFonts w:ascii="Times New Roman" w:eastAsia="Times New Roman" w:hAnsi="Times New Roman"/>
          <w:noProof/>
          <w:color w:val="0000FF"/>
          <w:sz w:val="24"/>
          <w:szCs w:val="24"/>
          <w:lang w:eastAsia="es-ES"/>
        </w:rPr>
        <w:drawing>
          <wp:inline distT="0" distB="0" distL="0" distR="0" wp14:anchorId="0E3B489F" wp14:editId="135DB097">
            <wp:extent cx="5464454" cy="2618842"/>
            <wp:effectExtent l="0" t="0" r="3175" b="0"/>
            <wp:docPr id="7" name="Imagen 7" descr="graficos-universidad-5">
              <a:hlinkClick xmlns:a="http://schemas.openxmlformats.org/drawingml/2006/main" r:id="rId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raficos-universidad-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464215" cy="2618727"/>
                    </a:xfrm>
                    <a:prstGeom prst="rect">
                      <a:avLst/>
                    </a:prstGeom>
                    <a:noFill/>
                    <a:ln>
                      <a:noFill/>
                    </a:ln>
                  </pic:spPr>
                </pic:pic>
              </a:graphicData>
            </a:graphic>
          </wp:inline>
        </w:drawing>
      </w:r>
      <w:r w:rsidRPr="00E76A94">
        <w:rPr>
          <w:rFonts w:ascii="Times New Roman" w:hAnsi="Times New Roman" w:cs="Times New Roman"/>
          <w:sz w:val="24"/>
          <w:szCs w:val="24"/>
          <w:u w:val="single"/>
        </w:rPr>
        <w:t>Nivel de conocimiento alcanzado y nivel de capital humano</w:t>
      </w:r>
    </w:p>
    <w:p w:rsidR="00E02187" w:rsidRDefault="00E02187" w:rsidP="00E02187">
      <w:pPr>
        <w:spacing w:before="100" w:beforeAutospacing="1" w:after="100" w:afterAutospacing="1" w:line="240" w:lineRule="auto"/>
        <w:jc w:val="both"/>
        <w:outlineLvl w:val="0"/>
        <w:rPr>
          <w:rFonts w:ascii="Times New Roman" w:eastAsia="Times New Roman" w:hAnsi="Times New Roman"/>
          <w:bCs/>
          <w:kern w:val="36"/>
          <w:sz w:val="24"/>
          <w:szCs w:val="24"/>
          <w:lang w:eastAsia="es-ES"/>
        </w:rPr>
      </w:pPr>
      <w:r>
        <w:rPr>
          <w:rFonts w:ascii="Times New Roman" w:eastAsia="Times New Roman" w:hAnsi="Times New Roman"/>
          <w:bCs/>
          <w:kern w:val="36"/>
          <w:sz w:val="24"/>
          <w:szCs w:val="24"/>
          <w:lang w:eastAsia="es-ES"/>
        </w:rPr>
        <w:t xml:space="preserve">- </w:t>
      </w:r>
      <w:r w:rsidRPr="00DC5AC4">
        <w:rPr>
          <w:rFonts w:ascii="Times New Roman" w:eastAsia="Times New Roman" w:hAnsi="Times New Roman"/>
          <w:bCs/>
          <w:kern w:val="36"/>
          <w:sz w:val="24"/>
          <w:szCs w:val="24"/>
          <w:u w:val="single"/>
          <w:lang w:eastAsia="es-ES"/>
        </w:rPr>
        <w:t>El crecimiento económico y el capital humano: ¿Qué hemos aprendido?</w:t>
      </w:r>
      <w:r>
        <w:rPr>
          <w:rFonts w:ascii="Times New Roman" w:eastAsia="Times New Roman" w:hAnsi="Times New Roman"/>
          <w:bCs/>
          <w:kern w:val="36"/>
          <w:sz w:val="24"/>
          <w:szCs w:val="24"/>
          <w:lang w:eastAsia="es-ES"/>
        </w:rPr>
        <w:t xml:space="preserve"> (Fedea - </w:t>
      </w:r>
      <w:r w:rsidRPr="002952DF">
        <w:rPr>
          <w:rFonts w:ascii="Times New Roman" w:eastAsia="Times New Roman" w:hAnsi="Times New Roman"/>
          <w:b/>
          <w:bCs/>
          <w:kern w:val="36"/>
          <w:sz w:val="24"/>
          <w:szCs w:val="24"/>
          <w:lang w:eastAsia="es-ES"/>
        </w:rPr>
        <w:t>3/3/11</w:t>
      </w:r>
      <w:r>
        <w:rPr>
          <w:rFonts w:ascii="Times New Roman" w:eastAsia="Times New Roman" w:hAnsi="Times New Roman"/>
          <w:bCs/>
          <w:kern w:val="36"/>
          <w:sz w:val="24"/>
          <w:szCs w:val="24"/>
          <w:lang w:eastAsia="es-ES"/>
        </w:rPr>
        <w:t>)</w:t>
      </w:r>
    </w:p>
    <w:p w:rsidR="00E02187" w:rsidRPr="00DC5AC4" w:rsidRDefault="00E02187" w:rsidP="00E02187">
      <w:pPr>
        <w:spacing w:before="100" w:beforeAutospacing="1" w:after="100" w:afterAutospacing="1" w:line="240" w:lineRule="auto"/>
        <w:jc w:val="both"/>
        <w:outlineLvl w:val="0"/>
        <w:rPr>
          <w:rFonts w:ascii="Times New Roman" w:eastAsia="Times New Roman" w:hAnsi="Times New Roman"/>
          <w:bCs/>
          <w:kern w:val="36"/>
          <w:sz w:val="24"/>
          <w:szCs w:val="24"/>
          <w:lang w:eastAsia="es-ES"/>
        </w:rPr>
      </w:pPr>
      <w:r>
        <w:rPr>
          <w:rFonts w:ascii="Times New Roman" w:eastAsia="Times New Roman" w:hAnsi="Times New Roman"/>
          <w:sz w:val="24"/>
          <w:szCs w:val="24"/>
          <w:lang w:eastAsia="es-ES"/>
        </w:rPr>
        <w:lastRenderedPageBreak/>
        <w:t>(Por</w:t>
      </w:r>
      <w:r w:rsidRPr="00DC5AC4">
        <w:rPr>
          <w:rFonts w:ascii="Times New Roman" w:eastAsia="Times New Roman" w:hAnsi="Times New Roman"/>
          <w:sz w:val="24"/>
          <w:szCs w:val="24"/>
          <w:lang w:eastAsia="es-ES"/>
        </w:rPr>
        <w:t xml:space="preserve"> Luis Garicano</w:t>
      </w:r>
      <w:r>
        <w:rPr>
          <w:rFonts w:ascii="Times New Roman" w:eastAsia="Times New Roman" w:hAnsi="Times New Roman"/>
          <w:sz w:val="24"/>
          <w:szCs w:val="24"/>
          <w:lang w:eastAsia="es-ES"/>
        </w:rPr>
        <w:t>)                                                                           Lectura recomendada</w:t>
      </w:r>
    </w:p>
    <w:p w:rsidR="00E02187" w:rsidRPr="00DC5AC4"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DC5AC4">
        <w:rPr>
          <w:rFonts w:ascii="Times New Roman" w:eastAsia="Times New Roman" w:hAnsi="Times New Roman"/>
          <w:sz w:val="24"/>
          <w:szCs w:val="24"/>
          <w:lang w:eastAsia="es-ES"/>
        </w:rPr>
        <w:t xml:space="preserve">Erik Hanushek y  Ludger Woessman han contribuido un </w:t>
      </w:r>
      <w:r w:rsidRPr="00E76A94">
        <w:rPr>
          <w:rFonts w:ascii="Times New Roman" w:eastAsia="Times New Roman" w:hAnsi="Times New Roman"/>
          <w:sz w:val="24"/>
          <w:szCs w:val="24"/>
          <w:lang w:eastAsia="es-ES"/>
        </w:rPr>
        <w:t>e</w:t>
      </w:r>
      <w:hyperlink r:id="rId88" w:history="1">
        <w:r w:rsidRPr="00E76A94">
          <w:rPr>
            <w:rFonts w:ascii="Times New Roman" w:eastAsia="Times New Roman" w:hAnsi="Times New Roman"/>
            <w:sz w:val="24"/>
            <w:szCs w:val="24"/>
            <w:u w:val="single"/>
            <w:lang w:eastAsia="es-ES"/>
          </w:rPr>
          <w:t xml:space="preserve">xcelente artículo </w:t>
        </w:r>
      </w:hyperlink>
      <w:r w:rsidRPr="00E76A94">
        <w:rPr>
          <w:rFonts w:ascii="Times New Roman" w:eastAsia="Times New Roman" w:hAnsi="Times New Roman"/>
          <w:sz w:val="24"/>
          <w:szCs w:val="24"/>
          <w:lang w:eastAsia="es-ES"/>
        </w:rPr>
        <w:t>al reciente tercer volumen del </w:t>
      </w:r>
      <w:hyperlink r:id="rId89" w:anchor="description" w:history="1">
        <w:r w:rsidRPr="00E76A94">
          <w:rPr>
            <w:rFonts w:ascii="Times New Roman" w:eastAsia="Times New Roman" w:hAnsi="Times New Roman"/>
            <w:sz w:val="24"/>
            <w:szCs w:val="24"/>
            <w:u w:val="single"/>
            <w:lang w:eastAsia="es-ES"/>
          </w:rPr>
          <w:t>Handbook of the Economics of Education</w:t>
        </w:r>
      </w:hyperlink>
      <w:r w:rsidRPr="00DC5AC4">
        <w:rPr>
          <w:rFonts w:ascii="Times New Roman" w:eastAsia="Times New Roman" w:hAnsi="Times New Roman"/>
          <w:sz w:val="24"/>
          <w:szCs w:val="24"/>
          <w:lang w:eastAsia="es-ES"/>
        </w:rPr>
        <w:t xml:space="preserve"> (Nov, 2010) que resume lo que hemos aprendido  de las comparaciones internacionales sobre capacidad cognitiva procedentes de los tests  tipo PISA y otros. Los autores argumentan  convincentemente que podemos aprender mucho analizando lo que los niños saben, en lugar de, como era habitual en el pasado, examinando simplemente al nivel educativo alcanzado (años de educación). </w:t>
      </w:r>
      <w:r w:rsidRPr="007E04D4">
        <w:rPr>
          <w:rFonts w:ascii="Times New Roman" w:eastAsia="Times New Roman" w:hAnsi="Times New Roman"/>
          <w:sz w:val="24"/>
          <w:szCs w:val="24"/>
          <w:u w:val="single"/>
          <w:lang w:eastAsia="es-ES"/>
        </w:rPr>
        <w:t>Dada la importancia de factores “ambientales” como la influencia de los padres, parece muy razonable que el nivel de conocimiento alcanzado sea más descriptivo del nivel de capital humano que los años pasados en el colegio.</w:t>
      </w:r>
    </w:p>
    <w:p w:rsidR="00E02187" w:rsidRPr="00DC5AC4"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DC5AC4">
        <w:rPr>
          <w:rFonts w:ascii="Times New Roman" w:eastAsia="Times New Roman" w:hAnsi="Times New Roman"/>
          <w:sz w:val="24"/>
          <w:szCs w:val="24"/>
          <w:lang w:eastAsia="es-ES"/>
        </w:rPr>
        <w:t xml:space="preserve">Hay mucho material en el artículo, y lo recomiendo encarecidamente.  No se conforma simplemente con usar la evidencia comparada internacional (que plantea graves problemas de causalidad a la hora de extraer lecciones) sino que usa también los estudios dentro de cada país, que tienen a menudo un carácter mucho “científico” al ser más cercanos al experimento deseado. Resumo aquí muy brevemente las cosas que más me han interesado, que creo que coinciden con lo que Antonio Cabrales </w:t>
      </w:r>
      <w:r w:rsidRPr="00E76A94">
        <w:rPr>
          <w:rFonts w:ascii="Times New Roman" w:eastAsia="Times New Roman" w:hAnsi="Times New Roman"/>
          <w:sz w:val="24"/>
          <w:szCs w:val="24"/>
          <w:lang w:eastAsia="es-ES"/>
        </w:rPr>
        <w:t>(</w:t>
      </w:r>
      <w:hyperlink r:id="rId90" w:history="1">
        <w:r w:rsidRPr="00E76A94">
          <w:rPr>
            <w:rFonts w:ascii="Times New Roman" w:eastAsia="Times New Roman" w:hAnsi="Times New Roman"/>
            <w:sz w:val="24"/>
            <w:szCs w:val="24"/>
            <w:lang w:eastAsia="es-ES"/>
          </w:rPr>
          <w:t>por ejemplo</w:t>
        </w:r>
      </w:hyperlink>
      <w:r w:rsidRPr="00E76A94">
        <w:rPr>
          <w:rFonts w:ascii="Times New Roman" w:eastAsia="Times New Roman" w:hAnsi="Times New Roman"/>
          <w:sz w:val="24"/>
          <w:szCs w:val="24"/>
          <w:lang w:eastAsia="es-ES"/>
        </w:rPr>
        <w:t xml:space="preserve">) </w:t>
      </w:r>
      <w:r w:rsidRPr="00DC5AC4">
        <w:rPr>
          <w:rFonts w:ascii="Times New Roman" w:eastAsia="Times New Roman" w:hAnsi="Times New Roman"/>
          <w:sz w:val="24"/>
          <w:szCs w:val="24"/>
          <w:lang w:eastAsia="es-ES"/>
        </w:rPr>
        <w:t>y otros hemos venido diciendo en NadaEsGratis, con el caveat que requiere una entrada así: estoy resumiendo un artículo de 112 páginas en 50 líneas, o sea que no puedo tener la precisión necesaria; al que le interese un resultado concreto le recomiendo que vaya al artículo.</w:t>
      </w:r>
    </w:p>
    <w:p w:rsidR="00E02187" w:rsidRPr="00DC5AC4" w:rsidRDefault="00E02187" w:rsidP="00E02187">
      <w:pPr>
        <w:numPr>
          <w:ilvl w:val="0"/>
          <w:numId w:val="5"/>
        </w:numPr>
        <w:spacing w:before="100" w:beforeAutospacing="1" w:after="100" w:afterAutospacing="1" w:line="240" w:lineRule="auto"/>
        <w:jc w:val="both"/>
        <w:rPr>
          <w:rFonts w:ascii="Times New Roman" w:eastAsia="Times New Roman" w:hAnsi="Times New Roman"/>
          <w:sz w:val="24"/>
          <w:szCs w:val="24"/>
          <w:lang w:eastAsia="es-ES"/>
        </w:rPr>
      </w:pPr>
      <w:r w:rsidRPr="007E04D4">
        <w:rPr>
          <w:rFonts w:ascii="Times New Roman" w:eastAsia="Times New Roman" w:hAnsi="Times New Roman"/>
          <w:b/>
          <w:bCs/>
          <w:sz w:val="24"/>
          <w:szCs w:val="24"/>
          <w:u w:val="single"/>
          <w:lang w:eastAsia="es-ES"/>
        </w:rPr>
        <w:t>La familia y los elementos socioeconómicos son determinantes clave del nivel educativo alcanzado</w:t>
      </w:r>
      <w:r w:rsidRPr="00DC5AC4">
        <w:rPr>
          <w:rFonts w:ascii="Times New Roman" w:eastAsia="Times New Roman" w:hAnsi="Times New Roman"/>
          <w:sz w:val="24"/>
          <w:szCs w:val="24"/>
          <w:lang w:eastAsia="es-ES"/>
        </w:rPr>
        <w:t xml:space="preserve">. Para entender la enorme magnitud de esta diferencia, el proxy más interesante (que no es causal, claro, no salgáis despavoridos a IKEA a comprar más estanterías) es el número de libros en casa. En Inglaterra, por ejemplo, </w:t>
      </w:r>
      <w:r w:rsidRPr="007E04D4">
        <w:rPr>
          <w:rFonts w:ascii="Times New Roman" w:eastAsia="Times New Roman" w:hAnsi="Times New Roman"/>
          <w:sz w:val="24"/>
          <w:szCs w:val="24"/>
          <w:u w:val="single"/>
          <w:lang w:eastAsia="es-ES"/>
        </w:rPr>
        <w:t>la diferencia en el rendimiento escolar entre los niños de las familias con más de dos estanterías de libros y los niños de familias con muy pocos libros en casa (los dos extremos de las cinco categorías disponibles) es de 1,15 desviaciones estándar, o más de tres veces lo que los estudiantes aprenden en promedio durante un año escolar</w:t>
      </w:r>
      <w:r w:rsidRPr="00DC5AC4">
        <w:rPr>
          <w:rFonts w:ascii="Times New Roman" w:eastAsia="Times New Roman" w:hAnsi="Times New Roman"/>
          <w:sz w:val="24"/>
          <w:szCs w:val="24"/>
          <w:lang w:eastAsia="es-ES"/>
        </w:rPr>
        <w:t xml:space="preserve">.  Incluso en el país con menor desigualdad, Francia, esta diferencia es equivalente a un año de estudios. (p.15) </w:t>
      </w:r>
    </w:p>
    <w:p w:rsidR="00E02187" w:rsidRPr="00DC5AC4" w:rsidRDefault="00E02187" w:rsidP="00E02187">
      <w:pPr>
        <w:numPr>
          <w:ilvl w:val="0"/>
          <w:numId w:val="5"/>
        </w:numPr>
        <w:spacing w:before="100" w:beforeAutospacing="1" w:after="100" w:afterAutospacing="1" w:line="240" w:lineRule="auto"/>
        <w:jc w:val="both"/>
        <w:rPr>
          <w:rFonts w:ascii="Times New Roman" w:eastAsia="Times New Roman" w:hAnsi="Times New Roman"/>
          <w:sz w:val="24"/>
          <w:szCs w:val="24"/>
          <w:lang w:eastAsia="es-ES"/>
        </w:rPr>
      </w:pPr>
      <w:r w:rsidRPr="007E04D4">
        <w:rPr>
          <w:rFonts w:ascii="Times New Roman" w:eastAsia="Times New Roman" w:hAnsi="Times New Roman"/>
          <w:b/>
          <w:bCs/>
          <w:sz w:val="24"/>
          <w:szCs w:val="24"/>
          <w:u w:val="single"/>
          <w:lang w:eastAsia="es-ES"/>
        </w:rPr>
        <w:t>Los recursos económicos de la escuela importan poco;  la calidad de los profesores mucho</w:t>
      </w:r>
      <w:r w:rsidRPr="00DC5AC4">
        <w:rPr>
          <w:rFonts w:ascii="Times New Roman" w:eastAsia="Times New Roman" w:hAnsi="Times New Roman"/>
          <w:b/>
          <w:bCs/>
          <w:sz w:val="24"/>
          <w:szCs w:val="24"/>
          <w:lang w:eastAsia="es-ES"/>
        </w:rPr>
        <w:t xml:space="preserve">. </w:t>
      </w:r>
      <w:r w:rsidRPr="00DC5AC4">
        <w:rPr>
          <w:rFonts w:ascii="Times New Roman" w:eastAsia="Times New Roman" w:hAnsi="Times New Roman"/>
          <w:sz w:val="24"/>
          <w:szCs w:val="24"/>
          <w:lang w:eastAsia="es-ES"/>
        </w:rPr>
        <w:t xml:space="preserve">Esto lo hemos comentado a menudo, en particular con gran elocuencia por Jesús en su artículo sobre la </w:t>
      </w:r>
      <w:r w:rsidRPr="00E76A94">
        <w:rPr>
          <w:rFonts w:ascii="Times New Roman" w:eastAsia="Times New Roman" w:hAnsi="Times New Roman"/>
          <w:sz w:val="24"/>
          <w:szCs w:val="24"/>
          <w:u w:val="single"/>
          <w:lang w:eastAsia="es-ES"/>
        </w:rPr>
        <w:t>e</w:t>
      </w:r>
      <w:hyperlink r:id="rId91" w:history="1">
        <w:r w:rsidRPr="00E76A94">
          <w:rPr>
            <w:rFonts w:ascii="Times New Roman" w:eastAsia="Times New Roman" w:hAnsi="Times New Roman"/>
            <w:sz w:val="24"/>
            <w:szCs w:val="24"/>
            <w:u w:val="single"/>
            <w:lang w:eastAsia="es-ES"/>
          </w:rPr>
          <w:t>scuela de su sobrina en Shanghái.</w:t>
        </w:r>
      </w:hyperlink>
      <w:r w:rsidRPr="00DC5AC4">
        <w:rPr>
          <w:rFonts w:ascii="Times New Roman" w:eastAsia="Times New Roman" w:hAnsi="Times New Roman"/>
          <w:sz w:val="24"/>
          <w:szCs w:val="24"/>
          <w:lang w:eastAsia="es-ES"/>
        </w:rPr>
        <w:t xml:space="preserve"> Ni el tamaño de las clases, ni el gasto por estudiante, ni el uso de ordenadores (a menudo negativo) ayudan. Estos resultados no sólo provienen de los (menos fiables) estudios internacionales, sino que son confirmados por los estudios experimentales o pseudo-experimentales. Los resultados son sorprende</w:t>
      </w:r>
      <w:r>
        <w:rPr>
          <w:rFonts w:ascii="Times New Roman" w:eastAsia="Times New Roman" w:hAnsi="Times New Roman"/>
          <w:sz w:val="24"/>
          <w:szCs w:val="24"/>
          <w:lang w:eastAsia="es-ES"/>
        </w:rPr>
        <w:t>nte</w:t>
      </w:r>
      <w:r w:rsidRPr="00DC5AC4">
        <w:rPr>
          <w:rFonts w:ascii="Times New Roman" w:eastAsia="Times New Roman" w:hAnsi="Times New Roman"/>
          <w:sz w:val="24"/>
          <w:szCs w:val="24"/>
          <w:lang w:eastAsia="es-ES"/>
        </w:rPr>
        <w:t>mente claros y precisos “No hay ningún país para el que ninguna especificación muestre un efecto estadísticamente significativo sustancial del tamaño de la clase. En todos los casos en los que los métodos conducen a una estimación razonablemente precisa, un tamaño del efecto grande puede descartarse con conf</w:t>
      </w:r>
      <w:r>
        <w:rPr>
          <w:rFonts w:ascii="Times New Roman" w:eastAsia="Times New Roman" w:hAnsi="Times New Roman"/>
          <w:sz w:val="24"/>
          <w:szCs w:val="24"/>
          <w:lang w:eastAsia="es-ES"/>
        </w:rPr>
        <w:t>ianza estadística considerable”.</w:t>
      </w:r>
      <w:r w:rsidRPr="00DC5AC4">
        <w:rPr>
          <w:rFonts w:ascii="Times New Roman" w:eastAsia="Times New Roman" w:hAnsi="Times New Roman"/>
          <w:sz w:val="24"/>
          <w:szCs w:val="24"/>
          <w:lang w:eastAsia="es-ES"/>
        </w:rPr>
        <w:t xml:space="preserve"> (p.22) Las comparaciones internacionales muestran que estos efectos sólo importan cuando los profesores son malos. Eso sí, como Hanoushek </w:t>
      </w:r>
      <w:hyperlink r:id="rId92" w:history="1">
        <w:r w:rsidRPr="00E76A94">
          <w:rPr>
            <w:rFonts w:ascii="Times New Roman" w:eastAsia="Times New Roman" w:hAnsi="Times New Roman"/>
            <w:sz w:val="24"/>
            <w:szCs w:val="24"/>
            <w:lang w:eastAsia="es-ES"/>
          </w:rPr>
          <w:t>muestra en trabajos muy recientes</w:t>
        </w:r>
      </w:hyperlink>
      <w:hyperlink r:id="rId93" w:history="1">
        <w:r w:rsidRPr="00627E17">
          <w:rPr>
            <w:rFonts w:ascii="Times New Roman" w:eastAsia="Times New Roman" w:hAnsi="Times New Roman"/>
            <w:b/>
            <w:bCs/>
            <w:color w:val="0000FF"/>
            <w:sz w:val="24"/>
            <w:szCs w:val="24"/>
            <w:lang w:eastAsia="es-ES"/>
          </w:rPr>
          <w:t>,</w:t>
        </w:r>
      </w:hyperlink>
      <w:r w:rsidRPr="00DC5AC4">
        <w:rPr>
          <w:rFonts w:ascii="Times New Roman" w:eastAsia="Times New Roman" w:hAnsi="Times New Roman"/>
          <w:b/>
          <w:bCs/>
          <w:sz w:val="24"/>
          <w:szCs w:val="24"/>
          <w:lang w:eastAsia="es-ES"/>
        </w:rPr>
        <w:t xml:space="preserve"> </w:t>
      </w:r>
      <w:r w:rsidRPr="007E04D4">
        <w:rPr>
          <w:rFonts w:ascii="Times New Roman" w:eastAsia="Times New Roman" w:hAnsi="Times New Roman"/>
          <w:sz w:val="24"/>
          <w:szCs w:val="24"/>
          <w:u w:val="single"/>
          <w:lang w:eastAsia="es-ES"/>
        </w:rPr>
        <w:t>la calidad de los profesores importa y mucho: La diferencia entre un buen y un mal profesor es de un año de aprendizaje en un curso académico.</w:t>
      </w:r>
      <w:r w:rsidRPr="00DC5AC4">
        <w:rPr>
          <w:rFonts w:ascii="Times New Roman" w:eastAsia="Times New Roman" w:hAnsi="Times New Roman"/>
          <w:sz w:val="24"/>
          <w:szCs w:val="24"/>
          <w:lang w:eastAsia="es-ES"/>
        </w:rPr>
        <w:t xml:space="preserve"> Un buen profesor puede obtener </w:t>
      </w:r>
      <w:r w:rsidRPr="00DC5AC4">
        <w:rPr>
          <w:rFonts w:ascii="Times New Roman" w:eastAsia="Times New Roman" w:hAnsi="Times New Roman"/>
          <w:sz w:val="24"/>
          <w:szCs w:val="24"/>
          <w:lang w:eastAsia="es-ES"/>
        </w:rPr>
        <w:lastRenderedPageBreak/>
        <w:t xml:space="preserve">1,5 años de aprendizaje en un año, un mal profesor 0,5. Es fácil inferir que, si un niño tiene mala suerte y tiene varios profesores malos seguidos, su vida se puede torcer. </w:t>
      </w:r>
    </w:p>
    <w:p w:rsidR="00E02187" w:rsidRPr="00DC5AC4" w:rsidRDefault="00E02187" w:rsidP="00E02187">
      <w:pPr>
        <w:numPr>
          <w:ilvl w:val="0"/>
          <w:numId w:val="5"/>
        </w:numPr>
        <w:spacing w:before="100" w:beforeAutospacing="1" w:after="100" w:afterAutospacing="1" w:line="240" w:lineRule="auto"/>
        <w:jc w:val="both"/>
        <w:rPr>
          <w:rFonts w:ascii="Times New Roman" w:eastAsia="Times New Roman" w:hAnsi="Times New Roman"/>
          <w:sz w:val="24"/>
          <w:szCs w:val="24"/>
          <w:lang w:eastAsia="es-ES"/>
        </w:rPr>
      </w:pPr>
      <w:r w:rsidRPr="007E04D4">
        <w:rPr>
          <w:rFonts w:ascii="Times New Roman" w:eastAsia="Times New Roman" w:hAnsi="Times New Roman"/>
          <w:b/>
          <w:bCs/>
          <w:sz w:val="24"/>
          <w:szCs w:val="24"/>
          <w:u w:val="single"/>
          <w:lang w:eastAsia="es-ES"/>
        </w:rPr>
        <w:t>Instituciones</w:t>
      </w:r>
      <w:r w:rsidRPr="00DC5AC4">
        <w:rPr>
          <w:rFonts w:ascii="Times New Roman" w:eastAsia="Times New Roman" w:hAnsi="Times New Roman"/>
          <w:b/>
          <w:bCs/>
          <w:sz w:val="24"/>
          <w:szCs w:val="24"/>
          <w:lang w:eastAsia="es-ES"/>
        </w:rPr>
        <w:t>:</w:t>
      </w:r>
      <w:r w:rsidRPr="00DC5AC4">
        <w:rPr>
          <w:rFonts w:ascii="Times New Roman" w:eastAsia="Times New Roman" w:hAnsi="Times New Roman"/>
          <w:sz w:val="24"/>
          <w:szCs w:val="24"/>
          <w:lang w:eastAsia="es-ES"/>
        </w:rPr>
        <w:t xml:space="preserve"> </w:t>
      </w:r>
      <w:r w:rsidRPr="007E04D4">
        <w:rPr>
          <w:rFonts w:ascii="Times New Roman" w:eastAsia="Times New Roman" w:hAnsi="Times New Roman"/>
          <w:sz w:val="24"/>
          <w:szCs w:val="24"/>
          <w:u w:val="single"/>
          <w:lang w:eastAsia="es-ES"/>
        </w:rPr>
        <w:t>las instituciones, los incentivos, y el gobierno de los colegios, importa, y mucho. En particular, sabemos que los estudiantes aprenden más en países con evaluaciones finales externas  y cuando los profesores usan evaluaciones periódicas</w:t>
      </w:r>
      <w:r w:rsidRPr="00DC5AC4">
        <w:rPr>
          <w:rFonts w:ascii="Times New Roman" w:eastAsia="Times New Roman" w:hAnsi="Times New Roman"/>
          <w:sz w:val="24"/>
          <w:szCs w:val="24"/>
          <w:lang w:eastAsia="es-ES"/>
        </w:rPr>
        <w:t>. Además, la autonomía de las escuelas en decisiones sobre personal y proceso es positiva, mientras que la  autonomía sobre presupuestos y materias cubiertas en clase es negativa;</w:t>
      </w:r>
      <w:r>
        <w:rPr>
          <w:rFonts w:ascii="Times New Roman" w:eastAsia="Times New Roman" w:hAnsi="Times New Roman"/>
          <w:sz w:val="24"/>
          <w:szCs w:val="24"/>
          <w:lang w:eastAsia="es-ES"/>
        </w:rPr>
        <w:t xml:space="preserve"> </w:t>
      </w:r>
      <w:r w:rsidRPr="00DC5AC4">
        <w:rPr>
          <w:rFonts w:ascii="Times New Roman" w:eastAsia="Times New Roman" w:hAnsi="Times New Roman"/>
          <w:sz w:val="24"/>
          <w:szCs w:val="24"/>
          <w:lang w:eastAsia="es-ES"/>
        </w:rPr>
        <w:t>(</w:t>
      </w:r>
      <w:r>
        <w:rPr>
          <w:rFonts w:ascii="Times New Roman" w:eastAsia="Times New Roman" w:hAnsi="Times New Roman"/>
          <w:sz w:val="24"/>
          <w:szCs w:val="24"/>
          <w:lang w:eastAsia="es-ES"/>
        </w:rPr>
        <w:t>p.</w:t>
      </w:r>
      <w:r w:rsidRPr="00DC5AC4">
        <w:rPr>
          <w:rFonts w:ascii="Times New Roman" w:eastAsia="Times New Roman" w:hAnsi="Times New Roman"/>
          <w:sz w:val="24"/>
          <w:szCs w:val="24"/>
          <w:lang w:eastAsia="es-ES"/>
        </w:rPr>
        <w:t xml:space="preserve">27) esta autonomía es más valiosa cuando se usan los tests externos para evaluar los resultados de los estudiantes. La evidencia (en parte usando una  ingeniosa  forma de Difs-in-difs) sobre los efectos de usar diferentes “pistas” como en Alemania es ambigua; la desigualdad aumenta, pero no está claro que el nivel final también lo haga. </w:t>
      </w:r>
    </w:p>
    <w:p w:rsidR="00E02187" w:rsidRDefault="00E02187" w:rsidP="00E02187">
      <w:pPr>
        <w:numPr>
          <w:ilvl w:val="0"/>
          <w:numId w:val="5"/>
        </w:numPr>
        <w:spacing w:before="100" w:beforeAutospacing="1" w:after="100" w:afterAutospacing="1" w:line="240" w:lineRule="auto"/>
        <w:jc w:val="both"/>
        <w:rPr>
          <w:rFonts w:ascii="Times New Roman" w:eastAsia="Times New Roman" w:hAnsi="Times New Roman"/>
          <w:sz w:val="24"/>
          <w:szCs w:val="24"/>
          <w:lang w:eastAsia="es-ES"/>
        </w:rPr>
      </w:pPr>
      <w:r w:rsidRPr="00610576">
        <w:rPr>
          <w:rFonts w:ascii="Times New Roman" w:eastAsia="Times New Roman" w:hAnsi="Times New Roman"/>
          <w:b/>
          <w:bCs/>
          <w:sz w:val="24"/>
          <w:szCs w:val="24"/>
          <w:u w:val="single"/>
          <w:lang w:eastAsia="es-ES"/>
        </w:rPr>
        <w:t>Consecuencias para el crecimiento económico</w:t>
      </w:r>
      <w:r w:rsidRPr="00DC5AC4">
        <w:rPr>
          <w:rFonts w:ascii="Times New Roman" w:eastAsia="Times New Roman" w:hAnsi="Times New Roman"/>
          <w:b/>
          <w:bCs/>
          <w:sz w:val="24"/>
          <w:szCs w:val="24"/>
          <w:lang w:eastAsia="es-ES"/>
        </w:rPr>
        <w:t>:</w:t>
      </w:r>
      <w:r w:rsidRPr="00DC5AC4">
        <w:rPr>
          <w:rFonts w:ascii="Times New Roman" w:eastAsia="Times New Roman" w:hAnsi="Times New Roman"/>
          <w:sz w:val="24"/>
          <w:szCs w:val="24"/>
          <w:lang w:eastAsia="es-ES"/>
        </w:rPr>
        <w:t xml:space="preserve"> el trabajo presenta una enorme serie de resultados sobre el impacto de los conocimientos adquiridos sobre variables económicas. (La metodología para ello es astuta- consiste en triangular desde EEUU, presente en todos los estudios comparados, para conseguir, por transitividad, comparar otras naciones presentes en diferentes estudios). Pero hay uno que es verdaderamente interesante (y proviene de un estudio anterior de Hanoushek en el AER pero que se muestra robusto en un dataset más amplio): </w:t>
      </w:r>
    </w:p>
    <w:p w:rsidR="00E02187" w:rsidRPr="00C27EC7" w:rsidRDefault="00E02187" w:rsidP="00E02187">
      <w:pPr>
        <w:ind w:left="360"/>
        <w:jc w:val="both"/>
        <w:rPr>
          <w:rFonts w:ascii="Times New Roman" w:eastAsia="Times New Roman" w:hAnsi="Times New Roman"/>
          <w:b/>
          <w:sz w:val="24"/>
          <w:szCs w:val="24"/>
          <w:lang w:eastAsia="es-ES"/>
        </w:rPr>
      </w:pPr>
      <w:r w:rsidRPr="00C27EC7">
        <w:rPr>
          <w:rFonts w:ascii="Times New Roman" w:eastAsia="Times New Roman" w:hAnsi="Times New Roman"/>
          <w:b/>
          <w:sz w:val="24"/>
          <w:szCs w:val="24"/>
          <w:lang w:eastAsia="es-ES"/>
        </w:rPr>
        <w:t>“Una mejora en estos tests de una desviación estándar (medida a nivel de estudiante en todos los países OCDE en PISA) se asocia con una tasa de crecimiento promedio anual del PIB per cápita dos puntos porcentuales mayor durante todo el período de 40 años. Cuando las habilidades cognitivas se agregan a un modelo que sólo incluye los ingresos iniciales y años de escolaridad (columna (1) de la tabla 14), el porcentaje de variación en el crecimiento económico se explica por el modelo (el R2 ajustado) salta desde 0,25 hasta 0,73.”</w:t>
      </w:r>
    </w:p>
    <w:p w:rsidR="00E02187" w:rsidRPr="00610576" w:rsidRDefault="00E02187" w:rsidP="00E02187">
      <w:pPr>
        <w:spacing w:before="100" w:beforeAutospacing="1" w:after="100" w:afterAutospacing="1" w:line="240" w:lineRule="auto"/>
        <w:jc w:val="both"/>
        <w:rPr>
          <w:rFonts w:ascii="Times New Roman" w:eastAsia="Times New Roman" w:hAnsi="Times New Roman"/>
          <w:sz w:val="24"/>
          <w:szCs w:val="24"/>
          <w:u w:val="single"/>
          <w:lang w:eastAsia="es-ES"/>
        </w:rPr>
      </w:pPr>
      <w:r w:rsidRPr="00610576">
        <w:rPr>
          <w:rFonts w:ascii="Times New Roman" w:eastAsia="Times New Roman" w:hAnsi="Times New Roman"/>
          <w:sz w:val="24"/>
          <w:szCs w:val="24"/>
          <w:u w:val="single"/>
          <w:lang w:eastAsia="es-ES"/>
        </w:rPr>
        <w:t>Es decir, el 73% de la variación de las tasa de crecimiento económico entra países puede explicarse simplemente con dos variables: nivel inicial de ingresos y nivel intelectual de la población. Claro que esto NO se puede interpretar casualmente, pero es muy, muy persuasivo para mí, por lo parsimonioso.</w:t>
      </w:r>
    </w:p>
    <w:p w:rsidR="00E02187" w:rsidRDefault="00E02187" w:rsidP="00E02187">
      <w:pPr>
        <w:spacing w:before="100" w:beforeAutospacing="1" w:after="100" w:afterAutospacing="1" w:line="240" w:lineRule="auto"/>
        <w:jc w:val="both"/>
        <w:rPr>
          <w:rFonts w:ascii="Times New Roman" w:eastAsia="Times New Roman" w:hAnsi="Times New Roman"/>
          <w:sz w:val="24"/>
          <w:szCs w:val="24"/>
          <w:u w:val="single"/>
          <w:lang w:eastAsia="es-ES"/>
        </w:rPr>
      </w:pPr>
      <w:r w:rsidRPr="00610576">
        <w:rPr>
          <w:rFonts w:ascii="Times New Roman" w:eastAsia="Times New Roman" w:hAnsi="Times New Roman"/>
          <w:sz w:val="24"/>
          <w:szCs w:val="24"/>
          <w:u w:val="single"/>
          <w:lang w:eastAsia="es-ES"/>
        </w:rPr>
        <w:t>Todo esto nos sirve para enfatizar un mensaje clave de nuestro blog: el mayor problema al que se enfrenta España no es la deuda, ni el déficit, ni el problema del sector financiero, sino los gravísimos problemas de nuestro sistema educativo</w:t>
      </w:r>
      <w:r w:rsidRPr="00DC5AC4">
        <w:rPr>
          <w:rFonts w:ascii="Times New Roman" w:eastAsia="Times New Roman" w:hAnsi="Times New Roman"/>
          <w:sz w:val="24"/>
          <w:szCs w:val="24"/>
          <w:lang w:eastAsia="es-ES"/>
        </w:rPr>
        <w:t xml:space="preserve">, que reducirán mucho el crecimiento económico en un país que lo necesita urgentemente. </w:t>
      </w:r>
      <w:r w:rsidRPr="00610576">
        <w:rPr>
          <w:rFonts w:ascii="Times New Roman" w:eastAsia="Times New Roman" w:hAnsi="Times New Roman"/>
          <w:sz w:val="24"/>
          <w:szCs w:val="24"/>
          <w:u w:val="single"/>
          <w:lang w:eastAsia="es-ES"/>
        </w:rPr>
        <w:t>Las soluciones, de acuerdo con la evidencia internacional, van estando cada vez más claras: buenos profesores y bien pagados</w:t>
      </w:r>
      <w:r w:rsidRPr="00DC5AC4">
        <w:rPr>
          <w:rFonts w:ascii="Times New Roman" w:eastAsia="Times New Roman" w:hAnsi="Times New Roman"/>
          <w:sz w:val="24"/>
          <w:szCs w:val="24"/>
          <w:lang w:eastAsia="es-ES"/>
        </w:rPr>
        <w:t xml:space="preserve"> (y aquí las iniciativas para atraer a los mejores estudiantes al sector educativo al modo del exitoso Teach For America, como la reciente propuesta en España</w:t>
      </w:r>
      <w:r>
        <w:rPr>
          <w:rFonts w:ascii="Times New Roman" w:eastAsia="Times New Roman" w:hAnsi="Times New Roman"/>
          <w:sz w:val="24"/>
          <w:szCs w:val="24"/>
          <w:lang w:eastAsia="es-ES"/>
        </w:rPr>
        <w:t xml:space="preserve"> </w:t>
      </w:r>
      <w:r w:rsidRPr="00E76A94">
        <w:rPr>
          <w:rFonts w:ascii="Times New Roman" w:eastAsia="Times New Roman" w:hAnsi="Times New Roman"/>
          <w:sz w:val="24"/>
          <w:szCs w:val="24"/>
          <w:lang w:eastAsia="es-ES"/>
        </w:rPr>
        <w:t>“</w:t>
      </w:r>
      <w:hyperlink r:id="rId94" w:history="1">
        <w:r w:rsidRPr="00E76A94">
          <w:rPr>
            <w:rFonts w:ascii="Times New Roman" w:eastAsia="Times New Roman" w:hAnsi="Times New Roman"/>
            <w:sz w:val="24"/>
            <w:szCs w:val="24"/>
            <w:u w:val="single"/>
            <w:lang w:eastAsia="es-ES"/>
          </w:rPr>
          <w:t>Empieza a Educar</w:t>
        </w:r>
      </w:hyperlink>
      <w:r w:rsidRPr="00E76A94">
        <w:rPr>
          <w:rFonts w:ascii="Times New Roman" w:eastAsia="Times New Roman" w:hAnsi="Times New Roman"/>
          <w:sz w:val="24"/>
          <w:szCs w:val="24"/>
          <w:lang w:eastAsia="es-ES"/>
        </w:rPr>
        <w:t xml:space="preserve">”, </w:t>
      </w:r>
      <w:r w:rsidRPr="00DC5AC4">
        <w:rPr>
          <w:rFonts w:ascii="Times New Roman" w:eastAsia="Times New Roman" w:hAnsi="Times New Roman"/>
          <w:sz w:val="24"/>
          <w:szCs w:val="24"/>
          <w:lang w:eastAsia="es-ES"/>
        </w:rPr>
        <w:t>son muy bienvenidas) </w:t>
      </w:r>
      <w:r w:rsidRPr="00610576">
        <w:rPr>
          <w:rFonts w:ascii="Times New Roman" w:eastAsia="Times New Roman" w:hAnsi="Times New Roman"/>
          <w:sz w:val="24"/>
          <w:szCs w:val="24"/>
          <w:u w:val="single"/>
          <w:lang w:eastAsia="es-ES"/>
        </w:rPr>
        <w:t>y escuelas con autonomía de personal y con sistemas de seguimiento y control del aprendizaje, son elementos necesarios para una reforma del sistema.</w:t>
      </w:r>
    </w:p>
    <w:p w:rsidR="00E02187" w:rsidRDefault="00E02187" w:rsidP="00E02187">
      <w:pPr>
        <w:spacing w:before="100" w:beforeAutospacing="1" w:after="100" w:afterAutospacing="1" w:line="240" w:lineRule="auto"/>
        <w:jc w:val="both"/>
        <w:rPr>
          <w:rFonts w:ascii="Times New Roman" w:eastAsia="Times New Roman" w:hAnsi="Times New Roman"/>
          <w:sz w:val="24"/>
          <w:szCs w:val="24"/>
          <w:u w:val="single"/>
          <w:lang w:eastAsia="es-ES"/>
        </w:rPr>
      </w:pPr>
    </w:p>
    <w:p w:rsidR="00E02187" w:rsidRDefault="00E02187" w:rsidP="00E02187">
      <w:pPr>
        <w:spacing w:before="100" w:beforeAutospacing="1" w:after="100" w:afterAutospacing="1" w:line="240" w:lineRule="auto"/>
        <w:jc w:val="both"/>
        <w:rPr>
          <w:rFonts w:ascii="Times New Roman" w:eastAsia="Times New Roman" w:hAnsi="Times New Roman"/>
          <w:sz w:val="24"/>
          <w:szCs w:val="24"/>
          <w:u w:val="single"/>
          <w:lang w:eastAsia="es-ES"/>
        </w:rPr>
      </w:pPr>
    </w:p>
    <w:p w:rsidR="00E02187" w:rsidRDefault="00E02187" w:rsidP="00E02187">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lastRenderedPageBreak/>
        <w:t>Los males del</w:t>
      </w:r>
      <w:r w:rsidR="00627E17">
        <w:rPr>
          <w:rFonts w:ascii="Times New Roman" w:eastAsia="Times New Roman" w:hAnsi="Times New Roman"/>
          <w:sz w:val="24"/>
          <w:szCs w:val="24"/>
          <w:u w:val="single"/>
          <w:lang w:eastAsia="es-ES"/>
        </w:rPr>
        <w:t xml:space="preserve"> “corporativismo” educativo (cuando la “endogamia” se lleva</w:t>
      </w:r>
      <w:r>
        <w:rPr>
          <w:rFonts w:ascii="Times New Roman" w:eastAsia="Times New Roman" w:hAnsi="Times New Roman"/>
          <w:sz w:val="24"/>
          <w:szCs w:val="24"/>
          <w:u w:val="single"/>
          <w:lang w:eastAsia="es-ES"/>
        </w:rPr>
        <w:t xml:space="preserve"> al absurdo)</w:t>
      </w:r>
    </w:p>
    <w:p w:rsidR="00E02187" w:rsidRPr="00CF535B" w:rsidRDefault="00E02187" w:rsidP="00E02187">
      <w:pPr>
        <w:jc w:val="both"/>
        <w:rPr>
          <w:rFonts w:ascii="Times New Roman" w:hAnsi="Times New Roman"/>
          <w:sz w:val="24"/>
          <w:szCs w:val="24"/>
        </w:rPr>
      </w:pPr>
      <w:r>
        <w:rPr>
          <w:rFonts w:ascii="Times New Roman" w:hAnsi="Times New Roman"/>
          <w:sz w:val="24"/>
          <w:szCs w:val="24"/>
        </w:rPr>
        <w:t xml:space="preserve">- </w:t>
      </w:r>
      <w:r w:rsidRPr="00CF535B">
        <w:rPr>
          <w:rFonts w:ascii="Times New Roman" w:hAnsi="Times New Roman"/>
          <w:sz w:val="24"/>
          <w:szCs w:val="24"/>
          <w:u w:val="single"/>
        </w:rPr>
        <w:t>La Universidad que viene: profesores por puntos</w:t>
      </w:r>
      <w:r>
        <w:rPr>
          <w:rFonts w:ascii="Times New Roman" w:hAnsi="Times New Roman"/>
          <w:sz w:val="24"/>
          <w:szCs w:val="24"/>
        </w:rPr>
        <w:t xml:space="preserve"> (El País - </w:t>
      </w:r>
      <w:r w:rsidRPr="00CF535B">
        <w:rPr>
          <w:rFonts w:ascii="Times New Roman" w:hAnsi="Times New Roman"/>
          <w:b/>
          <w:sz w:val="24"/>
          <w:szCs w:val="24"/>
        </w:rPr>
        <w:t>3/3/11</w:t>
      </w:r>
      <w:r>
        <w:rPr>
          <w:rFonts w:ascii="Times New Roman" w:hAnsi="Times New Roman"/>
          <w:sz w:val="24"/>
          <w:szCs w:val="24"/>
        </w:rPr>
        <w:t>) Lectura recomendada</w:t>
      </w:r>
    </w:p>
    <w:p w:rsidR="00E02187" w:rsidRPr="00CF535B" w:rsidRDefault="00E02187" w:rsidP="00E02187">
      <w:pPr>
        <w:jc w:val="both"/>
        <w:rPr>
          <w:rFonts w:ascii="Times New Roman" w:hAnsi="Times New Roman"/>
          <w:sz w:val="24"/>
          <w:szCs w:val="24"/>
        </w:rPr>
      </w:pPr>
      <w:r w:rsidRPr="00CF535B">
        <w:rPr>
          <w:rFonts w:ascii="Times New Roman" w:hAnsi="Times New Roman"/>
          <w:sz w:val="24"/>
          <w:szCs w:val="24"/>
        </w:rPr>
        <w:t xml:space="preserve">El nuevo Estatuto del Personal Docente e Investigador olvida que el verdadero motor del progreso es la búsqueda de la calidad, vinculada al esfuerzo y al mérito. No cabe más enmienda que a la totalidad </w:t>
      </w:r>
    </w:p>
    <w:p w:rsidR="00E02187" w:rsidRPr="00CF535B" w:rsidRDefault="00E02187" w:rsidP="00E02187">
      <w:pPr>
        <w:jc w:val="both"/>
        <w:rPr>
          <w:rFonts w:ascii="Times New Roman" w:hAnsi="Times New Roman"/>
          <w:sz w:val="24"/>
          <w:szCs w:val="24"/>
        </w:rPr>
      </w:pPr>
      <w:r>
        <w:rPr>
          <w:rFonts w:ascii="Times New Roman" w:hAnsi="Times New Roman"/>
          <w:sz w:val="24"/>
          <w:szCs w:val="24"/>
        </w:rPr>
        <w:t xml:space="preserve">(Por </w:t>
      </w:r>
      <w:r w:rsidRPr="00CF535B">
        <w:rPr>
          <w:rFonts w:ascii="Times New Roman" w:hAnsi="Times New Roman"/>
          <w:sz w:val="24"/>
          <w:szCs w:val="24"/>
        </w:rPr>
        <w:t>J</w:t>
      </w:r>
      <w:r>
        <w:rPr>
          <w:rFonts w:ascii="Times New Roman" w:hAnsi="Times New Roman"/>
          <w:sz w:val="24"/>
          <w:szCs w:val="24"/>
        </w:rPr>
        <w:t>osé Adolfo de Azcárraga)                                                        Lectura recomendada</w:t>
      </w:r>
    </w:p>
    <w:p w:rsidR="00E02187" w:rsidRPr="005736CE" w:rsidRDefault="00E02187" w:rsidP="00E02187">
      <w:pPr>
        <w:jc w:val="both"/>
        <w:rPr>
          <w:rFonts w:ascii="Times New Roman" w:hAnsi="Times New Roman"/>
          <w:sz w:val="24"/>
          <w:szCs w:val="24"/>
          <w:u w:val="single"/>
        </w:rPr>
      </w:pPr>
      <w:r w:rsidRPr="00CF535B">
        <w:rPr>
          <w:rFonts w:ascii="Times New Roman" w:hAnsi="Times New Roman"/>
          <w:sz w:val="24"/>
          <w:szCs w:val="24"/>
        </w:rPr>
        <w:t>Se conoce ya el Borrador ministerial del Estatuto del Personal Docente e Investigador (PDI) de las universidades públicas españolas, que pretende regular la llamada carrera docente. Esta tendría tres grados horizontales (una contradictio in terminis, por cierto) de profesores titulares y de catedráticos que se alcanzarían acumulando puntos según un baremo, en una especie de carnet por puntos del docente universitario. Uno pensaba, ingenuamente, que ya había reglamentación más que de sobra. Pero lo peor es que el Borrador es un ejemplo más de una perversidad a la que los legisladores educativos nos tienen acostumbrados: un pr</w:t>
      </w:r>
      <w:r>
        <w:rPr>
          <w:rFonts w:ascii="Times New Roman" w:hAnsi="Times New Roman"/>
          <w:sz w:val="24"/>
          <w:szCs w:val="24"/>
        </w:rPr>
        <w:t>eámbulo más o menos aceptable (“</w:t>
      </w:r>
      <w:r w:rsidRPr="00CF535B">
        <w:rPr>
          <w:rFonts w:ascii="Times New Roman" w:hAnsi="Times New Roman"/>
          <w:sz w:val="24"/>
          <w:szCs w:val="24"/>
        </w:rPr>
        <w:t>el profesor ha sido, sigue siendo y debe seguir siendo un investigador, un generador de conoc</w:t>
      </w:r>
      <w:r>
        <w:rPr>
          <w:rFonts w:ascii="Times New Roman" w:hAnsi="Times New Roman"/>
          <w:sz w:val="24"/>
          <w:szCs w:val="24"/>
        </w:rPr>
        <w:t>imiento y no un mero transmisor”</w:t>
      </w:r>
      <w:r w:rsidRPr="00CF535B">
        <w:rPr>
          <w:rFonts w:ascii="Times New Roman" w:hAnsi="Times New Roman"/>
          <w:sz w:val="24"/>
          <w:szCs w:val="24"/>
        </w:rPr>
        <w:t>, declara enfáticamente), seguido de una insufrible normativa (¡46 páginas!) contraria a los elevados principios iniciales. Aunque el preámbulo también gene</w:t>
      </w:r>
      <w:r>
        <w:rPr>
          <w:rFonts w:ascii="Times New Roman" w:hAnsi="Times New Roman"/>
          <w:sz w:val="24"/>
          <w:szCs w:val="24"/>
        </w:rPr>
        <w:t>ra inquietud, pues habla de la “</w:t>
      </w:r>
      <w:r w:rsidRPr="00CF535B">
        <w:rPr>
          <w:rFonts w:ascii="Times New Roman" w:hAnsi="Times New Roman"/>
          <w:sz w:val="24"/>
          <w:szCs w:val="24"/>
        </w:rPr>
        <w:t>carrera funcionarial basada en la obtención de méritos docentes o inves</w:t>
      </w:r>
      <w:r>
        <w:rPr>
          <w:rFonts w:ascii="Times New Roman" w:hAnsi="Times New Roman"/>
          <w:sz w:val="24"/>
          <w:szCs w:val="24"/>
        </w:rPr>
        <w:t>tigadores”</w:t>
      </w:r>
      <w:r w:rsidRPr="00CF535B">
        <w:rPr>
          <w:rFonts w:ascii="Times New Roman" w:hAnsi="Times New Roman"/>
          <w:sz w:val="24"/>
          <w:szCs w:val="24"/>
        </w:rPr>
        <w:t xml:space="preserve">, algo que redefiniría el actual personal docente (PD) e (no o) investigador (I). </w:t>
      </w:r>
      <w:r w:rsidRPr="000B3114">
        <w:rPr>
          <w:rFonts w:ascii="Times New Roman" w:hAnsi="Times New Roman"/>
          <w:sz w:val="24"/>
          <w:szCs w:val="24"/>
          <w:u w:val="single"/>
        </w:rPr>
        <w:t>El resto confirma los presagios: la investigación sólo vale 50 puntos de un total de 200; 120 puntos acreditan como catedrá</w:t>
      </w:r>
      <w:r>
        <w:rPr>
          <w:rFonts w:ascii="Times New Roman" w:hAnsi="Times New Roman"/>
          <w:sz w:val="24"/>
          <w:szCs w:val="24"/>
          <w:u w:val="single"/>
        </w:rPr>
        <w:t>tico y 140 dan un cuarto grado “</w:t>
      </w:r>
      <w:r w:rsidRPr="000B3114">
        <w:rPr>
          <w:rFonts w:ascii="Times New Roman" w:hAnsi="Times New Roman"/>
          <w:sz w:val="24"/>
          <w:szCs w:val="24"/>
          <w:u w:val="single"/>
        </w:rPr>
        <w:t>de excele</w:t>
      </w:r>
      <w:r>
        <w:rPr>
          <w:rFonts w:ascii="Times New Roman" w:hAnsi="Times New Roman"/>
          <w:sz w:val="24"/>
          <w:szCs w:val="24"/>
          <w:u w:val="single"/>
        </w:rPr>
        <w:t>ncia”</w:t>
      </w:r>
      <w:r w:rsidRPr="000B3114">
        <w:rPr>
          <w:rFonts w:ascii="Times New Roman" w:hAnsi="Times New Roman"/>
          <w:sz w:val="24"/>
          <w:szCs w:val="24"/>
          <w:u w:val="single"/>
        </w:rPr>
        <w:t>.</w:t>
      </w:r>
      <w:r w:rsidRPr="00CF535B">
        <w:rPr>
          <w:rFonts w:ascii="Times New Roman" w:hAnsi="Times New Roman"/>
          <w:sz w:val="24"/>
          <w:szCs w:val="24"/>
        </w:rPr>
        <w:t xml:space="preserve"> </w:t>
      </w:r>
      <w:r w:rsidRPr="005736CE">
        <w:rPr>
          <w:rFonts w:ascii="Times New Roman" w:hAnsi="Times New Roman"/>
          <w:sz w:val="24"/>
          <w:szCs w:val="24"/>
          <w:u w:val="single"/>
        </w:rPr>
        <w:t>Todo baremo es malo, pero el del Borrador permite</w:t>
      </w:r>
      <w:r>
        <w:rPr>
          <w:rFonts w:ascii="Times New Roman" w:hAnsi="Times New Roman"/>
          <w:sz w:val="24"/>
          <w:szCs w:val="24"/>
          <w:u w:val="single"/>
        </w:rPr>
        <w:t xml:space="preserve"> llegar a catedrático, incluso “excelente”</w:t>
      </w:r>
      <w:r w:rsidRPr="005736CE">
        <w:rPr>
          <w:rFonts w:ascii="Times New Roman" w:hAnsi="Times New Roman"/>
          <w:sz w:val="24"/>
          <w:szCs w:val="24"/>
          <w:u w:val="single"/>
        </w:rPr>
        <w:t>, con cero en investigación (o con cero en innovación y transferencia de conocimiento, importantes en áreas tecnológicas). ¿Es así como el Ministerio de Educación pretende mejorar nuestras universidades, que retroceden en las clasificaciones internacionales?</w:t>
      </w:r>
    </w:p>
    <w:p w:rsidR="00E02187" w:rsidRPr="00CF535B" w:rsidRDefault="00E02187" w:rsidP="00E02187">
      <w:pPr>
        <w:jc w:val="both"/>
        <w:rPr>
          <w:rFonts w:ascii="Times New Roman" w:hAnsi="Times New Roman"/>
          <w:sz w:val="24"/>
          <w:szCs w:val="24"/>
        </w:rPr>
      </w:pPr>
      <w:r w:rsidRPr="00CF535B">
        <w:rPr>
          <w:rFonts w:ascii="Times New Roman" w:hAnsi="Times New Roman"/>
          <w:sz w:val="24"/>
          <w:szCs w:val="24"/>
        </w:rPr>
        <w:t>Por si lo dicho fuera poco, la aplicación de ese Estatuto generará una burocracia de proporciones siderales. Involucrará a todo el profesorado universitario, que entrará en trance preparando infinitos papeles para situarse donde horizontalmente proceda; a administrativos enloquecidos ante las súbitas necesidades que atender; a innumerables comisiones evaluando -horizontalmente- quizá a miles de profesores, desatendiendo otras obligaciones; a las autonomías terciando -cómo no- con reglamentación adicional, para no ser menos, y a las universidades generando la suya, que también es lo suyo; a cientos de mesas negociadoras negociando lo innegociable, etcétera. El colapso burocrático de las universidades españolas, que no preocupa a los redactores del Borrador, no es</w:t>
      </w:r>
      <w:r>
        <w:rPr>
          <w:rFonts w:ascii="Times New Roman" w:hAnsi="Times New Roman"/>
          <w:sz w:val="24"/>
          <w:szCs w:val="24"/>
        </w:rPr>
        <w:t xml:space="preserve"> ficción. Claro está que, como “</w:t>
      </w:r>
      <w:r w:rsidRPr="00CF535B">
        <w:rPr>
          <w:rFonts w:ascii="Times New Roman" w:hAnsi="Times New Roman"/>
          <w:sz w:val="24"/>
          <w:szCs w:val="24"/>
        </w:rPr>
        <w:t>e</w:t>
      </w:r>
      <w:r>
        <w:rPr>
          <w:rFonts w:ascii="Times New Roman" w:hAnsi="Times New Roman"/>
          <w:sz w:val="24"/>
          <w:szCs w:val="24"/>
        </w:rPr>
        <w:t>l dinero público no es de nadie”</w:t>
      </w:r>
      <w:r w:rsidRPr="00CF535B">
        <w:rPr>
          <w:rFonts w:ascii="Times New Roman" w:hAnsi="Times New Roman"/>
          <w:sz w:val="24"/>
          <w:szCs w:val="24"/>
        </w:rPr>
        <w:t>, se puede comisionear ad nauseam y despilfarrar ad infinitum impunemente, pues las ingentes sumas de tiempo académicamente improductivo y de dinero perdido no aparecerán en el debe de ningún balance.</w:t>
      </w:r>
    </w:p>
    <w:p w:rsidR="00E02187" w:rsidRPr="005736CE" w:rsidRDefault="00E02187" w:rsidP="00E02187">
      <w:pPr>
        <w:jc w:val="both"/>
        <w:rPr>
          <w:rFonts w:ascii="Times New Roman" w:hAnsi="Times New Roman"/>
          <w:sz w:val="24"/>
          <w:szCs w:val="24"/>
          <w:u w:val="single"/>
        </w:rPr>
      </w:pPr>
      <w:r w:rsidRPr="00CF535B">
        <w:rPr>
          <w:rFonts w:ascii="Times New Roman" w:hAnsi="Times New Roman"/>
          <w:sz w:val="24"/>
          <w:szCs w:val="24"/>
        </w:rPr>
        <w:lastRenderedPageBreak/>
        <w:t xml:space="preserve">Ante la infinita casuística del Borrador no cabe sino sonreírse -llorar sería impropio, y más a ciertas edades- o pensar en hacer objeciones de detalle: insistir en lo esencial de la investigación, reiterar que la experiencia de muchos años de docencia no garantiza su excelencia, cacofónica obviedad que convendría repetir hasta que cale, etcétera. Pero entrar en ese juego sería pretender que el Borrador puede mejorase cuando no cabe más enmienda que a la totalidad, pues olvida que la universidad es un servicio público y que, por tanto, lo primero es garantizar su calidad. Hay un choque frontal entre la hiperburocrática universidad del Borrador y las que buscan de verdad la excelencia docente, investigadora y tecnológica, generadora de riqueza y progreso para sus países. El Borrador es ajeno a muchos de los principios que rigen las buenas universidades internacionales, cada vez más alejadas de la universidad autonómica de... pongamos Cantacucos de Abajo, para no señalar. Sí: hay excelentes universidades públicas en las que inspirarse, como Berkeley, the city of learning, que pertenece a la magnífica red californiana de universidades públicas y tiene 21 premios Nobel. Allí, el Borrador que nos ocupa produciría incredulidad y, después, un asombro sin límites. </w:t>
      </w:r>
      <w:r w:rsidRPr="005736CE">
        <w:rPr>
          <w:rFonts w:ascii="Times New Roman" w:hAnsi="Times New Roman"/>
          <w:sz w:val="24"/>
          <w:szCs w:val="24"/>
          <w:u w:val="single"/>
        </w:rPr>
        <w:t xml:space="preserve">Pues el Borrador penalizará aún más la excelencia universitaria y, en especial, a los jóvenes PDI que más se esfuerzan. Ya no será posible -de hecho, no lo es desde la puesta en marcha del nefasto baremo de las acreditaciones para los cuerpos universitarios- que jóvenes brillantes puedan ser catedráticos con 40 años: tendrán que esperar y dedicarse también a la burocracia institucional que, según </w:t>
      </w:r>
      <w:r>
        <w:rPr>
          <w:rFonts w:ascii="Times New Roman" w:hAnsi="Times New Roman"/>
          <w:sz w:val="24"/>
          <w:szCs w:val="24"/>
          <w:u w:val="single"/>
        </w:rPr>
        <w:t>el Borrador, “</w:t>
      </w:r>
      <w:r w:rsidRPr="005736CE">
        <w:rPr>
          <w:rFonts w:ascii="Times New Roman" w:hAnsi="Times New Roman"/>
          <w:sz w:val="24"/>
          <w:szCs w:val="24"/>
          <w:u w:val="single"/>
        </w:rPr>
        <w:t>debe tener en cu</w:t>
      </w:r>
      <w:r>
        <w:rPr>
          <w:rFonts w:ascii="Times New Roman" w:hAnsi="Times New Roman"/>
          <w:sz w:val="24"/>
          <w:szCs w:val="24"/>
          <w:u w:val="single"/>
        </w:rPr>
        <w:t>enta las actividades sindicales”</w:t>
      </w:r>
      <w:r w:rsidRPr="005736CE">
        <w:rPr>
          <w:rFonts w:ascii="Times New Roman" w:hAnsi="Times New Roman"/>
          <w:sz w:val="24"/>
          <w:szCs w:val="24"/>
          <w:u w:val="single"/>
        </w:rPr>
        <w:t xml:space="preserve"> (sic). Mejor, pues, ponerse en cola y calentar la silla que irse de post-doc a Estados Unidos, el Reino Unido o Alemania, que eso de irse al extranjero no es tan cómodo ni tan glamuroso como se cree. El esfuerzo y el mérito han muerto; viva la burocracia. Kafka ha llegado a nuestras universidades.</w:t>
      </w:r>
    </w:p>
    <w:p w:rsidR="00E02187" w:rsidRPr="00CF535B" w:rsidRDefault="00E02187" w:rsidP="00E02187">
      <w:pPr>
        <w:jc w:val="both"/>
        <w:rPr>
          <w:rFonts w:ascii="Times New Roman" w:hAnsi="Times New Roman"/>
          <w:sz w:val="24"/>
          <w:szCs w:val="24"/>
        </w:rPr>
      </w:pPr>
      <w:r w:rsidRPr="005736CE">
        <w:rPr>
          <w:rFonts w:ascii="Times New Roman" w:hAnsi="Times New Roman"/>
          <w:sz w:val="24"/>
          <w:szCs w:val="24"/>
          <w:u w:val="single"/>
        </w:rPr>
        <w:t>La Universidad española perdió, a la llegada de la democracia, una gran oportunidad para intentar parecerse a las mejores universidades europeas y de Estados Unidos. Su oscilación pendular fue, quizá, la inevitable consecuencia de muchos años de dictadura. Sin embargo, pese a que en pleno siglo XXI esa excusa carece ya de toda validez, aún se sigue en la misma línea. Estamos presenciando la toma final del poder por los burócratas gracias a entornos -como el que crearía el Borrador- que favorecen el triunfo de su especie (Darwin, otra vez) a expensas de la institucionalmente más débil, la de los PDI con verdadera vocación docente e investigadora</w:t>
      </w:r>
      <w:r w:rsidRPr="00CF535B">
        <w:rPr>
          <w:rFonts w:ascii="Times New Roman" w:hAnsi="Times New Roman"/>
          <w:sz w:val="24"/>
          <w:szCs w:val="24"/>
        </w:rPr>
        <w:t>. Es cierto que, en ocasiones, estos reciben apoyo; pero este suele proceder de programas y reductos (en el Ministerio de Ciencia e Innovación, por ejemplo) donde la calidad cuenta -mejor dich</w:t>
      </w:r>
      <w:r>
        <w:rPr>
          <w:rFonts w:ascii="Times New Roman" w:hAnsi="Times New Roman"/>
          <w:sz w:val="24"/>
          <w:szCs w:val="24"/>
        </w:rPr>
        <w:t>o, tiene necesariamente que con</w:t>
      </w:r>
      <w:r w:rsidRPr="00CF535B">
        <w:rPr>
          <w:rFonts w:ascii="Times New Roman" w:hAnsi="Times New Roman"/>
          <w:sz w:val="24"/>
          <w:szCs w:val="24"/>
        </w:rPr>
        <w:t>tar- o de la UE; no, desde luego, de los despachos de donde emana el Borrador ministerial, ni de la Agencia Nacional de Evaluación de la Calidad</w:t>
      </w:r>
      <w:r>
        <w:rPr>
          <w:rFonts w:ascii="Times New Roman" w:hAnsi="Times New Roman"/>
          <w:sz w:val="24"/>
          <w:szCs w:val="24"/>
        </w:rPr>
        <w:t xml:space="preserve"> y Acreditación, ni de ninguna “mesa negociadora”</w:t>
      </w:r>
      <w:r w:rsidRPr="00CF535B">
        <w:rPr>
          <w:rFonts w:ascii="Times New Roman" w:hAnsi="Times New Roman"/>
          <w:sz w:val="24"/>
          <w:szCs w:val="24"/>
        </w:rPr>
        <w:t xml:space="preserve"> o</w:t>
      </w:r>
      <w:r>
        <w:rPr>
          <w:rFonts w:ascii="Times New Roman" w:hAnsi="Times New Roman"/>
          <w:sz w:val="24"/>
          <w:szCs w:val="24"/>
        </w:rPr>
        <w:t xml:space="preserve"> comisión boloñesa de presunta “innovación educativa”</w:t>
      </w:r>
      <w:r w:rsidRPr="00CF535B">
        <w:rPr>
          <w:rFonts w:ascii="Times New Roman" w:hAnsi="Times New Roman"/>
          <w:sz w:val="24"/>
          <w:szCs w:val="24"/>
        </w:rPr>
        <w:t xml:space="preserve">. </w:t>
      </w:r>
      <w:r w:rsidRPr="005736CE">
        <w:rPr>
          <w:rFonts w:ascii="Times New Roman" w:hAnsi="Times New Roman"/>
          <w:sz w:val="24"/>
          <w:szCs w:val="24"/>
          <w:u w:val="single"/>
        </w:rPr>
        <w:t>Y, por cierto, ¿dónde están los rectores universitarios? ¿Carecen de opinión sobre algo que tanto afectará a sus universidades? ¿Acaso son todos miembros de la especie que critico?</w:t>
      </w:r>
      <w:r w:rsidRPr="00CF535B">
        <w:rPr>
          <w:rFonts w:ascii="Times New Roman" w:hAnsi="Times New Roman"/>
          <w:sz w:val="24"/>
          <w:szCs w:val="24"/>
        </w:rPr>
        <w:t xml:space="preserve"> Me consta que no; pero, entonces, </w:t>
      </w:r>
      <w:r w:rsidRPr="005736CE">
        <w:rPr>
          <w:rFonts w:ascii="Times New Roman" w:hAnsi="Times New Roman"/>
          <w:sz w:val="24"/>
          <w:szCs w:val="24"/>
          <w:u w:val="single"/>
        </w:rPr>
        <w:t>¿por qué los rectores no levantan su voz?</w:t>
      </w:r>
      <w:r w:rsidRPr="00CF535B">
        <w:rPr>
          <w:rFonts w:ascii="Times New Roman" w:hAnsi="Times New Roman"/>
          <w:sz w:val="24"/>
          <w:szCs w:val="24"/>
        </w:rPr>
        <w:t xml:space="preserve"> </w:t>
      </w:r>
      <w:r w:rsidRPr="005736CE">
        <w:rPr>
          <w:rFonts w:ascii="Times New Roman" w:hAnsi="Times New Roman"/>
          <w:sz w:val="24"/>
          <w:szCs w:val="24"/>
          <w:u w:val="single"/>
        </w:rPr>
        <w:t xml:space="preserve">Cabe legítimamente preguntarse si habrán sufrido una curiosa metamorfosis: originalmente tribunos de la plebe (son elegidos por los miembros de sus universidades) quizá se hayan transformado, por su cercanía al poder </w:t>
      </w:r>
      <w:r w:rsidRPr="005736CE">
        <w:rPr>
          <w:rFonts w:ascii="Times New Roman" w:hAnsi="Times New Roman"/>
          <w:sz w:val="24"/>
          <w:szCs w:val="24"/>
          <w:u w:val="single"/>
        </w:rPr>
        <w:lastRenderedPageBreak/>
        <w:t>gubernamental, en centuriones del César, correas de transmisión de los borradores ministeriales (hablo metafóricamente, claro está, just to make the point)</w:t>
      </w:r>
      <w:r w:rsidRPr="00CF535B">
        <w:rPr>
          <w:rFonts w:ascii="Times New Roman" w:hAnsi="Times New Roman"/>
          <w:sz w:val="24"/>
          <w:szCs w:val="24"/>
        </w:rPr>
        <w:t xml:space="preserve">. </w:t>
      </w:r>
      <w:r w:rsidRPr="005736CE">
        <w:rPr>
          <w:rFonts w:ascii="Times New Roman" w:hAnsi="Times New Roman"/>
          <w:sz w:val="24"/>
          <w:szCs w:val="24"/>
          <w:u w:val="single"/>
        </w:rPr>
        <w:t>Al fin y al cabo, también consintieron vacuidades boloñesas varias, o a desarrollar el postgrado antes que el grado ajenos a toda racionalidad</w:t>
      </w:r>
      <w:r w:rsidRPr="00CF535B">
        <w:rPr>
          <w:rFonts w:ascii="Times New Roman" w:hAnsi="Times New Roman"/>
          <w:sz w:val="24"/>
          <w:szCs w:val="24"/>
        </w:rPr>
        <w:t>. Por cierto, ¡qué excusa esta, los planes de Bolonia, para el triunfo de la langue de bois, que pretende convencernos de que el empera</w:t>
      </w:r>
      <w:r>
        <w:rPr>
          <w:rFonts w:ascii="Times New Roman" w:hAnsi="Times New Roman"/>
          <w:sz w:val="24"/>
          <w:szCs w:val="24"/>
        </w:rPr>
        <w:t>dor está ricamente cubierto de “habilidades transversales”, “estrategias”, “competencias”</w:t>
      </w:r>
      <w:r w:rsidRPr="00CF535B">
        <w:rPr>
          <w:rFonts w:ascii="Times New Roman" w:hAnsi="Times New Roman"/>
          <w:sz w:val="24"/>
          <w:szCs w:val="24"/>
        </w:rPr>
        <w:t xml:space="preserve"> y otras lindezas del mismo jaez!</w:t>
      </w:r>
    </w:p>
    <w:p w:rsidR="00E02187" w:rsidRPr="005736CE" w:rsidRDefault="00E02187" w:rsidP="00E02187">
      <w:pPr>
        <w:jc w:val="both"/>
        <w:rPr>
          <w:rFonts w:ascii="Times New Roman" w:hAnsi="Times New Roman"/>
          <w:sz w:val="24"/>
          <w:szCs w:val="24"/>
          <w:u w:val="single"/>
        </w:rPr>
      </w:pPr>
      <w:r w:rsidRPr="005736CE">
        <w:rPr>
          <w:rFonts w:ascii="Times New Roman" w:hAnsi="Times New Roman"/>
          <w:sz w:val="24"/>
          <w:szCs w:val="24"/>
          <w:u w:val="single"/>
        </w:rPr>
        <w:t>Cuando la actividad sindical puntúe finalmente para ser catedrático de metafísica o de química orgánica (triunfo este de los sindicatos que -quién lo diría- aseguran defender la enseñanza pública de calidad</w:t>
      </w:r>
      <w:r>
        <w:rPr>
          <w:rFonts w:ascii="Times New Roman" w:hAnsi="Times New Roman"/>
          <w:sz w:val="24"/>
          <w:szCs w:val="24"/>
          <w:u w:val="single"/>
        </w:rPr>
        <w:t>); cuando domine la pretendida “innovación educativa”; cuando todo profesor “</w:t>
      </w:r>
      <w:r w:rsidRPr="005736CE">
        <w:rPr>
          <w:rFonts w:ascii="Times New Roman" w:hAnsi="Times New Roman"/>
          <w:sz w:val="24"/>
          <w:szCs w:val="24"/>
          <w:u w:val="single"/>
        </w:rPr>
        <w:t>piense metacogn</w:t>
      </w:r>
      <w:r>
        <w:rPr>
          <w:rFonts w:ascii="Times New Roman" w:hAnsi="Times New Roman"/>
          <w:sz w:val="24"/>
          <w:szCs w:val="24"/>
          <w:u w:val="single"/>
        </w:rPr>
        <w:t>itivamente” (sic) para “mejorar”</w:t>
      </w:r>
      <w:r w:rsidRPr="005736CE">
        <w:rPr>
          <w:rFonts w:ascii="Times New Roman" w:hAnsi="Times New Roman"/>
          <w:sz w:val="24"/>
          <w:szCs w:val="24"/>
          <w:u w:val="single"/>
        </w:rPr>
        <w:t xml:space="preserve"> sus clases; y cuando, final</w:t>
      </w:r>
      <w:r>
        <w:rPr>
          <w:rFonts w:ascii="Times New Roman" w:hAnsi="Times New Roman"/>
          <w:sz w:val="24"/>
          <w:szCs w:val="24"/>
          <w:u w:val="single"/>
        </w:rPr>
        <w:t>mente, la hiperburocracia y el “carnet por puntos”</w:t>
      </w:r>
      <w:r w:rsidRPr="005736CE">
        <w:rPr>
          <w:rFonts w:ascii="Times New Roman" w:hAnsi="Times New Roman"/>
          <w:sz w:val="24"/>
          <w:szCs w:val="24"/>
          <w:u w:val="single"/>
        </w:rPr>
        <w:t xml:space="preserve"> (horizontales) del profesor universitario reinen indiscutidos, la universidad española habrá sufrido un daño tan grande como difícil de reparar, especialmente desde dentro. Pues el problema de nuestras universidades no es solo presupuestario: la insuficiente inversión no puede servir de coartada -como sirve- para ocultar carencias más fundamentales. El verdadero motor del progreso es la búsqueda de la calidad, vinculada al esfuerzo y al mérito, eje de toda verdadera política universitaria. Quizá se objete que, pese a todo, las universidades españolas han mejorado muchísimo en los últimos 30 años. Cierto. Pero legisladores y autoridades académicas han tenido poco que ver en ello; su progreso hubiera sido mucho mayor en otro entorno. Su avance se ha debido, primero, a la sociedad que paga sus impuestos y, después, al PDI que lo es de verdad.</w:t>
      </w:r>
    </w:p>
    <w:p w:rsidR="00E02187" w:rsidRPr="00CF535B" w:rsidRDefault="00E02187" w:rsidP="00E02187">
      <w:pPr>
        <w:jc w:val="both"/>
        <w:rPr>
          <w:rFonts w:ascii="Times New Roman" w:hAnsi="Times New Roman"/>
          <w:sz w:val="24"/>
          <w:szCs w:val="24"/>
          <w:lang w:val="en-US"/>
        </w:rPr>
      </w:pPr>
      <w:r w:rsidRPr="00CF535B">
        <w:rPr>
          <w:rFonts w:ascii="Times New Roman" w:hAnsi="Times New Roman"/>
          <w:sz w:val="24"/>
          <w:szCs w:val="24"/>
        </w:rPr>
        <w:t xml:space="preserve">Que no cunda el desánimo; quizá algunos rectores alcen su voz y/o el Ministerio retire el Borrador. Y siempre quedará el himno de los sesenta que popularizó Joan Baez: We shall overcome, we are not afraid. </w:t>
      </w:r>
      <w:r w:rsidRPr="00CF535B">
        <w:rPr>
          <w:rFonts w:ascii="Times New Roman" w:hAnsi="Times New Roman"/>
          <w:sz w:val="24"/>
          <w:szCs w:val="24"/>
          <w:lang w:val="en-US"/>
        </w:rPr>
        <w:t>Oh, deep in my heart, I do believe, we shall overcome some day.</w:t>
      </w:r>
    </w:p>
    <w:p w:rsidR="00E02187" w:rsidRDefault="00E02187" w:rsidP="00E02187">
      <w:pPr>
        <w:jc w:val="both"/>
        <w:rPr>
          <w:rFonts w:ascii="Times New Roman" w:hAnsi="Times New Roman"/>
          <w:sz w:val="24"/>
          <w:szCs w:val="24"/>
        </w:rPr>
      </w:pPr>
      <w:r w:rsidRPr="00757F54">
        <w:rPr>
          <w:rFonts w:ascii="Times New Roman" w:hAnsi="Times New Roman"/>
          <w:sz w:val="24"/>
          <w:szCs w:val="24"/>
        </w:rPr>
        <w:t>(</w:t>
      </w:r>
      <w:r w:rsidRPr="00CF535B">
        <w:rPr>
          <w:rFonts w:ascii="Times New Roman" w:hAnsi="Times New Roman"/>
          <w:sz w:val="24"/>
          <w:szCs w:val="24"/>
        </w:rPr>
        <w:t>José Adolfo de Azcárraga e</w:t>
      </w:r>
      <w:r>
        <w:rPr>
          <w:rFonts w:ascii="Times New Roman" w:hAnsi="Times New Roman"/>
          <w:sz w:val="24"/>
          <w:szCs w:val="24"/>
        </w:rPr>
        <w:t>s catedrático de Física Teórica)</w:t>
      </w:r>
    </w:p>
    <w:p w:rsidR="00E02187" w:rsidRPr="00EE7062" w:rsidRDefault="00E02187" w:rsidP="00E02187">
      <w:pPr>
        <w:jc w:val="both"/>
        <w:rPr>
          <w:rFonts w:ascii="Times New Roman" w:hAnsi="Times New Roman"/>
          <w:sz w:val="24"/>
          <w:szCs w:val="24"/>
        </w:rPr>
      </w:pPr>
      <w:r>
        <w:rPr>
          <w:rFonts w:ascii="Times New Roman" w:hAnsi="Times New Roman"/>
          <w:sz w:val="24"/>
          <w:szCs w:val="24"/>
        </w:rPr>
        <w:t xml:space="preserve">- </w:t>
      </w:r>
      <w:r w:rsidRPr="00EE7062">
        <w:rPr>
          <w:rFonts w:ascii="Times New Roman" w:hAnsi="Times New Roman"/>
          <w:sz w:val="24"/>
          <w:szCs w:val="24"/>
          <w:u w:val="single"/>
        </w:rPr>
        <w:t>Investigar es llorar… en España</w:t>
      </w:r>
      <w:r>
        <w:rPr>
          <w:rFonts w:ascii="Times New Roman" w:hAnsi="Times New Roman"/>
          <w:sz w:val="24"/>
          <w:szCs w:val="24"/>
        </w:rPr>
        <w:t xml:space="preserve"> (Gaceta.es - </w:t>
      </w:r>
      <w:r w:rsidRPr="00EE7062">
        <w:rPr>
          <w:rFonts w:ascii="Times New Roman" w:hAnsi="Times New Roman"/>
          <w:b/>
          <w:sz w:val="24"/>
          <w:szCs w:val="24"/>
        </w:rPr>
        <w:t>4/3/11</w:t>
      </w:r>
      <w:r>
        <w:rPr>
          <w:rFonts w:ascii="Times New Roman" w:hAnsi="Times New Roman"/>
          <w:sz w:val="24"/>
          <w:szCs w:val="24"/>
        </w:rPr>
        <w:t>)                    Lectura recomendada</w:t>
      </w:r>
    </w:p>
    <w:p w:rsidR="00E02187" w:rsidRPr="00EE7062" w:rsidRDefault="00E02187" w:rsidP="00E02187">
      <w:pPr>
        <w:jc w:val="both"/>
        <w:rPr>
          <w:rFonts w:ascii="Times New Roman" w:hAnsi="Times New Roman"/>
          <w:sz w:val="24"/>
          <w:szCs w:val="24"/>
        </w:rPr>
      </w:pPr>
      <w:r>
        <w:rPr>
          <w:rFonts w:ascii="Times New Roman" w:hAnsi="Times New Roman"/>
          <w:sz w:val="24"/>
          <w:szCs w:val="24"/>
        </w:rPr>
        <w:t xml:space="preserve">(Por </w:t>
      </w:r>
      <w:r w:rsidRPr="00EE7062">
        <w:rPr>
          <w:rFonts w:ascii="Times New Roman" w:hAnsi="Times New Roman"/>
          <w:sz w:val="24"/>
          <w:szCs w:val="24"/>
        </w:rPr>
        <w:t>Nicolás Jouve</w:t>
      </w:r>
      <w:r>
        <w:rPr>
          <w:rFonts w:ascii="Times New Roman" w:hAnsi="Times New Roman"/>
          <w:sz w:val="24"/>
          <w:szCs w:val="24"/>
        </w:rPr>
        <w:t>)</w:t>
      </w:r>
    </w:p>
    <w:p w:rsidR="00E02187" w:rsidRPr="00EE7062" w:rsidRDefault="00E02187" w:rsidP="00E02187">
      <w:pPr>
        <w:jc w:val="both"/>
        <w:rPr>
          <w:rFonts w:ascii="Times New Roman" w:hAnsi="Times New Roman"/>
          <w:sz w:val="24"/>
          <w:szCs w:val="24"/>
        </w:rPr>
      </w:pPr>
      <w:r w:rsidRPr="00AD6EFB">
        <w:rPr>
          <w:rFonts w:ascii="Times New Roman" w:hAnsi="Times New Roman"/>
          <w:sz w:val="24"/>
          <w:szCs w:val="24"/>
          <w:u w:val="single"/>
        </w:rPr>
        <w:t>Decía José Ortega y Gasset que la Universidad tiene por misión “formar a profesionales con capacidad de influir en la sociedad según la altura de los tiempos”. Lo cierto es que una sociedad moderna y dinámica, que se precie de estar a la altura de los tiempos, necesita profesionales que generen conocimiento por medio de la investigación</w:t>
      </w:r>
      <w:r w:rsidRPr="00EE7062">
        <w:rPr>
          <w:rFonts w:ascii="Times New Roman" w:hAnsi="Times New Roman"/>
          <w:sz w:val="24"/>
          <w:szCs w:val="24"/>
        </w:rPr>
        <w:t xml:space="preserve">. De hecho, España, desde la implantación de la Ley de Reforma Universitaria (LRU) de 1983, se incorporó de forma decidida a la formación de profesionales e investigadores y al fomento de actividades científico-técnicas para incrementar el bienestar social y trasladar al tejido industrial y económico sistemas y tecnologías innovadoras que elevaran la </w:t>
      </w:r>
      <w:r>
        <w:rPr>
          <w:rFonts w:ascii="Times New Roman" w:hAnsi="Times New Roman"/>
          <w:sz w:val="24"/>
          <w:szCs w:val="24"/>
        </w:rPr>
        <w:t>competitividad de las empresas.</w:t>
      </w:r>
    </w:p>
    <w:p w:rsidR="00E02187" w:rsidRPr="00AD6EFB" w:rsidRDefault="00E02187" w:rsidP="00E02187">
      <w:pPr>
        <w:jc w:val="both"/>
        <w:rPr>
          <w:rFonts w:ascii="Times New Roman" w:hAnsi="Times New Roman"/>
          <w:sz w:val="24"/>
          <w:szCs w:val="24"/>
          <w:u w:val="single"/>
        </w:rPr>
      </w:pPr>
      <w:r w:rsidRPr="00AD6EFB">
        <w:rPr>
          <w:rFonts w:ascii="Times New Roman" w:hAnsi="Times New Roman"/>
          <w:sz w:val="24"/>
          <w:szCs w:val="24"/>
          <w:u w:val="single"/>
        </w:rPr>
        <w:lastRenderedPageBreak/>
        <w:t>Tras más de 25 años de aquella acertada decisión el esfuerzo formativo personal ha sido enorme, pero, ¿está siendo aprovechado de forma satisfactoria? En lo que a la investigación se refiere hay dos factores indispensables: ideas e inversión económica, y hoy constatamos que en las dos últimas décadas se ha producido un extraordinario incremento de la presencia de la ciencia española en la revistas de mayor índice de impacto del mundo, hasta colocarnos en la novena posición en términos de producción científica. Este resultado se debe en parte al incremento paulatino de los fondos públicos destinados a I+D (investigación y desarrollo), que partieron de un escaso 0,76% del PIB en 1996 y llegaron al 1,3% en 2007, lejos aún de las inversiones de los países de mayor desarrollo económico. Sin embargo, en España el esfuerzo económico en investigación es todavía insuficiente y adolece de la baja participación en I+D+i del sector privado, probablemente por la mentalidad cortoplacista de nuestras empresas, que no parecen dispuestas a esperar un periodo de varios años para obtener los beneficios derivados de sus inversiones.</w:t>
      </w:r>
    </w:p>
    <w:p w:rsidR="00E02187" w:rsidRPr="00AD6EFB" w:rsidRDefault="00E02187" w:rsidP="00E02187">
      <w:pPr>
        <w:jc w:val="both"/>
        <w:rPr>
          <w:rFonts w:ascii="Times New Roman" w:hAnsi="Times New Roman"/>
          <w:sz w:val="24"/>
          <w:szCs w:val="24"/>
          <w:u w:val="single"/>
        </w:rPr>
      </w:pPr>
      <w:r w:rsidRPr="00AD6EFB">
        <w:rPr>
          <w:rFonts w:ascii="Times New Roman" w:hAnsi="Times New Roman"/>
          <w:sz w:val="24"/>
          <w:szCs w:val="24"/>
          <w:u w:val="single"/>
        </w:rPr>
        <w:t>Lo cierto es que si no hay inversión económica será difícil mantener una buena posición en el ranking internacional de la ciencia y favorecer la marcha social y económica del país. A este respecto, mi maestro, el profesor Enrique Sánchez-Monge, primer catedrático de Genética de España, repetía una conocida frase de su abuelo, el gran escritor Melitón González: “No se puede tocar Parsifal con cuatro pitos”</w:t>
      </w:r>
      <w:r w:rsidRPr="00EE7062">
        <w:rPr>
          <w:rFonts w:ascii="Times New Roman" w:hAnsi="Times New Roman"/>
          <w:sz w:val="24"/>
          <w:szCs w:val="24"/>
        </w:rPr>
        <w:t xml:space="preserve">. Un síntoma grave de esto es la falta de perspectivas de empleo de muchos jóvenes investigadores, en los que se ha hecho una importante inversión con programas muy exigentes de formación, y que ahora parecen no contar en los planes de incorporación al sistema científico español. </w:t>
      </w:r>
      <w:r w:rsidRPr="00AD6EFB">
        <w:rPr>
          <w:rFonts w:ascii="Times New Roman" w:hAnsi="Times New Roman"/>
          <w:sz w:val="24"/>
          <w:szCs w:val="24"/>
          <w:u w:val="single"/>
        </w:rPr>
        <w:t>Hace unos años se estableció un programa denominado Ramón y Cajal, mediante el que se trataba de incorporar a nuestros centros de investigación unos 250 investigadores al año, formados en centros de prestigio internacional. Muchos de estos habían vuelto a España bajo la promesa de estabilizar su situación en las universidades y organismos de investigación, incluso a costa de dejar puestos de plantilla como investigadores en el extranjero.</w:t>
      </w:r>
    </w:p>
    <w:p w:rsidR="00E02187" w:rsidRPr="00AD6EFB" w:rsidRDefault="00E02187" w:rsidP="00E02187">
      <w:pPr>
        <w:jc w:val="both"/>
        <w:rPr>
          <w:rFonts w:ascii="Times New Roman" w:hAnsi="Times New Roman"/>
          <w:sz w:val="24"/>
          <w:szCs w:val="24"/>
          <w:u w:val="single"/>
        </w:rPr>
      </w:pPr>
      <w:r w:rsidRPr="00AD6EFB">
        <w:rPr>
          <w:rFonts w:ascii="Times New Roman" w:hAnsi="Times New Roman"/>
          <w:sz w:val="24"/>
          <w:szCs w:val="24"/>
          <w:u w:val="single"/>
        </w:rPr>
        <w:t>El horizonte se ha agravado por la crisis económica y representa una marcha atrás en la lenta pero efectiva evolución del panorama científico español de las últimas décadas.</w:t>
      </w:r>
    </w:p>
    <w:p w:rsidR="00E02187" w:rsidRPr="00AD6EFB" w:rsidRDefault="00E02187" w:rsidP="00E02187">
      <w:pPr>
        <w:jc w:val="both"/>
        <w:rPr>
          <w:rFonts w:ascii="Times New Roman" w:hAnsi="Times New Roman"/>
          <w:sz w:val="24"/>
          <w:szCs w:val="24"/>
          <w:u w:val="single"/>
        </w:rPr>
      </w:pPr>
      <w:r w:rsidRPr="00AD6EFB">
        <w:rPr>
          <w:rFonts w:ascii="Times New Roman" w:hAnsi="Times New Roman"/>
          <w:sz w:val="24"/>
          <w:szCs w:val="24"/>
          <w:u w:val="single"/>
        </w:rPr>
        <w:t>Este es el motivo por el que se ha constituido una plataforma denominada Investigación Digna, suscrita por más de 2.500 investigadores de más de un centenar y medio de instituciones, organismos de investigación y universidades. En el documento dirigido al Gobierno y a los miembros de la Comisión de Ciencia y Tecnología del Congreso, donde lentamente se debate un proyecto de Ley de la Ciencia, la Tecnología y la Innovación, se describe la alarmante situación a la que se ha llegado en los últimos años en España, con un recorte medio de un 16%, que representa cerca de un 30% de reducción presupuestaria al año en los Organismos Públicos de Investigación. En el mismo se señalan las escasas perspectivas de mejora a corto plazo.</w:t>
      </w:r>
    </w:p>
    <w:p w:rsidR="00E02187" w:rsidRPr="00AD6EFB" w:rsidRDefault="00E02187" w:rsidP="00E02187">
      <w:pPr>
        <w:jc w:val="both"/>
        <w:rPr>
          <w:rFonts w:ascii="Times New Roman" w:hAnsi="Times New Roman"/>
          <w:sz w:val="24"/>
          <w:szCs w:val="24"/>
          <w:u w:val="single"/>
        </w:rPr>
      </w:pPr>
      <w:r w:rsidRPr="00AD6EFB">
        <w:rPr>
          <w:rFonts w:ascii="Times New Roman" w:hAnsi="Times New Roman"/>
          <w:sz w:val="24"/>
          <w:szCs w:val="24"/>
          <w:u w:val="single"/>
        </w:rPr>
        <w:t xml:space="preserve">Al mismo tiempo, en un informe elaborado por la Cosce (Confederación de Sociedades Científicas de España), se denuncia la gravedad de la situación de la financiación de la </w:t>
      </w:r>
      <w:r w:rsidRPr="00AD6EFB">
        <w:rPr>
          <w:rFonts w:ascii="Times New Roman" w:hAnsi="Times New Roman"/>
          <w:sz w:val="24"/>
          <w:szCs w:val="24"/>
          <w:u w:val="single"/>
        </w:rPr>
        <w:lastRenderedPageBreak/>
        <w:t>ciencia en España, estancada desde 2007. La citada confederación, que engloba a más de 70 sociedades científicas y a unos 30.000 científicos españoles, concluye en su extenso informe que los presupuestos de inversión en I+D+i han sufrido un descenso del 10% en términos constantes, lo que representa un retroceso de varios años. En el informe se significa que paradójicamente en el año 2009 se quedó sin invertir un 25% de los presupuestos del Estado asignados al Ministerio de Ciencia e Innovación, lo que resulta muy sorprendente dada la situación.</w:t>
      </w:r>
    </w:p>
    <w:p w:rsidR="00E02187" w:rsidRPr="00EE7062" w:rsidRDefault="00E02187" w:rsidP="00E02187">
      <w:pPr>
        <w:jc w:val="both"/>
        <w:rPr>
          <w:rFonts w:ascii="Times New Roman" w:hAnsi="Times New Roman"/>
          <w:sz w:val="24"/>
          <w:szCs w:val="24"/>
        </w:rPr>
      </w:pPr>
      <w:r w:rsidRPr="00EE7062">
        <w:rPr>
          <w:rFonts w:ascii="Times New Roman" w:hAnsi="Times New Roman"/>
          <w:sz w:val="24"/>
          <w:szCs w:val="24"/>
        </w:rPr>
        <w:t>Por todo ello urge la creación de una Agencia Estatal de Investigación que, aun estando prevista en la Nueva Ley de la Ciencia, sigue un t</w:t>
      </w:r>
      <w:r>
        <w:rPr>
          <w:rFonts w:ascii="Times New Roman" w:hAnsi="Times New Roman"/>
          <w:sz w:val="24"/>
          <w:szCs w:val="24"/>
        </w:rPr>
        <w:t>rámite parlamentario muy lento.</w:t>
      </w:r>
    </w:p>
    <w:p w:rsidR="00E02187" w:rsidRPr="00EE7062" w:rsidRDefault="00E02187" w:rsidP="00E02187">
      <w:pPr>
        <w:jc w:val="both"/>
        <w:rPr>
          <w:rFonts w:ascii="Times New Roman" w:hAnsi="Times New Roman"/>
          <w:sz w:val="24"/>
          <w:szCs w:val="24"/>
        </w:rPr>
      </w:pPr>
      <w:r w:rsidRPr="00EE7062">
        <w:rPr>
          <w:rFonts w:ascii="Times New Roman" w:hAnsi="Times New Roman"/>
          <w:sz w:val="24"/>
          <w:szCs w:val="24"/>
        </w:rPr>
        <w:t>Hay que insistir en la necesidad de volver al buen camino y atender a la incorporación de investigadores bien formados, y aumentar el presupuesto destinado a I+D si queremos mejorar el panorama científico español y colocarnos a la altura de los tiempos. La pérdida de cerebros y la retracción presupuestaria puede suponer una parada y un retroceso de años en nuestro posicionamiento en el contexto mundial de investigación.</w:t>
      </w:r>
    </w:p>
    <w:p w:rsidR="00E02187" w:rsidRPr="00EE7062" w:rsidRDefault="00E02187" w:rsidP="00E02187">
      <w:pPr>
        <w:jc w:val="both"/>
        <w:rPr>
          <w:rFonts w:ascii="Times New Roman" w:hAnsi="Times New Roman"/>
          <w:sz w:val="24"/>
          <w:szCs w:val="24"/>
        </w:rPr>
      </w:pPr>
      <w:r w:rsidRPr="00EE7062">
        <w:rPr>
          <w:rFonts w:ascii="Times New Roman" w:hAnsi="Times New Roman"/>
          <w:sz w:val="24"/>
          <w:szCs w:val="24"/>
        </w:rPr>
        <w:t>Finalmente, habría que invitar a nuestros gobernantes a seguir el ejemplo de países como Alemania, que con una mayor inversión en I+D han remontado la tendencia y están saliendo de la misma crisis que tantas veces nos recuerda</w:t>
      </w:r>
      <w:r>
        <w:rPr>
          <w:rFonts w:ascii="Times New Roman" w:hAnsi="Times New Roman"/>
          <w:sz w:val="24"/>
          <w:szCs w:val="24"/>
        </w:rPr>
        <w:t>n tiene carácter internacional.</w:t>
      </w:r>
    </w:p>
    <w:p w:rsidR="00E02187" w:rsidRDefault="00E02187" w:rsidP="00E02187">
      <w:pPr>
        <w:jc w:val="both"/>
        <w:rPr>
          <w:rFonts w:ascii="Times New Roman" w:hAnsi="Times New Roman"/>
          <w:sz w:val="24"/>
          <w:szCs w:val="24"/>
        </w:rPr>
      </w:pPr>
      <w:r>
        <w:rPr>
          <w:rFonts w:ascii="Times New Roman" w:hAnsi="Times New Roman"/>
          <w:sz w:val="24"/>
          <w:szCs w:val="24"/>
        </w:rPr>
        <w:t>(</w:t>
      </w:r>
      <w:r w:rsidRPr="00EE7062">
        <w:rPr>
          <w:rFonts w:ascii="Times New Roman" w:hAnsi="Times New Roman"/>
          <w:sz w:val="24"/>
          <w:szCs w:val="24"/>
        </w:rPr>
        <w:t>* Nicolás Jouve es catedrático de Genét</w:t>
      </w:r>
      <w:r>
        <w:rPr>
          <w:rFonts w:ascii="Times New Roman" w:hAnsi="Times New Roman"/>
          <w:sz w:val="24"/>
          <w:szCs w:val="24"/>
        </w:rPr>
        <w:t>ica en la Universidad de Alcalá)</w:t>
      </w:r>
    </w:p>
    <w:p w:rsidR="00E02187" w:rsidRPr="00922AE4" w:rsidRDefault="00E02187" w:rsidP="00E02187">
      <w:pPr>
        <w:jc w:val="both"/>
        <w:rPr>
          <w:rFonts w:ascii="Times New Roman" w:hAnsi="Times New Roman"/>
          <w:sz w:val="24"/>
          <w:szCs w:val="24"/>
          <w:u w:val="single"/>
        </w:rPr>
      </w:pPr>
      <w:r w:rsidRPr="00922AE4">
        <w:rPr>
          <w:rFonts w:ascii="Times New Roman" w:hAnsi="Times New Roman"/>
          <w:sz w:val="24"/>
          <w:szCs w:val="24"/>
          <w:u w:val="single"/>
        </w:rPr>
        <w:t xml:space="preserve">Cuando el nivel educativo es </w:t>
      </w:r>
      <w:r>
        <w:rPr>
          <w:rFonts w:ascii="Times New Roman" w:hAnsi="Times New Roman"/>
          <w:sz w:val="24"/>
          <w:szCs w:val="24"/>
          <w:u w:val="single"/>
        </w:rPr>
        <w:t>clave</w:t>
      </w:r>
      <w:r w:rsidRPr="00922AE4">
        <w:rPr>
          <w:rFonts w:ascii="Times New Roman" w:hAnsi="Times New Roman"/>
          <w:sz w:val="24"/>
          <w:szCs w:val="24"/>
          <w:u w:val="single"/>
        </w:rPr>
        <w:t xml:space="preserve">  para salir de la</w:t>
      </w:r>
      <w:r>
        <w:rPr>
          <w:rFonts w:ascii="Times New Roman" w:hAnsi="Times New Roman"/>
          <w:sz w:val="24"/>
          <w:szCs w:val="24"/>
          <w:u w:val="single"/>
        </w:rPr>
        <w:t xml:space="preserve"> crisis, se acuerdan de Santa Bárbara</w:t>
      </w:r>
    </w:p>
    <w:p w:rsidR="00E02187" w:rsidRDefault="00E02187" w:rsidP="00E02187">
      <w:pPr>
        <w:pStyle w:val="NormalWeb"/>
        <w:jc w:val="both"/>
      </w:pPr>
      <w:r w:rsidRPr="00CA33AD">
        <w:rPr>
          <w:i/>
        </w:rPr>
        <w:t>“Isabel Fernandes, una risueña joven de 22 años con una constelación de estrellas tatuadas alrededor del ojo derecho, no está segura de cuántas veces repitió el quinto grado. Dos, dice riendo. O quizá tres. También repitió el séptimo grado. Dejó la escuela con una educación de octavo grado a los 20 años. Fernandes vive en un barrio pobre cerca del aeropuerto. No trabaja. Los empleadores, dice, “piden un nivel educativo más alto”. Incluso los empleos de limpieza son difíciles de encontrar</w:t>
      </w:r>
      <w:r w:rsidR="00627E17">
        <w:rPr>
          <w:i/>
        </w:rPr>
        <w:t>”</w:t>
      </w:r>
      <w:r w:rsidRPr="00CA33AD">
        <w:rPr>
          <w:i/>
        </w:rPr>
        <w:t>…</w:t>
      </w:r>
      <w:r>
        <w:t xml:space="preserve"> </w:t>
      </w:r>
      <w:r w:rsidRPr="009F471F">
        <w:rPr>
          <w:u w:val="single"/>
        </w:rPr>
        <w:t>En plena crisis, el bajo nivel educativo surge como el talón de Aquiles de Portugal</w:t>
      </w:r>
      <w:r>
        <w:t xml:space="preserve"> (The Wall Street Journal - </w:t>
      </w:r>
      <w:r w:rsidRPr="009F471F">
        <w:rPr>
          <w:b/>
        </w:rPr>
        <w:t>24/3/11</w:t>
      </w:r>
      <w:r>
        <w:t xml:space="preserve">) </w:t>
      </w:r>
    </w:p>
    <w:p w:rsidR="00E02187" w:rsidRPr="005C7D7C" w:rsidRDefault="00E02187" w:rsidP="00E02187">
      <w:pPr>
        <w:pStyle w:val="NormalWeb"/>
        <w:jc w:val="both"/>
      </w:pPr>
      <w:r w:rsidRPr="005C7D7C">
        <w:t>Portugal es el país más pobre de Europa occidental. También es el que tiene un nivel de estudios más bajo y eso ha surgido como una dolorosa desventaja para sus crecientes problemas económicos.</w:t>
      </w:r>
    </w:p>
    <w:p w:rsidR="00E02187" w:rsidRPr="005C7D7C" w:rsidRDefault="00E02187" w:rsidP="00E02187">
      <w:pPr>
        <w:pStyle w:val="NormalWeb"/>
        <w:jc w:val="both"/>
      </w:pPr>
      <w:r w:rsidRPr="005C7D7C">
        <w:t>El estado de la educación en Portugal explica por qué un rescate será probablemente requerido y porqué será costoso y difícil. En otras palabras, Portugal debe demostrar que puede generar suficiente crecimiento económico a largo plazo para pagar sus cuantiosas deudas. Una fuerza laboral poco preparada lo hace difícil.</w:t>
      </w:r>
    </w:p>
    <w:p w:rsidR="00E02187" w:rsidRPr="005C7D7C" w:rsidRDefault="00E02187" w:rsidP="00E02187">
      <w:pPr>
        <w:pStyle w:val="NormalWeb"/>
        <w:jc w:val="both"/>
      </w:pPr>
      <w:r w:rsidRPr="005C7D7C">
        <w:t xml:space="preserve">El trabajo mecánico y barato que en su día sostuvo la industria textil portuguesa se trasladó a Asia. Los países del otrora bloque comunista que se unieron en masa a la </w:t>
      </w:r>
      <w:r w:rsidRPr="005C7D7C">
        <w:lastRenderedPageBreak/>
        <w:t>Unión Europea en 2004 ofrecen una mano de obra más barata y trabajadores con mayor nivel escolar. También se han llevado todos los trabajos especializados.</w:t>
      </w:r>
    </w:p>
    <w:p w:rsidR="00E02187" w:rsidRPr="005C7D7C" w:rsidRDefault="00E02187" w:rsidP="00E02187">
      <w:pPr>
        <w:pStyle w:val="NormalWeb"/>
        <w:jc w:val="both"/>
      </w:pPr>
      <w:r w:rsidRPr="005C7D7C">
        <w:t>Apenas 28% de la población portuguesa entre 25 y 64 años terminó la secundaria. En Alemania, esa cifra sube a 85%, en la República Checa a 91%, y en Estados Unidos a 89%. En comparación, esa tasa es de 33% en México y de 68% en Chile, entre otros países latinoamericanos.</w:t>
      </w:r>
    </w:p>
    <w:p w:rsidR="00E02187" w:rsidRPr="005C7D7C" w:rsidRDefault="00E02187" w:rsidP="00E02187">
      <w:pPr>
        <w:pStyle w:val="NormalWeb"/>
        <w:jc w:val="both"/>
      </w:pPr>
      <w:r w:rsidRPr="005C7D7C">
        <w:t>“No veo cómo puede crecer sin educar a su fuerza laboral”, dice Pedro Carneiro, un economista del University College de Londres que dejó Portugal para hacer sus estudios de posgrado en EEUU.</w:t>
      </w:r>
    </w:p>
    <w:p w:rsidR="00E02187" w:rsidRPr="005C7D7C" w:rsidRDefault="00E02187" w:rsidP="00E02187">
      <w:pPr>
        <w:pStyle w:val="NormalWeb"/>
        <w:jc w:val="both"/>
      </w:pPr>
      <w:r w:rsidRPr="005C7D7C">
        <w:t>El problema de la educación aquí ilustra la magnitud del reto que enfrenta Europa en su intento por enderezar su rumbo. Los recortes rápidos y dolorosos de presupuesto, aplicados en toda la región, son el primer paso.</w:t>
      </w:r>
    </w:p>
    <w:p w:rsidR="00E02187" w:rsidRPr="005C7D7C" w:rsidRDefault="00E02187" w:rsidP="00E02187">
      <w:pPr>
        <w:pStyle w:val="NormalWeb"/>
        <w:jc w:val="both"/>
      </w:pPr>
      <w:r w:rsidRPr="005C7D7C">
        <w:t>Pero el segundo paso es mucho más difícil y se demorará mucho más. Los 17 países unidos por el euro tienen niveles de desempeño económico muy diferentes. A menos que la brecha se reduzca, las presiones que provocan los países más débiles con sus grandes volúmenes de deuda, sin duda volverán a surgir.</w:t>
      </w:r>
    </w:p>
    <w:p w:rsidR="00E02187" w:rsidRPr="005C7D7C" w:rsidRDefault="00E02187" w:rsidP="00E02187">
      <w:pPr>
        <w:pStyle w:val="NormalWeb"/>
        <w:jc w:val="both"/>
      </w:pPr>
      <w:r w:rsidRPr="005C7D7C">
        <w:t>Mejorar la educación en Portugal no es algo que vaya a ocurrir rápidamente. Recortes significativos en el gasto educativo dificultan la tarea. Incluso si hubiera progresos, cosechar los beneficios podría tomar años.</w:t>
      </w:r>
    </w:p>
    <w:p w:rsidR="00E02187" w:rsidRPr="005C7D7C" w:rsidRDefault="00E02187" w:rsidP="00E02187">
      <w:pPr>
        <w:pStyle w:val="NormalWeb"/>
        <w:jc w:val="both"/>
      </w:pPr>
      <w:r w:rsidRPr="005C7D7C">
        <w:t xml:space="preserve">                                           </w:t>
      </w:r>
      <w:r w:rsidRPr="005C7D7C">
        <w:rPr>
          <w:rFonts w:ascii="Arial" w:hAnsi="Arial" w:cs="Arial"/>
          <w:noProof/>
          <w:sz w:val="15"/>
          <w:szCs w:val="15"/>
        </w:rPr>
        <w:drawing>
          <wp:inline distT="0" distB="0" distL="0" distR="0" wp14:anchorId="6A232A88" wp14:editId="62239166">
            <wp:extent cx="2055572" cy="2735663"/>
            <wp:effectExtent l="0" t="0" r="1905" b="7620"/>
            <wp:docPr id="69" name="Imagen 69" descr="[portug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portugal]"/>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055509" cy="2735580"/>
                    </a:xfrm>
                    <a:prstGeom prst="rect">
                      <a:avLst/>
                    </a:prstGeom>
                    <a:noFill/>
                    <a:ln>
                      <a:noFill/>
                    </a:ln>
                  </pic:spPr>
                </pic:pic>
              </a:graphicData>
            </a:graphic>
          </wp:inline>
        </w:drawing>
      </w:r>
    </w:p>
    <w:p w:rsidR="00E02187" w:rsidRPr="005C7D7C" w:rsidRDefault="00E02187" w:rsidP="00E02187">
      <w:pPr>
        <w:pStyle w:val="NormalWeb"/>
        <w:jc w:val="both"/>
      </w:pPr>
      <w:r w:rsidRPr="005C7D7C">
        <w:t>Grecia e Irlanda, los países de Unión Europea que ya han sido rescatados, llegaron al borde del abismo con relativa rapidez: Grecia perdió el control luego de descubrirse que había subestimado la precaria salud fiscal del gobierno; Irlanda se autoinmoló en medio de un caos de especulación inmobiliaria.</w:t>
      </w:r>
    </w:p>
    <w:p w:rsidR="00E02187" w:rsidRPr="005C7D7C" w:rsidRDefault="00E02187" w:rsidP="00E02187">
      <w:pPr>
        <w:pStyle w:val="NormalWeb"/>
        <w:jc w:val="both"/>
      </w:pPr>
      <w:r w:rsidRPr="005C7D7C">
        <w:t xml:space="preserve">En cambio, la crisis de Portugal se ha cocido a fuego lento. Durante una década, su crecimiento estuvo rezagado frente al promedio de la zona euro. Las industrias </w:t>
      </w:r>
      <w:r w:rsidRPr="005C7D7C">
        <w:lastRenderedPageBreak/>
        <w:t>tradicionales como la cosecha de corcho y la zapatería no pudieron impulsar a todo el país. El auge tecnológico de mediados de la década anterior pasó de largo por Portugal.</w:t>
      </w:r>
    </w:p>
    <w:p w:rsidR="00E02187" w:rsidRPr="005C7D7C" w:rsidRDefault="00E02187" w:rsidP="00E02187">
      <w:pPr>
        <w:pStyle w:val="NormalWeb"/>
        <w:jc w:val="both"/>
      </w:pPr>
      <w:r w:rsidRPr="005C7D7C">
        <w:t>Sin embargo, sus habitantes no dejaron de gastar. En los últimos 10 años, la economía, tanto el sector privado como el estatal, ha acumulado un déficit con el resto del mundo de más de 130.000 millones de euros.</w:t>
      </w:r>
    </w:p>
    <w:p w:rsidR="00E02187" w:rsidRPr="005C7D7C" w:rsidRDefault="00E02187" w:rsidP="00E02187">
      <w:pPr>
        <w:pStyle w:val="NormalWeb"/>
        <w:jc w:val="both"/>
      </w:pPr>
      <w:r w:rsidRPr="005C7D7C">
        <w:t>El resultado es una montaña de deuda. Este pasivo soberano, parte del cual es interno, podría ascender a 90% del Producto Interno Bruto en el año 2011. La economía entera debe al extranjero una suma equivalente a más dos años de su producción económica.</w:t>
      </w:r>
    </w:p>
    <w:p w:rsidR="00E02187" w:rsidRPr="005C7D7C" w:rsidRDefault="00E02187" w:rsidP="00E02187">
      <w:pPr>
        <w:pStyle w:val="NormalWeb"/>
        <w:jc w:val="both"/>
      </w:pPr>
      <w:r w:rsidRPr="005C7D7C">
        <w:t>Antes de presentar su renuncia, el primer ministro impulsó unos recortes presupuestarios en el Parlamento bajo presión de otros países de la zona euro. Pero en una entrevista antes de la crisis en la Asamblea, Sócrates dejó claro que la inversión en la educación era una prioridad, a pesar de los costos. Calmar a los mercados es importante, dijo, pero el país no debería “perder la visión y la estrategia”.</w:t>
      </w:r>
    </w:p>
    <w:p w:rsidR="00E02187" w:rsidRPr="005C7D7C" w:rsidRDefault="00E02187" w:rsidP="00E02187">
      <w:pPr>
        <w:pStyle w:val="NormalWeb"/>
        <w:jc w:val="both"/>
      </w:pPr>
      <w:r w:rsidRPr="005C7D7C">
        <w:t>Existe bastante evidencia de que la educación aporta beneficios económicos. Hace una generación, Irlanda era uno de los países más pobres de la Unión Europa, pero invirtió en la educación técnica y se reinventó como un destino para empleos de alta tecnología. El país está hoy, a pesar de una terrible crisis bancaria, entre las naciones más ricas de Europa.</w:t>
      </w:r>
    </w:p>
    <w:p w:rsidR="00E02187" w:rsidRPr="005C7D7C" w:rsidRDefault="00E02187" w:rsidP="00E02187">
      <w:pPr>
        <w:pStyle w:val="NormalWeb"/>
        <w:jc w:val="both"/>
      </w:pPr>
      <w:r w:rsidRPr="005C7D7C">
        <w:t>Eric Hanushek, profesor de la Universidad de Stanford, y otro profesor de la Universidad de Múnich han ligado el crecimiento del PIB con el desempeño de la población en las pruebas estándar de educación. Ambos calculan que la tasa de crecimiento a largo plazo de Portugal podría ser 1,5 puntos porcentuales más alta si tuviera los mismos puntajes que la supereducada Finlandia.</w:t>
      </w:r>
    </w:p>
    <w:p w:rsidR="00E02187" w:rsidRPr="005C7D7C" w:rsidRDefault="00E02187" w:rsidP="00E02187">
      <w:pPr>
        <w:pStyle w:val="NormalWeb"/>
        <w:jc w:val="both"/>
      </w:pPr>
      <w:r w:rsidRPr="005C7D7C">
        <w:t>Portugal recién empezó gradualmente a hacer obligatorios 12 años de escuela. En el año 2011, los portugueses pueden dejar la escuela en el noveno grado y muchos lo hacen. El gobierno dice que se están adelantando reformas. Pero es un largo camino. “Hemos acumulado años y años de gente ignorante”, lamenta Belmiro de Azevedo, un magnate industrial.</w:t>
      </w:r>
    </w:p>
    <w:p w:rsidR="00E02187" w:rsidRPr="005C7D7C" w:rsidRDefault="00E02187" w:rsidP="00E02187">
      <w:pPr>
        <w:pStyle w:val="NormalWeb"/>
        <w:jc w:val="both"/>
      </w:pPr>
      <w:r w:rsidRPr="005C7D7C">
        <w:t>El ejecutivo describe el sistema como calcificado. La administración central ejerce un cerrado control. Los planes de estudio son al mismo tiempo poco exigentes y rígidos. Las tasas de abandono escolar son elevadas. Las escuelas luchan para acomodar el influjo de inmigrantes de las antiguas colonias portuguesas en África, como Cabo Verde y Guinea-Bissau.</w:t>
      </w:r>
    </w:p>
    <w:p w:rsidR="00E02187" w:rsidRPr="005C7D7C" w:rsidRDefault="00E02187" w:rsidP="00E02187">
      <w:pPr>
        <w:pStyle w:val="NormalWeb"/>
        <w:jc w:val="both"/>
      </w:pPr>
      <w:r w:rsidRPr="005C7D7C">
        <w:t>“Si obtiene un título en Portugal, gana casi el doble que aquellos que no lo tienen. Eso es lo que les enseño a mis hijos”, dice Paulo Gonçalves, un agente de ventas de Hewlett-Packard Co.</w:t>
      </w:r>
    </w:p>
    <w:p w:rsidR="00E02187" w:rsidRPr="005C7D7C" w:rsidRDefault="00E02187" w:rsidP="00E02187">
      <w:pPr>
        <w:pStyle w:val="NormalWeb"/>
        <w:jc w:val="both"/>
      </w:pPr>
      <w:r w:rsidRPr="005C7D7C">
        <w:t>Esto es especialmente cierto en un contexto en el que el desempleo supera 11%. “Con la crisis, tenemos que ir a la universidad”, dice Sophie Alves, una estudiante de último año de secundaria que planea estudiar terapia ocupacional. Con sólo un título de secundaria, “no puede hacer nada, ni siquiera trabajar como mesera”.</w:t>
      </w:r>
    </w:p>
    <w:p w:rsidR="00E02187" w:rsidRPr="005C7D7C" w:rsidRDefault="00E02187" w:rsidP="00E02187">
      <w:pPr>
        <w:pStyle w:val="NormalWeb"/>
        <w:jc w:val="both"/>
      </w:pPr>
      <w:r w:rsidRPr="005C7D7C">
        <w:lastRenderedPageBreak/>
        <w:t>Hay evidencia sustancial en cualquier parte que la educación ofrece amplios beneficios. Irlanda era uno de los países más pobres de la Unión Europea hace una generación. Pero invirtió dinero subsidiado por la UE a la educación técnica y se redefinió a sí misma como un lugar para el trabajo de alta tecnología, se hizo dos veces atractiva al bajar los impuestos corporativos. Irlanda está ahora, incluso después de la brutal crisis bancaria, entre las naciones más ricas en Europa.</w:t>
      </w:r>
    </w:p>
    <w:p w:rsidR="00E02187" w:rsidRPr="005C7D7C" w:rsidRDefault="00E02187" w:rsidP="00E02187">
      <w:pPr>
        <w:pStyle w:val="NormalWeb"/>
        <w:jc w:val="both"/>
        <w:rPr>
          <w:u w:val="single"/>
        </w:rPr>
      </w:pPr>
      <w:r>
        <w:rPr>
          <w:u w:val="single"/>
        </w:rPr>
        <w:t>L</w:t>
      </w:r>
      <w:r w:rsidRPr="005C7D7C">
        <w:rPr>
          <w:u w:val="single"/>
        </w:rPr>
        <w:t>o</w:t>
      </w:r>
      <w:r>
        <w:rPr>
          <w:u w:val="single"/>
        </w:rPr>
        <w:t xml:space="preserve"> más peligroso es el “secuestro” del sentido común: b</w:t>
      </w:r>
      <w:r w:rsidRPr="005C7D7C">
        <w:rPr>
          <w:u w:val="single"/>
        </w:rPr>
        <w:t>uscando otras alter</w:t>
      </w:r>
      <w:r>
        <w:rPr>
          <w:u w:val="single"/>
        </w:rPr>
        <w:t>nativas</w:t>
      </w:r>
    </w:p>
    <w:p w:rsidR="00E02187" w:rsidRPr="001F3875" w:rsidRDefault="00E02187" w:rsidP="00E02187">
      <w:pPr>
        <w:spacing w:before="100" w:beforeAutospacing="1" w:after="100" w:afterAutospacing="1" w:line="240" w:lineRule="auto"/>
        <w:jc w:val="both"/>
        <w:outlineLvl w:val="0"/>
        <w:rPr>
          <w:rFonts w:ascii="Times New Roman" w:eastAsia="Times New Roman" w:hAnsi="Times New Roman"/>
          <w:bCs/>
          <w:kern w:val="36"/>
          <w:sz w:val="24"/>
          <w:szCs w:val="24"/>
          <w:lang w:eastAsia="es-ES"/>
        </w:rPr>
      </w:pPr>
      <w:r>
        <w:rPr>
          <w:rFonts w:ascii="Times New Roman" w:eastAsia="Times New Roman" w:hAnsi="Times New Roman"/>
          <w:bCs/>
          <w:kern w:val="36"/>
          <w:sz w:val="24"/>
          <w:szCs w:val="24"/>
          <w:lang w:eastAsia="es-ES"/>
        </w:rPr>
        <w:t xml:space="preserve">- </w:t>
      </w:r>
      <w:r w:rsidRPr="001F3875">
        <w:rPr>
          <w:rFonts w:ascii="Times New Roman" w:eastAsia="Times New Roman" w:hAnsi="Times New Roman"/>
          <w:bCs/>
          <w:kern w:val="36"/>
          <w:sz w:val="24"/>
          <w:szCs w:val="24"/>
          <w:u w:val="single"/>
          <w:lang w:eastAsia="es-ES"/>
        </w:rPr>
        <w:t>Escuelas no tradicionales: a quoi bon?</w:t>
      </w:r>
      <w:r>
        <w:rPr>
          <w:rFonts w:ascii="Times New Roman" w:eastAsia="Times New Roman" w:hAnsi="Times New Roman"/>
          <w:bCs/>
          <w:kern w:val="36"/>
          <w:sz w:val="24"/>
          <w:szCs w:val="24"/>
          <w:lang w:eastAsia="es-ES"/>
        </w:rPr>
        <w:t xml:space="preserve"> (Fedea - </w:t>
      </w:r>
      <w:r w:rsidRPr="00A0207A">
        <w:rPr>
          <w:rFonts w:ascii="Times New Roman" w:eastAsia="Times New Roman" w:hAnsi="Times New Roman"/>
          <w:b/>
          <w:bCs/>
          <w:kern w:val="36"/>
          <w:sz w:val="24"/>
          <w:szCs w:val="24"/>
          <w:lang w:eastAsia="es-ES"/>
        </w:rPr>
        <w:t>15/6/11</w:t>
      </w:r>
      <w:r>
        <w:rPr>
          <w:rFonts w:ascii="Times New Roman" w:eastAsia="Times New Roman" w:hAnsi="Times New Roman"/>
          <w:bCs/>
          <w:kern w:val="36"/>
          <w:sz w:val="24"/>
          <w:szCs w:val="24"/>
          <w:lang w:eastAsia="es-ES"/>
        </w:rPr>
        <w:t>)             Lectura recomendada</w:t>
      </w:r>
    </w:p>
    <w:p w:rsidR="00E02187" w:rsidRPr="001F3875"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(Por</w:t>
      </w:r>
      <w:r w:rsidRPr="001F3875">
        <w:rPr>
          <w:rFonts w:ascii="Times New Roman" w:eastAsia="Times New Roman" w:hAnsi="Times New Roman"/>
          <w:sz w:val="24"/>
          <w:szCs w:val="24"/>
          <w:lang w:eastAsia="es-ES"/>
        </w:rPr>
        <w:t xml:space="preserve"> </w:t>
      </w:r>
      <w:r>
        <w:rPr>
          <w:rFonts w:ascii="Times New Roman" w:eastAsia="Times New Roman" w:hAnsi="Times New Roman"/>
          <w:sz w:val="24"/>
          <w:szCs w:val="24"/>
          <w:lang w:eastAsia="es-ES"/>
        </w:rPr>
        <w:t>Antonio Cabrales)</w:t>
      </w:r>
    </w:p>
    <w:p w:rsidR="00E02187" w:rsidRPr="00D77725" w:rsidRDefault="00E02187" w:rsidP="00E02187">
      <w:pPr>
        <w:spacing w:before="100" w:beforeAutospacing="1" w:after="100" w:afterAutospacing="1" w:line="240" w:lineRule="auto"/>
        <w:jc w:val="both"/>
        <w:rPr>
          <w:rFonts w:ascii="Times New Roman" w:eastAsia="Times New Roman" w:hAnsi="Times New Roman"/>
          <w:sz w:val="24"/>
          <w:szCs w:val="24"/>
          <w:u w:val="single"/>
          <w:lang w:eastAsia="es-ES"/>
        </w:rPr>
      </w:pPr>
      <w:r w:rsidRPr="00D77725">
        <w:rPr>
          <w:rFonts w:ascii="Times New Roman" w:eastAsia="Times New Roman" w:hAnsi="Times New Roman"/>
          <w:sz w:val="24"/>
          <w:szCs w:val="24"/>
          <w:u w:val="single"/>
          <w:lang w:eastAsia="es-ES"/>
        </w:rPr>
        <w:t xml:space="preserve">Uno de los problemas más controvertidos en educación es el de las escuelas que utilizan metodologías </w:t>
      </w:r>
      <w:r w:rsidRPr="00D77725">
        <w:rPr>
          <w:rFonts w:ascii="Times New Roman" w:eastAsia="Times New Roman" w:hAnsi="Times New Roman"/>
          <w:i/>
          <w:iCs/>
          <w:sz w:val="24"/>
          <w:szCs w:val="24"/>
          <w:u w:val="single"/>
          <w:lang w:eastAsia="es-ES"/>
        </w:rPr>
        <w:t>modernas</w:t>
      </w:r>
      <w:r w:rsidRPr="00D77725">
        <w:rPr>
          <w:rFonts w:ascii="Times New Roman" w:eastAsia="Times New Roman" w:hAnsi="Times New Roman"/>
          <w:sz w:val="24"/>
          <w:szCs w:val="24"/>
          <w:u w:val="single"/>
          <w:lang w:eastAsia="es-ES"/>
        </w:rPr>
        <w:t xml:space="preserve"> de aprendizaje. A muchos de ustedes les sonarán los nombres de </w:t>
      </w:r>
      <w:hyperlink r:id="rId96" w:history="1">
        <w:r w:rsidRPr="005C7D7C">
          <w:rPr>
            <w:rFonts w:ascii="Times New Roman" w:eastAsia="Times New Roman" w:hAnsi="Times New Roman"/>
            <w:sz w:val="24"/>
            <w:szCs w:val="24"/>
            <w:u w:val="single"/>
            <w:lang w:eastAsia="es-ES"/>
          </w:rPr>
          <w:t>Montessori</w:t>
        </w:r>
      </w:hyperlink>
      <w:r w:rsidRPr="005C7D7C">
        <w:rPr>
          <w:rFonts w:ascii="Times New Roman" w:eastAsia="Times New Roman" w:hAnsi="Times New Roman"/>
          <w:sz w:val="24"/>
          <w:szCs w:val="24"/>
          <w:u w:val="single"/>
          <w:lang w:eastAsia="es-ES"/>
        </w:rPr>
        <w:t xml:space="preserve"> , </w:t>
      </w:r>
      <w:hyperlink r:id="rId97" w:history="1">
        <w:r w:rsidRPr="005C7D7C">
          <w:rPr>
            <w:rFonts w:ascii="Times New Roman" w:eastAsia="Times New Roman" w:hAnsi="Times New Roman"/>
            <w:sz w:val="24"/>
            <w:szCs w:val="24"/>
            <w:u w:val="single"/>
            <w:lang w:eastAsia="es-ES"/>
          </w:rPr>
          <w:t xml:space="preserve">Waldorf </w:t>
        </w:r>
      </w:hyperlink>
      <w:r w:rsidRPr="005C7D7C">
        <w:rPr>
          <w:rFonts w:ascii="Times New Roman" w:eastAsia="Times New Roman" w:hAnsi="Times New Roman"/>
          <w:sz w:val="24"/>
          <w:szCs w:val="24"/>
          <w:u w:val="single"/>
          <w:lang w:eastAsia="es-ES"/>
        </w:rPr>
        <w:t xml:space="preserve">, o </w:t>
      </w:r>
      <w:hyperlink r:id="rId98" w:history="1">
        <w:r w:rsidRPr="005C7D7C">
          <w:rPr>
            <w:rFonts w:ascii="Times New Roman" w:eastAsia="Times New Roman" w:hAnsi="Times New Roman"/>
            <w:sz w:val="24"/>
            <w:szCs w:val="24"/>
            <w:u w:val="single"/>
            <w:lang w:eastAsia="es-ES"/>
          </w:rPr>
          <w:t>Summerhill</w:t>
        </w:r>
      </w:hyperlink>
      <w:r w:rsidRPr="00D77725">
        <w:rPr>
          <w:rFonts w:ascii="Times New Roman" w:eastAsia="Times New Roman" w:hAnsi="Times New Roman"/>
          <w:sz w:val="24"/>
          <w:szCs w:val="24"/>
          <w:u w:val="single"/>
          <w:lang w:eastAsia="es-ES"/>
        </w:rPr>
        <w:t>. Hay quien piensa que una parte sustancial de la “decadencia” de la educación en el mundo occidental se debe al intento de llevar estas experiencias educativas a las escuelas en general. Los partidarios, incluidos legiones de ex-alumnos de tales escuelas, piensan que la única manera de superar nuestro estancamiento es precisamente adoptar sus prácticas. La evidencia que presentaré hoy indica que este tipo de escuelas pueden ser muy útiles, pero que seguramente no es una buena idea generalizarlas.</w:t>
      </w:r>
    </w:p>
    <w:p w:rsidR="00E02187" w:rsidRPr="001F3875"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1F3875">
        <w:rPr>
          <w:rFonts w:ascii="Times New Roman" w:eastAsia="Times New Roman" w:hAnsi="Times New Roman"/>
          <w:sz w:val="24"/>
          <w:szCs w:val="24"/>
          <w:lang w:eastAsia="es-ES"/>
        </w:rPr>
        <w:t xml:space="preserve">El origen de la </w:t>
      </w:r>
      <w:r w:rsidRPr="001F3875">
        <w:rPr>
          <w:rFonts w:ascii="Times New Roman" w:eastAsia="Times New Roman" w:hAnsi="Times New Roman"/>
          <w:i/>
          <w:iCs/>
          <w:sz w:val="24"/>
          <w:szCs w:val="24"/>
          <w:lang w:eastAsia="es-ES"/>
        </w:rPr>
        <w:t>escuela moderna</w:t>
      </w:r>
      <w:r w:rsidRPr="001F3875">
        <w:rPr>
          <w:rFonts w:ascii="Times New Roman" w:eastAsia="Times New Roman" w:hAnsi="Times New Roman"/>
          <w:sz w:val="24"/>
          <w:szCs w:val="24"/>
          <w:lang w:eastAsia="es-ES"/>
        </w:rPr>
        <w:t xml:space="preserve">, también llamada </w:t>
      </w:r>
      <w:r w:rsidRPr="001F3875">
        <w:rPr>
          <w:rFonts w:ascii="Times New Roman" w:eastAsia="Times New Roman" w:hAnsi="Times New Roman"/>
          <w:i/>
          <w:iCs/>
          <w:sz w:val="24"/>
          <w:szCs w:val="24"/>
          <w:lang w:eastAsia="es-ES"/>
        </w:rPr>
        <w:t>alternativa</w:t>
      </w:r>
      <w:r w:rsidRPr="001F3875">
        <w:rPr>
          <w:rFonts w:ascii="Times New Roman" w:eastAsia="Times New Roman" w:hAnsi="Times New Roman"/>
          <w:sz w:val="24"/>
          <w:szCs w:val="24"/>
          <w:lang w:eastAsia="es-ES"/>
        </w:rPr>
        <w:t xml:space="preserve"> o </w:t>
      </w:r>
      <w:r w:rsidRPr="001F3875">
        <w:rPr>
          <w:rFonts w:ascii="Times New Roman" w:eastAsia="Times New Roman" w:hAnsi="Times New Roman"/>
          <w:i/>
          <w:iCs/>
          <w:sz w:val="24"/>
          <w:szCs w:val="24"/>
          <w:lang w:eastAsia="es-ES"/>
        </w:rPr>
        <w:t>no tradicional</w:t>
      </w:r>
      <w:r w:rsidRPr="001F3875">
        <w:rPr>
          <w:rFonts w:ascii="Times New Roman" w:eastAsia="Times New Roman" w:hAnsi="Times New Roman"/>
          <w:sz w:val="24"/>
          <w:szCs w:val="24"/>
          <w:lang w:eastAsia="es-ES"/>
        </w:rPr>
        <w:t xml:space="preserve"> puede rastrearse en el de </w:t>
      </w:r>
      <w:hyperlink r:id="rId99" w:history="1">
        <w:r w:rsidRPr="005C7D7C">
          <w:rPr>
            <w:rFonts w:ascii="Times New Roman" w:eastAsia="Times New Roman" w:hAnsi="Times New Roman"/>
            <w:sz w:val="24"/>
            <w:szCs w:val="24"/>
            <w:u w:val="single"/>
            <w:lang w:eastAsia="es-ES"/>
          </w:rPr>
          <w:t>Emilio</w:t>
        </w:r>
      </w:hyperlink>
      <w:r w:rsidRPr="001F3875">
        <w:rPr>
          <w:rFonts w:ascii="Times New Roman" w:eastAsia="Times New Roman" w:hAnsi="Times New Roman"/>
          <w:sz w:val="24"/>
          <w:szCs w:val="24"/>
          <w:lang w:eastAsia="es-ES"/>
        </w:rPr>
        <w:t xml:space="preserve"> de Rousseau, un libro que explica la manera en la que la bondad natural del hombre puede conjugarse con una sociedad que nos lleva a toda clase de vicios. </w:t>
      </w:r>
      <w:r w:rsidRPr="00D77725">
        <w:rPr>
          <w:rFonts w:ascii="Times New Roman" w:eastAsia="Times New Roman" w:hAnsi="Times New Roman"/>
          <w:color w:val="FF0000"/>
          <w:sz w:val="24"/>
          <w:szCs w:val="24"/>
          <w:u w:val="single"/>
          <w:lang w:eastAsia="es-ES"/>
        </w:rPr>
        <w:t>Fundamentalmente se trata de que el niño desarrolle un aprendizaje activo, que extraiga conclusiones de un conjunto variado de experiencias que ponen frente a sí los educadores, cuya misión es la de permitir que el científico natural que está presente en el ser humano de manera instintiva pueda desarrollarse</w:t>
      </w:r>
      <w:r w:rsidRPr="001F3875">
        <w:rPr>
          <w:rFonts w:ascii="Times New Roman" w:eastAsia="Times New Roman" w:hAnsi="Times New Roman"/>
          <w:sz w:val="24"/>
          <w:szCs w:val="24"/>
          <w:lang w:eastAsia="es-ES"/>
        </w:rPr>
        <w:t>. Aunque es una simplificación grosera, la mayor parte de las escuelas alternativas parten de supuestos similares a los de Rousseau para llegar a metodologías con muchas coincidencias.</w:t>
      </w:r>
    </w:p>
    <w:p w:rsidR="00E02187" w:rsidRPr="001F3875"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1F3875">
        <w:rPr>
          <w:rFonts w:ascii="Times New Roman" w:eastAsia="Times New Roman" w:hAnsi="Times New Roman"/>
          <w:sz w:val="24"/>
          <w:szCs w:val="24"/>
          <w:lang w:eastAsia="es-ES"/>
        </w:rPr>
        <w:t xml:space="preserve">Esta </w:t>
      </w:r>
      <w:r w:rsidRPr="001F3875">
        <w:rPr>
          <w:rFonts w:ascii="Times New Roman" w:eastAsia="Times New Roman" w:hAnsi="Times New Roman"/>
          <w:i/>
          <w:iCs/>
          <w:sz w:val="24"/>
          <w:szCs w:val="24"/>
          <w:lang w:eastAsia="es-ES"/>
        </w:rPr>
        <w:t>escuela moderna</w:t>
      </w:r>
      <w:r w:rsidRPr="001F3875">
        <w:rPr>
          <w:rFonts w:ascii="Times New Roman" w:eastAsia="Times New Roman" w:hAnsi="Times New Roman"/>
          <w:sz w:val="24"/>
          <w:szCs w:val="24"/>
          <w:lang w:eastAsia="es-ES"/>
        </w:rPr>
        <w:t xml:space="preserve"> está en la base de muchas innovaciones legales sobre educación en el mundo occidental, muy notablemente en el espíritu de la </w:t>
      </w:r>
      <w:hyperlink r:id="rId100" w:anchor="Preámbulo" w:history="1">
        <w:r w:rsidRPr="005C7D7C">
          <w:rPr>
            <w:rFonts w:ascii="Times New Roman" w:eastAsia="Times New Roman" w:hAnsi="Times New Roman"/>
            <w:sz w:val="24"/>
            <w:szCs w:val="24"/>
            <w:u w:val="single"/>
            <w:lang w:eastAsia="es-ES"/>
          </w:rPr>
          <w:t>LOGSE</w:t>
        </w:r>
      </w:hyperlink>
      <w:r w:rsidRPr="001F3875">
        <w:rPr>
          <w:rFonts w:ascii="Times New Roman" w:eastAsia="Times New Roman" w:hAnsi="Times New Roman"/>
          <w:sz w:val="24"/>
          <w:szCs w:val="24"/>
          <w:lang w:eastAsia="es-ES"/>
        </w:rPr>
        <w:t>, en cuyo preámbulo se dice que “la educación compartirá con otras instancias sociales la transmisión de información y conocimientos, pero adquirirá aún mayor relevancia su capacidad para ordenarlos críticamente, para darles un sentido personal y moral, para generar actitudes y hábitos individuales y colectivos, para desarrollar aptitudes, para preservar en su esencia, adaptándolos a las situaciones emergentes, los valores con los que nos identificam</w:t>
      </w:r>
      <w:r>
        <w:rPr>
          <w:rFonts w:ascii="Times New Roman" w:eastAsia="Times New Roman" w:hAnsi="Times New Roman"/>
          <w:sz w:val="24"/>
          <w:szCs w:val="24"/>
          <w:lang w:eastAsia="es-ES"/>
        </w:rPr>
        <w:t>os individual y colectivamente”.</w:t>
      </w:r>
    </w:p>
    <w:p w:rsidR="00E02187" w:rsidRPr="00D77725" w:rsidRDefault="00E02187" w:rsidP="00E02187">
      <w:pPr>
        <w:spacing w:before="100" w:beforeAutospacing="1" w:after="100" w:afterAutospacing="1" w:line="240" w:lineRule="auto"/>
        <w:jc w:val="both"/>
        <w:rPr>
          <w:rFonts w:ascii="Times New Roman" w:eastAsia="Times New Roman" w:hAnsi="Times New Roman"/>
          <w:sz w:val="24"/>
          <w:szCs w:val="24"/>
          <w:u w:val="single"/>
          <w:lang w:eastAsia="es-ES"/>
        </w:rPr>
      </w:pPr>
      <w:r w:rsidRPr="00D77725">
        <w:rPr>
          <w:rFonts w:ascii="Times New Roman" w:eastAsia="Times New Roman" w:hAnsi="Times New Roman"/>
          <w:sz w:val="24"/>
          <w:szCs w:val="24"/>
          <w:u w:val="single"/>
          <w:lang w:eastAsia="es-ES"/>
        </w:rPr>
        <w:t xml:space="preserve">Este tipo de escuela tiene numerosos críticos. Una voz influyente en este asunto es Alicia Delibes, actual viceconsejera de educación de la Comunidad de Madrid, quien en su libro </w:t>
      </w:r>
      <w:r w:rsidRPr="00D77725">
        <w:rPr>
          <w:rFonts w:ascii="Times New Roman" w:eastAsia="Times New Roman" w:hAnsi="Times New Roman"/>
          <w:i/>
          <w:iCs/>
          <w:sz w:val="24"/>
          <w:szCs w:val="24"/>
          <w:u w:val="single"/>
          <w:lang w:eastAsia="es-ES"/>
        </w:rPr>
        <w:t>La gran estafa. El secuestro del sentido común en educación</w:t>
      </w:r>
      <w:r w:rsidRPr="00D77725">
        <w:rPr>
          <w:rFonts w:ascii="Times New Roman" w:eastAsia="Times New Roman" w:hAnsi="Times New Roman"/>
          <w:sz w:val="24"/>
          <w:szCs w:val="24"/>
          <w:u w:val="single"/>
          <w:lang w:eastAsia="es-ES"/>
        </w:rPr>
        <w:t xml:space="preserve"> argumenta que Rousseau es “el padre de eso que hoy se llama ‘angelismo’ escolar y que impide a los educadores, padres o profesores, ejercer su autoridad e imponer la imprescindible disciplina </w:t>
      </w:r>
      <w:r>
        <w:rPr>
          <w:rFonts w:ascii="Times New Roman" w:eastAsia="Times New Roman" w:hAnsi="Times New Roman"/>
          <w:sz w:val="24"/>
          <w:szCs w:val="24"/>
          <w:u w:val="single"/>
          <w:lang w:eastAsia="es-ES"/>
        </w:rPr>
        <w:t>que haga posible la convivencia</w:t>
      </w:r>
      <w:r w:rsidRPr="00D77725">
        <w:rPr>
          <w:rFonts w:ascii="Times New Roman" w:eastAsia="Times New Roman" w:hAnsi="Times New Roman"/>
          <w:sz w:val="24"/>
          <w:szCs w:val="24"/>
          <w:u w:val="single"/>
          <w:lang w:eastAsia="es-ES"/>
        </w:rPr>
        <w:t>”</w:t>
      </w:r>
      <w:r>
        <w:rPr>
          <w:rFonts w:ascii="Times New Roman" w:eastAsia="Times New Roman" w:hAnsi="Times New Roman"/>
          <w:sz w:val="24"/>
          <w:szCs w:val="24"/>
          <w:u w:val="single"/>
          <w:lang w:eastAsia="es-ES"/>
        </w:rPr>
        <w:t>.</w:t>
      </w:r>
      <w:r w:rsidRPr="001F3875">
        <w:rPr>
          <w:rFonts w:ascii="Times New Roman" w:eastAsia="Times New Roman" w:hAnsi="Times New Roman"/>
          <w:sz w:val="24"/>
          <w:szCs w:val="24"/>
          <w:lang w:eastAsia="es-ES"/>
        </w:rPr>
        <w:t xml:space="preserve"> </w:t>
      </w:r>
      <w:r w:rsidRPr="00D77725">
        <w:rPr>
          <w:rFonts w:ascii="Times New Roman" w:eastAsia="Times New Roman" w:hAnsi="Times New Roman"/>
          <w:color w:val="FF0000"/>
          <w:sz w:val="24"/>
          <w:szCs w:val="24"/>
          <w:u w:val="single"/>
          <w:lang w:eastAsia="es-ES"/>
        </w:rPr>
        <w:t xml:space="preserve">Pero esta opinión parece contradecirse con los resultados escolares de escuelas como la Montessori o Waldorf. Todos los ex-alumnos de estas escuelas que conozco son brillantes profesionales, gente original y </w:t>
      </w:r>
      <w:r w:rsidRPr="00D77725">
        <w:rPr>
          <w:rFonts w:ascii="Times New Roman" w:eastAsia="Times New Roman" w:hAnsi="Times New Roman"/>
          <w:color w:val="FF0000"/>
          <w:sz w:val="24"/>
          <w:szCs w:val="24"/>
          <w:u w:val="single"/>
          <w:lang w:eastAsia="es-ES"/>
        </w:rPr>
        <w:lastRenderedPageBreak/>
        <w:t>creativa, la mejor publicidad posible de su metodología docente.</w:t>
      </w:r>
      <w:r w:rsidRPr="001F3875">
        <w:rPr>
          <w:rFonts w:ascii="Times New Roman" w:eastAsia="Times New Roman" w:hAnsi="Times New Roman"/>
          <w:sz w:val="24"/>
          <w:szCs w:val="24"/>
          <w:lang w:eastAsia="es-ES"/>
        </w:rPr>
        <w:t xml:space="preserve"> </w:t>
      </w:r>
      <w:r w:rsidRPr="00D77725">
        <w:rPr>
          <w:rFonts w:ascii="Times New Roman" w:eastAsia="Times New Roman" w:hAnsi="Times New Roman"/>
          <w:sz w:val="24"/>
          <w:szCs w:val="24"/>
          <w:u w:val="single"/>
          <w:lang w:eastAsia="es-ES"/>
        </w:rPr>
        <w:t xml:space="preserve">Por otro lado, el epítome de la escuela tradicional se encuentra en la repetitiva y memorística metodología confuciana que practican los colegios de Asia oriental. Cuyos alumnos, </w:t>
      </w:r>
      <w:r w:rsidRPr="005C7D7C">
        <w:rPr>
          <w:rFonts w:ascii="Times New Roman" w:eastAsia="Times New Roman" w:hAnsi="Times New Roman"/>
          <w:sz w:val="24"/>
          <w:szCs w:val="24"/>
          <w:u w:val="single"/>
          <w:lang w:eastAsia="es-ES"/>
        </w:rPr>
        <w:t>como saben nuestros lectores</w:t>
      </w:r>
      <w:r w:rsidRPr="00D77725">
        <w:rPr>
          <w:rFonts w:ascii="Times New Roman" w:eastAsia="Times New Roman" w:hAnsi="Times New Roman"/>
          <w:sz w:val="24"/>
          <w:szCs w:val="24"/>
          <w:u w:val="single"/>
          <w:lang w:eastAsia="es-ES"/>
        </w:rPr>
        <w:t>, rebasan en una desviación estándar a los chicos de las escuelas occidentales. ¿Podemos reconciliar de alguna manera las dos observaciones?</w:t>
      </w:r>
    </w:p>
    <w:p w:rsidR="00E02187" w:rsidRPr="001F3875"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D77725">
        <w:rPr>
          <w:rFonts w:ascii="Times New Roman" w:eastAsia="Times New Roman" w:hAnsi="Times New Roman"/>
          <w:color w:val="FF0000"/>
          <w:sz w:val="24"/>
          <w:szCs w:val="24"/>
          <w:u w:val="single"/>
          <w:lang w:eastAsia="es-ES"/>
        </w:rPr>
        <w:t>Una respuesta sencilla pasa por el sesgo de selección en mis observaciones. Las escuelas alternativas que producen los alumnos brillantes que conozco son instituciones privadas que trabajan con hijos de gente culta y educada, que tienen centenares o miles de libros en casa y que probablemente han gozado de todas las ventajas que el ser humano puede otorgar a sus vástagos, incluyendo genes privilegiados. En estas condiciones lo raro es que fracasen</w:t>
      </w:r>
      <w:r w:rsidRPr="001F3875">
        <w:rPr>
          <w:rFonts w:ascii="Times New Roman" w:eastAsia="Times New Roman" w:hAnsi="Times New Roman"/>
          <w:sz w:val="24"/>
          <w:szCs w:val="24"/>
          <w:lang w:eastAsia="es-ES"/>
        </w:rPr>
        <w:t xml:space="preserve">. </w:t>
      </w:r>
      <w:r w:rsidRPr="00D77725">
        <w:rPr>
          <w:rFonts w:ascii="Times New Roman" w:eastAsia="Times New Roman" w:hAnsi="Times New Roman"/>
          <w:sz w:val="24"/>
          <w:szCs w:val="24"/>
          <w:u w:val="single"/>
          <w:lang w:eastAsia="es-ES"/>
        </w:rPr>
        <w:t>Es posible, incluso, que su éxito ocurra “a pesar de” Montessori o Waldorf y no a causa de los mismos</w:t>
      </w:r>
      <w:r w:rsidRPr="001F3875">
        <w:rPr>
          <w:rFonts w:ascii="Times New Roman" w:eastAsia="Times New Roman" w:hAnsi="Times New Roman"/>
          <w:sz w:val="24"/>
          <w:szCs w:val="24"/>
          <w:lang w:eastAsia="es-ES"/>
        </w:rPr>
        <w:t>. Así pues, los egresados inteligentes de las escuelas alternativas lo pueden ser “por casualidad” y los chicos listos de Asia la norma. Pero esta respuesta no es concluyente y nos llevaría a una discusión eterna. Mejor buscar una evidencia lo más cercana a un experimento que podamos encontrar.</w:t>
      </w:r>
    </w:p>
    <w:p w:rsidR="00E02187" w:rsidRPr="00D77725" w:rsidRDefault="00E02187" w:rsidP="00E02187">
      <w:pPr>
        <w:spacing w:before="100" w:beforeAutospacing="1" w:after="100" w:afterAutospacing="1" w:line="240" w:lineRule="auto"/>
        <w:jc w:val="both"/>
        <w:rPr>
          <w:rFonts w:ascii="Times New Roman" w:eastAsia="Times New Roman" w:hAnsi="Times New Roman"/>
          <w:sz w:val="24"/>
          <w:szCs w:val="24"/>
          <w:u w:val="single"/>
          <w:lang w:eastAsia="es-ES"/>
        </w:rPr>
      </w:pPr>
      <w:r w:rsidRPr="001F3875">
        <w:rPr>
          <w:rFonts w:ascii="Times New Roman" w:eastAsia="Times New Roman" w:hAnsi="Times New Roman"/>
          <w:sz w:val="24"/>
          <w:szCs w:val="24"/>
          <w:lang w:eastAsia="es-ES"/>
        </w:rPr>
        <w:t xml:space="preserve">Y, como de costumbre, </w:t>
      </w:r>
      <w:r w:rsidRPr="00D77725">
        <w:rPr>
          <w:rFonts w:ascii="Times New Roman" w:eastAsia="Times New Roman" w:hAnsi="Times New Roman"/>
          <w:sz w:val="24"/>
          <w:szCs w:val="24"/>
          <w:u w:val="single"/>
          <w:lang w:eastAsia="es-ES"/>
        </w:rPr>
        <w:t>Victor Lavy</w:t>
      </w:r>
      <w:r w:rsidRPr="001F3875">
        <w:rPr>
          <w:rFonts w:ascii="Times New Roman" w:eastAsia="Times New Roman" w:hAnsi="Times New Roman"/>
          <w:sz w:val="24"/>
          <w:szCs w:val="24"/>
          <w:lang w:eastAsia="es-ES"/>
        </w:rPr>
        <w:t xml:space="preserve"> acude en mi ayuda (vía Manuel Bagüés, que me proporcionó la referencia). Un </w:t>
      </w:r>
      <w:hyperlink r:id="rId101" w:history="1">
        <w:r w:rsidRPr="005C7D7C">
          <w:rPr>
            <w:rFonts w:ascii="Times New Roman" w:eastAsia="Times New Roman" w:hAnsi="Times New Roman"/>
            <w:sz w:val="24"/>
            <w:szCs w:val="24"/>
            <w:u w:val="single"/>
            <w:lang w:eastAsia="es-ES"/>
          </w:rPr>
          <w:t>artículo reciente</w:t>
        </w:r>
      </w:hyperlink>
      <w:r w:rsidRPr="001F3875">
        <w:rPr>
          <w:rFonts w:ascii="Times New Roman" w:eastAsia="Times New Roman" w:hAnsi="Times New Roman"/>
          <w:sz w:val="24"/>
          <w:szCs w:val="24"/>
          <w:lang w:eastAsia="es-ES"/>
        </w:rPr>
        <w:t xml:space="preserve"> de este invitado habitual en nuestra página </w:t>
      </w:r>
      <w:r w:rsidRPr="00D77725">
        <w:rPr>
          <w:rFonts w:ascii="Times New Roman" w:eastAsia="Times New Roman" w:hAnsi="Times New Roman"/>
          <w:sz w:val="24"/>
          <w:szCs w:val="24"/>
          <w:u w:val="single"/>
          <w:lang w:eastAsia="es-ES"/>
        </w:rPr>
        <w:t>se dedica justamente a estudiar el problema de los estilos docentes. Como de costumbre, Lavy utiliza datos de Israel.</w:t>
      </w:r>
      <w:r w:rsidRPr="001F3875">
        <w:rPr>
          <w:rFonts w:ascii="Times New Roman" w:eastAsia="Times New Roman" w:hAnsi="Times New Roman"/>
          <w:sz w:val="24"/>
          <w:szCs w:val="24"/>
          <w:lang w:eastAsia="es-ES"/>
        </w:rPr>
        <w:t xml:space="preserve"> </w:t>
      </w:r>
      <w:r w:rsidRPr="00D77725">
        <w:rPr>
          <w:rFonts w:ascii="Times New Roman" w:eastAsia="Times New Roman" w:hAnsi="Times New Roman"/>
          <w:sz w:val="24"/>
          <w:szCs w:val="24"/>
          <w:u w:val="single"/>
          <w:lang w:eastAsia="es-ES"/>
        </w:rPr>
        <w:t>Más concretamente, datos de los exámenes estandarizados de hebreo, inglés matemáticas y ciencia, que se realizan en quinto y octavo curso (segundo de la ESO, en nuestro sistema).</w:t>
      </w:r>
      <w:r w:rsidRPr="001F3875">
        <w:rPr>
          <w:rFonts w:ascii="Times New Roman" w:eastAsia="Times New Roman" w:hAnsi="Times New Roman"/>
          <w:sz w:val="24"/>
          <w:szCs w:val="24"/>
          <w:lang w:eastAsia="es-ES"/>
        </w:rPr>
        <w:t xml:space="preserve"> </w:t>
      </w:r>
      <w:r w:rsidRPr="00D77725">
        <w:rPr>
          <w:rFonts w:ascii="Times New Roman" w:eastAsia="Times New Roman" w:hAnsi="Times New Roman"/>
          <w:sz w:val="24"/>
          <w:szCs w:val="24"/>
          <w:u w:val="single"/>
          <w:lang w:eastAsia="es-ES"/>
        </w:rPr>
        <w:t xml:space="preserve">La base de datos es muy rica e incorpora un cuestionario a los profesores. En el cuestionario se les pregunta por 29 características de su sistema pedagógico, que después se agrupan en cinco categorías: (1) transmisión de conocimientos y mejora de su comprensión, (2) transmisión de capacidades aplicadas, analíticas y críticas, (3) transmisión de capacidad para el estudio individual, (4) transparencia, equidad, y retroalimentación, y (5) trato individual de los estudiantes. Lavy interpreta, de manera razonable, que las prácticas que caen bajo el epígrafe (1) son </w:t>
      </w:r>
      <w:r w:rsidRPr="00D77725">
        <w:rPr>
          <w:rFonts w:ascii="Times New Roman" w:eastAsia="Times New Roman" w:hAnsi="Times New Roman"/>
          <w:i/>
          <w:iCs/>
          <w:sz w:val="24"/>
          <w:szCs w:val="24"/>
          <w:u w:val="single"/>
          <w:lang w:eastAsia="es-ES"/>
        </w:rPr>
        <w:t>tradicionales</w:t>
      </w:r>
      <w:r w:rsidRPr="00D77725">
        <w:rPr>
          <w:rFonts w:ascii="Times New Roman" w:eastAsia="Times New Roman" w:hAnsi="Times New Roman"/>
          <w:sz w:val="24"/>
          <w:szCs w:val="24"/>
          <w:u w:val="single"/>
          <w:lang w:eastAsia="es-ES"/>
        </w:rPr>
        <w:t xml:space="preserve"> y las que caen bajo (2) son </w:t>
      </w:r>
      <w:r w:rsidRPr="00D77725">
        <w:rPr>
          <w:rFonts w:ascii="Times New Roman" w:eastAsia="Times New Roman" w:hAnsi="Times New Roman"/>
          <w:i/>
          <w:iCs/>
          <w:sz w:val="24"/>
          <w:szCs w:val="24"/>
          <w:u w:val="single"/>
          <w:lang w:eastAsia="es-ES"/>
        </w:rPr>
        <w:t>modernas</w:t>
      </w:r>
      <w:r w:rsidRPr="00D77725">
        <w:rPr>
          <w:rFonts w:ascii="Times New Roman" w:eastAsia="Times New Roman" w:hAnsi="Times New Roman"/>
          <w:sz w:val="24"/>
          <w:szCs w:val="24"/>
          <w:u w:val="single"/>
          <w:lang w:eastAsia="es-ES"/>
        </w:rPr>
        <w:t>. Para cada categoría los profesores expresan el nivel de intensidad con que la aplican.</w:t>
      </w:r>
    </w:p>
    <w:p w:rsidR="00E02187" w:rsidRPr="001F3875"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1F3875">
        <w:rPr>
          <w:rFonts w:ascii="Times New Roman" w:eastAsia="Times New Roman" w:hAnsi="Times New Roman"/>
          <w:sz w:val="24"/>
          <w:szCs w:val="24"/>
          <w:lang w:eastAsia="es-ES"/>
        </w:rPr>
        <w:t xml:space="preserve">La riqueza de la base de datos permite identificar el efecto causal de distintas prácticas. Los profesores tienen ideologías o metodologías variadas. Si un mismo alumno se ve expuesto en un momento del tiempo a </w:t>
      </w:r>
      <w:r w:rsidRPr="00D77725">
        <w:rPr>
          <w:rFonts w:ascii="Times New Roman" w:eastAsia="Times New Roman" w:hAnsi="Times New Roman"/>
          <w:color w:val="FF0000"/>
          <w:sz w:val="24"/>
          <w:szCs w:val="24"/>
          <w:lang w:eastAsia="es-ES"/>
        </w:rPr>
        <w:t xml:space="preserve">un profesor </w:t>
      </w:r>
      <w:r w:rsidRPr="00D77725">
        <w:rPr>
          <w:rFonts w:ascii="Times New Roman" w:eastAsia="Times New Roman" w:hAnsi="Times New Roman"/>
          <w:i/>
          <w:iCs/>
          <w:color w:val="FF0000"/>
          <w:sz w:val="24"/>
          <w:szCs w:val="24"/>
          <w:lang w:eastAsia="es-ES"/>
        </w:rPr>
        <w:t>moderno</w:t>
      </w:r>
      <w:r w:rsidRPr="001F3875">
        <w:rPr>
          <w:rFonts w:ascii="Times New Roman" w:eastAsia="Times New Roman" w:hAnsi="Times New Roman"/>
          <w:sz w:val="24"/>
          <w:szCs w:val="24"/>
          <w:lang w:eastAsia="es-ES"/>
        </w:rPr>
        <w:t xml:space="preserve"> y en otro a </w:t>
      </w:r>
      <w:r w:rsidRPr="00D77725">
        <w:rPr>
          <w:rFonts w:ascii="Times New Roman" w:eastAsia="Times New Roman" w:hAnsi="Times New Roman"/>
          <w:color w:val="FF0000"/>
          <w:sz w:val="24"/>
          <w:szCs w:val="24"/>
          <w:lang w:eastAsia="es-ES"/>
        </w:rPr>
        <w:t xml:space="preserve">un profesor </w:t>
      </w:r>
      <w:r w:rsidRPr="00D77725">
        <w:rPr>
          <w:rFonts w:ascii="Times New Roman" w:eastAsia="Times New Roman" w:hAnsi="Times New Roman"/>
          <w:i/>
          <w:iCs/>
          <w:color w:val="FF0000"/>
          <w:sz w:val="24"/>
          <w:szCs w:val="24"/>
          <w:lang w:eastAsia="es-ES"/>
        </w:rPr>
        <w:t>tradicional</w:t>
      </w:r>
      <w:r w:rsidRPr="001F3875">
        <w:rPr>
          <w:rFonts w:ascii="Times New Roman" w:eastAsia="Times New Roman" w:hAnsi="Times New Roman"/>
          <w:sz w:val="24"/>
          <w:szCs w:val="24"/>
          <w:lang w:eastAsia="es-ES"/>
        </w:rPr>
        <w:t xml:space="preserve"> esencialmente al azar y los resultados son distintos, podemos atribuir a la metodología la diferencia de resultados. Buena parte del artículo se dedica a convencernos de que la exposición es aleatoria o de introducir controles para compensarlo cuando no lo es.</w:t>
      </w:r>
    </w:p>
    <w:p w:rsidR="00E02187" w:rsidRPr="00D77725" w:rsidRDefault="00E02187" w:rsidP="00E02187">
      <w:pPr>
        <w:spacing w:before="100" w:beforeAutospacing="1" w:after="100" w:afterAutospacing="1" w:line="240" w:lineRule="auto"/>
        <w:jc w:val="both"/>
        <w:rPr>
          <w:rFonts w:ascii="Times New Roman" w:eastAsia="Times New Roman" w:hAnsi="Times New Roman"/>
          <w:sz w:val="24"/>
          <w:szCs w:val="24"/>
          <w:u w:val="single"/>
          <w:lang w:eastAsia="es-ES"/>
        </w:rPr>
      </w:pPr>
      <w:r w:rsidRPr="00D77725">
        <w:rPr>
          <w:rFonts w:ascii="Times New Roman" w:eastAsia="Times New Roman" w:hAnsi="Times New Roman"/>
          <w:sz w:val="24"/>
          <w:szCs w:val="24"/>
          <w:u w:val="single"/>
          <w:lang w:eastAsia="es-ES"/>
        </w:rPr>
        <w:t xml:space="preserve">Los resultados son muy llamativos. En realidad los dos estilos de enseñanza tienen efectos positivos. La gracia es que los dos son positivos de manera muy diferenciada. Si nos fijamos para empezar en la tabla 8 (reproducida más abajo) podemos ver que, en media, el efecto del estilo </w:t>
      </w:r>
      <w:r w:rsidRPr="00D77725">
        <w:rPr>
          <w:rFonts w:ascii="Times New Roman" w:eastAsia="Times New Roman" w:hAnsi="Times New Roman"/>
          <w:i/>
          <w:iCs/>
          <w:sz w:val="24"/>
          <w:szCs w:val="24"/>
          <w:u w:val="single"/>
          <w:lang w:eastAsia="es-ES"/>
        </w:rPr>
        <w:t>tradicional</w:t>
      </w:r>
      <w:r w:rsidRPr="00D77725">
        <w:rPr>
          <w:rFonts w:ascii="Times New Roman" w:eastAsia="Times New Roman" w:hAnsi="Times New Roman"/>
          <w:sz w:val="24"/>
          <w:szCs w:val="24"/>
          <w:u w:val="single"/>
          <w:lang w:eastAsia="es-ES"/>
        </w:rPr>
        <w:t xml:space="preserve"> (T1 en la tabla) es muy fuerte en las chicas y en los alumnos de bajo estatus socioeconómico (segunda y cuarta columnas). En cambio el efecto del estilo </w:t>
      </w:r>
      <w:r w:rsidRPr="00D77725">
        <w:rPr>
          <w:rFonts w:ascii="Times New Roman" w:eastAsia="Times New Roman" w:hAnsi="Times New Roman"/>
          <w:i/>
          <w:iCs/>
          <w:sz w:val="24"/>
          <w:szCs w:val="24"/>
          <w:u w:val="single"/>
          <w:lang w:eastAsia="es-ES"/>
        </w:rPr>
        <w:t>moderno</w:t>
      </w:r>
      <w:r w:rsidRPr="00D77725">
        <w:rPr>
          <w:rFonts w:ascii="Times New Roman" w:eastAsia="Times New Roman" w:hAnsi="Times New Roman"/>
          <w:sz w:val="24"/>
          <w:szCs w:val="24"/>
          <w:u w:val="single"/>
          <w:lang w:eastAsia="es-ES"/>
        </w:rPr>
        <w:t xml:space="preserve"> es estadísticamente parecido en todos los grupos.</w:t>
      </w:r>
    </w:p>
    <w:p w:rsidR="00E02187" w:rsidRPr="001F3875"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lastRenderedPageBreak/>
        <w:drawing>
          <wp:inline distT="0" distB="0" distL="0" distR="0" wp14:anchorId="3E5FE93F" wp14:editId="0083DDD2">
            <wp:extent cx="5486400" cy="2860243"/>
            <wp:effectExtent l="0" t="0" r="0" b="0"/>
            <wp:docPr id="107" name="Imagen 107" descr="teaching-styles-1">
              <a:hlinkClick xmlns:a="http://schemas.openxmlformats.org/drawingml/2006/main" r:id="rId1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teaching-styles-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86400" cy="2860243"/>
                    </a:xfrm>
                    <a:prstGeom prst="rect">
                      <a:avLst/>
                    </a:prstGeom>
                    <a:noFill/>
                    <a:ln>
                      <a:noFill/>
                    </a:ln>
                  </pic:spPr>
                </pic:pic>
              </a:graphicData>
            </a:graphic>
          </wp:inline>
        </w:drawing>
      </w:r>
    </w:p>
    <w:p w:rsidR="00E02187" w:rsidRPr="001F3875"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1F3875">
        <w:rPr>
          <w:rFonts w:ascii="Times New Roman" w:eastAsia="Times New Roman" w:hAnsi="Times New Roman"/>
          <w:sz w:val="24"/>
          <w:szCs w:val="24"/>
          <w:lang w:eastAsia="es-ES"/>
        </w:rPr>
        <w:t xml:space="preserve">Otro resultado importante se puede ver en la tabla 9, que reproduce los estimadores del efecto para distintos puntos en la escala de capacidad. Allí se puede ver que el estilo </w:t>
      </w:r>
      <w:r w:rsidRPr="001F3875">
        <w:rPr>
          <w:rFonts w:ascii="Times New Roman" w:eastAsia="Times New Roman" w:hAnsi="Times New Roman"/>
          <w:i/>
          <w:iCs/>
          <w:sz w:val="24"/>
          <w:szCs w:val="24"/>
          <w:lang w:eastAsia="es-ES"/>
        </w:rPr>
        <w:t>tradicional</w:t>
      </w:r>
      <w:r w:rsidRPr="001F3875">
        <w:rPr>
          <w:rFonts w:ascii="Times New Roman" w:eastAsia="Times New Roman" w:hAnsi="Times New Roman"/>
          <w:sz w:val="24"/>
          <w:szCs w:val="24"/>
          <w:lang w:eastAsia="es-ES"/>
        </w:rPr>
        <w:t xml:space="preserve"> (primera columna) es muy efectivo por debajo de la mediana, mientras que el estilo moderno es singularmente eficaz por encima de la mediana.</w:t>
      </w:r>
    </w:p>
    <w:p w:rsidR="00E02187" w:rsidRPr="001F3875"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2619653D" wp14:editId="374D9693">
            <wp:extent cx="5376672" cy="3255264"/>
            <wp:effectExtent l="0" t="0" r="0" b="2540"/>
            <wp:docPr id="106" name="Imagen 106" descr="teaching-styles-2">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teaching-styles-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76672" cy="3255264"/>
                    </a:xfrm>
                    <a:prstGeom prst="rect">
                      <a:avLst/>
                    </a:prstGeom>
                    <a:noFill/>
                    <a:ln>
                      <a:noFill/>
                    </a:ln>
                  </pic:spPr>
                </pic:pic>
              </a:graphicData>
            </a:graphic>
          </wp:inline>
        </w:drawing>
      </w:r>
    </w:p>
    <w:p w:rsidR="00E02187" w:rsidRPr="001F3875"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1F3875">
        <w:rPr>
          <w:rFonts w:ascii="Times New Roman" w:eastAsia="Times New Roman" w:hAnsi="Times New Roman"/>
          <w:sz w:val="24"/>
          <w:szCs w:val="24"/>
          <w:lang w:eastAsia="es-ES"/>
        </w:rPr>
        <w:t xml:space="preserve">La tabla 7, por otro lado, nos da un resumen de los efectos para distintos niveles de intensidad del tratamiento. Es decir, para distintos niveles de aplicación de la metodología. La columna 1 mide los efectos de un tratamiento medio, la columna 2 los de un tratamiento en el tercil intermedio y la columna 3 los de un tratamiento en el tercil superior. La respuesta es clara, la metodología </w:t>
      </w:r>
      <w:r w:rsidRPr="001F3875">
        <w:rPr>
          <w:rFonts w:ascii="Times New Roman" w:eastAsia="Times New Roman" w:hAnsi="Times New Roman"/>
          <w:i/>
          <w:iCs/>
          <w:sz w:val="24"/>
          <w:szCs w:val="24"/>
          <w:lang w:eastAsia="es-ES"/>
        </w:rPr>
        <w:t>moderna</w:t>
      </w:r>
      <w:r w:rsidRPr="001F3875">
        <w:rPr>
          <w:rFonts w:ascii="Times New Roman" w:eastAsia="Times New Roman" w:hAnsi="Times New Roman"/>
          <w:sz w:val="24"/>
          <w:szCs w:val="24"/>
          <w:lang w:eastAsia="es-ES"/>
        </w:rPr>
        <w:t xml:space="preserve"> es muy efectiva con tratamientos muy intensos, y la </w:t>
      </w:r>
      <w:r w:rsidRPr="001F3875">
        <w:rPr>
          <w:rFonts w:ascii="Times New Roman" w:eastAsia="Times New Roman" w:hAnsi="Times New Roman"/>
          <w:i/>
          <w:iCs/>
          <w:sz w:val="24"/>
          <w:szCs w:val="24"/>
          <w:lang w:eastAsia="es-ES"/>
        </w:rPr>
        <w:t>tradicional</w:t>
      </w:r>
      <w:r w:rsidRPr="001F3875">
        <w:rPr>
          <w:rFonts w:ascii="Times New Roman" w:eastAsia="Times New Roman" w:hAnsi="Times New Roman"/>
          <w:sz w:val="24"/>
          <w:szCs w:val="24"/>
          <w:lang w:eastAsia="es-ES"/>
        </w:rPr>
        <w:t xml:space="preserve"> con tratamientos moderados.</w:t>
      </w:r>
    </w:p>
    <w:p w:rsidR="00E02187" w:rsidRPr="001F3875"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lastRenderedPageBreak/>
        <w:drawing>
          <wp:inline distT="0" distB="0" distL="0" distR="0" wp14:anchorId="253B8480" wp14:editId="7756EB67">
            <wp:extent cx="5405932" cy="3065068"/>
            <wp:effectExtent l="0" t="0" r="4445" b="2540"/>
            <wp:docPr id="105" name="Imagen 105" descr="teaching-styles-3">
              <a:hlinkClick xmlns:a="http://schemas.openxmlformats.org/drawingml/2006/main" r:id="rId1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teaching-styles-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405932" cy="3065068"/>
                    </a:xfrm>
                    <a:prstGeom prst="rect">
                      <a:avLst/>
                    </a:prstGeom>
                    <a:noFill/>
                    <a:ln>
                      <a:noFill/>
                    </a:ln>
                  </pic:spPr>
                </pic:pic>
              </a:graphicData>
            </a:graphic>
          </wp:inline>
        </w:drawing>
      </w:r>
    </w:p>
    <w:p w:rsidR="00E02187"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DA6DA5">
        <w:rPr>
          <w:rFonts w:ascii="Times New Roman" w:eastAsia="Times New Roman" w:hAnsi="Times New Roman"/>
          <w:sz w:val="24"/>
          <w:szCs w:val="24"/>
          <w:u w:val="single"/>
          <w:lang w:eastAsia="es-ES"/>
        </w:rPr>
        <w:t>La conclusión de este análisis es que mi evidencia anecdótica se explica muy bien con estos resultados. Si tiene usted un colegio con alumnos brillantes y profesores muy motivados, sea usted tan moderno como le parezca. En caso contrario, los experimentos con gaseosa</w:t>
      </w:r>
      <w:r w:rsidRPr="001F3875">
        <w:rPr>
          <w:rFonts w:ascii="Times New Roman" w:eastAsia="Times New Roman" w:hAnsi="Times New Roman"/>
          <w:sz w:val="24"/>
          <w:szCs w:val="24"/>
          <w:lang w:eastAsia="es-ES"/>
        </w:rPr>
        <w:t>. La conclusión de política es que puede ser útil dejar experimentar a los colegios con la metodología que mejor les parezca a los implicados y admitir la variedad. Si los resultados son buenos, adelante. Si son malos, volvemos a las tablas de multiplicar y la lista de los reyes godos.</w:t>
      </w:r>
    </w:p>
    <w:p w:rsidR="00E02187" w:rsidRDefault="00E02187" w:rsidP="00E02187">
      <w:pPr>
        <w:pStyle w:val="NormalWeb"/>
        <w:jc w:val="both"/>
      </w:pPr>
      <w:r>
        <w:t xml:space="preserve">- </w:t>
      </w:r>
      <w:r w:rsidRPr="00DF3DF7">
        <w:rPr>
          <w:u w:val="single"/>
        </w:rPr>
        <w:t>Por qué la universidad debería ser totalmente privada</w:t>
      </w:r>
      <w:r>
        <w:t xml:space="preserve"> (Libertad Digital - </w:t>
      </w:r>
      <w:r w:rsidRPr="00DF3DF7">
        <w:rPr>
          <w:b/>
        </w:rPr>
        <w:t>2/9/11</w:t>
      </w:r>
      <w:r>
        <w:t>)</w:t>
      </w:r>
    </w:p>
    <w:p w:rsidR="00E02187" w:rsidRDefault="00E02187" w:rsidP="00E02187">
      <w:pPr>
        <w:pStyle w:val="NormalWeb"/>
        <w:jc w:val="both"/>
      </w:pPr>
      <w:r>
        <w:t>(Por Juan Ramón Rallo)                                                                    Lectura recomendada</w:t>
      </w:r>
    </w:p>
    <w:p w:rsidR="00E02187" w:rsidRDefault="00E02187" w:rsidP="00E02187">
      <w:pPr>
        <w:pStyle w:val="NormalWeb"/>
        <w:jc w:val="both"/>
      </w:pPr>
      <w:r>
        <w:t>La enseñanza pública no garantiza una democratización del capital humano; más bien asegura su generalizada malinversión.</w:t>
      </w:r>
    </w:p>
    <w:p w:rsidR="00E02187" w:rsidRDefault="00E02187" w:rsidP="00E02187">
      <w:pPr>
        <w:pStyle w:val="NormalWeb"/>
        <w:jc w:val="both"/>
      </w:pPr>
      <w:r w:rsidRPr="007C7F03">
        <w:rPr>
          <w:u w:val="single"/>
        </w:rPr>
        <w:t>La práctica totalidad de la población coincide en que la enseñanza es uno de los pilares del Estado de Bienestar. Hablar de una privatización de la educación que vaya más allá del cheque escolar parece ser un tema tabú, incluso para los liberales.</w:t>
      </w:r>
      <w:r>
        <w:t xml:space="preserve"> Sin embargo, la teoría económica permite comprender por qué no sólo es recomendable sino imprescindible para el desarrollo que la enseñanza, especialmente la superior/universitaria, sea completamente privada.</w:t>
      </w:r>
    </w:p>
    <w:p w:rsidR="00E02187" w:rsidRPr="007C7F03" w:rsidRDefault="00E02187" w:rsidP="00E02187">
      <w:pPr>
        <w:pStyle w:val="NormalWeb"/>
        <w:jc w:val="both"/>
        <w:rPr>
          <w:u w:val="single"/>
        </w:rPr>
      </w:pPr>
      <w:r w:rsidRPr="007C7F03">
        <w:rPr>
          <w:u w:val="single"/>
        </w:rPr>
        <w:t>Lo esencial es tener claro qué debe ser y qué no debe ser la enseñanza universitaria</w:t>
      </w:r>
      <w:r>
        <w:t xml:space="preserve">. Por resumirlo, </w:t>
      </w:r>
      <w:r w:rsidRPr="007C7F03">
        <w:rPr>
          <w:u w:val="single"/>
        </w:rPr>
        <w:t>la universidad debe convertirse en una empresa cuyo propósito sea el de fabricar o proveer un bien de capital harto concreto y específico: el llamado capital humano muy especializado</w:t>
      </w:r>
      <w:r>
        <w:t xml:space="preserve">. </w:t>
      </w:r>
      <w:r w:rsidRPr="007C7F03">
        <w:rPr>
          <w:u w:val="single"/>
        </w:rPr>
        <w:t>La universidad no debe ser un foro público para adquirir una formación general un tanto más profunda que la proporcionada por la enseñanza secundaria y que nos convierta en buenos ciudadanos. O, al menos, no debe ser eso si luego pretendemos que esos años de carrera lectiva nos sirvan para lograr un sobresueldo en el mercado laboral.</w:t>
      </w:r>
    </w:p>
    <w:p w:rsidR="00E02187" w:rsidRPr="007C7F03" w:rsidRDefault="00E02187" w:rsidP="00E02187">
      <w:pPr>
        <w:pStyle w:val="NormalWeb"/>
        <w:jc w:val="both"/>
        <w:rPr>
          <w:u w:val="single"/>
        </w:rPr>
      </w:pPr>
      <w:r w:rsidRPr="007C7F03">
        <w:rPr>
          <w:u w:val="single"/>
        </w:rPr>
        <w:lastRenderedPageBreak/>
        <w:t>Por consiguiente, la universidad produce capital humano, esto es, inocula a sus clientes/estudiantes una serie de conocimientos teórico-prácticos que, con posterioridad, deberían permitirles producir en el mercado una mayor cantidad de bienes y servicios que otros agentes sin esa formación: el capital humano debe servir para incrementar la productividad de los trabajadores y, por tanto, lograr sueldos más elevados.</w:t>
      </w:r>
    </w:p>
    <w:p w:rsidR="00E02187" w:rsidRPr="000E245D" w:rsidRDefault="00E02187" w:rsidP="00E02187">
      <w:pPr>
        <w:pStyle w:val="NormalWeb"/>
        <w:jc w:val="both"/>
        <w:rPr>
          <w:u w:val="single"/>
        </w:rPr>
      </w:pPr>
      <w:r>
        <w:t xml:space="preserve">El capital humano, pues, es un bien de capital más, con todo lo que ello entraña: su valor depende de su capacidad para generar bienes económicos valiosos dentro de un plan empresarial en el que deberá coordinarse y complementarse con otros bienes de capital. </w:t>
      </w:r>
      <w:r w:rsidRPr="000E245D">
        <w:rPr>
          <w:u w:val="single"/>
        </w:rPr>
        <w:t>Los sobresueldos (o los beneficios extraordinarios, si el estudiante se vuelve autónomo) son precisamente la remuneración de ese bien de capital, como los dividendos lo son de las acciones o los intereses de la renta fija. Y el sobresueldo podrá pagarse si un trabajador que dispone de un cierto capital humano es más productivo dentro de un determinado plan empresarial que otro trabajador que carece de ese capital humano.</w:t>
      </w:r>
    </w:p>
    <w:p w:rsidR="00E02187" w:rsidRDefault="00E02187" w:rsidP="00E02187">
      <w:pPr>
        <w:pStyle w:val="NormalWeb"/>
        <w:jc w:val="both"/>
      </w:pPr>
      <w:r w:rsidRPr="000E245D">
        <w:rPr>
          <w:u w:val="single"/>
        </w:rPr>
        <w:t>La tarea de las universidades no es nada sencilla</w:t>
      </w:r>
      <w:r>
        <w:t>. En cierto modo, cabe reputarlos como centros productivos de una enorme complejidad: su materia prima es un conocimiento tremendamente especializado -pensemos en la cantidad de licenciaturas y de maestrías que existen dentro de éstas- que año a año queda desfasado por el avance de la ciencia, por el eventual cambio de gustos de los consumidores y por las nuevas metodologías docentes. Sus clientes, los estudiantes, tienen que recibir una formación puntera (pues, en caso contrario, saldrán al mercado laboral y serán desplazados por otros trabajadores mejor adiestrados), que esté adaptada a las necesidades del consumidor (pues, en caso contrario, no habrá empresarios que quieran incorporarlos a sus planes de negocio abonándoles un sobresueldo) y que les sea lo más inteligible posible (pues, si no, todos los esfuerzos docentes serán en vano).</w:t>
      </w:r>
    </w:p>
    <w:p w:rsidR="00E02187" w:rsidRPr="000E245D" w:rsidRDefault="00E02187" w:rsidP="00E02187">
      <w:pPr>
        <w:pStyle w:val="NormalWeb"/>
        <w:jc w:val="both"/>
        <w:rPr>
          <w:color w:val="FF0000"/>
          <w:u w:val="single"/>
        </w:rPr>
      </w:pPr>
      <w:r w:rsidRPr="000E245D">
        <w:rPr>
          <w:u w:val="single"/>
        </w:rPr>
        <w:t>No se trata sólo, por tanto, de fo</w:t>
      </w:r>
      <w:r>
        <w:rPr>
          <w:u w:val="single"/>
        </w:rPr>
        <w:t>rmar a los mejores arquitectos -</w:t>
      </w:r>
      <w:r w:rsidRPr="000E245D">
        <w:rPr>
          <w:u w:val="single"/>
        </w:rPr>
        <w:t>o ingen</w:t>
      </w:r>
      <w:r>
        <w:rPr>
          <w:u w:val="single"/>
        </w:rPr>
        <w:t>ieros, o economistas o juristas-</w:t>
      </w:r>
      <w:r w:rsidRPr="000E245D">
        <w:rPr>
          <w:u w:val="single"/>
        </w:rPr>
        <w:t xml:space="preserve"> posibles desde un punto de vista técnico, sino también a aquellos que sepan diseñar las construcciones que vayan más en consonancia con los gustos de los consumidores (o quizá, si hay exceso de construcciones y arquitectos, lo acertado sea no formar a ningún arquitecto).</w:t>
      </w:r>
      <w:r>
        <w:t xml:space="preserve"> </w:t>
      </w:r>
      <w:r w:rsidRPr="000E245D">
        <w:rPr>
          <w:color w:val="FF0000"/>
          <w:u w:val="single"/>
        </w:rPr>
        <w:t>Los conocimientos que adquieren, en definitiva, no han de ser útiles para la formación personal y humana del alumno o para el avance en abstracto de la ciencia</w:t>
      </w:r>
      <w:r>
        <w:t xml:space="preserve"> -para lo cual puede haber otros centros adscritos a la universidad que realimenten la labor de la docencia-, </w:t>
      </w:r>
      <w:r w:rsidRPr="000E245D">
        <w:rPr>
          <w:color w:val="FF0000"/>
          <w:u w:val="single"/>
        </w:rPr>
        <w:t>sino para el consumidor, que al final es quien le pagará el sobresueldo al estudiante.</w:t>
      </w:r>
    </w:p>
    <w:p w:rsidR="00E02187" w:rsidRPr="00366A1E" w:rsidRDefault="00E02187" w:rsidP="00E02187">
      <w:pPr>
        <w:pStyle w:val="NormalWeb"/>
        <w:jc w:val="both"/>
      </w:pPr>
      <w:r>
        <w:t xml:space="preserve"> </w:t>
      </w:r>
      <w:r w:rsidRPr="000E245D">
        <w:rPr>
          <w:color w:val="FF0000"/>
          <w:u w:val="single"/>
        </w:rPr>
        <w:t>Así las cosas, un capital humano que no cu</w:t>
      </w:r>
      <w:r>
        <w:rPr>
          <w:color w:val="FF0000"/>
          <w:u w:val="single"/>
        </w:rPr>
        <w:t>mpla con estos tres requisitos -</w:t>
      </w:r>
      <w:r w:rsidRPr="000E245D">
        <w:rPr>
          <w:color w:val="FF0000"/>
          <w:u w:val="single"/>
        </w:rPr>
        <w:t>excelencia técnica y adaptación a las necesidades del consumidor que permita logr</w:t>
      </w:r>
      <w:r>
        <w:rPr>
          <w:color w:val="FF0000"/>
          <w:u w:val="single"/>
        </w:rPr>
        <w:t>ar un sobresueldo en el mercado-</w:t>
      </w:r>
      <w:r w:rsidRPr="000E245D">
        <w:rPr>
          <w:color w:val="FF0000"/>
          <w:u w:val="single"/>
        </w:rPr>
        <w:t xml:space="preserve"> puede considerarse una mala inversión, equiparable a la de un promotor inmobiliario que en el auge de una burbuja del ladrillo siguiera construyendo más y más viviendas que luego no ha podido colocar a buen precio.</w:t>
      </w:r>
    </w:p>
    <w:p w:rsidR="00E02187" w:rsidRPr="000E245D" w:rsidRDefault="00E02187" w:rsidP="00E02187">
      <w:pPr>
        <w:pStyle w:val="NormalWeb"/>
        <w:jc w:val="both"/>
        <w:rPr>
          <w:u w:val="single"/>
        </w:rPr>
      </w:pPr>
      <w:r w:rsidRPr="000E245D">
        <w:rPr>
          <w:u w:val="single"/>
        </w:rPr>
        <w:t xml:space="preserve">La cuestión es si la universidad pública puede proveer un capital humano que no sea en general un cúmulo de malas inversiones o si, por el contrario, el buen capital humano sólo podrá gestarse en centros universitarios privados sometidos a la competencia del mercado y a la ausencia de regulación del sector público. </w:t>
      </w:r>
    </w:p>
    <w:p w:rsidR="00E02187" w:rsidRDefault="00E02187" w:rsidP="00E02187">
      <w:pPr>
        <w:pStyle w:val="NormalWeb"/>
        <w:jc w:val="both"/>
      </w:pPr>
      <w:r>
        <w:lastRenderedPageBreak/>
        <w:t xml:space="preserve">Existen razones que afectan tanto a la oferta -a la manera que tienen las universidades de funcionar y enseñar- como a la demanda -a la cantidad y calidad de estudios que desean contratar los estudiantes- para </w:t>
      </w:r>
      <w:r w:rsidRPr="000E245D">
        <w:rPr>
          <w:u w:val="single"/>
        </w:rPr>
        <w:t>concluir que, como en cualquier otro centro productivo especializado, es imprescindible que la universidad esté sometida por entero a la competencia propia del libre mercado.</w:t>
      </w:r>
      <w:r>
        <w:t xml:space="preserve"> </w:t>
      </w:r>
    </w:p>
    <w:p w:rsidR="00E02187" w:rsidRDefault="00E02187" w:rsidP="00E02187">
      <w:pPr>
        <w:pStyle w:val="NormalWeb"/>
        <w:jc w:val="both"/>
      </w:pPr>
      <w:r>
        <w:t xml:space="preserve">Entre las de oferta, </w:t>
      </w:r>
      <w:r w:rsidRPr="000E245D">
        <w:rPr>
          <w:u w:val="single"/>
        </w:rPr>
        <w:t>la universidad debe ser suficientemente flexible como para adaptar su conocimiento técnico y sus métodos docentes a las muy cambiantes necesidades del mercado (de las empresas y de los consumidores).</w:t>
      </w:r>
      <w:r>
        <w:t xml:space="preserve"> </w:t>
      </w:r>
      <w:r>
        <w:rPr>
          <w:u w:val="single"/>
        </w:rPr>
        <w:t>El profesorado -</w:t>
      </w:r>
      <w:r w:rsidRPr="000E245D">
        <w:rPr>
          <w:u w:val="single"/>
        </w:rPr>
        <w:t>y la organización d</w:t>
      </w:r>
      <w:r>
        <w:rPr>
          <w:u w:val="single"/>
        </w:rPr>
        <w:t>e éste dentro de la universidad-</w:t>
      </w:r>
      <w:r w:rsidRPr="000E245D">
        <w:rPr>
          <w:u w:val="single"/>
        </w:rPr>
        <w:t xml:space="preserve"> ha de estar sometida a una reelaboración continuo; una flexibilidad que sólo puede lograrse no a golpe de planificación central y de planes quinquenales, sino merced a la presión competitiva de otras universidades más eficientes que pueden terminar desplazando a las menos eficientes</w:t>
      </w:r>
      <w:r>
        <w:t xml:space="preserve">. </w:t>
      </w:r>
      <w:r w:rsidRPr="000E245D">
        <w:rPr>
          <w:u w:val="single"/>
        </w:rPr>
        <w:t>Es necesario que los modelos educativos que queden desfasados puedan desaparecer y no se eternicen gracias a la teta del presupuesto público</w:t>
      </w:r>
      <w:r>
        <w:t xml:space="preserve">; para lo cual resulta a su vez necesario que los empresas y la administración puedan discriminar entre los títulos de distintas universidades según su calidad: </w:t>
      </w:r>
      <w:r w:rsidRPr="000E245D">
        <w:rPr>
          <w:u w:val="single"/>
        </w:rPr>
        <w:t>una licenciatura en una universidad puntera no puede ser equiparable a una licenciatura de una universidad deficiente</w:t>
      </w:r>
      <w:r>
        <w:t>.</w:t>
      </w:r>
    </w:p>
    <w:p w:rsidR="00E02187" w:rsidRPr="000E245D" w:rsidRDefault="00E02187" w:rsidP="00E02187">
      <w:pPr>
        <w:pStyle w:val="NormalWeb"/>
        <w:jc w:val="both"/>
        <w:rPr>
          <w:u w:val="single"/>
        </w:rPr>
      </w:pPr>
      <w:r w:rsidRPr="000E245D">
        <w:rPr>
          <w:u w:val="single"/>
        </w:rPr>
        <w:t>Asimismo, la competencia entre universidades no sólo afectaría a la calidad de sus servicios, sino también a su coste. Internet, los Ebooks y demás nuevas tecnologías ofrecen un sinfín de posibilidades para desarrollar nuevos modelos educativos que vayan más allá de la universidad tradicional</w:t>
      </w:r>
      <w:r>
        <w:t xml:space="preserve">. La participación de un centro de enseñanza superior en la formación del capital humano puede ser muy variable: desde la tutela directa y presencial de un equipo docente durante 20 horas semanales a lo largo de cinco años a la provisión del material docente y posterior certificación de que un determinado alumno a adquirido por su cuenta los conocimientos reconocidos en su título, pasando por la enseñanza online presencial o no presencial. Cada universidad podría configurar su propia oferta de servicios académicos, cuyo precio sería creciente con su coste (con el grado de implicación en la formación) y permitiría a una variedad muy amplia de alumnos, con niveles de renta muy diversos, acceder a un mismo título. </w:t>
      </w:r>
      <w:r w:rsidRPr="000E245D">
        <w:rPr>
          <w:u w:val="single"/>
        </w:rPr>
        <w:t>A día de hoy ya existen numerosos centros que cobran sólo por examinar y certificar la adquisición de unos determinados conocimientos, sin perjuicio de que, abonando un sobreprecio, los estudiantes puedan comprar directamente los materiales o asistir a clases presenciales.</w:t>
      </w:r>
    </w:p>
    <w:p w:rsidR="00E02187" w:rsidRPr="000E245D" w:rsidRDefault="00E02187" w:rsidP="00E02187">
      <w:pPr>
        <w:pStyle w:val="NormalWeb"/>
        <w:jc w:val="both"/>
        <w:rPr>
          <w:u w:val="single"/>
        </w:rPr>
      </w:pPr>
      <w:r w:rsidRPr="000E245D">
        <w:rPr>
          <w:u w:val="single"/>
        </w:rPr>
        <w:t>Igualmente, tampoco tiene demasiado sentido que la carrera universitaria sólo pueda ser un corpus inseparable de conocimientos que proporcionen una visión presuntamente completa al alumno sobre una materia a lo largo de cuatro o cinco años</w:t>
      </w:r>
      <w:r>
        <w:t xml:space="preserve">. </w:t>
      </w:r>
      <w:r w:rsidRPr="000E245D">
        <w:rPr>
          <w:u w:val="single"/>
        </w:rPr>
        <w:t>Lo lógico sería que ca</w:t>
      </w:r>
      <w:r>
        <w:rPr>
          <w:u w:val="single"/>
        </w:rPr>
        <w:t>da universidad pudiese ofrecer “packs”</w:t>
      </w:r>
      <w:r w:rsidRPr="000E245D">
        <w:rPr>
          <w:u w:val="single"/>
        </w:rPr>
        <w:t xml:space="preserve"> de duración y precio mucho más reducido y con un contenido mucho más específico; el objetivo es formar especialistas que sepan desarrollar servicios extraordinarios en una materia</w:t>
      </w:r>
      <w:r>
        <w:t xml:space="preserve">. El mejor contable del mundo no tiene por qué tener un conocimiento demasiado profundo sobre macroeconomía, por lo que ambas materias no tienen por qué estudiarse a la vez: la posibilidad de estudiar por módulos que puedan adquirir los alumnos, sin perjuicio de la obtención de un título que acredite exactamente los conocimientos adquiridos, proporciona una flexibilidad enorme a la hora de formar el capital humano y a la hora de reorganizar internamente las materias impartidas y los métodos empleados. </w:t>
      </w:r>
      <w:r w:rsidRPr="000E245D">
        <w:rPr>
          <w:u w:val="single"/>
        </w:rPr>
        <w:t xml:space="preserve">Más que observar los estudios universitarios como una variable discreta (0 o 1: o se tiene un título, aunque falte una </w:t>
      </w:r>
      <w:r w:rsidRPr="000E245D">
        <w:rPr>
          <w:u w:val="single"/>
        </w:rPr>
        <w:lastRenderedPageBreak/>
        <w:t xml:space="preserve">asignatura, o no se tiene), habría que entenderla como una variable continua (se poseen distintos grados de conocimiento reflejados en un currículum dinámico). </w:t>
      </w:r>
    </w:p>
    <w:p w:rsidR="00E02187" w:rsidRPr="000E245D" w:rsidRDefault="00E02187" w:rsidP="00E02187">
      <w:pPr>
        <w:pStyle w:val="NormalWeb"/>
        <w:jc w:val="both"/>
        <w:rPr>
          <w:u w:val="single"/>
        </w:rPr>
      </w:pPr>
      <w:r w:rsidRPr="000E245D">
        <w:rPr>
          <w:u w:val="single"/>
        </w:rPr>
        <w:t>Por lo que respecta a la demanda, nunca olvidemos que la enseñanza universitaria es una inversión en un activo llamado capital humano y cuya rentabilidad es el sobresueldo que cosecha el trabajador</w:t>
      </w:r>
      <w:r>
        <w:t xml:space="preserve">. Si reputaríamos absurdo que el Estado nos concediera a todos (o, más bien, a unos cuantos adolescentes) un cheque de, por ejemplo, 20.000 euros para que todos pudiésemos poseer una cartera de acciones bursátiles (¡y no sólo los ricos ahorradores!), </w:t>
      </w:r>
      <w:r w:rsidRPr="000E245D">
        <w:rPr>
          <w:u w:val="single"/>
        </w:rPr>
        <w:t>deberíamos considerar igualmente absurdo que el Estado subvencionara la demanda de lo que es, repito, una inversión en un activo muy específico y especializado como es el capital humano.</w:t>
      </w:r>
    </w:p>
    <w:p w:rsidR="00E02187" w:rsidRPr="000E245D" w:rsidRDefault="00E02187" w:rsidP="00E02187">
      <w:pPr>
        <w:pStyle w:val="NormalWeb"/>
        <w:jc w:val="both"/>
        <w:rPr>
          <w:u w:val="single"/>
        </w:rPr>
      </w:pPr>
      <w:r w:rsidRPr="000E245D">
        <w:rPr>
          <w:color w:val="FF0000"/>
          <w:u w:val="single"/>
        </w:rPr>
        <w:t>¿Y por qué es absurdo? Para empezar, porque los costes se socializan (todos los contribuyentes sostienen la universidad pública) pero los beneficios se privatizan (los sobresueldos percibidos por cada trabajador).</w:t>
      </w:r>
      <w:r>
        <w:t xml:space="preserve"> Se puede pensar que un sistema fiscal progresivo contrarresta este hecho (paga más quien más gana), pero no olvidemos que no todos quienes obtienen un sobresueldo tienen que obtenerlo por gozar de estudios universitarios... ni todos los que gocen de estudios universitarios, tienen por qué obtener un sobresueldo ni tampoco obtenerlo en virtud de ese título. </w:t>
      </w:r>
      <w:r w:rsidRPr="000E245D">
        <w:rPr>
          <w:u w:val="single"/>
        </w:rPr>
        <w:t>Por tanto, el sistema fiscal progresivo es una manera muy torpe e injusta de contrarrestar la socialización de los costes y la privatización las ganancias.</w:t>
      </w:r>
    </w:p>
    <w:p w:rsidR="00E02187" w:rsidRDefault="00E02187" w:rsidP="00E02187">
      <w:pPr>
        <w:pStyle w:val="NormalWeb"/>
        <w:jc w:val="both"/>
      </w:pPr>
      <w:r w:rsidRPr="000E245D">
        <w:rPr>
          <w:u w:val="single"/>
        </w:rPr>
        <w:t>Pero el problema de fondo es otro: la lógica y la conveniencia de toda inversión depende de que la rentabilidad de la misma sea positiva y superior a la de otros activos de riesgo similar. Es decir, se trata no sólo de ganar dinero, sino de ganar al menos el mismo que podríamos obtener en otras inversiones</w:t>
      </w:r>
      <w:r>
        <w:t>. Si subvencionamos total o parcialmente el coste de la universidad, lo lógico es que la demanda de estudios universitarios se dispare muy por encima de lo que es realmente rentable y conveniente. Por ejemplo, si el coste de estudiar cinco años en la universidad es de 40.000 euros pero el Estado la ofrece gratuitamente, un estudiante decidirá invertir en capital humano aun cuando los sobresueldos que consiga a lo largo de su vida laboral no superen los 30.000 euros. Es decir, la inversión será ruinosa (el coste de obtener el capital humano será mayor que la utilidad que proporciona) pero el incentivo será a acometerla.</w:t>
      </w:r>
    </w:p>
    <w:p w:rsidR="00E02187" w:rsidRPr="000E245D" w:rsidRDefault="00E02187" w:rsidP="00E02187">
      <w:pPr>
        <w:pStyle w:val="NormalWeb"/>
        <w:jc w:val="both"/>
        <w:rPr>
          <w:color w:val="FF0000"/>
          <w:u w:val="single"/>
        </w:rPr>
      </w:pPr>
      <w:r w:rsidRPr="000E245D">
        <w:rPr>
          <w:color w:val="FF0000"/>
          <w:u w:val="single"/>
        </w:rPr>
        <w:t>Obviamente, si el coste privado de ir a la universidad es cero, lo que cabe esperar es, primero, que su demanda se masifique aun cuando los sobresueldos logrados sean nulos; y, segundo, si existen otros beneficios no monetarios de acudir a la universidad (por ejemplo, cinco años sabáticos en los que no se estudia demasiado y se disfruta de una juventud dorada), los alumnos tenderán a desatender por completo qué disciplinas deben dominar para percibir los sobresueldos que presuntamente justifican la enseñanza universitaria (elección casi aleatoria o por interés personal de la materia). En definitiva, si el Estado subvenciona el coste de la universidad, su demanda será siempre excesiva y generalmente despreocupada por la calidad de la oferta.</w:t>
      </w:r>
    </w:p>
    <w:p w:rsidR="00E02187" w:rsidRPr="000E245D" w:rsidRDefault="00E02187" w:rsidP="00E02187">
      <w:pPr>
        <w:pStyle w:val="NormalWeb"/>
        <w:jc w:val="both"/>
        <w:rPr>
          <w:color w:val="FF0000"/>
          <w:u w:val="single"/>
        </w:rPr>
      </w:pPr>
      <w:r w:rsidRPr="000E245D">
        <w:rPr>
          <w:u w:val="single"/>
        </w:rPr>
        <w:t>La titulitis es una enfermedad propia de sociedades donde la universidad carece de precio, donde los alumnos no están en absoluto interesados en comparar los costes y los beneficios de la inversión en capital humano y donde los centros encargados de expedir el título no se juegan su supervivencia en su calidad diferencial</w:t>
      </w:r>
      <w:r>
        <w:t xml:space="preserve">. </w:t>
      </w:r>
      <w:r w:rsidRPr="000E245D">
        <w:rPr>
          <w:color w:val="FF0000"/>
          <w:u w:val="single"/>
        </w:rPr>
        <w:t xml:space="preserve">Una sociedad no necesita universitarios en general, sino personas especializadas en muy diversas áreas; cuando lo que proporciona es una imprenta de licenciaturas y de jóvenes incolocables </w:t>
      </w:r>
      <w:r>
        <w:rPr>
          <w:color w:val="FF0000"/>
          <w:u w:val="single"/>
        </w:rPr>
        <w:t>-</w:t>
      </w:r>
      <w:r w:rsidRPr="000E245D">
        <w:rPr>
          <w:color w:val="FF0000"/>
          <w:u w:val="single"/>
        </w:rPr>
        <w:lastRenderedPageBreak/>
        <w:t xml:space="preserve">que además deben recurrir a posgrados privados </w:t>
      </w:r>
      <w:r>
        <w:rPr>
          <w:color w:val="FF0000"/>
          <w:u w:val="single"/>
        </w:rPr>
        <w:t>para especializarse mínimamente-</w:t>
      </w:r>
      <w:r w:rsidRPr="000E245D">
        <w:rPr>
          <w:color w:val="FF0000"/>
          <w:u w:val="single"/>
        </w:rPr>
        <w:t xml:space="preserve">, es que su sistema universitario es completamente fallido. </w:t>
      </w:r>
    </w:p>
    <w:p w:rsidR="00E02187" w:rsidRDefault="00E02187" w:rsidP="00E02187">
      <w:pPr>
        <w:pStyle w:val="NormalWeb"/>
        <w:jc w:val="both"/>
      </w:pPr>
      <w:r w:rsidRPr="000E245D">
        <w:rPr>
          <w:u w:val="single"/>
        </w:rPr>
        <w:t>Por último, que el precio de la enseñanza superior refleje todo su coste no significa ni mucho menos que las diferencias sociales vayan a ahondarse. Primero, porque un rico que sea tonto no obtendrá durante mucho tiempo un sobresueldo gracias a un título de calidad comprado a tocateja</w:t>
      </w:r>
      <w:r>
        <w:t xml:space="preserve"> (otra cosa son los contactos familiares, pero eso es independiente de la titulación); y si eso es así, la compra de licenciaturas por parte de los ricos tenderá más bien a descapitalizarlos (habría sido mejor que metieran el dinero en una acción que proporciona una renta del 7% anual que en un título que renta un 0% al año).</w:t>
      </w:r>
    </w:p>
    <w:p w:rsidR="00E02187" w:rsidRPr="00724211" w:rsidRDefault="00E02187" w:rsidP="00E02187">
      <w:pPr>
        <w:pStyle w:val="NormalWeb"/>
        <w:jc w:val="both"/>
        <w:rPr>
          <w:u w:val="single"/>
        </w:rPr>
      </w:pPr>
      <w:r w:rsidRPr="00724211">
        <w:rPr>
          <w:u w:val="single"/>
        </w:rPr>
        <w:t>Y segundo, porque los pobres inteligentes no sólo pueden ser becados por las universidades privadas (cosa que ya sucede en la actualidad), pues el prestigio de éstas procede de tener alumnos excelentes y bien colocados en el establishment, sino porque la versatilidad de una industria universitaria privada y desregulada permitiría una variedad de precios tan grande que daría paso a una formación realmente continua</w:t>
      </w:r>
      <w:r>
        <w:t xml:space="preserve">. En ninguna parte está escrito que una persona debe adquirir todo su capital humano de los 18 a los 23 años. Perfectamente puede estudiarse un módulo de finanzas, percibir un sobresueldo durante cuatro años, ahorrar parte del mismo y costearse el estudio de otro módulo, etc. Lo único que de facto cambiaría es que la gente analizaría mucho más cada paso que da: a saber, si conviene (si es rentable) ampliar un poco más su formación en cada una de las etapas de su vida. De hecho, así habrán de hacerse las cosas: </w:t>
      </w:r>
      <w:r w:rsidRPr="00724211">
        <w:rPr>
          <w:u w:val="single"/>
        </w:rPr>
        <w:t>el capital humano debería estar en continuo reciclaje (no quedarse estancado en los conocimientos adquiridos durante la adolescencia) y orientarse siempre a la creación de un mayor valor para el consumidor que aquel que ha costado formarlo.</w:t>
      </w:r>
    </w:p>
    <w:p w:rsidR="00E02187" w:rsidRDefault="00E02187" w:rsidP="00E02187">
      <w:pPr>
        <w:pStyle w:val="NormalWeb"/>
        <w:jc w:val="both"/>
      </w:pPr>
      <w:r>
        <w:t>La enseñanza pública no garantiza una democratización del capital humano; más bien asegura su generalizada malinversión.</w:t>
      </w:r>
    </w:p>
    <w:p w:rsidR="00E02187" w:rsidRDefault="00E02187" w:rsidP="00E02187">
      <w:pPr>
        <w:pStyle w:val="NormalWeb"/>
        <w:jc w:val="both"/>
      </w:pPr>
      <w:r>
        <w:t>(</w:t>
      </w:r>
      <w:r w:rsidRPr="005A7BF9">
        <w:t>Juan Ramón Rallo es</w:t>
      </w:r>
      <w:r>
        <w:t xml:space="preserve"> doctor en Economía </w:t>
      </w:r>
      <w:r w:rsidRPr="005A7BF9">
        <w:t>y licenciado</w:t>
      </w:r>
      <w:r>
        <w:t xml:space="preserve"> en Derecho </w:t>
      </w:r>
      <w:r w:rsidRPr="005A7BF9">
        <w:t>por la Universidad de Valencia</w:t>
      </w:r>
      <w:r>
        <w:t xml:space="preserve">, </w:t>
      </w:r>
      <w:r w:rsidRPr="005A7BF9">
        <w:t>master en Economía de la Escuela Austriaca por la Universidad Rey Juan</w:t>
      </w:r>
      <w:r>
        <w:t xml:space="preserve"> Carlos de Madrid. E</w:t>
      </w:r>
      <w:r w:rsidRPr="005A7BF9">
        <w:t>s profesor en esta última universidad y en los centros de e</w:t>
      </w:r>
      <w:r>
        <w:t>studios OMMA e Isead. E</w:t>
      </w:r>
      <w:r w:rsidRPr="005A7BF9">
        <w:t>s directo</w:t>
      </w:r>
      <w:r>
        <w:t>r del Instituto Juan de Mariana…)</w:t>
      </w:r>
    </w:p>
    <w:p w:rsidR="00E02187" w:rsidRPr="00CB7961" w:rsidRDefault="00E02187" w:rsidP="00E02187">
      <w:pPr>
        <w:pStyle w:val="NormalWeb"/>
        <w:jc w:val="both"/>
        <w:rPr>
          <w:u w:val="single"/>
        </w:rPr>
      </w:pPr>
      <w:r>
        <w:rPr>
          <w:u w:val="single"/>
        </w:rPr>
        <w:t xml:space="preserve">Finlandia: un sistema modélico </w:t>
      </w:r>
      <w:r w:rsidRPr="00CB7961">
        <w:rPr>
          <w:u w:val="single"/>
        </w:rPr>
        <w:t>(donde ser “maestro” es la profesión más respetada)</w:t>
      </w:r>
    </w:p>
    <w:p w:rsidR="00E02187" w:rsidRPr="00CB7961" w:rsidRDefault="00E02187" w:rsidP="00E02187">
      <w:pPr>
        <w:pStyle w:val="NormalWeb"/>
        <w:jc w:val="both"/>
      </w:pPr>
      <w:r>
        <w:rPr>
          <w:i/>
        </w:rPr>
        <w:t>“</w:t>
      </w:r>
      <w:r w:rsidRPr="00CB7961">
        <w:rPr>
          <w:i/>
        </w:rPr>
        <w:t>La primera opción profesional de los finlandeses es la del profesorado. Ser maestro implica gran prestigio y reconocimiento sociales, por lo que la mayoría de sus estudiantes, y los más dotados entre ellos, tratan de acceder a sus escuelas de magisterio, algo que sólo una pequeña parte consigue</w:t>
      </w:r>
      <w:r>
        <w:rPr>
          <w:i/>
        </w:rPr>
        <w:t>”..</w:t>
      </w:r>
      <w:r w:rsidRPr="00CB7961">
        <w:rPr>
          <w:i/>
        </w:rPr>
        <w:t xml:space="preserve">. </w:t>
      </w:r>
      <w:r w:rsidRPr="00510BE6">
        <w:rPr>
          <w:u w:val="single"/>
        </w:rPr>
        <w:t>Así se forman los mejores profesores del mundo</w:t>
      </w:r>
      <w:r>
        <w:t xml:space="preserve"> (El Confidencial - </w:t>
      </w:r>
      <w:r w:rsidRPr="00510BE6">
        <w:rPr>
          <w:b/>
        </w:rPr>
        <w:t>7/9/11</w:t>
      </w:r>
      <w:r>
        <w:t>)</w:t>
      </w:r>
    </w:p>
    <w:p w:rsidR="00E02187" w:rsidRPr="00CB7961"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B7961">
        <w:rPr>
          <w:rFonts w:ascii="Times New Roman" w:eastAsia="Times New Roman" w:hAnsi="Times New Roman"/>
          <w:sz w:val="24"/>
          <w:szCs w:val="24"/>
          <w:lang w:eastAsia="es-ES"/>
        </w:rPr>
        <w:t xml:space="preserve">El </w:t>
      </w:r>
      <w:hyperlink r:id="rId108" w:tgtFrame="_blank" w:history="1">
        <w:r w:rsidRPr="00CB7961">
          <w:rPr>
            <w:rFonts w:ascii="Times New Roman" w:eastAsia="Times New Roman" w:hAnsi="Times New Roman"/>
            <w:sz w:val="24"/>
            <w:szCs w:val="24"/>
            <w:lang w:eastAsia="es-ES"/>
          </w:rPr>
          <w:t>sistema educativo del país nórdico</w:t>
        </w:r>
      </w:hyperlink>
      <w:r w:rsidRPr="00CB7961">
        <w:rPr>
          <w:rFonts w:ascii="Times New Roman" w:eastAsia="Times New Roman" w:hAnsi="Times New Roman"/>
          <w:sz w:val="24"/>
          <w:szCs w:val="24"/>
          <w:lang w:eastAsia="es-ES"/>
        </w:rPr>
        <w:t xml:space="preserve">, que aparece sistemáticamente entre los mejores del mundo en los informes PISA, ha convertido al docente en el núcleo de una apuesta educativa de grandes dimensiones. Finlandia carece de recursos naturales, por lo que la supervivencia económica de la nación depende en gran medida de la cualificación profesional de sus habitantes. Conscientes de la situación, los gobernantes escandinavos decidieron décadas atrás que, para situarse en lo más alto del ranking educativo, no sólo habían de contar con los medios y los métodos adecuados, sino que debían poner al </w:t>
      </w:r>
      <w:r w:rsidRPr="00CB7961">
        <w:rPr>
          <w:rFonts w:ascii="Times New Roman" w:eastAsia="Times New Roman" w:hAnsi="Times New Roman"/>
          <w:sz w:val="24"/>
          <w:szCs w:val="24"/>
          <w:lang w:eastAsia="es-ES"/>
        </w:rPr>
        <w:lastRenderedPageBreak/>
        <w:t xml:space="preserve">frente a las personas más valiosas. Por eso, asegura </w:t>
      </w:r>
      <w:r w:rsidRPr="00CB7961">
        <w:rPr>
          <w:rFonts w:ascii="Times New Roman" w:eastAsia="Times New Roman" w:hAnsi="Times New Roman"/>
          <w:bCs/>
          <w:sz w:val="24"/>
          <w:szCs w:val="24"/>
          <w:lang w:eastAsia="es-ES"/>
        </w:rPr>
        <w:t>Eeva Sippola</w:t>
      </w:r>
      <w:r w:rsidRPr="00CB7961">
        <w:rPr>
          <w:rFonts w:ascii="Times New Roman" w:eastAsia="Times New Roman" w:hAnsi="Times New Roman"/>
          <w:sz w:val="24"/>
          <w:szCs w:val="24"/>
          <w:lang w:eastAsia="es-ES"/>
        </w:rPr>
        <w:t xml:space="preserve">, agregada del Instituto Cultural Iberoamericano de Finlandia, sólo eligen como futuros docentes a los estudiantes más capacitados: </w:t>
      </w:r>
      <w:r w:rsidRPr="00CB7961">
        <w:rPr>
          <w:rFonts w:ascii="Times New Roman" w:eastAsia="Times New Roman" w:hAnsi="Times New Roman"/>
          <w:bCs/>
          <w:sz w:val="24"/>
          <w:szCs w:val="24"/>
          <w:lang w:eastAsia="es-ES"/>
        </w:rPr>
        <w:t>si la educación es lo más importante, tendrán que ser las personas más preparadas las que impartan docencia</w:t>
      </w:r>
      <w:r w:rsidRPr="00CB7961">
        <w:rPr>
          <w:rFonts w:ascii="Times New Roman" w:eastAsia="Times New Roman" w:hAnsi="Times New Roman"/>
          <w:sz w:val="24"/>
          <w:szCs w:val="24"/>
          <w:lang w:eastAsia="es-ES"/>
        </w:rPr>
        <w:t xml:space="preserve">. </w:t>
      </w:r>
    </w:p>
    <w:p w:rsidR="00E02187" w:rsidRPr="00CB7961" w:rsidRDefault="00E02187" w:rsidP="00E02187">
      <w:pPr>
        <w:spacing w:after="0" w:line="240" w:lineRule="auto"/>
        <w:jc w:val="both"/>
        <w:rPr>
          <w:rFonts w:ascii="Times New Roman" w:eastAsia="Times New Roman" w:hAnsi="Times New Roman"/>
          <w:sz w:val="24"/>
          <w:szCs w:val="24"/>
          <w:lang w:eastAsia="es-ES"/>
        </w:rPr>
      </w:pPr>
    </w:p>
    <w:p w:rsidR="00E02187" w:rsidRPr="00CB7961" w:rsidRDefault="00E02187" w:rsidP="00E02187">
      <w:pPr>
        <w:spacing w:after="0" w:line="240" w:lineRule="auto"/>
        <w:jc w:val="both"/>
        <w:rPr>
          <w:rFonts w:ascii="Times New Roman" w:eastAsia="Times New Roman" w:hAnsi="Times New Roman"/>
          <w:sz w:val="24"/>
          <w:szCs w:val="24"/>
          <w:lang w:eastAsia="es-ES"/>
        </w:rPr>
      </w:pPr>
      <w:r w:rsidRPr="00CB7961">
        <w:rPr>
          <w:rFonts w:ascii="Times New Roman" w:eastAsia="Times New Roman" w:hAnsi="Times New Roman"/>
          <w:noProof/>
          <w:sz w:val="24"/>
          <w:szCs w:val="24"/>
          <w:lang w:eastAsia="es-ES"/>
        </w:rPr>
        <w:drawing>
          <wp:anchor distT="0" distB="0" distL="0" distR="0" simplePos="0" relativeHeight="251661312" behindDoc="0" locked="0" layoutInCell="1" allowOverlap="0" wp14:anchorId="609EE7DB" wp14:editId="4B31A648">
            <wp:simplePos x="0" y="0"/>
            <wp:positionH relativeFrom="column">
              <wp:align>left</wp:align>
            </wp:positionH>
            <wp:positionV relativeFrom="line">
              <wp:posOffset>0</wp:posOffset>
            </wp:positionV>
            <wp:extent cx="5332730" cy="1170305"/>
            <wp:effectExtent l="0" t="0" r="1270" b="0"/>
            <wp:wrapSquare wrapText="bothSides"/>
            <wp:docPr id="116" name="Imagen 116" descr="2011090635gasto_publico_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11090635gasto_publico_int"/>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332730" cy="11703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B7961">
        <w:rPr>
          <w:rFonts w:ascii="Times New Roman" w:eastAsia="Times New Roman" w:hAnsi="Times New Roman"/>
          <w:sz w:val="24"/>
          <w:szCs w:val="24"/>
          <w:lang w:eastAsia="es-ES"/>
        </w:rPr>
        <w:t>(Gasto público en educación Fuente: Embajada de Finlandia)</w:t>
      </w:r>
    </w:p>
    <w:p w:rsidR="00E02187" w:rsidRPr="00CB7961"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B7961">
        <w:rPr>
          <w:rFonts w:ascii="Times New Roman" w:eastAsia="Times New Roman" w:hAnsi="Times New Roman"/>
          <w:sz w:val="24"/>
          <w:szCs w:val="24"/>
          <w:lang w:eastAsia="es-ES"/>
        </w:rPr>
        <w:t xml:space="preserve">La formación de los maestros es universitaria, tiene categoría de master y trata de formar tanto en contenido como en métodos, preparando a los futuros docentes para que puedan enseñar e instruir, pero también educar. Además, su área de acción se amplía más allá del colegio, toda vez que el constructivismo, el sistema pedagógico en el que se basa el sistema finlandés, aboga por un aprendizaje que no se lleva únicamente a cabo en el interior de las aulas. “Los niños aprenden en el colegio, pero también a través de un montón de experiencias de la vida diaria. Por eso el docente trata, sobre todo, de que el niño aprenda a aprender”. El objetivo último es proporcionar a los niños las herramientas adecuadas para que sepa activar los recursos necesarios para seleccionar y relacionar datos y conceptos, y para que se desenvuelva intelectualmente por sí mismo. En este terreno se ubica también la última novedad pedagógica, el aprendizaje por proyectos, que abarcan asuntos concretos y amplios en los que interactúan asignaturas muy distintas. </w:t>
      </w:r>
    </w:p>
    <w:p w:rsidR="00E02187" w:rsidRPr="00CB7961"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B7961">
        <w:rPr>
          <w:rFonts w:ascii="Times New Roman" w:eastAsia="Times New Roman" w:hAnsi="Times New Roman"/>
          <w:sz w:val="24"/>
          <w:szCs w:val="24"/>
          <w:lang w:eastAsia="es-ES"/>
        </w:rPr>
        <w:t>La educación básica, que es el campo en el que Finlandia destaca muy especialmente, se presta a través de los 450 municipios en que se divide el país, que están obligados a garantizar la enseñanza para todos los niños en edad escolar residentes en su territorio. Son los colegios los que fijan las acciones educativas concretas, y aunque las asociaciones de padres son escuchadas, señala Sippola, “tienen mucho menos peso que en España</w:t>
      </w:r>
      <w:r w:rsidRPr="00CB7961">
        <w:rPr>
          <w:rFonts w:ascii="Times New Roman" w:eastAsia="Times New Roman" w:hAnsi="Times New Roman"/>
          <w:bCs/>
          <w:sz w:val="24"/>
          <w:szCs w:val="24"/>
          <w:lang w:eastAsia="es-ES"/>
        </w:rPr>
        <w:t>. Los profesores son figuras muy respetadas, y por eso los padres no suelen discutir sus decisiones educativas</w:t>
      </w:r>
      <w:r w:rsidRPr="00CB7961">
        <w:rPr>
          <w:rFonts w:ascii="Times New Roman" w:eastAsia="Times New Roman" w:hAnsi="Times New Roman"/>
          <w:sz w:val="24"/>
          <w:szCs w:val="24"/>
          <w:lang w:eastAsia="es-ES"/>
        </w:rPr>
        <w:t xml:space="preserve">”. </w:t>
      </w:r>
    </w:p>
    <w:p w:rsidR="00E02187" w:rsidRPr="00CB7961"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B7961">
        <w:rPr>
          <w:rFonts w:ascii="Times New Roman" w:eastAsia="Times New Roman" w:hAnsi="Times New Roman"/>
          <w:sz w:val="24"/>
          <w:szCs w:val="24"/>
          <w:lang w:eastAsia="es-ES"/>
        </w:rPr>
        <w:t xml:space="preserve">El maestro de primero a sexto de básica ha de poseer una licenciatura que tenga la pedagogía como asignatura principal y que cuente con 300 créditos ECTS. El profesor de séptimo a noveno grado, el de Bachillerato, el de Formación Profesional y el profesor de educación han de ser licenciados que cuenten, </w:t>
      </w:r>
      <w:r w:rsidRPr="00CB7961">
        <w:rPr>
          <w:rFonts w:ascii="Times New Roman" w:eastAsia="Times New Roman" w:hAnsi="Times New Roman"/>
          <w:bCs/>
          <w:sz w:val="24"/>
          <w:szCs w:val="24"/>
          <w:lang w:eastAsia="es-ES"/>
        </w:rPr>
        <w:t>además de con una titulación, con 60 créditos conseguidos a través de estudios de pedagogía y prácticas tuteladas</w:t>
      </w:r>
      <w:r w:rsidRPr="00CB7961">
        <w:rPr>
          <w:rFonts w:ascii="Times New Roman" w:eastAsia="Times New Roman" w:hAnsi="Times New Roman"/>
          <w:sz w:val="24"/>
          <w:szCs w:val="24"/>
          <w:lang w:eastAsia="es-ES"/>
        </w:rPr>
        <w:t>.</w:t>
      </w:r>
    </w:p>
    <w:p w:rsidR="00E02187" w:rsidRPr="00CB7961"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B7961">
        <w:rPr>
          <w:rFonts w:ascii="Times New Roman" w:eastAsia="Times New Roman" w:hAnsi="Times New Roman"/>
          <w:sz w:val="24"/>
          <w:szCs w:val="24"/>
          <w:lang w:eastAsia="es-ES"/>
        </w:rPr>
        <w:t xml:space="preserve">En Formación Profesional, muy desarrollada en Finlandia (comprende 75 títulos básicos, que se obtienen en tres años y que permiten acceder a la universidad), los profesores se forman en cinco escuelas especiales adjuntas a escuelas superiores profesionales. En ellas </w:t>
      </w:r>
      <w:r w:rsidRPr="00CB7961">
        <w:rPr>
          <w:rFonts w:ascii="Times New Roman" w:eastAsia="Times New Roman" w:hAnsi="Times New Roman"/>
          <w:bCs/>
          <w:sz w:val="24"/>
          <w:szCs w:val="24"/>
          <w:lang w:eastAsia="es-ES"/>
        </w:rPr>
        <w:t>han de especializarse en estudios de pedagogía y realizar un periodo de práctica docente</w:t>
      </w:r>
      <w:r w:rsidRPr="00CB7961">
        <w:rPr>
          <w:rFonts w:ascii="Times New Roman" w:eastAsia="Times New Roman" w:hAnsi="Times New Roman"/>
          <w:sz w:val="24"/>
          <w:szCs w:val="24"/>
          <w:lang w:eastAsia="es-ES"/>
        </w:rPr>
        <w:t xml:space="preserve">. El objetivo de la formación es que los estudiantes puedan adquirir herramientas útiles para orientarse en un mercado laboral cambiante. </w:t>
      </w:r>
    </w:p>
    <w:p w:rsidR="00E02187" w:rsidRPr="00CB7961"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B7961">
        <w:rPr>
          <w:rFonts w:ascii="Times New Roman" w:eastAsia="Times New Roman" w:hAnsi="Times New Roman"/>
          <w:sz w:val="24"/>
          <w:szCs w:val="24"/>
          <w:lang w:eastAsia="es-ES"/>
        </w:rPr>
        <w:lastRenderedPageBreak/>
        <w:t xml:space="preserve">Una vez que el docente se ha incorporado a su puesto de trabajo ha de proseguir sus estudios por dos vías. La primera es la de la formación continua, cuyas exigencias variarán según los planes fijados por los municipios, que son los encargados de organizar los estudios de extensión. </w:t>
      </w:r>
      <w:r w:rsidRPr="00CB7961">
        <w:rPr>
          <w:rFonts w:ascii="Times New Roman" w:eastAsia="Times New Roman" w:hAnsi="Times New Roman"/>
          <w:bCs/>
          <w:sz w:val="24"/>
          <w:szCs w:val="24"/>
          <w:lang w:eastAsia="es-ES"/>
        </w:rPr>
        <w:t>Están obligados, en todo caso, a facilitar tres días retribuidos al año para la capacitación complementaria de los docentes.</w:t>
      </w:r>
      <w:r w:rsidRPr="00CB7961">
        <w:rPr>
          <w:rFonts w:ascii="Times New Roman" w:eastAsia="Times New Roman" w:hAnsi="Times New Roman"/>
          <w:sz w:val="24"/>
          <w:szCs w:val="24"/>
          <w:lang w:eastAsia="es-ES"/>
        </w:rPr>
        <w:t xml:space="preserve"> También el Estado promueve la formación adicional a través de estudios en los que participan anualmente 22.000 profesores (la quinta parte de los existentes en el país) y que tienen como objetivo, además de elevar la competencia profesional, promover la participación de los docentes en la implementación de las reformas educativas que se vayan produciendo.</w:t>
      </w:r>
    </w:p>
    <w:p w:rsidR="00E02187"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B7961">
        <w:rPr>
          <w:rFonts w:ascii="Times New Roman" w:eastAsia="Times New Roman" w:hAnsi="Times New Roman"/>
          <w:sz w:val="24"/>
          <w:szCs w:val="24"/>
          <w:lang w:eastAsia="es-ES"/>
        </w:rPr>
        <w:t xml:space="preserve">El segundo camino es el de la investigación, ya que los docentes han de actualizar sus conocimientos pero también tienen que hacer avanzar sus áreas de competencia. Como señala Sippola, </w:t>
      </w:r>
      <w:r w:rsidRPr="00CB7961">
        <w:rPr>
          <w:rFonts w:ascii="Times New Roman" w:eastAsia="Times New Roman" w:hAnsi="Times New Roman"/>
          <w:bCs/>
          <w:sz w:val="24"/>
          <w:szCs w:val="24"/>
          <w:lang w:eastAsia="es-ES"/>
        </w:rPr>
        <w:t xml:space="preserve">los profesores deben ser buenos enseñando, pero también tienen que investigar </w:t>
      </w:r>
      <w:r w:rsidRPr="00CB7961">
        <w:rPr>
          <w:rFonts w:ascii="Times New Roman" w:eastAsia="Times New Roman" w:hAnsi="Times New Roman"/>
          <w:sz w:val="24"/>
          <w:szCs w:val="24"/>
          <w:lang w:eastAsia="es-ES"/>
        </w:rPr>
        <w:t>acerca de su práctica profesional, evaluándola y mejorándola. Este modelo, que lleva implantado desde los años 70, es el que ha llevado a Finlandia a convertirse en una referencia educativa a nivel mundial.</w:t>
      </w:r>
    </w:p>
    <w:p w:rsidR="00E02187" w:rsidRPr="00441840" w:rsidRDefault="00E02187" w:rsidP="00E02187">
      <w:pPr>
        <w:spacing w:before="100" w:beforeAutospacing="1" w:after="100" w:afterAutospacing="1" w:line="240" w:lineRule="auto"/>
        <w:jc w:val="both"/>
        <w:rPr>
          <w:rFonts w:ascii="Times New Roman" w:eastAsia="Times New Roman" w:hAnsi="Times New Roman"/>
          <w:sz w:val="24"/>
          <w:szCs w:val="24"/>
          <w:u w:val="single"/>
          <w:lang w:eastAsia="es-ES"/>
        </w:rPr>
      </w:pPr>
      <w:r w:rsidRPr="00441840">
        <w:rPr>
          <w:rFonts w:ascii="Times New Roman" w:eastAsia="Times New Roman" w:hAnsi="Times New Roman"/>
          <w:sz w:val="24"/>
          <w:szCs w:val="24"/>
          <w:u w:val="single"/>
          <w:lang w:eastAsia="es-ES"/>
        </w:rPr>
        <w:t>Adiós al libro</w:t>
      </w:r>
      <w:r>
        <w:rPr>
          <w:rFonts w:ascii="Times New Roman" w:eastAsia="Times New Roman" w:hAnsi="Times New Roman"/>
          <w:sz w:val="24"/>
          <w:szCs w:val="24"/>
          <w:u w:val="single"/>
          <w:lang w:eastAsia="es-ES"/>
        </w:rPr>
        <w:t>: la pérdida de oportunidades de los latinos en USA empieza en preescolar</w:t>
      </w:r>
    </w:p>
    <w:p w:rsidR="00E02187" w:rsidRPr="00441840" w:rsidRDefault="00E02187" w:rsidP="00E02187">
      <w:pPr>
        <w:jc w:val="both"/>
        <w:rPr>
          <w:rFonts w:ascii="Times New Roman" w:hAnsi="Times New Roman"/>
          <w:color w:val="FF0000"/>
          <w:sz w:val="24"/>
          <w:szCs w:val="24"/>
        </w:rPr>
      </w:pPr>
      <w:r>
        <w:rPr>
          <w:rFonts w:ascii="Times New Roman" w:hAnsi="Times New Roman"/>
          <w:i/>
          <w:sz w:val="24"/>
          <w:szCs w:val="24"/>
        </w:rPr>
        <w:t>“</w:t>
      </w:r>
      <w:r w:rsidRPr="00441840">
        <w:rPr>
          <w:rFonts w:ascii="Times New Roman" w:hAnsi="Times New Roman"/>
          <w:i/>
          <w:sz w:val="24"/>
          <w:szCs w:val="24"/>
        </w:rPr>
        <w:t>Cynthia dejó la escuela a mitad de la secundaria porque no podía leer en inglés y empezó a reprobar exámenes, uno tras otro. Ana Gabriela tiene diez años y también abandonó: su madre no pudo ocuparse de llevarla porque tenía que mantener sola a una familia de cinco. A Pedro, sus padres no saben si anotarlo cuando cumpla cuatro porque nadie les ha explicado para qué sirve el preescolar. Los tres son parte del grupo demográfico de mayor crecimiento y el de peor desempeño en el sistema educativo de Estados Unidos: jóvenes latinos, protagonistas involuntarios de una crisis que cobra forma en las aulas pero promete trasladarse a la economía</w:t>
      </w:r>
      <w:r>
        <w:rPr>
          <w:rFonts w:ascii="Times New Roman" w:hAnsi="Times New Roman"/>
          <w:i/>
          <w:sz w:val="24"/>
          <w:szCs w:val="24"/>
        </w:rPr>
        <w:t>”..</w:t>
      </w:r>
      <w:r w:rsidRPr="00441840">
        <w:rPr>
          <w:rFonts w:ascii="Times New Roman" w:hAnsi="Times New Roman"/>
          <w:i/>
          <w:sz w:val="24"/>
          <w:szCs w:val="24"/>
        </w:rPr>
        <w:t>.</w:t>
      </w:r>
      <w:r>
        <w:rPr>
          <w:rFonts w:ascii="Times New Roman" w:hAnsi="Times New Roman"/>
          <w:i/>
          <w:sz w:val="24"/>
          <w:szCs w:val="24"/>
        </w:rPr>
        <w:t xml:space="preserve"> </w:t>
      </w:r>
      <w:r w:rsidRPr="00E15DA8">
        <w:rPr>
          <w:rFonts w:ascii="Times New Roman" w:hAnsi="Times New Roman"/>
          <w:sz w:val="24"/>
          <w:szCs w:val="24"/>
          <w:u w:val="single"/>
        </w:rPr>
        <w:t>La crisis e</w:t>
      </w:r>
      <w:r>
        <w:rPr>
          <w:rFonts w:ascii="Times New Roman" w:hAnsi="Times New Roman"/>
          <w:sz w:val="24"/>
          <w:szCs w:val="24"/>
          <w:u w:val="single"/>
        </w:rPr>
        <w:t>ducativa para los latinos en EEUU</w:t>
      </w:r>
      <w:r w:rsidRPr="00E15DA8">
        <w:rPr>
          <w:rFonts w:ascii="Times New Roman" w:hAnsi="Times New Roman"/>
          <w:sz w:val="24"/>
          <w:szCs w:val="24"/>
          <w:u w:val="single"/>
        </w:rPr>
        <w:t xml:space="preserve"> empieza en preescolar</w:t>
      </w:r>
      <w:r>
        <w:rPr>
          <w:rFonts w:ascii="Times New Roman" w:hAnsi="Times New Roman"/>
          <w:sz w:val="24"/>
          <w:szCs w:val="24"/>
        </w:rPr>
        <w:t xml:space="preserve"> (BBCMundo - </w:t>
      </w:r>
      <w:r w:rsidRPr="00E15DA8">
        <w:rPr>
          <w:rFonts w:ascii="Times New Roman" w:hAnsi="Times New Roman"/>
          <w:b/>
          <w:sz w:val="24"/>
          <w:szCs w:val="24"/>
        </w:rPr>
        <w:t>19/9/11</w:t>
      </w:r>
      <w:r>
        <w:rPr>
          <w:rFonts w:ascii="Times New Roman" w:hAnsi="Times New Roman"/>
          <w:sz w:val="24"/>
          <w:szCs w:val="24"/>
        </w:rPr>
        <w:t>)</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Con una población que se expande más rápido que la de los blancos, los hispanos representan el 23% de los estadounidenses menor de 17 años y son más de 12 millones en las escuelas. Pero, según las estadísticas oficiales, tienen tres veces más posibilidades que sus pares blancos de quedarse a mitad de camino, sin conseguir su título de secundaria.</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Ningún estado representa mejor que Nuevo México esta brecha educacional: ubicado en la frontera, es el único en el país donde la población hispana es el mayor grupo étnico, y los alumnos latinos superan a los demás por casi el doble. Tiene, también, una tasa de deserción cercana al 50%.</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Allí viven Cynthia, Ana Gabriela y Pedro. En el poblado de Cerro Misión, cerca de la ciudad de Albuquerque, no hay casas de cemento y cimientos: sólo viviendas móviles, las “trailas”, como las llaman los habitantes hispanos de la zona, una de las más pobres de la región.</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Reyna García, llegada desde México hace 6 años, ocupa una de ellas con sus tres niñas.</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lastRenderedPageBreak/>
        <w:t>“Es difícil mandarlas a la escuela, a mí me toca todo sola… Trabajaba limpiando cuartos (de hotel) pero me descansaron desde diciembre hasta acá y es muy difícil encontrar trabajo. Cuando uno tiene hijos de aquí le dan mucha ayuda, pero a mí no”, dice la mujer a BBC Mundo.</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Ella, como muchos otros, ha elegido quedarse porque “de todos modos es mejor aquí que en mi país”. Aunque quedarse implique soportar el calor seco del desierto, sin agua corriente y sin más protección que una cerca de alambre para mantener a raya a los pandilleros del barrio.</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Los expertos en educación señalan que la ecuación es tan simple como alarmante: basta sumar la pobreza en que vive una gran parte de las familias latinas -incluso hispanos de segunda y tercera generación- y la falta de integración a través del idioma y otras pautas culturales, para obtener como resultado las altas tasas de deserción escolar.</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“Los hispanos</w:t>
      </w:r>
      <w:r w:rsidR="00627E17">
        <w:rPr>
          <w:rFonts w:ascii="Times New Roman" w:hAnsi="Times New Roman"/>
          <w:sz w:val="24"/>
          <w:szCs w:val="24"/>
        </w:rPr>
        <w:t xml:space="preserve"> tienen muchas dificultades en “navegar”</w:t>
      </w:r>
      <w:r w:rsidRPr="00441840">
        <w:rPr>
          <w:rFonts w:ascii="Times New Roman" w:hAnsi="Times New Roman"/>
          <w:sz w:val="24"/>
          <w:szCs w:val="24"/>
        </w:rPr>
        <w:t xml:space="preserve"> el sistema y lograr que sus chicos se inserten y saquen beneficios. Algunos tienen que desvivirse por llevar comida a la mesa cada día, ¿cómo van a estar pendientes de cosas de la escuela?”, señala Mike Ogas, director de un instituto en Los Lunas, muy cerca del Cerro.</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Así, las estadísticas: más del 57% de los estudiantes de Nuevo México no alcanzó los niveles establecidos oficialmente para mostrar avances de aprendizaje (medido mediante el “Adequate Yearly Progress”, AYP) en los últimos años.</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La crisis en cifras</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 xml:space="preserve">Hay 50,5 millones de hispanos en Estados Unidos, según el censo nacional de 2010. </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 xml:space="preserve">Entre 2000 y 2010 la población latina creció 15,3 millones, la de mayor expansión entre todos los grupos étnicos de Estados Unidos. </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 xml:space="preserve">La población latina es mucho más joven que la blanca no hispana: hay 17,1 millones de hispanos menores de 17 años, lo que equivale a 23% de la población en ese rango de edad. </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 xml:space="preserve">Casi 22% de los inscritos en las escuelas públicas estadounidenses es latino: uno de cada cinco alumnos entre preescolar y 12 años. </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 xml:space="preserve">Sólo la mitad de los estudiantes latinos consigue su diploma en el tiempo estipulado; de aquellos que se gradúan en secundaria, sólo la mitad está preparado para estudios terciarios. </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 xml:space="preserve">Sólo 13% de los hispanos tiene título universitario y menos de 4% consigue títulos superiores. </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 xml:space="preserve">En general, los latinos tienen el menor nivel de éxito en la educación de todos los grupos étnicos de EEUU. </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Fuente: Departamento de Educación de EEUU</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lastRenderedPageBreak/>
        <w:t>Catalina Trujillo, nacida en Nuevo México de padres mexicanos, lo logró para su hija Juanita. Pero sabe que es una de pocas.</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“Me llevó una lucha constante con maestros y directores. Querían ponerla en el aula de educación especial y nosotros sabíamos que ella no tenía que ir allí. Muchas veces estuvo por rendirse, pero nosotros la empujamos”, dice.</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Jesús García no corrió igual suerte: expulsado de la escuela por presunta participación en una pandilla, a los 18 años no tiene empleo ni título ni miras de conseguirlo.</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“Es malo, yo quería terminar pero ahora no tengo muchas oportunidades. Igual tengo muchos amigos que dejaron (la escuela) por estar en pandillas y drogas. Cuando voy a buscar trabajo no me dan, ni en McDonald’s me dan”, asegura.</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Desde temprano</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Para paliar la crisis de escolarización, los expertos que trabajan con comunidades hispanas intentan crear conciencia sobre una receta que está al alcance de la mano: el preescolar.</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Según el Departamento de Educación estadounidense, las familias latinas son las menos proclives, entre todos los grupos étnicos, a anotar a sus hijos en programas de educación temprana. Así, a la edad de tres años los niños hispanos tienen un 50% más de probabilidades de tener “habilidades de vocabulario expresivas limitadas”, en comparación con los no hispanos.</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“Muchos padres no quieren que a sus hijos se les enseñe español, creen que van a ser más exitosos si se les enseña en inglés. Por eso creemos en la intervención temprana: para cuidar la transición de una lengua a otra”, señala la educadora Teresa Ogas, quien trabaja en un programa de apoyo escolar donde el 75% de los beneficiarios son de origen latino.</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El gobierno de Barack Obama, en el documento “Mejorando la educación para la comunidad latina” de abril pasado, reconoció la crisis educativa y dio la voz de alerta: los estudiantes hispanos, dijeron, resultarán clave para alcanzar la meta autoimpuesta de convertirse en el país con el mayor porcentaje de graduados del mundo antes de 2020.</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Sin embargo, las administraciones estatales tienen bajo su órbita la implementación de políticas educativas y no todas coinciden en qué camino seguir.</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En Nuevo México, el gobierno demócrata que terminó en 2010 había establecido un comité especial para asesorar sobre educación hispana, pero luego, tras la llegada al poder de la republicana Susana Martínez, la estrategia ha cambiado:</w:t>
      </w:r>
    </w:p>
    <w:p w:rsidR="00E02187" w:rsidRPr="00441840" w:rsidRDefault="00E02187" w:rsidP="00E02187">
      <w:pPr>
        <w:jc w:val="both"/>
        <w:rPr>
          <w:rFonts w:ascii="Times New Roman" w:hAnsi="Times New Roman"/>
          <w:sz w:val="24"/>
          <w:szCs w:val="24"/>
        </w:rPr>
      </w:pPr>
      <w:r w:rsidRPr="00441840">
        <w:rPr>
          <w:rFonts w:ascii="Times New Roman" w:hAnsi="Times New Roman"/>
          <w:sz w:val="24"/>
          <w:szCs w:val="24"/>
        </w:rPr>
        <w:t>“Mi intención es que nos concentremos en el 25% de la clase que muestra peor desempeño, independientemente del grupo racial al que pertenezca. No podemos focalizarnos en los niños hispanos a expensas de los estadounidenses (blancos)”, afirmó la gobernadora a BBC Mundo.</w:t>
      </w:r>
    </w:p>
    <w:p w:rsidR="00E02187" w:rsidRDefault="00E02187" w:rsidP="00E02187">
      <w:pPr>
        <w:jc w:val="both"/>
        <w:rPr>
          <w:rFonts w:ascii="Times New Roman" w:hAnsi="Times New Roman"/>
          <w:sz w:val="24"/>
          <w:szCs w:val="24"/>
        </w:rPr>
      </w:pPr>
      <w:r w:rsidRPr="00441840">
        <w:rPr>
          <w:rFonts w:ascii="Times New Roman" w:hAnsi="Times New Roman"/>
          <w:sz w:val="24"/>
          <w:szCs w:val="24"/>
        </w:rPr>
        <w:lastRenderedPageBreak/>
        <w:t>Los resultados de las políticas de educación los verá esta generación de alumnos cuando le toque pasar a la vida económicamente activa. Lo que está en juego, alertan muchos, es el futuro económico de un país entero, en el que los hispanos -graduados o no- tendrán cada vez más importancia.</w:t>
      </w:r>
    </w:p>
    <w:p w:rsidR="00E02187" w:rsidRPr="00B022EB" w:rsidRDefault="00E02187" w:rsidP="00E02187">
      <w:pPr>
        <w:jc w:val="both"/>
        <w:rPr>
          <w:rFonts w:ascii="Times New Roman" w:hAnsi="Times New Roman"/>
          <w:sz w:val="24"/>
          <w:szCs w:val="24"/>
          <w:u w:val="single"/>
        </w:rPr>
      </w:pPr>
      <w:r w:rsidRPr="00B022EB">
        <w:rPr>
          <w:rFonts w:ascii="Times New Roman" w:hAnsi="Times New Roman"/>
          <w:sz w:val="24"/>
          <w:szCs w:val="24"/>
          <w:u w:val="single"/>
        </w:rPr>
        <w:t xml:space="preserve">La crisis “subprime” de los estudiantes norteamericanos </w:t>
      </w:r>
    </w:p>
    <w:p w:rsidR="00E02187" w:rsidRPr="00B022EB" w:rsidRDefault="00E02187" w:rsidP="00E02187">
      <w:pPr>
        <w:pStyle w:val="NormalWeb"/>
        <w:jc w:val="both"/>
        <w:rPr>
          <w:i/>
        </w:rPr>
      </w:pPr>
      <w:r>
        <w:rPr>
          <w:i/>
        </w:rPr>
        <w:t>“</w:t>
      </w:r>
      <w:r w:rsidRPr="00B022EB">
        <w:rPr>
          <w:i/>
        </w:rPr>
        <w:t xml:space="preserve">Los profesionales americanos esperan un mayor número de impagos en casi todos los tipos de préstamos y en tarjetas de crédito, a la vez que observan una presión creciente sobre la economía nacional. Con una </w:t>
      </w:r>
      <w:r w:rsidRPr="00B022EB">
        <w:rPr>
          <w:rStyle w:val="Textoennegrita"/>
          <w:rFonts w:eastAsiaTheme="majorEastAsia"/>
          <w:b w:val="0"/>
          <w:i/>
        </w:rPr>
        <w:t>cifra superior a los 750.000 millones de dólares</w:t>
      </w:r>
      <w:r w:rsidRPr="00B022EB">
        <w:rPr>
          <w:b/>
          <w:i/>
        </w:rPr>
        <w:t>,</w:t>
      </w:r>
      <w:r w:rsidRPr="00B022EB">
        <w:rPr>
          <w:i/>
        </w:rPr>
        <w:t xml:space="preserve"> la deuda en créditos a estudiantes es ahora mismo, aún mayor que la deuda sobre tarjetas de crédito, según el informe trimestral sobre riesgos que realiza FICO en colaboración con la Asociación Internacional de Directores de Riesgo Profesionales (PRMIA)</w:t>
      </w:r>
      <w:r>
        <w:rPr>
          <w:i/>
        </w:rPr>
        <w:t>”..</w:t>
      </w:r>
      <w:r w:rsidRPr="00B022EB">
        <w:rPr>
          <w:i/>
        </w:rPr>
        <w:t xml:space="preserve">. </w:t>
      </w:r>
      <w:r w:rsidRPr="00AF38D4">
        <w:rPr>
          <w:u w:val="single"/>
        </w:rPr>
        <w:t>Los impagos de estudiantes lastran el futuro de la economía americana</w:t>
      </w:r>
      <w:r>
        <w:t xml:space="preserve"> (El Confidencial - </w:t>
      </w:r>
      <w:r w:rsidRPr="00AF38D4">
        <w:rPr>
          <w:b/>
        </w:rPr>
        <w:t>13/2/12</w:t>
      </w:r>
      <w:r>
        <w:t>)</w:t>
      </w:r>
    </w:p>
    <w:p w:rsidR="00E02187" w:rsidRPr="00B022EB" w:rsidRDefault="00E02187" w:rsidP="00E02187">
      <w:pPr>
        <w:pStyle w:val="NormalWeb"/>
        <w:jc w:val="both"/>
      </w:pPr>
      <w:r w:rsidRPr="00B022EB">
        <w:t xml:space="preserve">Además, en el estudio de FICO, el 67% de los profesionales de riesgo considera que esa deuda crecerá en los próximos meses (un 19% más que en el último estudio trimestral). Sólo el 8% espera que la deuda se reduzca. “Estamos observando que es probable que </w:t>
      </w:r>
      <w:r w:rsidRPr="00B022EB">
        <w:rPr>
          <w:rStyle w:val="Textoennegrita"/>
          <w:rFonts w:eastAsiaTheme="majorEastAsia"/>
          <w:b w:val="0"/>
        </w:rPr>
        <w:t>la próxima mayor preocupación de los bancos y entidades de crédito sean los estudiantes</w:t>
      </w:r>
      <w:r w:rsidRPr="00B022EB">
        <w:rPr>
          <w:b/>
        </w:rPr>
        <w:t xml:space="preserve">”, </w:t>
      </w:r>
      <w:r w:rsidRPr="00B022EB">
        <w:t>afirma</w:t>
      </w:r>
      <w:r w:rsidRPr="00B022EB">
        <w:rPr>
          <w:b/>
        </w:rPr>
        <w:t xml:space="preserve"> </w:t>
      </w:r>
      <w:r w:rsidRPr="00B022EB">
        <w:rPr>
          <w:rStyle w:val="Textoennegrita"/>
          <w:rFonts w:eastAsiaTheme="majorEastAsia"/>
          <w:b w:val="0"/>
        </w:rPr>
        <w:t>Andrew Jennings</w:t>
      </w:r>
      <w:r w:rsidRPr="00B022EB">
        <w:rPr>
          <w:b/>
        </w:rPr>
        <w:t>,</w:t>
      </w:r>
      <w:r w:rsidRPr="00B022EB">
        <w:t xml:space="preserve"> director de analítica de FICO y responsable de FICO Labs. “Con un incremento tan importante en los impagos, los créditos a estudiantes pueden causar un tremendo impacto en los bancos”.</w:t>
      </w:r>
    </w:p>
    <w:p w:rsidR="00E02187" w:rsidRPr="00B022EB" w:rsidRDefault="00E02187" w:rsidP="00E02187">
      <w:pPr>
        <w:pStyle w:val="NormalWeb"/>
        <w:jc w:val="both"/>
      </w:pPr>
      <w:r w:rsidRPr="00B022EB">
        <w:t>Los profesionales que han respondido a la encuesta consideran también que la crisis de deuda en la Eurozona está afectando a la economía estadounidense (38,8%) y que</w:t>
      </w:r>
      <w:r w:rsidRPr="00B022EB">
        <w:rPr>
          <w:rStyle w:val="Textoennegrita"/>
          <w:rFonts w:eastAsiaTheme="majorEastAsia"/>
        </w:rPr>
        <w:t xml:space="preserve"> </w:t>
      </w:r>
      <w:r w:rsidRPr="00715533">
        <w:rPr>
          <w:rStyle w:val="Textoennegrita"/>
          <w:rFonts w:eastAsiaTheme="majorEastAsia"/>
          <w:b w:val="0"/>
        </w:rPr>
        <w:t>las políticas económicas del gobierno de Obama no están ayudando a salir de la actual coyuntura económica</w:t>
      </w:r>
      <w:r w:rsidRPr="00B022EB">
        <w:t xml:space="preserve"> (38,4%). El 19% considera que la falta de gasto e inversión por parte de las empresas nacionales es la gran lastra de la situación actual.</w:t>
      </w:r>
    </w:p>
    <w:p w:rsidR="00E02187" w:rsidRPr="00B022EB" w:rsidRDefault="00E02187" w:rsidP="00E02187">
      <w:pPr>
        <w:pStyle w:val="NormalWeb"/>
        <w:jc w:val="both"/>
      </w:pPr>
      <w:r w:rsidRPr="00B022EB">
        <w:t xml:space="preserve">En lo que se refiere a crédito interno, el 47% de los que respondieron al estudio cree que los impagos en hipotecas crecerán en los próximos meses. </w:t>
      </w:r>
      <w:r w:rsidRPr="00715533">
        <w:rPr>
          <w:rStyle w:val="Textoennegrita"/>
          <w:rFonts w:eastAsiaTheme="majorEastAsia"/>
          <w:b w:val="0"/>
        </w:rPr>
        <w:t>Sólo el 13% considera que decrecerán</w:t>
      </w:r>
      <w:r w:rsidRPr="00B022EB">
        <w:rPr>
          <w:rStyle w:val="Textoennegrita"/>
          <w:rFonts w:eastAsiaTheme="majorEastAsia"/>
        </w:rPr>
        <w:t>,</w:t>
      </w:r>
      <w:r w:rsidRPr="00B022EB">
        <w:t xml:space="preserve"> lo que muestra un ligero pesimismo frente al estudio realizado hace tres meses.</w:t>
      </w:r>
    </w:p>
    <w:p w:rsidR="00E02187" w:rsidRPr="00B022EB" w:rsidRDefault="00E02187" w:rsidP="00E02187">
      <w:pPr>
        <w:pStyle w:val="NormalWeb"/>
        <w:jc w:val="both"/>
      </w:pPr>
      <w:r w:rsidRPr="00B022EB">
        <w:t xml:space="preserve">Para el 45%, los impagos en tarjetas de crédito aumentarán mientras que el 21% cree que se reducirá, lo que muestra, de nuevo, </w:t>
      </w:r>
      <w:r w:rsidRPr="00715533">
        <w:rPr>
          <w:rStyle w:val="Textoennegrita"/>
          <w:rFonts w:eastAsiaTheme="majorEastAsia"/>
          <w:b w:val="0"/>
        </w:rPr>
        <w:t>una confianza cada vez más deteriorada entre los responsables de los bancos.</w:t>
      </w:r>
      <w:r w:rsidRPr="00B022EB">
        <w:t xml:space="preserve"> Sin embargo, el 54% piensa que los saldos de las tarjetas aumentarán en los próximos meses, ya sea por incrementos en el consumo de algunos ciudadanos o por la necesidad de pagos de otros.</w:t>
      </w:r>
    </w:p>
    <w:p w:rsidR="00E02187" w:rsidRPr="00715533" w:rsidRDefault="00E02187" w:rsidP="00E02187">
      <w:pPr>
        <w:pStyle w:val="NormalWeb"/>
        <w:jc w:val="both"/>
        <w:rPr>
          <w:u w:val="single"/>
        </w:rPr>
      </w:pPr>
      <w:r w:rsidRPr="00715533">
        <w:rPr>
          <w:u w:val="single"/>
        </w:rPr>
        <w:t>La “burbuja” de los créditos estudiantiles en EEUU</w:t>
      </w:r>
    </w:p>
    <w:p w:rsidR="00E02187" w:rsidRPr="005C68D6" w:rsidRDefault="00E02187" w:rsidP="00E02187">
      <w:pPr>
        <w:jc w:val="both"/>
        <w:rPr>
          <w:rFonts w:ascii="Times New Roman" w:hAnsi="Times New Roman"/>
          <w:sz w:val="24"/>
          <w:szCs w:val="24"/>
        </w:rPr>
      </w:pPr>
      <w:r>
        <w:rPr>
          <w:rFonts w:ascii="Times New Roman" w:hAnsi="Times New Roman"/>
          <w:i/>
          <w:sz w:val="24"/>
          <w:szCs w:val="24"/>
        </w:rPr>
        <w:t>“</w:t>
      </w:r>
      <w:r w:rsidRPr="00715533">
        <w:rPr>
          <w:rFonts w:ascii="Times New Roman" w:hAnsi="Times New Roman"/>
          <w:i/>
          <w:sz w:val="24"/>
          <w:szCs w:val="24"/>
        </w:rPr>
        <w:t>Mientras recientes cifras económicas le permiten al presidente estadounidense Barack Obama defender la recuperación económica de su país, algunos expertos señalan que las condiciones para una nueva crisis se pueden estar gestando en un inesperado flanco: los créditos estudiantiles</w:t>
      </w:r>
      <w:r>
        <w:rPr>
          <w:rFonts w:ascii="Times New Roman" w:hAnsi="Times New Roman"/>
          <w:i/>
          <w:sz w:val="24"/>
          <w:szCs w:val="24"/>
        </w:rPr>
        <w:t>”..</w:t>
      </w:r>
      <w:r w:rsidRPr="00715533">
        <w:rPr>
          <w:rFonts w:ascii="Times New Roman" w:hAnsi="Times New Roman"/>
          <w:i/>
          <w:sz w:val="24"/>
          <w:szCs w:val="24"/>
        </w:rPr>
        <w:t>.</w:t>
      </w:r>
      <w:r>
        <w:rPr>
          <w:rFonts w:ascii="Times New Roman" w:hAnsi="Times New Roman"/>
          <w:i/>
          <w:sz w:val="24"/>
          <w:szCs w:val="24"/>
        </w:rPr>
        <w:t xml:space="preserve"> </w:t>
      </w:r>
      <w:r w:rsidRPr="005C68D6">
        <w:rPr>
          <w:rFonts w:ascii="Times New Roman" w:hAnsi="Times New Roman"/>
          <w:sz w:val="24"/>
          <w:szCs w:val="24"/>
          <w:u w:val="single"/>
        </w:rPr>
        <w:t>L</w:t>
      </w:r>
      <w:r>
        <w:rPr>
          <w:rFonts w:ascii="Times New Roman" w:hAnsi="Times New Roman"/>
          <w:sz w:val="24"/>
          <w:szCs w:val="24"/>
          <w:u w:val="single"/>
        </w:rPr>
        <w:t>os créditos estudiantiles en EE</w:t>
      </w:r>
      <w:r w:rsidRPr="005C68D6">
        <w:rPr>
          <w:rFonts w:ascii="Times New Roman" w:hAnsi="Times New Roman"/>
          <w:sz w:val="24"/>
          <w:szCs w:val="24"/>
          <w:u w:val="single"/>
        </w:rPr>
        <w:t>UU.: ¿la próxima burbuja?</w:t>
      </w:r>
      <w:r>
        <w:rPr>
          <w:rFonts w:ascii="Times New Roman" w:hAnsi="Times New Roman"/>
          <w:sz w:val="24"/>
          <w:szCs w:val="24"/>
        </w:rPr>
        <w:t xml:space="preserve"> (BBCMundo - </w:t>
      </w:r>
      <w:r w:rsidRPr="005C68D6">
        <w:rPr>
          <w:rFonts w:ascii="Times New Roman" w:hAnsi="Times New Roman"/>
          <w:b/>
          <w:sz w:val="24"/>
          <w:szCs w:val="24"/>
        </w:rPr>
        <w:t>13/3/12</w:t>
      </w:r>
      <w:r>
        <w:rPr>
          <w:rFonts w:ascii="Times New Roman" w:hAnsi="Times New Roman"/>
          <w:sz w:val="24"/>
          <w:szCs w:val="24"/>
        </w:rPr>
        <w:t>)</w:t>
      </w:r>
    </w:p>
    <w:p w:rsidR="00E02187" w:rsidRPr="00715533" w:rsidRDefault="00E02187" w:rsidP="00E02187">
      <w:pPr>
        <w:jc w:val="both"/>
        <w:rPr>
          <w:rFonts w:ascii="Times New Roman" w:hAnsi="Times New Roman"/>
          <w:i/>
          <w:sz w:val="24"/>
          <w:szCs w:val="24"/>
        </w:rPr>
      </w:pP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t>El problema es una mezcla de ingredientes potencialmente explosivos: costos de la educación que crecen más que los salarios, más necesidad de ayuda monetaria externa y tasas preocupantes de desempleo juvenil. Y a medida que las deudas incrementan y se dificulta el pago del dinero pendiente, también crece el riesgo tanto para el prestatario como para la economía en general.</w:t>
      </w: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t>Para cubrir las matrículas educativas, los estadounidenses están recurriendo cada vez más al financiamiento externo, hasta el punto que hoy deben más dinero por cuenta de los préstamos para financiar programas educativos que por los gastos en sus tarjetas de crédito, según el Banco de la Reserva Federal de Nueva York y el Departamento de Educación de EEUU.</w:t>
      </w: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t>Y eso puede traer problemas, especialmente en una época en la que la tasa de desempleo para los jóvenes entre 25 y 34 años es mayor que el promedio para todos los adultos (8,7% versus 8,3% en febrero de 2012, según la Oficina de Estadísticas Laborales de Estados Unidos).</w:t>
      </w: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t>“Gracias a que la deuda por préstamos estudiantiles es mayor que la deuda por tarjetas de crédito en Estados Unidos, y que los prestatarios afligidos tienen pocas posibilidades o ninguna, Estados Unidos enfrenta la posibilidad muy real de otra amenaza económica importante a la par de la devastadora crisis de las hipotecas”, señaló un informe de febrero producido por la Asociación Nacional de Abogados de Bancarrota Personal (Nacba, por sus siglas en inglés)</w:t>
      </w:r>
      <w:r>
        <w:rPr>
          <w:rFonts w:ascii="Times New Roman" w:hAnsi="Times New Roman"/>
          <w:sz w:val="24"/>
          <w:szCs w:val="24"/>
        </w:rPr>
        <w:t>.</w:t>
      </w: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t>Según estadísticas reveladas en 2011, el número de préstamos estudiantiles otorgados en 2010 superó la marca simbólica de los US$ 100.000 millones. Además, en ese momento se informó que el total de deudas pendientes pasaría la barrera de US$ 1 billón por primera vez.</w:t>
      </w: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t>El aumento en el número de préstamos va de la mano con otra cifra que el departamento de Educación de Estados Unidos presentó en septiembre y que indica que la tasa de mora para quienes tienen un préstamo educativo pasó de 7% en el año fiscal de 2008 a 8,8% en 2009, la cifra más alta desde 1997.</w:t>
      </w: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t>En otras palabras, de los 3,6 millones de personas que empezaron a pagar sus préstamos entre septiembre de 2008 y septiembre de 2009, unas 320.000 entraron en cesación de pagos el 30 de septiembre de 2010.</w:t>
      </w:r>
    </w:p>
    <w:p w:rsidR="00E02187" w:rsidRDefault="00E02187" w:rsidP="00E02187">
      <w:pPr>
        <w:jc w:val="both"/>
        <w:rPr>
          <w:rFonts w:ascii="Times New Roman" w:hAnsi="Times New Roman"/>
          <w:sz w:val="24"/>
          <w:szCs w:val="24"/>
        </w:rPr>
      </w:pPr>
      <w:r w:rsidRPr="00715533">
        <w:rPr>
          <w:rFonts w:ascii="Times New Roman" w:hAnsi="Times New Roman"/>
          <w:sz w:val="24"/>
          <w:szCs w:val="24"/>
        </w:rPr>
        <w:t>En ese sentido, el informe de la Nacba mostró que el 81% de los abogados de bancarrota cree que los clientes potenciales con deudas por préstamos estudiantiles aumentaron  “significativamente” o “algo” en los últimos tres o cuatro años.</w:t>
      </w:r>
    </w:p>
    <w:p w:rsidR="00E02187" w:rsidRDefault="00E02187" w:rsidP="00E02187">
      <w:pPr>
        <w:jc w:val="both"/>
        <w:rPr>
          <w:rFonts w:ascii="Times New Roman" w:hAnsi="Times New Roman"/>
          <w:sz w:val="24"/>
          <w:szCs w:val="24"/>
        </w:rPr>
      </w:pPr>
      <w:r w:rsidRPr="00715533">
        <w:rPr>
          <w:rFonts w:ascii="Times New Roman" w:hAnsi="Times New Roman"/>
          <w:sz w:val="24"/>
          <w:szCs w:val="24"/>
        </w:rPr>
        <w:t>Pero no todos están de acuerdo con que se esté hablando de una eventual crisis al estilo de la burbuja inmobiliaria.</w:t>
      </w: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lastRenderedPageBreak/>
        <w:t>Mark Kantrowitz, autor de tres libros sobre ayuda financiera para estudiantes, explica que él no cree que estemos cerca de una burbuja de deuda estudiantil y califica la encuesta de Nacba como una serie de “afirmaciones aproximadas” e “impresiones”.</w:t>
      </w: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t>En diálogo con BBC Mundo, Kantrowitz dice que lo que sí cree que estamos viendo es “un periodo de una caída severa en la asequibilidad estudiantil”.</w:t>
      </w: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t>Según el centro Pew, una cifra récord de estudiantes está saliendo de la universidad con una deuda significativa.</w:t>
      </w: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t>Para argumentar su posición, el escritor explica que la gran mayoría de los préstamos estudiantiles están garantizados federalmente y que sólo un porcentaje pequeño de los estudiantes no puede pagar sus préstamos.</w:t>
      </w: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t>La probabilidad de una crisis similar a la de las hipotecas se reduce si se tiene en cuenta, además, que el mercado de préstamos estudiantiles es diez veces más pequeño que el mercado de hipotecas residenciales.</w:t>
      </w: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t>Pero Kantrowitz no descarta del todo que el panorama actual pueda desencadenar a largo plazo una crisis de mayores proporciones.</w:t>
      </w: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t>“Si continúan las tendencias actuales en la misma dirección en que se dirigen desde hace cuatro décadas, entonces probablemente entre 2020 y 2030 podremos hablar más de una crisis”.</w:t>
      </w: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t>“Ahora no hay una burbuja universal de los préstamos estudiantiles. Puede haber microburbujas en instituciones particulares o áreas de estudio. Pero todavía no es una situación penetrante”, dice.</w:t>
      </w: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t>“Tendrán que pasar décadas antes de que se vuelva penetrante, pero siempre y cuando se reduzca el crecimiento anémico actual de las becas y continúen aumentando los costos”, concluye.</w:t>
      </w: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t>¿Una buena inversión?</w:t>
      </w: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t>En mayo del año pasado, el centro de investigación Pew realizó una encuesta entre 2.142 adultos para encontrar tendencias que ayuden a responder esa pregunta. Estos fueron algunos de los hallazgos:</w:t>
      </w: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t>•El 57% de los encuestados cree que el sistema de educación superior en Estados Unidos no representa una buena relación calidad-precio.</w:t>
      </w: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t>•El 75% dice que la universidad es demasiado costosa para la mayoría de estadounidenses.</w:t>
      </w: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t>•Pero, al mismo tiempo, el 86% de los graduados de universidad dicen que haber estudiado fue una buena inversión personal.</w:t>
      </w: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lastRenderedPageBreak/>
        <w:t>•Un porcentaje récord de estudiantes está saliendo de la universidad con una deuda significativa. Entre los que tienen una deuda, el 48% dijo que pagarla generó problemas para saldar otras cuentas.</w:t>
      </w:r>
    </w:p>
    <w:p w:rsidR="00E02187" w:rsidRPr="00715533" w:rsidRDefault="00E02187" w:rsidP="00E02187">
      <w:pPr>
        <w:jc w:val="both"/>
        <w:rPr>
          <w:rFonts w:ascii="Times New Roman" w:hAnsi="Times New Roman"/>
          <w:sz w:val="24"/>
          <w:szCs w:val="24"/>
        </w:rPr>
      </w:pPr>
      <w:r w:rsidRPr="00715533">
        <w:rPr>
          <w:rFonts w:ascii="Times New Roman" w:hAnsi="Times New Roman"/>
          <w:sz w:val="24"/>
          <w:szCs w:val="24"/>
        </w:rPr>
        <w:t>•Los adultos que concluyeron un curso universitario de cuatro años consideran que, en promedio, están ganando US$ 20.000 más al año gracias a ese diploma.</w:t>
      </w:r>
    </w:p>
    <w:p w:rsidR="00E02187" w:rsidRDefault="00E02187" w:rsidP="00E02187">
      <w:pPr>
        <w:jc w:val="both"/>
        <w:rPr>
          <w:rFonts w:ascii="Times New Roman" w:hAnsi="Times New Roman"/>
          <w:sz w:val="24"/>
          <w:szCs w:val="24"/>
        </w:rPr>
      </w:pPr>
      <w:r w:rsidRPr="00715533">
        <w:rPr>
          <w:rFonts w:ascii="Times New Roman" w:hAnsi="Times New Roman"/>
          <w:sz w:val="24"/>
          <w:szCs w:val="24"/>
        </w:rPr>
        <w:t>Fuente: Tendencias sociales y demográficas del Centro de investigación Pew.</w:t>
      </w:r>
    </w:p>
    <w:p w:rsidR="00E02187" w:rsidRPr="00511546" w:rsidRDefault="00E02187" w:rsidP="00E02187">
      <w:pPr>
        <w:jc w:val="both"/>
        <w:rPr>
          <w:rFonts w:ascii="Times New Roman" w:hAnsi="Times New Roman"/>
          <w:sz w:val="24"/>
          <w:szCs w:val="24"/>
          <w:u w:val="single"/>
        </w:rPr>
      </w:pPr>
      <w:r w:rsidRPr="00511546">
        <w:rPr>
          <w:rFonts w:ascii="Times New Roman" w:hAnsi="Times New Roman"/>
          <w:sz w:val="24"/>
          <w:szCs w:val="24"/>
          <w:u w:val="single"/>
        </w:rPr>
        <w:t>Buscando el trampolín a cualquier precio</w:t>
      </w:r>
    </w:p>
    <w:p w:rsidR="00E02187" w:rsidRPr="00CA33AD" w:rsidRDefault="00E02187" w:rsidP="00E02187">
      <w:pPr>
        <w:jc w:val="both"/>
        <w:rPr>
          <w:rFonts w:ascii="Times New Roman" w:hAnsi="Times New Roman"/>
          <w:sz w:val="24"/>
          <w:szCs w:val="24"/>
        </w:rPr>
      </w:pPr>
      <w:r>
        <w:rPr>
          <w:rFonts w:ascii="Times New Roman" w:hAnsi="Times New Roman" w:cs="Times New Roman"/>
          <w:i/>
          <w:sz w:val="24"/>
          <w:szCs w:val="24"/>
        </w:rPr>
        <w:t>“</w:t>
      </w:r>
      <w:r w:rsidRPr="00511546">
        <w:rPr>
          <w:rFonts w:ascii="Times New Roman" w:hAnsi="Times New Roman" w:cs="Times New Roman"/>
          <w:i/>
          <w:sz w:val="24"/>
          <w:szCs w:val="24"/>
        </w:rPr>
        <w:t xml:space="preserve">“Parece que esto también es demasiado grande para caer”. Lo advierte </w:t>
      </w:r>
      <w:r w:rsidRPr="008170B3">
        <w:rPr>
          <w:rFonts w:ascii="Times New Roman" w:hAnsi="Times New Roman" w:cs="Times New Roman"/>
          <w:i/>
          <w:sz w:val="24"/>
          <w:szCs w:val="24"/>
        </w:rPr>
        <w:t xml:space="preserve">la </w:t>
      </w:r>
      <w:hyperlink r:id="rId110" w:history="1">
        <w:r w:rsidRPr="008170B3">
          <w:rPr>
            <w:rStyle w:val="Hipervnculo"/>
            <w:rFonts w:ascii="Times New Roman" w:eastAsiaTheme="majorEastAsia" w:hAnsi="Times New Roman" w:cs="Times New Roman"/>
            <w:i/>
            <w:color w:val="auto"/>
            <w:sz w:val="24"/>
            <w:szCs w:val="24"/>
          </w:rPr>
          <w:t>Agencia Federal de Protección de los Consumidores</w:t>
        </w:r>
      </w:hyperlink>
      <w:r w:rsidRPr="008170B3">
        <w:rPr>
          <w:rFonts w:ascii="Times New Roman" w:hAnsi="Times New Roman" w:cs="Times New Roman"/>
          <w:i/>
          <w:sz w:val="24"/>
          <w:szCs w:val="24"/>
        </w:rPr>
        <w:t xml:space="preserve"> en Estados Unidos, y no se r</w:t>
      </w:r>
      <w:r w:rsidRPr="00511546">
        <w:rPr>
          <w:rFonts w:ascii="Times New Roman" w:hAnsi="Times New Roman" w:cs="Times New Roman"/>
          <w:i/>
          <w:sz w:val="24"/>
          <w:szCs w:val="24"/>
        </w:rPr>
        <w:t xml:space="preserve">efiere a las hipotecas ni a ninguna institución financiera, sino a </w:t>
      </w:r>
      <w:r>
        <w:rPr>
          <w:rFonts w:ascii="Times New Roman" w:hAnsi="Times New Roman" w:cs="Times New Roman"/>
          <w:i/>
          <w:sz w:val="24"/>
          <w:szCs w:val="24"/>
        </w:rPr>
        <w:t>un nuevo integrante del club:</w:t>
      </w:r>
      <w:r w:rsidRPr="00511546">
        <w:rPr>
          <w:rFonts w:ascii="Times New Roman" w:hAnsi="Times New Roman" w:cs="Times New Roman"/>
          <w:i/>
          <w:sz w:val="24"/>
          <w:szCs w:val="24"/>
        </w:rPr>
        <w:t xml:space="preserve"> </w:t>
      </w:r>
      <w:r>
        <w:rPr>
          <w:rFonts w:ascii="Times New Roman" w:hAnsi="Times New Roman" w:cs="Times New Roman"/>
          <w:i/>
          <w:sz w:val="24"/>
          <w:szCs w:val="24"/>
        </w:rPr>
        <w:t>“d</w:t>
      </w:r>
      <w:r w:rsidRPr="00511546">
        <w:rPr>
          <w:rFonts w:ascii="Times New Roman" w:hAnsi="Times New Roman" w:cs="Times New Roman"/>
          <w:i/>
          <w:sz w:val="24"/>
          <w:szCs w:val="24"/>
        </w:rPr>
        <w:t xml:space="preserve">el </w:t>
      </w:r>
      <w:r w:rsidRPr="00511546">
        <w:rPr>
          <w:rFonts w:ascii="Times New Roman" w:hAnsi="Times New Roman" w:cs="Times New Roman"/>
          <w:bCs/>
          <w:i/>
          <w:sz w:val="24"/>
          <w:szCs w:val="24"/>
        </w:rPr>
        <w:t>mercado de préstamos a los estudiantes</w:t>
      </w:r>
      <w:r w:rsidRPr="00511546">
        <w:rPr>
          <w:rFonts w:ascii="Times New Roman" w:hAnsi="Times New Roman" w:cs="Times New Roman"/>
          <w:i/>
          <w:sz w:val="24"/>
          <w:szCs w:val="24"/>
        </w:rPr>
        <w:t xml:space="preserve"> para que puedan pagar una carrera universitaria”</w:t>
      </w:r>
      <w:r>
        <w:rPr>
          <w:rFonts w:ascii="Times New Roman" w:hAnsi="Times New Roman" w:cs="Times New Roman"/>
          <w:i/>
          <w:sz w:val="24"/>
          <w:szCs w:val="24"/>
        </w:rPr>
        <w:t>”</w:t>
      </w:r>
      <w:r w:rsidRPr="00511546">
        <w:rPr>
          <w:rFonts w:ascii="Times New Roman" w:hAnsi="Times New Roman" w:cs="Times New Roman"/>
          <w:i/>
          <w:sz w:val="24"/>
          <w:szCs w:val="24"/>
        </w:rPr>
        <w:t>...</w:t>
      </w:r>
      <w:r>
        <w:rPr>
          <w:i/>
        </w:rPr>
        <w:t xml:space="preserve"> </w:t>
      </w:r>
      <w:r>
        <w:rPr>
          <w:rFonts w:ascii="Times New Roman" w:hAnsi="Times New Roman"/>
          <w:sz w:val="24"/>
          <w:szCs w:val="24"/>
        </w:rPr>
        <w:t xml:space="preserve"> </w:t>
      </w:r>
      <w:r w:rsidRPr="00F40666">
        <w:rPr>
          <w:rFonts w:ascii="Times New Roman" w:hAnsi="Times New Roman"/>
          <w:sz w:val="24"/>
          <w:szCs w:val="24"/>
          <w:u w:val="single"/>
        </w:rPr>
        <w:t>La nueva burbuja del crédito en Estados Unidos está en las aulas de las universidades</w:t>
      </w:r>
      <w:r>
        <w:rPr>
          <w:rFonts w:ascii="Times New Roman" w:hAnsi="Times New Roman"/>
          <w:sz w:val="24"/>
          <w:szCs w:val="24"/>
        </w:rPr>
        <w:t xml:space="preserve"> (El Confidencial - </w:t>
      </w:r>
      <w:r w:rsidRPr="00F40666">
        <w:rPr>
          <w:rFonts w:ascii="Times New Roman" w:hAnsi="Times New Roman"/>
          <w:b/>
          <w:sz w:val="24"/>
          <w:szCs w:val="24"/>
        </w:rPr>
        <w:t>1/4/12</w:t>
      </w:r>
      <w:r>
        <w:rPr>
          <w:rFonts w:ascii="Times New Roman" w:hAnsi="Times New Roman"/>
          <w:sz w:val="24"/>
          <w:szCs w:val="24"/>
        </w:rPr>
        <w:t>)</w:t>
      </w:r>
    </w:p>
    <w:p w:rsidR="00E02187" w:rsidRPr="00511546" w:rsidRDefault="00E02187" w:rsidP="00E02187">
      <w:pPr>
        <w:pStyle w:val="NormalWeb"/>
        <w:jc w:val="both"/>
      </w:pPr>
      <w:r w:rsidRPr="00511546">
        <w:t xml:space="preserve">Los últimos cálculos destinados a hacerse una idea del tamaño de la deuda privada de los alumnos universitarios han desvelado que hace unos meses alcanzó la escalofriante cifra de </w:t>
      </w:r>
      <w:r w:rsidRPr="00511546">
        <w:rPr>
          <w:bCs/>
        </w:rPr>
        <w:t xml:space="preserve">un billón de dólares </w:t>
      </w:r>
      <w:r w:rsidRPr="00511546">
        <w:t>(es decir, un millón de millones, que en términos americanos sería un trillón). Una cantidad que se ha doblado en los últimos cinco años y que</w:t>
      </w:r>
      <w:r w:rsidRPr="00511546">
        <w:rPr>
          <w:bCs/>
        </w:rPr>
        <w:t xml:space="preserve"> ha superado ya al total de las deudas por tarjetas de crédito en el país.</w:t>
      </w:r>
    </w:p>
    <w:p w:rsidR="00E02187" w:rsidRPr="00511546" w:rsidRDefault="00E02187" w:rsidP="00E02187">
      <w:pPr>
        <w:pStyle w:val="NormalWeb"/>
        <w:jc w:val="both"/>
      </w:pPr>
      <w:r w:rsidRPr="00511546">
        <w:t xml:space="preserve">Lo más preocupante es que, a diferencia de lo ocurrido desde el inicio de la crisis con otros productos de crédito, la deuda de los estudiantes sigue aumentando de forma regular. Y no solo por los jóvenes que acceden a la universidad: </w:t>
      </w:r>
      <w:r w:rsidRPr="00511546">
        <w:rPr>
          <w:bCs/>
        </w:rPr>
        <w:t>cada vez son más los que terminaron los estudios hace tiempos pero son incapaces de pagar los crecientes intereses</w:t>
      </w:r>
      <w:r w:rsidRPr="00511546">
        <w:t>.</w:t>
      </w:r>
    </w:p>
    <w:p w:rsidR="00E02187" w:rsidRPr="00511546" w:rsidRDefault="00E02187" w:rsidP="00E02187">
      <w:pPr>
        <w:pStyle w:val="NormalWeb"/>
        <w:jc w:val="both"/>
      </w:pPr>
      <w:r w:rsidRPr="00511546">
        <w:t>En los últimos meses se han multiplicado las voces que alertan del excesivo riesgo que está asumiendo toda una generación de jóvenes, muchos de los cuales ya se encuentran agobiados por la situación económica general. Mientras se reducen las inversiones públicas en educación y las familias reducen los gastos al mínimo, los estudiantes se ven abocados a soportar un castigo en forma de facturas por haber hecho lo que les dijeron que sería la llave a una vida mejor.</w:t>
      </w:r>
    </w:p>
    <w:p w:rsidR="00E02187" w:rsidRPr="00511546" w:rsidRDefault="00E02187" w:rsidP="00E02187">
      <w:pPr>
        <w:pStyle w:val="NormalWeb"/>
        <w:jc w:val="both"/>
      </w:pPr>
      <w:r w:rsidRPr="00511546">
        <w:t xml:space="preserve">Pero no son los universitarios los únicos que deben preocuparse. </w:t>
      </w:r>
      <w:r w:rsidRPr="00511546">
        <w:rPr>
          <w:bCs/>
        </w:rPr>
        <w:t>La agencia federal alerta de que un exceso de deuda puede ralentizar la recuperación</w:t>
      </w:r>
      <w:r w:rsidRPr="00511546">
        <w:t xml:space="preserve"> de, entre otros, el mercado inmobiliario. Y es que si los jóvenes dedican gran parte de sus ingresos mensuales a devolver sus préstamos, retrasan notablemente la adquisición de su primera casa o de su primer coche, además de otros eventos vitales como casarse o tener hijos. </w:t>
      </w:r>
    </w:p>
    <w:p w:rsidR="00E02187" w:rsidRPr="00511546" w:rsidRDefault="00E02187" w:rsidP="00E02187">
      <w:pPr>
        <w:pStyle w:val="NormalWeb"/>
        <w:jc w:val="both"/>
      </w:pPr>
      <w:r w:rsidRPr="00511546">
        <w:t xml:space="preserve">En Estados Unidos existen dos tipos de préstamos a los que acudir para financiarse los estudios: los federales y los privados. Los primeros ofrecen una serie de </w:t>
      </w:r>
      <w:r w:rsidRPr="00511546">
        <w:rPr>
          <w:bCs/>
        </w:rPr>
        <w:t>facilidades</w:t>
      </w:r>
      <w:r w:rsidRPr="00511546">
        <w:t xml:space="preserve"> de las que los segundos carecen, como que la cantidad a devolver cada mes vaya en función de los ingresos o diversas opciones de aplazamiento de los pagos.</w:t>
      </w:r>
    </w:p>
    <w:p w:rsidR="00E02187" w:rsidRPr="00511546" w:rsidRDefault="00E02187" w:rsidP="00E02187">
      <w:pPr>
        <w:pStyle w:val="NormalWeb"/>
        <w:jc w:val="both"/>
      </w:pPr>
      <w:r w:rsidRPr="00511546">
        <w:lastRenderedPageBreak/>
        <w:t xml:space="preserve">No obstante, </w:t>
      </w:r>
      <w:r w:rsidRPr="00511546">
        <w:rPr>
          <w:bCs/>
        </w:rPr>
        <w:t>las universidades a menudo presionan a los estudiantes para que adquieran préstamos privados de alto coste</w:t>
      </w:r>
      <w:r w:rsidRPr="00511546">
        <w:t xml:space="preserve">, incluso cuando reúnen las condiciones para optar a los préstamos federales. Las sospechas de pactos entre las entidades de crédito y los centros educativos provocaron que en el año 2007, el entonces Fiscal General de Nueva York y actual Gobernador del estado, </w:t>
      </w:r>
      <w:r w:rsidRPr="00511546">
        <w:rPr>
          <w:bCs/>
        </w:rPr>
        <w:t>Andrew Cuomo</w:t>
      </w:r>
      <w:r w:rsidRPr="00511546">
        <w:t xml:space="preserve">, iniciara una investigación, en el transcurso de la cual declaró: “Hay entidades que no pueden entrar al mercado de préstamos. Puedes tener un mejor producto pero no puedes llegar a los estudiantes, porque ese acceso está controlado por las universidades. </w:t>
      </w:r>
      <w:r w:rsidRPr="00511546">
        <w:rPr>
          <w:bCs/>
        </w:rPr>
        <w:t>La corrupción está muy extendida</w:t>
      </w:r>
      <w:r w:rsidRPr="00511546">
        <w:t xml:space="preserve">, el 90% de las universidades tienen un prestamista preferente”. La investigación acabó obligando a muchos centros educativos a cambiar su política de préstamos y algunos incluso debieron devolver dinero a los estudiantes por haber inflado los precios. </w:t>
      </w:r>
    </w:p>
    <w:p w:rsidR="00E02187" w:rsidRPr="00511546" w:rsidRDefault="00E02187" w:rsidP="00E02187">
      <w:pPr>
        <w:pStyle w:val="NormalWeb"/>
        <w:jc w:val="both"/>
      </w:pPr>
      <w:r w:rsidRPr="00511546">
        <w:t xml:space="preserve">Este tipo de prácticas que atentaban contra la libre competencia parecen haberse reducido, pero, la cultura del endeudamiento a largo plazo sigue gozando de la mejor salud entre los estudiantes norteamericanos, </w:t>
      </w:r>
      <w:r w:rsidRPr="00511546">
        <w:rPr>
          <w:bCs/>
        </w:rPr>
        <w:t>inflando la burbuja del crédito</w:t>
      </w:r>
      <w:r w:rsidRPr="00511546">
        <w:t xml:space="preserve"> hasta extremos que van más allá de lo recomendable.</w:t>
      </w:r>
    </w:p>
    <w:p w:rsidR="00E02187" w:rsidRDefault="00E02187" w:rsidP="00E02187">
      <w:pPr>
        <w:pStyle w:val="NormalWeb"/>
        <w:jc w:val="both"/>
      </w:pPr>
      <w:r w:rsidRPr="00511546">
        <w:t xml:space="preserve">Como señaló en su blog </w:t>
      </w:r>
      <w:r w:rsidRPr="00511546">
        <w:rPr>
          <w:bCs/>
        </w:rPr>
        <w:t>Nick Pardini</w:t>
      </w:r>
      <w:r w:rsidRPr="00511546">
        <w:t>, estudiante de economía en la universidad de Vilanova, “estamos creando una generación que serán esclavos de sus deudas durante años”. Y añade una última advertencia: “Cuando estalle esta burbuja, los que perderán no serán los que prestaron, sino los que pidieron”.</w:t>
      </w:r>
    </w:p>
    <w:p w:rsidR="00E02187" w:rsidRPr="00AF6D21" w:rsidRDefault="00E02187" w:rsidP="00E02187">
      <w:pPr>
        <w:pStyle w:val="NormalWeb"/>
        <w:jc w:val="both"/>
        <w:rPr>
          <w:u w:val="single"/>
        </w:rPr>
      </w:pPr>
      <w:r w:rsidRPr="00AF6D21">
        <w:rPr>
          <w:u w:val="single"/>
        </w:rPr>
        <w:t>Adictos al crédito: endeudados desde la guardería</w:t>
      </w:r>
      <w:r>
        <w:rPr>
          <w:u w:val="single"/>
        </w:rPr>
        <w:t xml:space="preserve"> (los subprime con chupete)</w:t>
      </w:r>
    </w:p>
    <w:p w:rsidR="00E02187" w:rsidRPr="008170B3" w:rsidRDefault="00E02187" w:rsidP="00E02187">
      <w:pPr>
        <w:pStyle w:val="NormalWeb"/>
        <w:jc w:val="both"/>
        <w:rPr>
          <w:i/>
        </w:rPr>
      </w:pPr>
      <w:r>
        <w:rPr>
          <w:i/>
        </w:rPr>
        <w:t>“</w:t>
      </w:r>
      <w:r w:rsidRPr="00AF6D21">
        <w:rPr>
          <w:i/>
        </w:rPr>
        <w:t xml:space="preserve">La vieja costumbre de las familias estadounidenses de ahorrar para pagar la universidad de sus hijos pertenece ya al pasado. No solo porque del ahorro se haya </w:t>
      </w:r>
      <w:r w:rsidRPr="008170B3">
        <w:rPr>
          <w:i/>
        </w:rPr>
        <w:t xml:space="preserve">pasado a los préstamos (la deuda privada de los estudiantes universitarios </w:t>
      </w:r>
      <w:hyperlink r:id="rId111" w:history="1">
        <w:r w:rsidRPr="008170B3">
          <w:rPr>
            <w:rStyle w:val="Hipervnculo"/>
            <w:rFonts w:eastAsiaTheme="majorEastAsia"/>
            <w:i/>
            <w:color w:val="auto"/>
          </w:rPr>
          <w:t>supera ya el billón de dólares</w:t>
        </w:r>
      </w:hyperlink>
      <w:r w:rsidRPr="008170B3">
        <w:rPr>
          <w:i/>
        </w:rPr>
        <w:t xml:space="preserve">) sino porque la tendencia actual es </w:t>
      </w:r>
      <w:r w:rsidRPr="008170B3">
        <w:rPr>
          <w:rStyle w:val="Textoennegrita"/>
          <w:rFonts w:eastAsia="Calibri"/>
          <w:b w:val="0"/>
          <w:i/>
        </w:rPr>
        <w:t>comenzar a buscar financiación para pagar los estudios de los chicos mucho antes de que lleguen a la educación superior</w:t>
      </w:r>
      <w:r w:rsidRPr="008170B3">
        <w:rPr>
          <w:i/>
        </w:rPr>
        <w:t xml:space="preserve">. Antes incluso de que sepan leer”... </w:t>
      </w:r>
      <w:r w:rsidRPr="008170B3">
        <w:rPr>
          <w:u w:val="single"/>
        </w:rPr>
        <w:t>La fiebre de los préstamos para estudiantes en EEUU llega hasta la guardería</w:t>
      </w:r>
      <w:r w:rsidRPr="008170B3">
        <w:t xml:space="preserve"> (El Confidencial - </w:t>
      </w:r>
      <w:r w:rsidRPr="008170B3">
        <w:rPr>
          <w:b/>
        </w:rPr>
        <w:t>7/4/12</w:t>
      </w:r>
      <w:r w:rsidRPr="008170B3">
        <w:t>)</w:t>
      </w:r>
    </w:p>
    <w:p w:rsidR="00E02187" w:rsidRPr="00AF6D21" w:rsidRDefault="00E02187" w:rsidP="00E02187">
      <w:pPr>
        <w:pStyle w:val="NormalWeb"/>
        <w:jc w:val="both"/>
      </w:pPr>
      <w:r w:rsidRPr="008170B3">
        <w:t xml:space="preserve">Según recoge </w:t>
      </w:r>
      <w:hyperlink r:id="rId112" w:history="1">
        <w:r w:rsidRPr="008170B3">
          <w:rPr>
            <w:rStyle w:val="Hipervnculo"/>
            <w:rFonts w:eastAsiaTheme="majorEastAsia"/>
            <w:color w:val="auto"/>
          </w:rPr>
          <w:t>SmartMoney</w:t>
        </w:r>
      </w:hyperlink>
      <w:r w:rsidRPr="008170B3">
        <w:t xml:space="preserve">, la revista mensual del “Wall Street Journal”, cada vez más familias piden créditos para pagar la educación de sus hijos durante el llamado K-12, </w:t>
      </w:r>
      <w:r w:rsidRPr="008170B3">
        <w:rPr>
          <w:rStyle w:val="Textoennegrita"/>
          <w:rFonts w:eastAsia="Calibri"/>
          <w:b w:val="0"/>
        </w:rPr>
        <w:t xml:space="preserve">el periodo que va desde la </w:t>
      </w:r>
      <w:r w:rsidRPr="00AF6D21">
        <w:rPr>
          <w:rStyle w:val="Textoennegrita"/>
          <w:rFonts w:eastAsia="Calibri"/>
          <w:b w:val="0"/>
        </w:rPr>
        <w:t>guardería (</w:t>
      </w:r>
      <w:r w:rsidRPr="00AF6D21">
        <w:rPr>
          <w:rStyle w:val="Textoennegrita"/>
          <w:rFonts w:eastAsia="Calibri"/>
          <w:b w:val="0"/>
          <w:iCs/>
        </w:rPr>
        <w:t>kindergarten</w:t>
      </w:r>
      <w:r w:rsidRPr="00AF6D21">
        <w:rPr>
          <w:rStyle w:val="Textoennegrita"/>
          <w:rFonts w:eastAsia="Calibri"/>
          <w:b w:val="0"/>
        </w:rPr>
        <w:t>) al duodécimo curso</w:t>
      </w:r>
      <w:r w:rsidRPr="00AF6D21">
        <w:t>, el último del instituto. La consecuencia es que el mercado de préstamos para la educación básica vive una floreciente expansión: “Your Tuition Solution” (Tu solución para la matrícula), uno de los más importantes prestamistas de este tipo, asegura que la demanda no deja de crecer y que este mes han experimentado un aumento del 10% respecto a marzo de 2011. Otras entidades de crédito están intentando subirse a la ola, como First Marblehead, que abandonó este mercado en 2008 y ha vuelto a incorporarse recientemente al percibir la tendencia. Incluso los colegios han comenzado a ofrecer sus propios créditos.</w:t>
      </w:r>
    </w:p>
    <w:p w:rsidR="00E02187" w:rsidRPr="00AF6D21" w:rsidRDefault="00E02187" w:rsidP="00E02187">
      <w:pPr>
        <w:pStyle w:val="NormalWeb"/>
        <w:jc w:val="both"/>
      </w:pPr>
      <w:r w:rsidRPr="00AF6D21">
        <w:t xml:space="preserve">¿Quién está pidiendo estos préstamos, inconcebibles hace pocos años? Principalmente, familias de clase media-alta que no pueden optar a becas o ayudas pero </w:t>
      </w:r>
      <w:r w:rsidRPr="00AF6D21">
        <w:rPr>
          <w:rStyle w:val="Textoennegrita"/>
          <w:rFonts w:eastAsia="Calibri"/>
          <w:b w:val="0"/>
        </w:rPr>
        <w:t>desean que sus hijos se eduquen al más alto nivel desde la cuna</w:t>
      </w:r>
      <w:r w:rsidRPr="00AF6D21">
        <w:t xml:space="preserve">. El aumento de la demanda coincide con una subida generalizada del precio de las matrículas que ha llevado a algunos </w:t>
      </w:r>
      <w:r w:rsidRPr="00AF6D21">
        <w:lastRenderedPageBreak/>
        <w:t>institutos privados a pedir hasta 40.000 euros anuales para obtener una plaza en sus aulas.</w:t>
      </w:r>
    </w:p>
    <w:p w:rsidR="00E02187" w:rsidRPr="00AF6D21" w:rsidRDefault="00E02187" w:rsidP="00E02187">
      <w:pPr>
        <w:pStyle w:val="NormalWeb"/>
        <w:jc w:val="both"/>
      </w:pPr>
      <w:r w:rsidRPr="00AF6D21">
        <w:t xml:space="preserve">Ningún padre quiere poner precio al futuro de sus hijos, pero pagar más de lo que la economía familiar puede permitirse entraña riesgos muy altos, dado que los préstamos son caros (los intereses pueden ir del 4% al 20%) y pueden ser necesarios muchos años para devolverlos. Comenzar a endeudarse a etapas tan tempranas implica que muchos padres no podrán ahorrar para pagar la universidad de sus hijos o para su propia jubilación. Si se juntan las cuotas de la educación básica con las de la universidad mientras se sigue pagando la hipoteca o el coche, </w:t>
      </w:r>
      <w:r w:rsidRPr="00AF6D21">
        <w:rPr>
          <w:rStyle w:val="Textoennegrita"/>
          <w:rFonts w:eastAsia="Calibri"/>
          <w:b w:val="0"/>
        </w:rPr>
        <w:t>muchas familias podrían asestarse una herida mortal a pesar de tener las mejores intenciones</w:t>
      </w:r>
      <w:r w:rsidRPr="00AF6D21">
        <w:t>. Por no hablar de la presión que se pone sobre niños o adolescentes que no están preparados p</w:t>
      </w:r>
      <w:r>
        <w:t>ara asumir esa responsabilidad.</w:t>
      </w:r>
    </w:p>
    <w:p w:rsidR="00E02187" w:rsidRPr="00AF6D21" w:rsidRDefault="00E02187" w:rsidP="00E02187">
      <w:pPr>
        <w:pStyle w:val="NormalWeb"/>
        <w:jc w:val="both"/>
      </w:pPr>
      <w:r>
        <w:t xml:space="preserve">En declaraciones a la revista </w:t>
      </w:r>
      <w:r w:rsidRPr="007C5A7D">
        <w:t>“</w:t>
      </w:r>
      <w:hyperlink r:id="rId113" w:history="1">
        <w:r w:rsidRPr="007C5A7D">
          <w:rPr>
            <w:rStyle w:val="Hipervnculo"/>
            <w:rFonts w:eastAsiaTheme="majorEastAsia"/>
            <w:color w:val="auto"/>
          </w:rPr>
          <w:t>Forbes</w:t>
        </w:r>
      </w:hyperlink>
      <w:r w:rsidRPr="007C5A7D">
        <w:t xml:space="preserve">”, </w:t>
      </w:r>
      <w:r w:rsidRPr="00AF6D21">
        <w:t xml:space="preserve">Kevin Worthley, asesor financiero en Retirement Planning Company afirma: “Ya sabemos que </w:t>
      </w:r>
      <w:r w:rsidRPr="00AF6D21">
        <w:rPr>
          <w:rStyle w:val="Textoennegrita"/>
          <w:rFonts w:eastAsia="Calibri"/>
          <w:b w:val="0"/>
        </w:rPr>
        <w:t>la gente no quiere ser menos que sus vecinos</w:t>
      </w:r>
      <w:r w:rsidRPr="00AF6D21">
        <w:t>. El problema es que si están pidiendo 20.000 dólares al año para educación primaria, ¿cómo van a ser capaces de afrontar sumas mayores cuando sus hijos tengan que ir a la universidad? Es más, si llevan a los niños a los mejores colegios privados, entonces también querrán las universidades privadas más caras. Pueden seguir pagando estos préstamos a la vez que los de la universidad, mucho después de que los chicos hayan acabado la carrera”.</w:t>
      </w:r>
    </w:p>
    <w:p w:rsidR="00E02187" w:rsidRPr="00AF6D21" w:rsidRDefault="00E02187" w:rsidP="00E02187">
      <w:pPr>
        <w:pStyle w:val="NormalWeb"/>
        <w:jc w:val="both"/>
      </w:pPr>
      <w:r w:rsidRPr="00AF6D21">
        <w:t xml:space="preserve">Los padres que se embarcan en este tipo de aventuras financieras lo hacen con el convencimiento de que es necesario empezar desde lo mejor para garantizarse un futuro de excelencia, pero la admisión en las universidades de élite depende de muchos factores. Los institutos privados más prestigiosos son considerados un </w:t>
      </w:r>
      <w:r w:rsidRPr="00AF6D21">
        <w:rPr>
          <w:rStyle w:val="Textoennegrita"/>
          <w:rFonts w:eastAsia="Calibri"/>
          <w:b w:val="0"/>
        </w:rPr>
        <w:t>trampolín para las mejores universidades</w:t>
      </w:r>
      <w:r w:rsidRPr="00AF6D21">
        <w:t xml:space="preserve"> pero esta asociación no siempre es automática. Por ejemplo, la </w:t>
      </w:r>
      <w:hyperlink r:id="rId114" w:history="1">
        <w:r w:rsidRPr="007C5A7D">
          <w:rPr>
            <w:rStyle w:val="Hipervnculo"/>
            <w:rFonts w:eastAsiaTheme="majorEastAsia"/>
            <w:color w:val="auto"/>
          </w:rPr>
          <w:t>Dalton School</w:t>
        </w:r>
      </w:hyperlink>
      <w:r w:rsidRPr="00AF6D21">
        <w:t>, paradigma de escuela p</w:t>
      </w:r>
      <w:r>
        <w:t>restigiosa, perteneciente a la “Ivy League”</w:t>
      </w:r>
      <w:r w:rsidRPr="00AF6D21">
        <w:t xml:space="preserve"> y situada en el exclusivo Upper East Side de Manhattan, ha tenido años en los que ninguno de sus alumnos fue admitido en Harvard.</w:t>
      </w:r>
    </w:p>
    <w:p w:rsidR="00E02187" w:rsidRPr="00AF6D21" w:rsidRDefault="00E02187" w:rsidP="00E02187">
      <w:pPr>
        <w:pStyle w:val="NormalWeb"/>
        <w:jc w:val="both"/>
      </w:pPr>
      <w:r w:rsidRPr="00AF6D21">
        <w:t>Maura Ka</w:t>
      </w:r>
      <w:r>
        <w:t>stberg, directora ejecutiva de “RSC: Your College Prep Expert”</w:t>
      </w:r>
      <w:r w:rsidRPr="00AF6D21">
        <w:t xml:space="preserve">, compañía que asesora a estudiantes, desaconseja el endeudamiento y señala: “Ir a un colegio privado no garantiza la aceptación en una universidad de élite. Las universidades buscan estudiantes que estén dispuestos a esforzarse para tener éxito y superar desafíos. Ir a un colegio privado es una forma de aumentar tus posibilidades, pero </w:t>
      </w:r>
      <w:r w:rsidRPr="00AF6D21">
        <w:rPr>
          <w:rStyle w:val="Textoennegrita"/>
          <w:rFonts w:eastAsia="Calibri"/>
          <w:b w:val="0"/>
        </w:rPr>
        <w:t>el trabajo duro, la capacidad de liderazgo y la pasión por lo que haces también pueden llevarte allí</w:t>
      </w:r>
      <w:r w:rsidRPr="00AF6D21">
        <w:t>”.</w:t>
      </w:r>
    </w:p>
    <w:p w:rsidR="00E02187" w:rsidRPr="00AF6D21" w:rsidRDefault="00E02187" w:rsidP="00E02187">
      <w:pPr>
        <w:pStyle w:val="NormalWeb"/>
        <w:jc w:val="both"/>
      </w:pPr>
      <w:r w:rsidRPr="00AF6D21">
        <w:t>El problema es que ninguna de esas cualidades se puede comprar, al contrario que una plaza en un colegio privado. Si bien el precio a pagar puede acabar siendo mucho mayor de lo imaginado.</w:t>
      </w:r>
    </w:p>
    <w:p w:rsidR="00E02187" w:rsidRPr="00715533" w:rsidRDefault="00E02187" w:rsidP="00E02187">
      <w:pPr>
        <w:pStyle w:val="NormalWeb"/>
        <w:jc w:val="both"/>
        <w:rPr>
          <w:u w:val="single"/>
        </w:rPr>
      </w:pPr>
      <w:r>
        <w:rPr>
          <w:u w:val="single"/>
        </w:rPr>
        <w:t>Comparemos: l</w:t>
      </w:r>
      <w:r w:rsidRPr="00715533">
        <w:rPr>
          <w:u w:val="single"/>
        </w:rPr>
        <w:t>as razones detrás del éxito de los estudiantes de China, Corea y</w:t>
      </w:r>
      <w:r>
        <w:rPr>
          <w:u w:val="single"/>
        </w:rPr>
        <w:t xml:space="preserve"> Singapur</w:t>
      </w:r>
    </w:p>
    <w:p w:rsidR="00E02187" w:rsidRPr="00511546" w:rsidRDefault="00E02187" w:rsidP="00E02187">
      <w:pPr>
        <w:pStyle w:val="NormalWeb"/>
        <w:jc w:val="both"/>
      </w:pPr>
      <w:r>
        <w:rPr>
          <w:rFonts w:eastAsiaTheme="minorHAnsi" w:cstheme="minorBidi"/>
          <w:lang w:eastAsia="en-US"/>
        </w:rPr>
        <w:t>“</w:t>
      </w:r>
      <w:r w:rsidRPr="00715533">
        <w:rPr>
          <w:i/>
        </w:rPr>
        <w:t xml:space="preserve">A los 15 años, un estudiante de Shanghái está de media casi tres años por delante de un alumno de la Unión Europea en matemáticas. Y un niño coreano suele estar un año más avanzado que un europeo en comprensión de lectura. Estos son los datos de un informe del centro de estudios Grattam Institute (organización financiada por el </w:t>
      </w:r>
      <w:r w:rsidRPr="00715533">
        <w:rPr>
          <w:i/>
        </w:rPr>
        <w:lastRenderedPageBreak/>
        <w:t>Gobierno australiano), que explora las razones del éxito de los sistemas de enseñanza asiáticos</w:t>
      </w:r>
      <w:r>
        <w:rPr>
          <w:i/>
        </w:rPr>
        <w:t>”..</w:t>
      </w:r>
      <w:r w:rsidRPr="00715533">
        <w:rPr>
          <w:i/>
        </w:rPr>
        <w:t>.</w:t>
      </w:r>
      <w:r>
        <w:t xml:space="preserve"> </w:t>
      </w:r>
      <w:r w:rsidRPr="001806C6">
        <w:rPr>
          <w:u w:val="single"/>
        </w:rPr>
        <w:t>¿Por qué las escuelas asiáticas son mejores?</w:t>
      </w:r>
      <w:r>
        <w:t xml:space="preserve"> (Expansión - </w:t>
      </w:r>
      <w:r w:rsidRPr="001806C6">
        <w:rPr>
          <w:b/>
        </w:rPr>
        <w:t>27/2/12</w:t>
      </w:r>
      <w:r>
        <w:t>)</w:t>
      </w:r>
    </w:p>
    <w:p w:rsidR="00E02187" w:rsidRPr="00511546" w:rsidRDefault="00E02187" w:rsidP="00E02187">
      <w:pPr>
        <w:pStyle w:val="NormalWeb"/>
        <w:jc w:val="both"/>
      </w:pPr>
      <w:r w:rsidRPr="00511546">
        <w:t>Grattan Institute parte de los excelentes resultados de Shanghái, Core</w:t>
      </w:r>
      <w:r w:rsidR="00F721A7">
        <w:t>a, Hong Kong y Singapur en el ra</w:t>
      </w:r>
      <w:bookmarkStart w:id="0" w:name="_GoBack"/>
      <w:bookmarkEnd w:id="0"/>
      <w:r w:rsidRPr="00511546">
        <w:t>nking PISA elaborado por la OCDE, que evalúa el rendimiento de estudiantes de 15 años de gran parte del mundo. Dichos sistemas educativos asiáticos ocupan cuatro de los primeros cinco puestos de la clasificación de 2009 (la última disponible); en Europa, solo Finlandia mantiene el paso con Oriente, con un meritorio tercer puesto.</w:t>
      </w:r>
    </w:p>
    <w:p w:rsidR="00E02187" w:rsidRPr="00511546" w:rsidRDefault="00E02187" w:rsidP="00E02187">
      <w:pPr>
        <w:pStyle w:val="NormalWeb"/>
        <w:jc w:val="both"/>
      </w:pPr>
      <w:r w:rsidRPr="00511546">
        <w:t>Pues bien, ¿cuál es el secreto? El informe identifica ciertos factores comunes que están impulsando los excelentes resultados de los asiáticos.</w:t>
      </w:r>
    </w:p>
    <w:p w:rsidR="00E02187" w:rsidRPr="00511546" w:rsidRDefault="00E02187" w:rsidP="00E02187">
      <w:pPr>
        <w:pStyle w:val="NormalWeb"/>
        <w:jc w:val="both"/>
      </w:pPr>
      <w:r w:rsidRPr="00511546">
        <w:t>El primero es el acento en la formación de los profesores y los incentivos para contratar a los mejores. Esto es así hasta el punto de que en Singapur los docentes son considerados funcionarios desde el primer año de formación y cobran en consonancia con dicha responsabilidad.</w:t>
      </w:r>
    </w:p>
    <w:p w:rsidR="00E02187" w:rsidRPr="00511546" w:rsidRDefault="00E02187" w:rsidP="00E02187">
      <w:pPr>
        <w:pStyle w:val="NormalWeb"/>
        <w:jc w:val="both"/>
      </w:pPr>
      <w:r w:rsidRPr="00511546">
        <w:t>El segundo es la supervisión. En Shanghái, por ejemplo, cada nuevo profesor cuenta con dos tutores, docentes también, que presencian y evalúan regularmente sus clases, y le indican cómo tratar de mejorar.</w:t>
      </w:r>
    </w:p>
    <w:p w:rsidR="00E02187" w:rsidRPr="00511546" w:rsidRDefault="00E02187" w:rsidP="00E02187">
      <w:pPr>
        <w:pStyle w:val="NormalWeb"/>
        <w:jc w:val="both"/>
      </w:pPr>
      <w:r w:rsidRPr="00511546">
        <w:t>El tercero son los incentivos a la investigación de los docentes acerca de nuevas y más efectivas técnicas pedagógicas.</w:t>
      </w:r>
    </w:p>
    <w:p w:rsidR="00E02187" w:rsidRPr="00511546" w:rsidRDefault="00E02187" w:rsidP="00E02187">
      <w:pPr>
        <w:pStyle w:val="NormalWeb"/>
        <w:jc w:val="both"/>
      </w:pPr>
      <w:r w:rsidRPr="00511546">
        <w:t>El que los profesores encuentren tiempo para mejorar y evaluarse depende, por supuesto, del número de horas lectivas. A ojos de los autores del informe, los sistemas asiáticos han comprendido la necesidad de encontrar un compromiso y han optado por clases mucho más grandes, pero menos horas lectivas.</w:t>
      </w:r>
    </w:p>
    <w:p w:rsidR="00E02187" w:rsidRDefault="00E02187" w:rsidP="00E02187">
      <w:pPr>
        <w:pStyle w:val="NormalWeb"/>
        <w:jc w:val="both"/>
      </w:pPr>
      <w:r w:rsidRPr="00511546">
        <w:t>Así, un profesor de Shanghái enseña en aulas de 40 alumnos, aunque sólo 12 horas a la semana. En cambio, los cursos de un profesor estadounidense tienen unos 23 niños, pero debe dar 30 horas de clase a la semana.</w:t>
      </w:r>
    </w:p>
    <w:p w:rsidR="00E02187" w:rsidRPr="00511546" w:rsidRDefault="00E02187" w:rsidP="00E02187">
      <w:pPr>
        <w:pStyle w:val="NormalWeb"/>
        <w:jc w:val="both"/>
      </w:pPr>
      <w:r>
        <w:t>El éxito de estos cuatro sistemas educativos se ha conseguido, además combinando este rendimiento espectacular con unos niveles de equidad muy superiores a los de la mayoría de los países occidentales. “En comparación con la mayoría de países de la OCDE, un niño pobre tiene menos posibilidades de quedarse atrás o abandonar la escuela en estos sistemas”, se lee en el informe.</w:t>
      </w:r>
    </w:p>
    <w:p w:rsidR="00E02187" w:rsidRPr="00511546" w:rsidRDefault="00E02187" w:rsidP="00E02187">
      <w:pPr>
        <w:pStyle w:val="NormalWeb"/>
        <w:jc w:val="both"/>
      </w:pPr>
      <w:r w:rsidRPr="00511546">
        <w:t>Por otro lado, la diferencia entre los mejores y los peores estudiantes son más pequeñas que en Europa o Estados Unidos.</w:t>
      </w:r>
    </w:p>
    <w:p w:rsidR="00E02187" w:rsidRPr="00511546" w:rsidRDefault="00E02187" w:rsidP="00E02187">
      <w:pPr>
        <w:pStyle w:val="NormalWeb"/>
        <w:jc w:val="both"/>
      </w:pPr>
      <w:r w:rsidRPr="00511546">
        <w:t>El informe destruye también algunos de los mitos con los que habitualmente se trata de explicar el alto rendimiento de los alumnos asiáticos. El primero, es la influencia cultural, el legado del confucianismo en los países de la órbita cultural china. Estas naciones tenían el mismo sustrato cultural hace diez años, cuando sus resultados eran mucho más pobres. Lo que ha cambiado son las políticas.</w:t>
      </w:r>
    </w:p>
    <w:p w:rsidR="00E02187" w:rsidRPr="00511546" w:rsidRDefault="00E02187" w:rsidP="00E02187">
      <w:pPr>
        <w:pStyle w:val="NormalWeb"/>
        <w:jc w:val="both"/>
      </w:pPr>
      <w:r w:rsidRPr="00511546">
        <w:lastRenderedPageBreak/>
        <w:t>El segundo es el dinero, la asunción de que más financiación implica necesariamente una mejora del nivel educativo. Corea, por ejemplo, gasta menos que la media de la OCDE en sus alumnos y, sin embargo, sus resultados son excelentes.</w:t>
      </w:r>
    </w:p>
    <w:p w:rsidR="00E02187" w:rsidRPr="00511546" w:rsidRDefault="00E02187" w:rsidP="00E02187">
      <w:pPr>
        <w:pStyle w:val="NormalWeb"/>
        <w:jc w:val="both"/>
      </w:pPr>
      <w:r w:rsidRPr="00511546">
        <w:t>A raíz del informe de Grattan, el Wall Street Journal se preguntaba si no merecía la pena empezar a pensar en mandar a los niños a Asia para ir a la escuela.</w:t>
      </w:r>
    </w:p>
    <w:p w:rsidR="00E02187" w:rsidRPr="00511546" w:rsidRDefault="00E02187" w:rsidP="00E02187">
      <w:pPr>
        <w:pStyle w:val="NormalWeb"/>
        <w:jc w:val="both"/>
      </w:pPr>
      <w:r w:rsidRPr="00511546">
        <w:t>Lo curioso es que en China existe un importante debate acerca de cómo mejorar la educación del país, tomando como ejemplo algunos rasgos de Occidente. Para mucha gente, el sistema educativo local desincentiva por completo la creatividad y la capacidad de innovación de los jóvenes, facetas imprescindibles para desarrollar una economía basada en el conocimiento.</w:t>
      </w:r>
    </w:p>
    <w:p w:rsidR="00E02187" w:rsidRPr="00511546" w:rsidRDefault="00E02187" w:rsidP="00E02187">
      <w:pPr>
        <w:pStyle w:val="NormalWeb"/>
        <w:jc w:val="both"/>
      </w:pPr>
      <w:r w:rsidRPr="00511546">
        <w:t>Hace unos días, Zhong Daoran, autor del libro No perdono, en el que critica el sistema educativo local, decía en una entrevista que la educación china “destruye la creatividad y hace que la gente no tenga opiniones propias y no pueda seguir su propio camino”.</w:t>
      </w:r>
    </w:p>
    <w:p w:rsidR="00E02187" w:rsidRDefault="00E02187" w:rsidP="00E02187">
      <w:pPr>
        <w:pStyle w:val="NormalWeb"/>
        <w:jc w:val="both"/>
      </w:pPr>
      <w:r w:rsidRPr="00511546">
        <w:t>Un libro de Daniel Méndez, autor de la web ZaiChina, explora precisamente las contradicciones del sistema educativo chino y el intenso debate acerca de sus debilidades desde la perspectiva de un estudiante español en una de las mejores universidades del país</w:t>
      </w:r>
      <w:r>
        <w:t>.</w:t>
      </w:r>
    </w:p>
    <w:p w:rsidR="00E02187" w:rsidRDefault="00E02187" w:rsidP="00E02187">
      <w:pPr>
        <w:pStyle w:val="NormalWeb"/>
        <w:jc w:val="both"/>
      </w:pPr>
      <w:r w:rsidRPr="00511546">
        <w:rPr>
          <w:u w:val="single"/>
        </w:rPr>
        <w:t>“Si te esfuerzas en la escuela, podrás estudiar una buena carrera y tendrás el trabajo asegurado”, así decía mi padre</w:t>
      </w:r>
      <w:r>
        <w:rPr>
          <w:u w:val="single"/>
        </w:rPr>
        <w:t>, hace más de medio siglo… ¿Nos equivocamos los dos?</w:t>
      </w:r>
    </w:p>
    <w:p w:rsidR="00E02187" w:rsidRPr="00222501" w:rsidRDefault="00E02187" w:rsidP="00E02187">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617FFB">
        <w:rPr>
          <w:rFonts w:ascii="Times New Roman" w:eastAsia="Times New Roman" w:hAnsi="Times New Roman"/>
          <w:sz w:val="24"/>
          <w:szCs w:val="24"/>
          <w:u w:val="single"/>
          <w:lang w:eastAsia="es-ES"/>
        </w:rPr>
        <w:t>Cinco claves para cambiar un sistema educativo agotado</w:t>
      </w:r>
      <w:r>
        <w:rPr>
          <w:rFonts w:ascii="Times New Roman" w:eastAsia="Times New Roman" w:hAnsi="Times New Roman"/>
          <w:sz w:val="24"/>
          <w:szCs w:val="24"/>
          <w:lang w:eastAsia="es-ES"/>
        </w:rPr>
        <w:t xml:space="preserve"> (El Confidencial - </w:t>
      </w:r>
      <w:r w:rsidRPr="00617FFB">
        <w:rPr>
          <w:rFonts w:ascii="Times New Roman" w:eastAsia="Times New Roman" w:hAnsi="Times New Roman"/>
          <w:b/>
          <w:sz w:val="24"/>
          <w:szCs w:val="24"/>
          <w:lang w:eastAsia="es-ES"/>
        </w:rPr>
        <w:t>15/3/12</w:t>
      </w:r>
      <w:r>
        <w:rPr>
          <w:rFonts w:ascii="Times New Roman" w:eastAsia="Times New Roman" w:hAnsi="Times New Roman"/>
          <w:sz w:val="24"/>
          <w:szCs w:val="24"/>
          <w:lang w:eastAsia="es-ES"/>
        </w:rPr>
        <w:t>)</w:t>
      </w:r>
    </w:p>
    <w:p w:rsidR="00E02187" w:rsidRPr="00617FFB" w:rsidRDefault="00E02187" w:rsidP="00E02187">
      <w:pPr>
        <w:pStyle w:val="centro-texto-notis"/>
        <w:jc w:val="both"/>
        <w:rPr>
          <w:u w:val="single"/>
        </w:rPr>
      </w:pPr>
      <w:r>
        <w:rPr>
          <w:rStyle w:val="firma-negra-grande"/>
        </w:rPr>
        <w:t xml:space="preserve">(Por </w:t>
      </w:r>
      <w:hyperlink r:id="rId115" w:history="1">
        <w:r w:rsidRPr="008170B3">
          <w:rPr>
            <w:rStyle w:val="Hipervnculo"/>
            <w:rFonts w:eastAsiaTheme="majorEastAsia"/>
            <w:color w:val="auto"/>
            <w:u w:val="none"/>
          </w:rPr>
          <w:t>Miguel Ayuso</w:t>
        </w:r>
      </w:hyperlink>
      <w:r w:rsidRPr="008170B3">
        <w:rPr>
          <w:rStyle w:val="hora-publi"/>
        </w:rPr>
        <w:t>)</w:t>
      </w:r>
      <w:r>
        <w:rPr>
          <w:rStyle w:val="hora-publi"/>
        </w:rPr>
        <w:t xml:space="preserve">                                                                          Lectura recomendada</w:t>
      </w:r>
    </w:p>
    <w:p w:rsidR="00E02187" w:rsidRDefault="00E02187" w:rsidP="00E02187">
      <w:pPr>
        <w:pStyle w:val="NormalWeb"/>
        <w:jc w:val="both"/>
      </w:pPr>
      <w:r w:rsidRPr="00480356">
        <w:rPr>
          <w:color w:val="FF0000"/>
          <w:u w:val="single"/>
        </w:rPr>
        <w:t>“Si te esfuerzas en la escuela, podrás estudiar una buena carrera y tendrás el trabajo asegurado”. La frase, que hasta bien poco era el dogma de las escuelas, se ha convertido en una afirmación que pocos se atreven ya a pronunciar</w:t>
      </w:r>
      <w:r>
        <w:t xml:space="preserve">. El debate educativo ha sido una constante en la historia de la democracia, pero parece que estamos viviendo un punto de inflexión con motivo de la crisis. </w:t>
      </w:r>
    </w:p>
    <w:p w:rsidR="00E02187" w:rsidRDefault="00E02187" w:rsidP="00E02187">
      <w:pPr>
        <w:pStyle w:val="NormalWeb"/>
        <w:jc w:val="both"/>
      </w:pPr>
      <w:r>
        <w:rPr>
          <w:b/>
          <w:bCs/>
        </w:rPr>
        <w:t>Sir Ken Robinson,</w:t>
      </w:r>
      <w:r>
        <w:t xml:space="preserve"> escritor y conferenciante británico y uno de los mayores expertos mundiales sobre temas educativos, planteó en una charla dada en la </w:t>
      </w:r>
      <w:hyperlink r:id="rId116" w:tgtFrame="_blank" w:history="1">
        <w:r w:rsidRPr="008170B3">
          <w:rPr>
            <w:rStyle w:val="Hipervnculo"/>
            <w:rFonts w:eastAsiaTheme="majorEastAsia"/>
            <w:color w:val="auto"/>
          </w:rPr>
          <w:t>Royal Society for the encouragement of Arts, Manufactures and Commerce</w:t>
        </w:r>
      </w:hyperlink>
      <w:r w:rsidRPr="008170B3">
        <w:t xml:space="preserve"> de Gran Bretaña, la necesidad de una transformación de fondo en el modelo educativo occide</w:t>
      </w:r>
      <w:r>
        <w:t xml:space="preserve">ntal que, asegura, no ha cambiado gran cosa desde su invención en el siglo XIX. La charla, convertida en animación por un ilustrador, está dando la vuelta al mundo a través de Youtube, y sus reflexiones no han pasado desapercibidas. </w:t>
      </w:r>
    </w:p>
    <w:p w:rsidR="00E02187" w:rsidRDefault="00E02187" w:rsidP="00E02187">
      <w:pPr>
        <w:pStyle w:val="NormalWeb"/>
        <w:jc w:val="both"/>
      </w:pPr>
      <w:r>
        <w:rPr>
          <w:b/>
          <w:bCs/>
        </w:rPr>
        <w:t>1. Una reforma necesaria</w:t>
      </w:r>
    </w:p>
    <w:p w:rsidR="00E02187" w:rsidRPr="00480356" w:rsidRDefault="00E02187" w:rsidP="00E02187">
      <w:pPr>
        <w:pStyle w:val="NormalWeb"/>
        <w:jc w:val="both"/>
        <w:rPr>
          <w:u w:val="single"/>
        </w:rPr>
      </w:pPr>
      <w:r>
        <w:t xml:space="preserve">Todas las naciones del mundo están reformando la educación pública. </w:t>
      </w:r>
      <w:r w:rsidRPr="00480356">
        <w:rPr>
          <w:u w:val="single"/>
        </w:rPr>
        <w:t>Hay dos razone</w:t>
      </w:r>
      <w:r>
        <w:rPr>
          <w:u w:val="single"/>
        </w:rPr>
        <w:t>s para ello: una económica -</w:t>
      </w:r>
      <w:r w:rsidRPr="00480356">
        <w:rPr>
          <w:u w:val="single"/>
        </w:rPr>
        <w:t>¿Cómo podemos educar a nuestros hijos para que encuentren su sitio en las economías del siglo XXI, si ni siquiera sabemos cuál va a ser el estado de la e</w:t>
      </w:r>
      <w:r>
        <w:rPr>
          <w:u w:val="single"/>
        </w:rPr>
        <w:t>conomía al finalizar la semana?-, y otra cultural -</w:t>
      </w:r>
      <w:r w:rsidRPr="00480356">
        <w:rPr>
          <w:u w:val="single"/>
        </w:rPr>
        <w:t>¿cómo educamos a nuestros hijos en un mundo globalizado sin que</w:t>
      </w:r>
      <w:r>
        <w:rPr>
          <w:u w:val="single"/>
        </w:rPr>
        <w:t xml:space="preserve"> pierdan su identidad cultural?-</w:t>
      </w:r>
      <w:r w:rsidRPr="00480356">
        <w:rPr>
          <w:u w:val="single"/>
        </w:rPr>
        <w:t>.</w:t>
      </w:r>
    </w:p>
    <w:p w:rsidR="00E02187" w:rsidRPr="00480356" w:rsidRDefault="00E02187" w:rsidP="00E02187">
      <w:pPr>
        <w:pStyle w:val="NormalWeb"/>
        <w:jc w:val="both"/>
        <w:rPr>
          <w:color w:val="FF0000"/>
          <w:u w:val="single"/>
        </w:rPr>
      </w:pPr>
      <w:r w:rsidRPr="00480356">
        <w:rPr>
          <w:color w:val="FF0000"/>
          <w:u w:val="single"/>
        </w:rPr>
        <w:lastRenderedPageBreak/>
        <w:t xml:space="preserve">El problema, explica Robinson, es que estamos construyendo el futuro haciendo lo mismo que hicimos en el pasado y mientras, </w:t>
      </w:r>
      <w:r w:rsidRPr="00480356">
        <w:rPr>
          <w:b/>
          <w:bCs/>
          <w:color w:val="FF0000"/>
          <w:u w:val="single"/>
        </w:rPr>
        <w:t>estamos alienando a millones de niños que no ven ningún futuro yendo a la escuela.</w:t>
      </w:r>
    </w:p>
    <w:p w:rsidR="00E02187" w:rsidRDefault="00E02187" w:rsidP="00E02187">
      <w:pPr>
        <w:pStyle w:val="NormalWeb"/>
        <w:jc w:val="both"/>
      </w:pPr>
      <w:r>
        <w:t xml:space="preserve">Cuando vamos a la escuela nos trasmiten la idea de que “si te esfuerzas podrás estudiar una buena carrera y tendrás el trabajo asegurado”. Los niños ya no se creen esto y no les falta razón. </w:t>
      </w:r>
      <w:r w:rsidRPr="00480356">
        <w:rPr>
          <w:b/>
          <w:bCs/>
          <w:u w:val="single"/>
        </w:rPr>
        <w:t>Es mejor tener una carrera que no tenerla, pero ya nada te asegura que vas a encontrar un trabajo digno</w:t>
      </w:r>
      <w:r w:rsidRPr="00480356">
        <w:rPr>
          <w:u w:val="single"/>
        </w:rPr>
        <w:t>, particularmente si la ruta para conseguirlo pasa por renunciar a muchas de las cosas que uno considera importantes acerca de sí mismo.</w:t>
      </w:r>
      <w:r>
        <w:t xml:space="preserve"> Elevar los estándares educativos, una de las propuestas más frecuentes para solucionar un problema, no arreglaría nada, pues no apunta a la médula del problema.</w:t>
      </w:r>
    </w:p>
    <w:p w:rsidR="00E02187" w:rsidRDefault="00E02187" w:rsidP="00E02187">
      <w:pPr>
        <w:pStyle w:val="NormalWeb"/>
        <w:jc w:val="both"/>
      </w:pPr>
      <w:r>
        <w:rPr>
          <w:b/>
          <w:bCs/>
        </w:rPr>
        <w:t>2. Un sistema caduco</w:t>
      </w:r>
    </w:p>
    <w:p w:rsidR="00E02187" w:rsidRDefault="00E02187" w:rsidP="00E02187">
      <w:pPr>
        <w:pStyle w:val="NormalWeb"/>
        <w:jc w:val="both"/>
      </w:pPr>
      <w:r w:rsidRPr="00480356">
        <w:rPr>
          <w:u w:val="single"/>
        </w:rPr>
        <w:t xml:space="preserve">El meollo de la cuestión es que </w:t>
      </w:r>
      <w:r w:rsidRPr="00480356">
        <w:rPr>
          <w:b/>
          <w:bCs/>
          <w:u w:val="single"/>
        </w:rPr>
        <w:t>el actual sistema educativo fue diseñado, concebido y estructurado para una época distinta.</w:t>
      </w:r>
      <w:r w:rsidRPr="00480356">
        <w:rPr>
          <w:u w:val="single"/>
        </w:rPr>
        <w:t xml:space="preserve"> Se concibió en la Ilustración y en el entorno económico de la revolución industrial.</w:t>
      </w:r>
      <w:r>
        <w:t xml:space="preserve"> Antes de esto no había sistemas de educación pública; sólo podías ir a colegios de Jesuitas si tenías el dinero para pagarlos. La educación pública, pagada mediante impuestos, obligatoria para todos y gratuita, era una idea revolucionaria. Mucha gente se opuso a ella. Pensaban que no era viable que los chicos de las calles y los hijos de los obreros se beneficiaran de la educación pública, pues iban a ser incapaces de aprender a leer y escribir. </w:t>
      </w:r>
    </w:p>
    <w:p w:rsidR="00E02187" w:rsidRDefault="00E02187" w:rsidP="00E02187">
      <w:pPr>
        <w:pStyle w:val="NormalWeb"/>
        <w:jc w:val="both"/>
      </w:pPr>
      <w:r>
        <w:t xml:space="preserve">El cambio fue capitaneado por el imperativo económico de la época, pero detrás de este había un modelo intelectual asumido: la esencia del pensamiento ilustrado, que se basaba en el razonamiento deductivo y, originalmente, en el conocimiento de los clásicos. Esto configuraba “la mentalidad académica”. Este modelo intelectual está en los genes mismos del sistema de educación pública que divide a las personas en dos tipos: los “académicos” (gente inteligente) y los “no académicos” (no inteligentes). La consecuencia de esto es que </w:t>
      </w:r>
      <w:r>
        <w:rPr>
          <w:b/>
          <w:bCs/>
        </w:rPr>
        <w:t xml:space="preserve">mucha gente brillante cree que no lo es, porque han sido juzgados mediante la óptica de un pensamiento concreto, el de la Ilustración. </w:t>
      </w:r>
    </w:p>
    <w:p w:rsidR="00E02187" w:rsidRPr="00480356" w:rsidRDefault="00E02187" w:rsidP="00E02187">
      <w:pPr>
        <w:pStyle w:val="NormalWeb"/>
        <w:jc w:val="both"/>
        <w:rPr>
          <w:u w:val="single"/>
        </w:rPr>
      </w:pPr>
      <w:r w:rsidRPr="00480356">
        <w:rPr>
          <w:u w:val="single"/>
        </w:rPr>
        <w:t xml:space="preserve">Robinson tiene claro que el modelo de educación pública –sustentado por dos pilares: el económico y el intelectual– ha causado el caos en la vida de muchas personas. </w:t>
      </w:r>
    </w:p>
    <w:p w:rsidR="00E02187" w:rsidRDefault="00E02187" w:rsidP="00E02187">
      <w:pPr>
        <w:pStyle w:val="NormalWeb"/>
        <w:jc w:val="both"/>
      </w:pPr>
      <w:r>
        <w:rPr>
          <w:b/>
          <w:bCs/>
        </w:rPr>
        <w:t xml:space="preserve">3. El TDAH, una epidemia ficticia. </w:t>
      </w:r>
    </w:p>
    <w:p w:rsidR="00E02187" w:rsidRDefault="00E02187" w:rsidP="00E02187">
      <w:pPr>
        <w:pStyle w:val="NormalWeb"/>
        <w:jc w:val="both"/>
        <w:rPr>
          <w:u w:val="single"/>
        </w:rPr>
      </w:pPr>
      <w:r w:rsidRPr="00480356">
        <w:rPr>
          <w:u w:val="single"/>
        </w:rPr>
        <w:t>El trastorno por déficit de atención con hiperactividad (TDAH) es considerado una epidemia moderna</w:t>
      </w:r>
      <w:r w:rsidRPr="00480356">
        <w:rPr>
          <w:b/>
          <w:bCs/>
          <w:u w:val="single"/>
        </w:rPr>
        <w:t>,</w:t>
      </w:r>
      <w:r w:rsidRPr="00480356">
        <w:rPr>
          <w:u w:val="single"/>
        </w:rPr>
        <w:t xml:space="preserve"> que se atribuye a entre un 5% y un 10% de todos los niños en edad escolar. Para Robinson </w:t>
      </w:r>
      <w:r w:rsidRPr="00480356">
        <w:rPr>
          <w:b/>
          <w:bCs/>
          <w:u w:val="single"/>
        </w:rPr>
        <w:t xml:space="preserve">esta epidemia es “tan equivocada como ficticia”: </w:t>
      </w:r>
      <w:r w:rsidRPr="00480356">
        <w:rPr>
          <w:u w:val="single"/>
        </w:rPr>
        <w:t>“Los niños afectados están siendo medicados de forma rutinaria</w:t>
      </w:r>
      <w:r>
        <w:t xml:space="preserve">. Se trata de una moda médica. Vivimos en el periodo más estimulante de la historia de la tierra. Están sobrecargados de información y pueden centrar su atención en cualquier cosa: ordenadores, móviles, la publicidad, la televisión… Los regañamos por distraerse y queremos que se concentren en cosas aburridas, como la mayor parte de lo que se enseña en la escuela. Creo que no es una coincidencia que el TDAH haya aumentado a la par que los test estandarizados. </w:t>
      </w:r>
      <w:r w:rsidRPr="00480356">
        <w:rPr>
          <w:u w:val="single"/>
        </w:rPr>
        <w:t>A estos niños les están dando Ritalin y otro tipo de drogas con frecuencia peligrosas para que se centren y se calmen”.</w:t>
      </w:r>
    </w:p>
    <w:p w:rsidR="00E02187" w:rsidRPr="00480356" w:rsidRDefault="00E02187" w:rsidP="00E02187">
      <w:pPr>
        <w:pStyle w:val="NormalWeb"/>
        <w:jc w:val="both"/>
        <w:rPr>
          <w:u w:val="single"/>
        </w:rPr>
      </w:pPr>
    </w:p>
    <w:p w:rsidR="00E02187" w:rsidRDefault="00E02187" w:rsidP="00E02187">
      <w:pPr>
        <w:pStyle w:val="NormalWeb"/>
        <w:jc w:val="both"/>
      </w:pPr>
      <w:r>
        <w:rPr>
          <w:b/>
          <w:bCs/>
        </w:rPr>
        <w:lastRenderedPageBreak/>
        <w:t>4. Una educación estandarizada</w:t>
      </w:r>
    </w:p>
    <w:p w:rsidR="00E02187" w:rsidRDefault="00E02187" w:rsidP="00E02187">
      <w:pPr>
        <w:pStyle w:val="NormalWeb"/>
        <w:jc w:val="both"/>
      </w:pPr>
      <w:r w:rsidRPr="00F56DE8">
        <w:rPr>
          <w:u w:val="single"/>
        </w:rPr>
        <w:t>Tenemos un sistema educativo modelado según los intereses de la Industrialización, que es la época en la que se creó.</w:t>
      </w:r>
      <w:r w:rsidRPr="00F56DE8">
        <w:rPr>
          <w:b/>
          <w:bCs/>
          <w:u w:val="single"/>
        </w:rPr>
        <w:t xml:space="preserve"> Las escuelas están organizadas como fábricas:</w:t>
      </w:r>
      <w:r w:rsidRPr="00F56DE8">
        <w:rPr>
          <w:u w:val="single"/>
        </w:rPr>
        <w:t xml:space="preserve"> tienen timbres, instalaciones y materias diferenciadas, se educa a los niños en lotes por edades…</w:t>
      </w:r>
      <w:r>
        <w:t xml:space="preserve"> Robinson se pregunta ¿por qué hacemos eso? ¿Es la edad lo más importante que tienen los niños en común? ¿Es la fecha de fabricación lo más importante?: “Conozco a niños mucho mejores que otros de su edad en distintas disciplinas, o niños que rinden más a distintas horas del día, o que son mejores en pequeños grupos, o en grandes, o solos…”</w:t>
      </w:r>
    </w:p>
    <w:p w:rsidR="00E02187" w:rsidRPr="00F56DE8" w:rsidRDefault="00E02187" w:rsidP="00E02187">
      <w:pPr>
        <w:pStyle w:val="NormalWeb"/>
        <w:jc w:val="both"/>
        <w:rPr>
          <w:u w:val="single"/>
        </w:rPr>
      </w:pPr>
      <w:r w:rsidRPr="00F56DE8">
        <w:rPr>
          <w:u w:val="single"/>
        </w:rPr>
        <w:t xml:space="preserve">Si estamos interesados en cambiar el modelo educativo no deberíamos perpetuar la mentalidad industrial, la estandarización. Robinson propone ir exactamente en la dirección contraria. </w:t>
      </w:r>
    </w:p>
    <w:p w:rsidR="00E02187" w:rsidRDefault="00E02187" w:rsidP="00E02187">
      <w:pPr>
        <w:pStyle w:val="NormalWeb"/>
        <w:jc w:val="both"/>
      </w:pPr>
      <w:r>
        <w:rPr>
          <w:b/>
          <w:bCs/>
        </w:rPr>
        <w:t>5. El pensamiento divergente</w:t>
      </w:r>
    </w:p>
    <w:p w:rsidR="00E02187" w:rsidRPr="00F56DE8" w:rsidRDefault="00E02187" w:rsidP="00E02187">
      <w:pPr>
        <w:pStyle w:val="NormalWeb"/>
        <w:jc w:val="both"/>
        <w:rPr>
          <w:color w:val="FF0000"/>
          <w:u w:val="single"/>
        </w:rPr>
      </w:pPr>
      <w:r w:rsidRPr="00F56DE8">
        <w:rPr>
          <w:color w:val="FF0000"/>
          <w:u w:val="single"/>
        </w:rPr>
        <w:t>Robinson cree que debemos fomentar el pensamiento divergente</w:t>
      </w:r>
      <w:r>
        <w:t xml:space="preserve">. </w:t>
      </w:r>
      <w:r w:rsidRPr="00F56DE8">
        <w:rPr>
          <w:color w:val="FF0000"/>
          <w:u w:val="single"/>
        </w:rPr>
        <w:t>No es lo mismo que la creatividad, que se define como el proceso para tener ideas originales que son valiosas, pero sí es una condición esencial de ésta. Es la capacidad para ver muchas respuestas posibles a una pregunta, o muchas formas de interpretarla; par</w:t>
      </w:r>
      <w:r>
        <w:rPr>
          <w:color w:val="FF0000"/>
          <w:u w:val="single"/>
        </w:rPr>
        <w:t>a tener pensamientos laterales -</w:t>
      </w:r>
      <w:r w:rsidRPr="00F56DE8">
        <w:rPr>
          <w:color w:val="FF0000"/>
          <w:u w:val="single"/>
        </w:rPr>
        <w:t xml:space="preserve">tal como los definió </w:t>
      </w:r>
      <w:r w:rsidRPr="00F56DE8">
        <w:rPr>
          <w:b/>
          <w:bCs/>
          <w:color w:val="FF0000"/>
          <w:u w:val="single"/>
        </w:rPr>
        <w:t>Edward De Bono</w:t>
      </w:r>
      <w:r>
        <w:rPr>
          <w:color w:val="FF0000"/>
          <w:u w:val="single"/>
        </w:rPr>
        <w:t>-</w:t>
      </w:r>
      <w:r w:rsidRPr="00F56DE8">
        <w:rPr>
          <w:color w:val="FF0000"/>
          <w:u w:val="single"/>
        </w:rPr>
        <w:t xml:space="preserve">, no sólo lineales o convergentes; en definitiva, </w:t>
      </w:r>
      <w:r w:rsidRPr="00F56DE8">
        <w:rPr>
          <w:b/>
          <w:bCs/>
          <w:color w:val="FF0000"/>
          <w:u w:val="single"/>
        </w:rPr>
        <w:t xml:space="preserve">la capacidad para saber que no sólo hay una respuesta correcta. </w:t>
      </w:r>
    </w:p>
    <w:p w:rsidR="00E02187" w:rsidRDefault="00E02187" w:rsidP="00E02187">
      <w:pPr>
        <w:pStyle w:val="NormalWeb"/>
        <w:jc w:val="both"/>
      </w:pPr>
      <w:r>
        <w:t xml:space="preserve">Según un estudio, reflejado por </w:t>
      </w:r>
      <w:r>
        <w:rPr>
          <w:b/>
          <w:bCs/>
        </w:rPr>
        <w:t>George Land</w:t>
      </w:r>
      <w:r>
        <w:t xml:space="preserve"> y </w:t>
      </w:r>
      <w:r>
        <w:rPr>
          <w:b/>
          <w:bCs/>
        </w:rPr>
        <w:t>Beth Jarman</w:t>
      </w:r>
      <w:r>
        <w:t xml:space="preserve"> en su libro </w:t>
      </w:r>
      <w:r>
        <w:rPr>
          <w:i/>
          <w:iCs/>
        </w:rPr>
        <w:t>Breakpoint and Beyond: Mastering the Future Today,</w:t>
      </w:r>
      <w:r>
        <w:rPr>
          <w:b/>
          <w:bCs/>
          <w:i/>
          <w:iCs/>
        </w:rPr>
        <w:t xml:space="preserve"> </w:t>
      </w:r>
      <w:r w:rsidRPr="00F56DE8">
        <w:rPr>
          <w:b/>
          <w:bCs/>
          <w:u w:val="single"/>
        </w:rPr>
        <w:t>el pensamiento divergente disminuye a medida que los niños crecen.</w:t>
      </w:r>
      <w:r>
        <w:t xml:space="preserve"> Esta capacidad debería ir mejorando con el tiempo, pero ocurre justo lo contrario. Todos la tenemos desde la infancia, pero se deteriora. Tal como explica Robinson, “los niños crecen en un sistema educativo, durante 10 años, en el que saben que hay una respuesta distinta, pero no se les permite utilizarla. No se puede mirar a los compañeros, ni copiarles, algo que fuera de la escuela se conoce como colaboración”. </w:t>
      </w:r>
    </w:p>
    <w:p w:rsidR="00E02187" w:rsidRDefault="00E02187" w:rsidP="00E02187">
      <w:pPr>
        <w:pStyle w:val="NormalWeb"/>
        <w:jc w:val="both"/>
      </w:pPr>
      <w:r w:rsidRPr="00F56DE8">
        <w:rPr>
          <w:u w:val="single"/>
        </w:rPr>
        <w:t xml:space="preserve">Según el escritor británico, “esto no sucede porque los profesores lo quieran, sino porque </w:t>
      </w:r>
      <w:r w:rsidRPr="00F56DE8">
        <w:rPr>
          <w:b/>
          <w:bCs/>
          <w:u w:val="single"/>
        </w:rPr>
        <w:t>el sistema funciona así, porque está en los genes de la educación.</w:t>
      </w:r>
      <w:r w:rsidRPr="00F56DE8">
        <w:rPr>
          <w:u w:val="single"/>
        </w:rPr>
        <w:t xml:space="preserve"> Debemos pensar diferente sobre las capacidades humanas, debemos sobrepasar las antiguas concepciones que dividen todo entre académico y no académico, abstracto o teórico…</w:t>
      </w:r>
      <w:r>
        <w:t xml:space="preserve"> Hay que verlo como lo que es: un mito. Debemos entender que gran parte del proceso cognitivo ocurre en grupo y que la colaboración es parte del crecimiento. Si separamos a los niños, y les juzgamos de forma distinta, les apartamos de lo que debería ser el proceso natural de aprendizaje: en grupo. Desafortunadamente esto está en los hábitos de las instituciones y el hábitat de aquellos que las ocupan”.</w:t>
      </w:r>
    </w:p>
    <w:p w:rsidR="00E02187" w:rsidRPr="00320470" w:rsidRDefault="00E02187" w:rsidP="00E02187">
      <w:pPr>
        <w:pStyle w:val="NormalWeb"/>
        <w:jc w:val="both"/>
        <w:rPr>
          <w:u w:val="single"/>
        </w:rPr>
      </w:pPr>
      <w:r w:rsidRPr="00320470">
        <w:rPr>
          <w:u w:val="single"/>
        </w:rPr>
        <w:t>No todo es cuestión de dinero</w:t>
      </w:r>
      <w:r>
        <w:rPr>
          <w:u w:val="single"/>
        </w:rPr>
        <w:t xml:space="preserve"> (el gasto y los resultados educativos)</w:t>
      </w:r>
    </w:p>
    <w:p w:rsidR="00E02187" w:rsidRPr="001005DB" w:rsidRDefault="00E02187" w:rsidP="00E02187">
      <w:pPr>
        <w:pStyle w:val="NormalWeb"/>
        <w:jc w:val="both"/>
        <w:rPr>
          <w:color w:val="FF0000"/>
          <w:u w:val="single"/>
        </w:rPr>
      </w:pPr>
      <w:r>
        <w:rPr>
          <w:i/>
        </w:rPr>
        <w:t>“</w:t>
      </w:r>
      <w:r w:rsidRPr="00E21337">
        <w:rPr>
          <w:i/>
        </w:rPr>
        <w:t>Los estudios internacionales resaltan que, a partir de un nivel mínimo, el gasto no tiene demasiado peso en los resultados educativos</w:t>
      </w:r>
      <w:r>
        <w:rPr>
          <w:i/>
        </w:rPr>
        <w:t xml:space="preserve">”… </w:t>
      </w:r>
      <w:r w:rsidRPr="00020100">
        <w:rPr>
          <w:u w:val="single"/>
        </w:rPr>
        <w:t>España gasta más en educación que sus vecinos y saca peores resultados</w:t>
      </w:r>
      <w:r>
        <w:t xml:space="preserve"> (Libertad Digital - </w:t>
      </w:r>
      <w:r w:rsidRPr="00F672B0">
        <w:rPr>
          <w:b/>
        </w:rPr>
        <w:t>12/4/12</w:t>
      </w:r>
      <w:r>
        <w:t>)</w:t>
      </w:r>
    </w:p>
    <w:p w:rsidR="00E02187" w:rsidRPr="00F672B0" w:rsidRDefault="00E02187" w:rsidP="00E02187">
      <w:pPr>
        <w:jc w:val="both"/>
        <w:rPr>
          <w:rFonts w:ascii="Times New Roman" w:hAnsi="Times New Roman"/>
          <w:sz w:val="24"/>
          <w:szCs w:val="24"/>
        </w:rPr>
      </w:pPr>
      <w:r>
        <w:rPr>
          <w:rFonts w:ascii="Times New Roman" w:hAnsi="Times New Roman"/>
          <w:sz w:val="24"/>
          <w:szCs w:val="24"/>
        </w:rPr>
        <w:lastRenderedPageBreak/>
        <w:t>En lo que se refiere al gasto público en</w:t>
      </w:r>
      <w:r w:rsidRPr="00F672B0">
        <w:rPr>
          <w:rFonts w:ascii="Times New Roman" w:hAnsi="Times New Roman"/>
          <w:sz w:val="24"/>
          <w:szCs w:val="24"/>
        </w:rPr>
        <w:t xml:space="preserve"> escuelas y universidades, l</w:t>
      </w:r>
      <w:r>
        <w:rPr>
          <w:rFonts w:ascii="Times New Roman" w:hAnsi="Times New Roman"/>
          <w:sz w:val="24"/>
          <w:szCs w:val="24"/>
        </w:rPr>
        <w:t>a argumentación podría llegar a ser: “</w:t>
      </w:r>
      <w:r w:rsidRPr="00F672B0">
        <w:rPr>
          <w:rFonts w:ascii="Times New Roman" w:hAnsi="Times New Roman"/>
          <w:sz w:val="24"/>
          <w:szCs w:val="24"/>
        </w:rPr>
        <w:t>La educación es una inversión de futuro. Recortar el gasto supondrá una merma en la calidad de la enseñanza, algo que influirá decisivamente en la prep</w:t>
      </w:r>
      <w:r>
        <w:rPr>
          <w:rFonts w:ascii="Times New Roman" w:hAnsi="Times New Roman"/>
          <w:sz w:val="24"/>
          <w:szCs w:val="24"/>
        </w:rPr>
        <w:t>aración de los jóvenes</w:t>
      </w:r>
      <w:r w:rsidRPr="00F672B0">
        <w:rPr>
          <w:rFonts w:ascii="Times New Roman" w:hAnsi="Times New Roman"/>
          <w:sz w:val="24"/>
          <w:szCs w:val="24"/>
        </w:rPr>
        <w:t>. Por lo tanto, cualquier recorte no sólo tendrá consecuencias en las escuelas, sino que también tendrá su reflejo en e</w:t>
      </w:r>
      <w:r>
        <w:rPr>
          <w:rFonts w:ascii="Times New Roman" w:hAnsi="Times New Roman"/>
          <w:sz w:val="24"/>
          <w:szCs w:val="24"/>
        </w:rPr>
        <w:t>l futuro de la economía”</w:t>
      </w:r>
      <w:r w:rsidRPr="00F672B0">
        <w:rPr>
          <w:rFonts w:ascii="Times New Roman" w:hAnsi="Times New Roman"/>
          <w:sz w:val="24"/>
          <w:szCs w:val="24"/>
        </w:rPr>
        <w:t>. Este tipo de razonamientos tiene algo de absurdo. Exagerando un poco,</w:t>
      </w:r>
      <w:r>
        <w:rPr>
          <w:rFonts w:ascii="Times New Roman" w:hAnsi="Times New Roman"/>
          <w:sz w:val="24"/>
          <w:szCs w:val="24"/>
        </w:rPr>
        <w:t xml:space="preserve"> podríamos preguntarnos: si se estuviera</w:t>
      </w:r>
      <w:r w:rsidRPr="00F672B0">
        <w:rPr>
          <w:rFonts w:ascii="Times New Roman" w:hAnsi="Times New Roman"/>
          <w:sz w:val="24"/>
          <w:szCs w:val="24"/>
        </w:rPr>
        <w:t xml:space="preserve"> gastando diez veces más que ahora, ¿también sería imposible hacer ningún rec</w:t>
      </w:r>
      <w:r>
        <w:rPr>
          <w:rFonts w:ascii="Times New Roman" w:hAnsi="Times New Roman"/>
          <w:sz w:val="24"/>
          <w:szCs w:val="24"/>
        </w:rPr>
        <w:t>orte sin que la calidad cayera?</w:t>
      </w:r>
    </w:p>
    <w:p w:rsidR="00E02187" w:rsidRPr="00F672B0" w:rsidRDefault="00E02187" w:rsidP="00E02187">
      <w:pPr>
        <w:jc w:val="both"/>
        <w:rPr>
          <w:rFonts w:ascii="Times New Roman" w:hAnsi="Times New Roman"/>
          <w:sz w:val="24"/>
          <w:szCs w:val="24"/>
        </w:rPr>
      </w:pPr>
      <w:r w:rsidRPr="00F672B0">
        <w:rPr>
          <w:rFonts w:ascii="Times New Roman" w:hAnsi="Times New Roman"/>
          <w:sz w:val="24"/>
          <w:szCs w:val="24"/>
        </w:rPr>
        <w:t>Para tratar un tema que desata tantas pasiones, quizás lo mejor sea acudir a las cifras de los más conocidos estudios sobre la materia. El Informe PISA, que elabora la OCDE y que mide el resultado de los alumnos de secundaria de las principales ec</w:t>
      </w:r>
      <w:r>
        <w:rPr>
          <w:rFonts w:ascii="Times New Roman" w:hAnsi="Times New Roman"/>
          <w:sz w:val="24"/>
          <w:szCs w:val="24"/>
        </w:rPr>
        <w:t>onomías del mundo, destaca que “</w:t>
      </w:r>
      <w:r w:rsidRPr="00F672B0">
        <w:rPr>
          <w:rFonts w:ascii="Times New Roman" w:hAnsi="Times New Roman"/>
          <w:sz w:val="24"/>
          <w:szCs w:val="24"/>
        </w:rPr>
        <w:t>existe una débil relación entre recursos educacionales y</w:t>
      </w:r>
      <w:r>
        <w:rPr>
          <w:rFonts w:ascii="Times New Roman" w:hAnsi="Times New Roman"/>
          <w:sz w:val="24"/>
          <w:szCs w:val="24"/>
        </w:rPr>
        <w:t xml:space="preserve"> rendimiento de los estudiantes”</w:t>
      </w:r>
      <w:r w:rsidRPr="00F672B0">
        <w:rPr>
          <w:rFonts w:ascii="Times New Roman" w:hAnsi="Times New Roman"/>
          <w:sz w:val="24"/>
          <w:szCs w:val="24"/>
        </w:rPr>
        <w:t>. Andreas Schleicher, jefe de analistas de PISA, atribuye sólo un 10% del total de la variación en las notas al dinero gastado por las autoridades.</w:t>
      </w:r>
    </w:p>
    <w:p w:rsidR="00E02187" w:rsidRPr="00F672B0" w:rsidRDefault="00E02187" w:rsidP="00E02187">
      <w:pPr>
        <w:jc w:val="both"/>
        <w:rPr>
          <w:rFonts w:ascii="Times New Roman" w:hAnsi="Times New Roman"/>
          <w:sz w:val="24"/>
          <w:szCs w:val="24"/>
        </w:rPr>
      </w:pPr>
      <w:r w:rsidRPr="00F672B0">
        <w:rPr>
          <w:rFonts w:ascii="Times New Roman" w:hAnsi="Times New Roman"/>
          <w:sz w:val="24"/>
          <w:szCs w:val="24"/>
        </w:rPr>
        <w:t>La conclusión que se saca es que un nivel mínimo de gasto es imprescindible. Evidentemente, es muy difícil dar una educación de calidad con 200 euros al año por alumno. Pero una vez alcanzado ese mínimo (algo que todos los países europeos han conseguido), los incrementos del presupuesto no tienen por qué ser buenos. Lo importante sería dónde poner el dinero y no el gasto total.</w:t>
      </w:r>
    </w:p>
    <w:p w:rsidR="00E02187" w:rsidRPr="00F672B0" w:rsidRDefault="00E02187" w:rsidP="00E02187">
      <w:pPr>
        <w:jc w:val="both"/>
        <w:rPr>
          <w:rFonts w:ascii="Times New Roman" w:hAnsi="Times New Roman"/>
          <w:sz w:val="24"/>
          <w:szCs w:val="24"/>
        </w:rPr>
      </w:pPr>
      <w:r w:rsidRPr="00F672B0">
        <w:rPr>
          <w:rFonts w:ascii="Times New Roman" w:hAnsi="Times New Roman"/>
          <w:sz w:val="24"/>
          <w:szCs w:val="24"/>
        </w:rPr>
        <w:t xml:space="preserve">En España, Antonio Cabrales y Florentino Felgueroso, dos de los mayores expertos en economía de la educación, recordaban </w:t>
      </w:r>
      <w:r>
        <w:rPr>
          <w:rFonts w:ascii="Times New Roman" w:hAnsi="Times New Roman"/>
          <w:sz w:val="24"/>
          <w:szCs w:val="24"/>
        </w:rPr>
        <w:t>(</w:t>
      </w:r>
      <w:r w:rsidRPr="00F672B0">
        <w:rPr>
          <w:rFonts w:ascii="Times New Roman" w:hAnsi="Times New Roman"/>
          <w:sz w:val="24"/>
          <w:szCs w:val="24"/>
        </w:rPr>
        <w:t>hace unos meses</w:t>
      </w:r>
      <w:r>
        <w:rPr>
          <w:rFonts w:ascii="Times New Roman" w:hAnsi="Times New Roman"/>
          <w:sz w:val="24"/>
          <w:szCs w:val="24"/>
        </w:rPr>
        <w:t>)</w:t>
      </w:r>
      <w:r w:rsidRPr="00F672B0">
        <w:rPr>
          <w:rFonts w:ascii="Times New Roman" w:hAnsi="Times New Roman"/>
          <w:sz w:val="24"/>
          <w:szCs w:val="24"/>
        </w:rPr>
        <w:t xml:space="preserve"> que no existe correlación entre gasto educativo y rendimiento de los alumnos. En el siguiente gráfico, puede verse como países con un enorme gasto por alumno, como Luxemburgo o Noruega, sacan peores notas que Finlandia, Corea o Estonia, que soportan un coste muy inferior. España, mientras, tiene un gasto similar al de la mayoría de los países de su entorno (algo mayor que Francia o Alemania, por ejemplo), pero está en los últimos puestos en cuanto a resultados.</w:t>
      </w:r>
    </w:p>
    <w:p w:rsidR="00E02187" w:rsidRPr="00F672B0" w:rsidRDefault="00E02187" w:rsidP="00E02187">
      <w:pPr>
        <w:pStyle w:val="NormalWeb"/>
        <w:jc w:val="center"/>
      </w:pPr>
      <w:r>
        <w:rPr>
          <w:noProof/>
        </w:rPr>
        <w:drawing>
          <wp:inline distT="0" distB="0" distL="0" distR="0" wp14:anchorId="59B48D47" wp14:editId="7E9CD473">
            <wp:extent cx="5486400" cy="2794406"/>
            <wp:effectExtent l="0" t="0" r="0" b="6350"/>
            <wp:docPr id="27" name="Imagen 27" descr="educacion_gasto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ducacion_gasto_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86400" cy="2794406"/>
                    </a:xfrm>
                    <a:prstGeom prst="rect">
                      <a:avLst/>
                    </a:prstGeom>
                    <a:noFill/>
                    <a:ln>
                      <a:noFill/>
                    </a:ln>
                  </pic:spPr>
                </pic:pic>
              </a:graphicData>
            </a:graphic>
          </wp:inline>
        </w:drawing>
      </w:r>
    </w:p>
    <w:p w:rsidR="00E02187" w:rsidRDefault="00E02187" w:rsidP="00E02187">
      <w:pPr>
        <w:jc w:val="both"/>
        <w:rPr>
          <w:rFonts w:ascii="Times New Roman" w:hAnsi="Times New Roman"/>
          <w:sz w:val="24"/>
          <w:szCs w:val="24"/>
        </w:rPr>
      </w:pPr>
    </w:p>
    <w:p w:rsidR="00E02187" w:rsidRPr="00F672B0" w:rsidRDefault="00E02187" w:rsidP="00E02187">
      <w:pPr>
        <w:jc w:val="both"/>
        <w:rPr>
          <w:rFonts w:ascii="Times New Roman" w:hAnsi="Times New Roman"/>
          <w:sz w:val="24"/>
          <w:szCs w:val="24"/>
        </w:rPr>
      </w:pPr>
      <w:r w:rsidRPr="00F672B0">
        <w:rPr>
          <w:rFonts w:ascii="Times New Roman" w:hAnsi="Times New Roman"/>
          <w:sz w:val="24"/>
          <w:szCs w:val="24"/>
        </w:rPr>
        <w:t>Según los últimos datos disponibles a nivel europeo, de 2007, el gasto por alumno en la UE-27 era de 6.251 euros de media al año. España superaba ampliamente esa cifra, con 6.773 euros. Alemania o Finlandia, dos países mucho más ricos y con resultados sensiblemente superiores en PISA, gastaban 6.752 y 6,682 euros respectivamente. Y Estonia, el país del este más exitoso en el examen de la OCDE, apenas llegaba a los 3.675 euros (aunque los utilizaba mejor que España).</w:t>
      </w:r>
    </w:p>
    <w:p w:rsidR="00E02187" w:rsidRDefault="00E02187" w:rsidP="00E02187">
      <w:pPr>
        <w:pStyle w:val="NormalWeb"/>
        <w:jc w:val="center"/>
      </w:pPr>
      <w:r>
        <w:rPr>
          <w:noProof/>
        </w:rPr>
        <w:drawing>
          <wp:inline distT="0" distB="0" distL="0" distR="0" wp14:anchorId="2F0F6BD1" wp14:editId="7DA805D1">
            <wp:extent cx="3313786" cy="4557369"/>
            <wp:effectExtent l="0" t="0" r="1270" b="0"/>
            <wp:docPr id="26" name="Imagen 26" descr="educacion_gasto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ducacion_gasto_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314065" cy="4557753"/>
                    </a:xfrm>
                    <a:prstGeom prst="rect">
                      <a:avLst/>
                    </a:prstGeom>
                    <a:noFill/>
                    <a:ln>
                      <a:noFill/>
                    </a:ln>
                  </pic:spPr>
                </pic:pic>
              </a:graphicData>
            </a:graphic>
          </wp:inline>
        </w:drawing>
      </w:r>
    </w:p>
    <w:p w:rsidR="00E02187" w:rsidRPr="00F672B0" w:rsidRDefault="00E02187" w:rsidP="00E02187">
      <w:pPr>
        <w:pStyle w:val="NormalWeb"/>
        <w:jc w:val="center"/>
      </w:pPr>
      <w:r>
        <w:rPr>
          <w:rStyle w:val="Textoennegrita"/>
          <w:rFonts w:eastAsiaTheme="majorEastAsia"/>
        </w:rPr>
        <w:t>Gasto por alumno 2007</w:t>
      </w:r>
      <w:r w:rsidRPr="00F672B0">
        <w:t xml:space="preserve"> </w:t>
      </w:r>
    </w:p>
    <w:p w:rsidR="00E02187" w:rsidRPr="00F672B0" w:rsidRDefault="00E02187" w:rsidP="00E02187">
      <w:pPr>
        <w:jc w:val="both"/>
        <w:rPr>
          <w:rFonts w:ascii="Times New Roman" w:hAnsi="Times New Roman"/>
          <w:sz w:val="24"/>
          <w:szCs w:val="24"/>
        </w:rPr>
      </w:pPr>
      <w:r w:rsidRPr="00F672B0">
        <w:rPr>
          <w:rFonts w:ascii="Times New Roman" w:hAnsi="Times New Roman"/>
          <w:sz w:val="24"/>
          <w:szCs w:val="24"/>
        </w:rPr>
        <w:t>Cuando se habla del gasto en educación, una variable que se maneja habitualmente es la de alumnos por clase y por profesor. También aquí España presenta cifras similares a las de los países de la UE. En los colegios públicos de primaria, por ejemplo, el número de niños por clase es de 19,8, frente al 21,7 de Alemania o los 28 de Japón (uno de los grandes triunfadores de PISA). Y en los institutos, la cifra de 23,5 es también inferior a la de estos dos países (24,6 para el europeo y 32,9 para el asiático).</w:t>
      </w:r>
    </w:p>
    <w:p w:rsidR="00E02187" w:rsidRPr="00F672B0" w:rsidRDefault="00E02187" w:rsidP="00E02187">
      <w:pPr>
        <w:jc w:val="both"/>
        <w:rPr>
          <w:rFonts w:ascii="Times New Roman" w:hAnsi="Times New Roman"/>
          <w:sz w:val="24"/>
          <w:szCs w:val="24"/>
        </w:rPr>
      </w:pPr>
      <w:r w:rsidRPr="00F672B0">
        <w:rPr>
          <w:rFonts w:ascii="Times New Roman" w:hAnsi="Times New Roman"/>
          <w:sz w:val="24"/>
          <w:szCs w:val="24"/>
        </w:rPr>
        <w:t xml:space="preserve">Esta tendencia se mantiene en el ratio alumnos por profesor. En esta cuestión, por ejemplo, España tiene una cifra sensiblemente inferior a la de Finlandia, el mejor país europeo para PISA. En educación secundaria, la relación en las escuelas hispanas es de </w:t>
      </w:r>
      <w:r w:rsidRPr="00F672B0">
        <w:rPr>
          <w:rFonts w:ascii="Times New Roman" w:hAnsi="Times New Roman"/>
          <w:sz w:val="24"/>
          <w:szCs w:val="24"/>
        </w:rPr>
        <w:lastRenderedPageBreak/>
        <w:t>9,3 alumnos por maestro, mientras que la media de la OCDE es de 13,5 y la de los institutos finlandeses es de 16,6.</w:t>
      </w:r>
    </w:p>
    <w:p w:rsidR="00E02187" w:rsidRDefault="00E02187" w:rsidP="00E02187">
      <w:pPr>
        <w:pStyle w:val="NormalWeb"/>
        <w:jc w:val="center"/>
      </w:pPr>
      <w:r>
        <w:rPr>
          <w:noProof/>
        </w:rPr>
        <w:drawing>
          <wp:inline distT="0" distB="0" distL="0" distR="0" wp14:anchorId="04B65C61" wp14:editId="63029EF9">
            <wp:extent cx="5574030" cy="3452774"/>
            <wp:effectExtent l="0" t="0" r="7620" b="0"/>
            <wp:docPr id="25" name="Imagen 25" descr="educacion_gasto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ducacion_gasto_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574030" cy="3452774"/>
                    </a:xfrm>
                    <a:prstGeom prst="rect">
                      <a:avLst/>
                    </a:prstGeom>
                    <a:noFill/>
                    <a:ln>
                      <a:noFill/>
                    </a:ln>
                  </pic:spPr>
                </pic:pic>
              </a:graphicData>
            </a:graphic>
          </wp:inline>
        </w:drawing>
      </w:r>
    </w:p>
    <w:p w:rsidR="00E02187" w:rsidRPr="00F672B0" w:rsidRDefault="00E02187" w:rsidP="00E02187">
      <w:pPr>
        <w:pStyle w:val="NormalWeb"/>
        <w:jc w:val="center"/>
      </w:pPr>
      <w:r>
        <w:rPr>
          <w:rStyle w:val="Textoennegrita"/>
          <w:rFonts w:eastAsiaTheme="majorEastAsia"/>
        </w:rPr>
        <w:t>Alumnos por clase</w:t>
      </w:r>
    </w:p>
    <w:p w:rsidR="00E02187" w:rsidRPr="00F672B0" w:rsidRDefault="00E02187" w:rsidP="00E02187">
      <w:pPr>
        <w:jc w:val="both"/>
        <w:rPr>
          <w:rFonts w:ascii="Times New Roman" w:hAnsi="Times New Roman"/>
          <w:sz w:val="24"/>
          <w:szCs w:val="24"/>
        </w:rPr>
      </w:pPr>
      <w:r w:rsidRPr="00F672B0">
        <w:rPr>
          <w:rFonts w:ascii="Times New Roman" w:hAnsi="Times New Roman"/>
          <w:sz w:val="24"/>
          <w:szCs w:val="24"/>
        </w:rPr>
        <w:t xml:space="preserve">¿Y entonces qué? </w:t>
      </w:r>
    </w:p>
    <w:p w:rsidR="00E02187" w:rsidRPr="00F672B0" w:rsidRDefault="00E02187" w:rsidP="00E02187">
      <w:pPr>
        <w:jc w:val="both"/>
        <w:rPr>
          <w:rFonts w:ascii="Times New Roman" w:hAnsi="Times New Roman"/>
          <w:sz w:val="24"/>
          <w:szCs w:val="24"/>
        </w:rPr>
      </w:pPr>
      <w:r w:rsidRPr="00F672B0">
        <w:rPr>
          <w:rFonts w:ascii="Times New Roman" w:hAnsi="Times New Roman"/>
          <w:sz w:val="24"/>
          <w:szCs w:val="24"/>
        </w:rPr>
        <w:t>Llegados a este punto, puede que muchos políticos estén preguntándose qué pueden hacer. En muchas ocasiones, su única respuesta es un aumento del gasto o anunciar una nueva partida o la construcción de una flamante escuela.</w:t>
      </w:r>
    </w:p>
    <w:p w:rsidR="00E02187" w:rsidRPr="00F672B0" w:rsidRDefault="00E02187" w:rsidP="00E02187">
      <w:pPr>
        <w:jc w:val="both"/>
        <w:rPr>
          <w:rFonts w:ascii="Times New Roman" w:hAnsi="Times New Roman"/>
          <w:sz w:val="24"/>
          <w:szCs w:val="24"/>
        </w:rPr>
      </w:pPr>
      <w:r w:rsidRPr="00F672B0">
        <w:rPr>
          <w:rFonts w:ascii="Times New Roman" w:hAnsi="Times New Roman"/>
          <w:sz w:val="24"/>
          <w:szCs w:val="24"/>
        </w:rPr>
        <w:t xml:space="preserve">En realidad, PISA destaca que lo más importante es el sistema educativo y resalta algunas cuestiones que funcionan allí donde se aplican, como aumentar la autonomía de las escuelas (en detrimento de los políticos, no lo olvidemos), incrementar la disciplina o realizar exámenes externos a los centros para evaluar quién lo está haciendo bien y quién no. En la misma línea se manifiestan Cabrales y Felgueroso en su artículo. </w:t>
      </w:r>
    </w:p>
    <w:p w:rsidR="00E02187" w:rsidRPr="00F672B0" w:rsidRDefault="00E02187" w:rsidP="00E02187">
      <w:pPr>
        <w:jc w:val="both"/>
        <w:rPr>
          <w:rFonts w:ascii="Times New Roman" w:hAnsi="Times New Roman"/>
          <w:sz w:val="24"/>
          <w:szCs w:val="24"/>
        </w:rPr>
      </w:pPr>
      <w:r w:rsidRPr="00F672B0">
        <w:rPr>
          <w:rFonts w:ascii="Times New Roman" w:hAnsi="Times New Roman"/>
          <w:sz w:val="24"/>
          <w:szCs w:val="24"/>
        </w:rPr>
        <w:t xml:space="preserve">Los sueldos de los profesores </w:t>
      </w:r>
    </w:p>
    <w:p w:rsidR="00E02187" w:rsidRPr="00F672B0" w:rsidRDefault="00E02187" w:rsidP="00E02187">
      <w:pPr>
        <w:jc w:val="both"/>
        <w:rPr>
          <w:rFonts w:ascii="Times New Roman" w:hAnsi="Times New Roman"/>
          <w:sz w:val="24"/>
          <w:szCs w:val="24"/>
        </w:rPr>
      </w:pPr>
      <w:r w:rsidRPr="00F672B0">
        <w:rPr>
          <w:rFonts w:ascii="Times New Roman" w:hAnsi="Times New Roman"/>
          <w:sz w:val="24"/>
          <w:szCs w:val="24"/>
        </w:rPr>
        <w:t>Sin embargo, sí que existe una variable que depende en gran parte del gasto y que tiene una influencia directa en los resultados de los alumnos. Todos los informes internacionales coinciden en que la calidad del profesorado es clave para mejorar el conjunto del sistema educativo. Es más, muchos autores defienden que es la variable más importante. El problema es que, de nuevo, en esta cuestión no es relevante sólo el cuánto, sino el cómo.</w:t>
      </w:r>
    </w:p>
    <w:p w:rsidR="00E02187" w:rsidRPr="00F672B0" w:rsidRDefault="00E02187" w:rsidP="00E02187">
      <w:pPr>
        <w:jc w:val="both"/>
        <w:rPr>
          <w:rFonts w:ascii="Times New Roman" w:hAnsi="Times New Roman"/>
          <w:sz w:val="24"/>
          <w:szCs w:val="24"/>
        </w:rPr>
      </w:pPr>
      <w:r w:rsidRPr="00F672B0">
        <w:rPr>
          <w:rFonts w:ascii="Times New Roman" w:hAnsi="Times New Roman"/>
          <w:sz w:val="24"/>
          <w:szCs w:val="24"/>
        </w:rPr>
        <w:t xml:space="preserve">De hecho, en la cuestión de cómo se paga al profesorado, España vuelve a presentar unas buenas cifras, en relación a los países de su entorno. Para empezar, la proporción </w:t>
      </w:r>
      <w:r w:rsidRPr="00F672B0">
        <w:rPr>
          <w:rFonts w:ascii="Times New Roman" w:hAnsi="Times New Roman"/>
          <w:sz w:val="24"/>
          <w:szCs w:val="24"/>
        </w:rPr>
        <w:lastRenderedPageBreak/>
        <w:t>del gasto en educación destinado a los sueldos de los maestros es muy elevada. De cada cien euros que aparecen bajo l</w:t>
      </w:r>
      <w:r>
        <w:rPr>
          <w:rFonts w:ascii="Times New Roman" w:hAnsi="Times New Roman"/>
          <w:sz w:val="24"/>
          <w:szCs w:val="24"/>
        </w:rPr>
        <w:t>a rúbrica de “educación”</w:t>
      </w:r>
      <w:r w:rsidRPr="00F672B0">
        <w:rPr>
          <w:rFonts w:ascii="Times New Roman" w:hAnsi="Times New Roman"/>
          <w:sz w:val="24"/>
          <w:szCs w:val="24"/>
        </w:rPr>
        <w:t xml:space="preserve"> en los presupuestos públicos, 73,3 van destinados a pagar a los profesores. En la OCDE, la media es del 63%.</w:t>
      </w:r>
    </w:p>
    <w:p w:rsidR="00E02187" w:rsidRPr="00F672B0" w:rsidRDefault="00E02187" w:rsidP="00E02187">
      <w:pPr>
        <w:jc w:val="both"/>
        <w:rPr>
          <w:rFonts w:ascii="Times New Roman" w:hAnsi="Times New Roman"/>
          <w:sz w:val="24"/>
          <w:szCs w:val="24"/>
        </w:rPr>
      </w:pPr>
      <w:r w:rsidRPr="00F672B0">
        <w:rPr>
          <w:rFonts w:ascii="Times New Roman" w:hAnsi="Times New Roman"/>
          <w:sz w:val="24"/>
          <w:szCs w:val="24"/>
        </w:rPr>
        <w:t>¿Y esto qué supone? Pues que la retribución de los maestros en España sea relativamente elevada en comparación con sus colegas europeos.</w:t>
      </w:r>
    </w:p>
    <w:p w:rsidR="00E02187" w:rsidRPr="00F672B0" w:rsidRDefault="00E02187" w:rsidP="00E02187">
      <w:pPr>
        <w:jc w:val="both"/>
        <w:rPr>
          <w:rFonts w:ascii="Times New Roman" w:hAnsi="Times New Roman"/>
          <w:sz w:val="24"/>
          <w:szCs w:val="24"/>
        </w:rPr>
      </w:pPr>
      <w:r w:rsidRPr="00F672B0">
        <w:rPr>
          <w:rFonts w:ascii="Times New Roman" w:hAnsi="Times New Roman"/>
          <w:sz w:val="24"/>
          <w:szCs w:val="24"/>
        </w:rPr>
        <w:t xml:space="preserve"> • La paga inicial para un profesor de secundaria es de 40.923 euros (en miles de euros convertidos mediante paridad del poder adquisitivo; es decir, ajustando en función del PIB per cápita de cada país). Mientras, la media de la OCDE es de 29.472 euros (en Finlandia, por ejemplo, este sueldo es de 31.382 euros).</w:t>
      </w:r>
    </w:p>
    <w:p w:rsidR="00E02187" w:rsidRPr="00F672B0" w:rsidRDefault="00E02187" w:rsidP="00E02187">
      <w:pPr>
        <w:jc w:val="both"/>
        <w:rPr>
          <w:rFonts w:ascii="Times New Roman" w:hAnsi="Times New Roman"/>
          <w:sz w:val="24"/>
          <w:szCs w:val="24"/>
        </w:rPr>
      </w:pPr>
      <w:r w:rsidRPr="00F672B0">
        <w:rPr>
          <w:rFonts w:ascii="Times New Roman" w:hAnsi="Times New Roman"/>
          <w:sz w:val="24"/>
          <w:szCs w:val="24"/>
        </w:rPr>
        <w:t>• El sueldo máximo (según la escala del informe) es de 57.304 euros, frente a los 47.470 de media de la OCDE (en Finlandia es de 53.636 euros).</w:t>
      </w:r>
    </w:p>
    <w:p w:rsidR="00E02187" w:rsidRDefault="00E02187" w:rsidP="00E02187">
      <w:pPr>
        <w:spacing w:before="100" w:beforeAutospacing="1" w:after="100" w:afterAutospacing="1" w:line="240" w:lineRule="auto"/>
        <w:jc w:val="center"/>
        <w:rPr>
          <w:rFonts w:ascii="Times New Roman" w:eastAsia="Times New Roman" w:hAnsi="Times New Roman"/>
          <w:b/>
          <w:bCs/>
          <w:sz w:val="24"/>
          <w:szCs w:val="24"/>
          <w:lang w:eastAsia="es-ES"/>
        </w:rPr>
      </w:pPr>
      <w:r>
        <w:rPr>
          <w:rFonts w:ascii="Times New Roman" w:eastAsia="Times New Roman" w:hAnsi="Times New Roman"/>
          <w:noProof/>
          <w:sz w:val="24"/>
          <w:szCs w:val="24"/>
          <w:lang w:eastAsia="es-ES"/>
        </w:rPr>
        <w:drawing>
          <wp:inline distT="0" distB="0" distL="0" distR="0" wp14:anchorId="1275C9D9" wp14:editId="4BCD4B52">
            <wp:extent cx="5706110" cy="2903855"/>
            <wp:effectExtent l="0" t="0" r="8890" b="0"/>
            <wp:docPr id="24" name="Imagen 24" descr="educacion_gasto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educacion_gasto_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06110" cy="2903855"/>
                    </a:xfrm>
                    <a:prstGeom prst="rect">
                      <a:avLst/>
                    </a:prstGeom>
                    <a:noFill/>
                    <a:ln>
                      <a:noFill/>
                    </a:ln>
                  </pic:spPr>
                </pic:pic>
              </a:graphicData>
            </a:graphic>
          </wp:inline>
        </w:drawing>
      </w:r>
    </w:p>
    <w:p w:rsidR="00E02187" w:rsidRPr="00FC6289"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072DDE">
        <w:rPr>
          <w:rFonts w:ascii="Times New Roman" w:eastAsia="Times New Roman" w:hAnsi="Times New Roman"/>
          <w:bCs/>
          <w:sz w:val="24"/>
          <w:szCs w:val="24"/>
          <w:lang w:eastAsia="es-ES"/>
        </w:rPr>
        <w:t>Retribución profesores en 2009</w:t>
      </w:r>
      <w:r>
        <w:rPr>
          <w:rFonts w:ascii="Times New Roman" w:eastAsia="Times New Roman" w:hAnsi="Times New Roman"/>
          <w:sz w:val="24"/>
          <w:szCs w:val="24"/>
          <w:lang w:eastAsia="es-ES"/>
        </w:rPr>
        <w:t xml:space="preserve"> </w:t>
      </w:r>
      <w:r w:rsidRPr="00F672B0">
        <w:rPr>
          <w:rFonts w:ascii="Times New Roman" w:hAnsi="Times New Roman"/>
          <w:sz w:val="24"/>
          <w:szCs w:val="24"/>
        </w:rPr>
        <w:t xml:space="preserve">(en euros </w:t>
      </w:r>
      <w:r>
        <w:rPr>
          <w:rFonts w:ascii="Times New Roman" w:hAnsi="Times New Roman"/>
          <w:sz w:val="24"/>
          <w:szCs w:val="24"/>
        </w:rPr>
        <w:t xml:space="preserve">convertidos según Paridad Poder </w:t>
      </w:r>
      <w:r w:rsidRPr="00F672B0">
        <w:rPr>
          <w:rFonts w:ascii="Times New Roman" w:hAnsi="Times New Roman"/>
          <w:sz w:val="24"/>
          <w:szCs w:val="24"/>
        </w:rPr>
        <w:t xml:space="preserve">Adquisitivo) </w:t>
      </w:r>
    </w:p>
    <w:p w:rsidR="00E02187" w:rsidRPr="00F672B0" w:rsidRDefault="00E02187" w:rsidP="00E02187">
      <w:pPr>
        <w:jc w:val="both"/>
        <w:rPr>
          <w:rFonts w:ascii="Times New Roman" w:hAnsi="Times New Roman"/>
          <w:sz w:val="24"/>
          <w:szCs w:val="24"/>
        </w:rPr>
      </w:pPr>
      <w:r w:rsidRPr="00F672B0">
        <w:rPr>
          <w:rFonts w:ascii="Times New Roman" w:hAnsi="Times New Roman"/>
          <w:sz w:val="24"/>
          <w:szCs w:val="24"/>
        </w:rPr>
        <w:t>La fotografía resultante es la de un país que gasta en educación más que sus vecinos y que además retribuye a sus maestros con generosidad, pero a pesar de todo no consigue los resultados buscados. ¿Por qué? Quizás porque gasta mal o no se centra en aquellas cues</w:t>
      </w:r>
      <w:r>
        <w:rPr>
          <w:rFonts w:ascii="Times New Roman" w:hAnsi="Times New Roman"/>
          <w:sz w:val="24"/>
          <w:szCs w:val="24"/>
        </w:rPr>
        <w:t xml:space="preserve">tiones que sí son importantes. </w:t>
      </w:r>
    </w:p>
    <w:p w:rsidR="00E02187" w:rsidRPr="00F672B0" w:rsidRDefault="00E02187" w:rsidP="00E02187">
      <w:pPr>
        <w:jc w:val="both"/>
        <w:rPr>
          <w:rFonts w:ascii="Times New Roman" w:hAnsi="Times New Roman"/>
          <w:sz w:val="24"/>
          <w:szCs w:val="24"/>
        </w:rPr>
      </w:pPr>
      <w:r w:rsidRPr="00F672B0">
        <w:rPr>
          <w:rFonts w:ascii="Times New Roman" w:hAnsi="Times New Roman"/>
          <w:sz w:val="24"/>
          <w:szCs w:val="24"/>
        </w:rPr>
        <w:t>En la cuestión del salario de los profesores, todo esto queda en evidencia. Como destacaba hace unos mes</w:t>
      </w:r>
      <w:r>
        <w:rPr>
          <w:rFonts w:ascii="Times New Roman" w:hAnsi="Times New Roman"/>
          <w:sz w:val="24"/>
          <w:szCs w:val="24"/>
        </w:rPr>
        <w:t>es Antonio Cabrales: “</w:t>
      </w:r>
      <w:r w:rsidRPr="00F672B0">
        <w:rPr>
          <w:rFonts w:ascii="Times New Roman" w:hAnsi="Times New Roman"/>
          <w:sz w:val="24"/>
          <w:szCs w:val="24"/>
        </w:rPr>
        <w:t>No puede ser que los profesores que trabajan bi</w:t>
      </w:r>
      <w:r>
        <w:rPr>
          <w:rFonts w:ascii="Times New Roman" w:hAnsi="Times New Roman"/>
          <w:sz w:val="24"/>
          <w:szCs w:val="24"/>
        </w:rPr>
        <w:t>en ganen lo mismo que los vagos”</w:t>
      </w:r>
      <w:r w:rsidRPr="00F672B0">
        <w:rPr>
          <w:rFonts w:ascii="Times New Roman" w:hAnsi="Times New Roman"/>
          <w:sz w:val="24"/>
          <w:szCs w:val="24"/>
        </w:rPr>
        <w:t>.</w:t>
      </w:r>
    </w:p>
    <w:p w:rsidR="00E02187" w:rsidRPr="00F672B0" w:rsidRDefault="00E02187" w:rsidP="00E02187">
      <w:pPr>
        <w:jc w:val="both"/>
        <w:rPr>
          <w:rFonts w:ascii="Times New Roman" w:hAnsi="Times New Roman"/>
          <w:sz w:val="24"/>
          <w:szCs w:val="24"/>
        </w:rPr>
      </w:pPr>
      <w:r w:rsidRPr="00F672B0">
        <w:rPr>
          <w:rFonts w:ascii="Times New Roman" w:hAnsi="Times New Roman"/>
          <w:sz w:val="24"/>
          <w:szCs w:val="24"/>
        </w:rPr>
        <w:t xml:space="preserve">Los estudios internacionales destacan que para mejorar la actitud de los profesores es fundamental asociar su remuneración a su rendimiento. Esto es algo lógico y que se cumple en casi todas las profesiones: si el sueldo depende de las ventas, la satisfacción del cliente o cualquier otro resultado, lo normal es que el trabajador se esfuerce más. Sin embargo, en España los profesores son funcionarios y su salario depende de la </w:t>
      </w:r>
      <w:r w:rsidRPr="00F672B0">
        <w:rPr>
          <w:rFonts w:ascii="Times New Roman" w:hAnsi="Times New Roman"/>
          <w:sz w:val="24"/>
          <w:szCs w:val="24"/>
        </w:rPr>
        <w:lastRenderedPageBreak/>
        <w:t>antigüedad, no de su desempeño. Es uno de los países en los que se da esta circunstancia de forma más clara.</w:t>
      </w:r>
    </w:p>
    <w:p w:rsidR="00E02187" w:rsidRDefault="00E02187" w:rsidP="00E02187">
      <w:pPr>
        <w:jc w:val="both"/>
        <w:rPr>
          <w:rFonts w:ascii="Times New Roman" w:hAnsi="Times New Roman"/>
          <w:sz w:val="24"/>
          <w:szCs w:val="24"/>
        </w:rPr>
      </w:pPr>
      <w:r w:rsidRPr="00F672B0">
        <w:rPr>
          <w:rFonts w:ascii="Times New Roman" w:hAnsi="Times New Roman"/>
          <w:sz w:val="24"/>
          <w:szCs w:val="24"/>
        </w:rPr>
        <w:t>Cabrales y Felgueroso apuestan por aumentar la autonomía de los colegios en la contratación del profesorado, con el objetivo de conseguir que sean siempre los mejores los que acaban en las aulas. Además, piden que se monte algún tipo de sistema de incentivos, en función de su productividad. Esto no tiene por qué ser más caro: se trata de pagar más a los que se lo merezcan y menos a los que no se esfuercen tanto. Hay varios sistemas para conseguirlo: bonus en función de las notas de los alumnos en exámenes estandarizados, o beneficios para los colegios excelentes o para los que reduzcan las cifras de abandono escolar, etc... La cuestión es primar la excelencia frente al acomodo.</w:t>
      </w:r>
    </w:p>
    <w:p w:rsidR="00E02187" w:rsidRPr="00072DDE" w:rsidRDefault="00E02187" w:rsidP="00E02187">
      <w:pPr>
        <w:jc w:val="both"/>
        <w:rPr>
          <w:rFonts w:ascii="Times New Roman" w:hAnsi="Times New Roman"/>
          <w:sz w:val="24"/>
          <w:szCs w:val="24"/>
          <w:u w:val="single"/>
        </w:rPr>
      </w:pPr>
      <w:r w:rsidRPr="00072DDE">
        <w:rPr>
          <w:rFonts w:ascii="Times New Roman" w:hAnsi="Times New Roman"/>
          <w:sz w:val="24"/>
          <w:szCs w:val="24"/>
          <w:u w:val="single"/>
        </w:rPr>
        <w:t>Qué proponen los que saben</w:t>
      </w:r>
      <w:r>
        <w:rPr>
          <w:rFonts w:ascii="Times New Roman" w:hAnsi="Times New Roman"/>
          <w:sz w:val="24"/>
          <w:szCs w:val="24"/>
          <w:u w:val="single"/>
        </w:rPr>
        <w:t xml:space="preserve"> (el modelo “sin excusas”)</w:t>
      </w:r>
    </w:p>
    <w:p w:rsidR="00E02187" w:rsidRPr="001005DB" w:rsidRDefault="00E02187" w:rsidP="00E02187">
      <w:pPr>
        <w:jc w:val="both"/>
        <w:rPr>
          <w:rFonts w:ascii="Times New Roman" w:hAnsi="Times New Roman"/>
          <w:sz w:val="24"/>
          <w:szCs w:val="24"/>
        </w:rPr>
      </w:pPr>
      <w:r w:rsidRPr="001005DB">
        <w:rPr>
          <w:rFonts w:ascii="Times New Roman" w:hAnsi="Times New Roman"/>
          <w:sz w:val="24"/>
          <w:szCs w:val="24"/>
        </w:rPr>
        <w:t xml:space="preserve">- </w:t>
      </w:r>
      <w:r w:rsidRPr="001005DB">
        <w:rPr>
          <w:rFonts w:ascii="Times New Roman" w:hAnsi="Times New Roman"/>
          <w:sz w:val="24"/>
          <w:szCs w:val="24"/>
          <w:u w:val="single"/>
        </w:rPr>
        <w:t>¿Cómo hacer una escuela efectiva? Sin excusas</w:t>
      </w:r>
      <w:r w:rsidRPr="001005DB">
        <w:rPr>
          <w:rFonts w:ascii="Times New Roman" w:hAnsi="Times New Roman"/>
          <w:sz w:val="24"/>
          <w:szCs w:val="24"/>
        </w:rPr>
        <w:t xml:space="preserve"> (Fedea - </w:t>
      </w:r>
      <w:r w:rsidRPr="00072DDE">
        <w:rPr>
          <w:rFonts w:ascii="Times New Roman" w:hAnsi="Times New Roman"/>
          <w:b/>
          <w:sz w:val="24"/>
          <w:szCs w:val="24"/>
        </w:rPr>
        <w:t>23/4/12</w:t>
      </w:r>
      <w:r w:rsidRPr="001005DB">
        <w:rPr>
          <w:rFonts w:ascii="Times New Roman" w:hAnsi="Times New Roman"/>
          <w:sz w:val="24"/>
          <w:szCs w:val="24"/>
        </w:rPr>
        <w:t>)</w:t>
      </w:r>
    </w:p>
    <w:p w:rsidR="00E02187" w:rsidRPr="00072DDE" w:rsidRDefault="00E02187" w:rsidP="00E02187">
      <w:pPr>
        <w:jc w:val="both"/>
        <w:rPr>
          <w:rFonts w:ascii="Times New Roman" w:hAnsi="Times New Roman"/>
          <w:sz w:val="24"/>
          <w:szCs w:val="24"/>
        </w:rPr>
      </w:pPr>
      <w:r w:rsidRPr="00072DDE">
        <w:rPr>
          <w:rFonts w:ascii="Times New Roman" w:hAnsi="Times New Roman" w:cs="Times New Roman"/>
          <w:sz w:val="24"/>
          <w:szCs w:val="24"/>
        </w:rPr>
        <w:t xml:space="preserve">(Por  </w:t>
      </w:r>
      <w:r w:rsidRPr="00072DDE">
        <w:rPr>
          <w:rStyle w:val="author"/>
          <w:rFonts w:ascii="Times New Roman" w:hAnsi="Times New Roman" w:cs="Times New Roman"/>
          <w:sz w:val="24"/>
          <w:szCs w:val="24"/>
        </w:rPr>
        <w:t>Antonio Cabrales</w:t>
      </w:r>
      <w:r w:rsidRPr="00072DDE">
        <w:rPr>
          <w:rFonts w:ascii="Times New Roman" w:hAnsi="Times New Roman" w:cs="Times New Roman"/>
          <w:sz w:val="24"/>
          <w:szCs w:val="24"/>
        </w:rPr>
        <w:t>)</w:t>
      </w:r>
      <w:r>
        <w:t xml:space="preserve">                                                                                   </w:t>
      </w:r>
      <w:r>
        <w:rPr>
          <w:rFonts w:ascii="Times New Roman" w:hAnsi="Times New Roman"/>
          <w:sz w:val="24"/>
          <w:szCs w:val="24"/>
        </w:rPr>
        <w:t>Lectura recomendada</w:t>
      </w:r>
    </w:p>
    <w:p w:rsidR="00E02187" w:rsidRPr="008170B3" w:rsidRDefault="00E02187" w:rsidP="00E02187">
      <w:pPr>
        <w:pStyle w:val="NormalWeb"/>
        <w:jc w:val="both"/>
        <w:rPr>
          <w:u w:val="single"/>
        </w:rPr>
      </w:pPr>
      <w:r>
        <w:t xml:space="preserve">Esto de </w:t>
      </w:r>
      <w:r>
        <w:rPr>
          <w:rStyle w:val="nfasis"/>
        </w:rPr>
        <w:t>sin excusas</w:t>
      </w:r>
      <w:r>
        <w:t xml:space="preserve"> parece el título de una película de Clint Eastwood. Y en alguna medida se trata de esto. </w:t>
      </w:r>
      <w:r w:rsidRPr="00820C1E">
        <w:rPr>
          <w:u w:val="single"/>
        </w:rPr>
        <w:t xml:space="preserve">Leyendo una investigación reciente de </w:t>
      </w:r>
      <w:hyperlink r:id="rId121" w:history="1">
        <w:r w:rsidRPr="008170B3">
          <w:rPr>
            <w:rStyle w:val="Hipervnculo"/>
            <w:rFonts w:eastAsiaTheme="majorEastAsia"/>
            <w:color w:val="auto"/>
          </w:rPr>
          <w:t>Dobbie y Fryer</w:t>
        </w:r>
      </w:hyperlink>
      <w:r w:rsidRPr="008170B3">
        <w:rPr>
          <w:u w:val="single"/>
        </w:rPr>
        <w:t xml:space="preserve"> parece que conseguir que una escuela funcione requiere una filosofía no muy lejana a la de tantos personajes inolvidables de Eastwood como director. En resumen: altas expectativas, más tiempo de clase, altas dosis de tutoría, información frecuente del profesor y el uso de datos para guiar la formación explican el cincuenta por ciento de la variación en los resultados de las escuelas investigadas. En otras palabras, trabajo duro y serio por parte de todos los implicados, ese es el modelo </w:t>
      </w:r>
      <w:r w:rsidRPr="008170B3">
        <w:rPr>
          <w:rStyle w:val="nfasis"/>
          <w:u w:val="single"/>
        </w:rPr>
        <w:t>sin excusas</w:t>
      </w:r>
      <w:r w:rsidRPr="008170B3">
        <w:rPr>
          <w:u w:val="single"/>
        </w:rPr>
        <w:t>.</w:t>
      </w:r>
    </w:p>
    <w:p w:rsidR="00E02187" w:rsidRDefault="00E02187" w:rsidP="00E02187">
      <w:pPr>
        <w:pStyle w:val="NormalWeb"/>
        <w:jc w:val="both"/>
      </w:pPr>
      <w:r w:rsidRPr="008170B3">
        <w:t xml:space="preserve">Una de las dificultades más serias para desentrañar lo que hay detrás de la función de producción educativa viene de que este servicio es realmente complejo. Hay muchos factores implicados y hasta ahora ha sido difícil de lograr evidencia de muchos de ellos. Aquí hemos hablado del </w:t>
      </w:r>
      <w:hyperlink r:id="rId122" w:history="1">
        <w:r w:rsidRPr="008170B3">
          <w:rPr>
            <w:rStyle w:val="Hipervnculo"/>
            <w:rFonts w:eastAsiaTheme="majorEastAsia"/>
            <w:color w:val="auto"/>
          </w:rPr>
          <w:t>número de estudiantes</w:t>
        </w:r>
      </w:hyperlink>
      <w:r w:rsidRPr="008170B3">
        <w:t xml:space="preserve">, de los </w:t>
      </w:r>
      <w:hyperlink r:id="rId123" w:history="1">
        <w:r w:rsidRPr="008170B3">
          <w:rPr>
            <w:rStyle w:val="Hipervnculo"/>
            <w:rFonts w:eastAsiaTheme="majorEastAsia"/>
            <w:color w:val="auto"/>
          </w:rPr>
          <w:t>ordenadores</w:t>
        </w:r>
      </w:hyperlink>
      <w:r w:rsidRPr="008170B3">
        <w:t xml:space="preserve">, o del </w:t>
      </w:r>
      <w:hyperlink r:id="rId124" w:history="1">
        <w:r w:rsidRPr="008170B3">
          <w:rPr>
            <w:rStyle w:val="Hipervnculo"/>
            <w:rFonts w:eastAsiaTheme="majorEastAsia"/>
            <w:color w:val="auto"/>
          </w:rPr>
          <w:t>gasto por estudiante</w:t>
        </w:r>
      </w:hyperlink>
      <w:r w:rsidRPr="008170B3">
        <w:t>, pero el proceso educativo implica a muchos más factores y es difícil investigar su efecto. Por ejemplo, hay escuelas que ponen mucho énfasis en la instrucción artística porque aparte de su valor intrínseco piensan que esto</w:t>
      </w:r>
      <w:r>
        <w:t xml:space="preserve"> mejora la creatividad y estimulan el desarrollo académico. En otros lugares pasa algo similar con el deporte, o el ajedrez.</w:t>
      </w:r>
    </w:p>
    <w:p w:rsidR="00E02187" w:rsidRDefault="00E02187" w:rsidP="00E02187">
      <w:pPr>
        <w:pStyle w:val="NormalWeb"/>
        <w:jc w:val="both"/>
      </w:pPr>
      <w:r>
        <w:t>Y hay estrategias sustitutivas entre sí cuyos impactos no conocemos bien: ¿qué pasa si aumentamos el tamaño de clase a cambio de aumentar las horas de instrucción? Esto se puede hacer sin tocar las horas de trabajo de los profesores y por tanto puede ser neutral en términos de coste. Otro ejemplo: se puede aumentar el tamaño de la clase, pero usar los recursos ahorrados para dar más tutorías individuales o en pequeños grupos. Contestar este tipo de preguntas es lo que puede hacerse con el tipo de datos que han recogido Dobbie y Fryer.</w:t>
      </w:r>
    </w:p>
    <w:p w:rsidR="00E02187" w:rsidRDefault="00E02187" w:rsidP="00E02187">
      <w:pPr>
        <w:pStyle w:val="NormalWeb"/>
        <w:jc w:val="both"/>
      </w:pPr>
      <w:r w:rsidRPr="0027342F">
        <w:rPr>
          <w:u w:val="single"/>
        </w:rPr>
        <w:t xml:space="preserve">Los datos vienen de las “charter schools” de Nueva York. Estas son escuelas de titularidad privada y financiación pública. En eso se parecen a nuestras escuelas concertadas, pero la financiación por alumno es igual a la de la escuela pública, y en </w:t>
      </w:r>
      <w:r w:rsidRPr="0027342F">
        <w:rPr>
          <w:u w:val="single"/>
        </w:rPr>
        <w:lastRenderedPageBreak/>
        <w:t>consecuencia no hay ningún copago de los padres. La ventaja de usar estas escuelas es que se introdujeron justamente para tener más libertad en las prácticas académicas (no así de admisión, ya que no pueden seleccionar a sus estudiantes, si hay exceso de demanda de plazas, se hace un sorteo para decidir quién entra). La idea era justamente que esta libertad generara variación y permitiera ver cuáles eran las mejores prácticas docentes</w:t>
      </w:r>
      <w:r>
        <w:t xml:space="preserve">. De las 48 escuelas elementales (de infantil a cuarto) y 37 de grado medio (de quinto a octavo) elegibles, participaron 22 elementales y 13 de grado medio. </w:t>
      </w:r>
    </w:p>
    <w:p w:rsidR="00E02187" w:rsidRDefault="00E02187" w:rsidP="00E02187">
      <w:pPr>
        <w:pStyle w:val="NormalWeb"/>
        <w:jc w:val="both"/>
      </w:pPr>
      <w:r>
        <w:t xml:space="preserve">Los datos recogidos de cada escuela fueron muchos y muy detallados. Varias entrevistas con el director aportaron información sobre: la formación continua de profesores, tiempo de clase, uso de datos para la instrucción, información e implicación de los padres, y cultura de la escuela. La información sobre el rigor curricular se obtuvo de los planes docentes para cada curso en matemáticas y lengua. También se obtuvo información sobre la cultura y las prácticas mediante visitas de día completo a las escuelas. Las visitas incluían observación y grabaciones de al menos una clase de matemáticas y una de lengua, así como entrevistas de profesores y alumnos escogidos al azar. </w:t>
      </w:r>
    </w:p>
    <w:p w:rsidR="00E02187" w:rsidRDefault="00E02187" w:rsidP="00E02187">
      <w:pPr>
        <w:pStyle w:val="NormalWeb"/>
        <w:jc w:val="both"/>
      </w:pPr>
      <w:r>
        <w:t>A la hora de mirar los resultados, lo primero es ver si ir a estas escuelas sirve para algo. Y como se pueden imaginar (porque si no, no habría escrito esta entrada) la respuesta es que sí. En la tabla que tienen a continuación se pueden ver estos efectos para los exámenes de lengua y matemáticas y cada columna representa distintos métodos de estimación y muestras. Las dos primeras filas se refieren a las escuelas elementales y las dos segundas a las escuelas medias. Para un vistazo rápido, la columna más importante es la tercera, que recoge el verdadero impacto causal de estas escuelas, utilizando el hecho de que un buen número de ellas tienen exceso de demanda de plazas que se resuelve con una lotería. Como es habitual el efecto se mide a desviaciones estándar, y los efectos que se ven aquí son parecidos a los encontrados en otros trabajos.</w:t>
      </w:r>
    </w:p>
    <w:p w:rsidR="00E02187" w:rsidRDefault="00E02187" w:rsidP="00E02187">
      <w:pPr>
        <w:pStyle w:val="NormalWeb"/>
        <w:jc w:val="both"/>
      </w:pPr>
      <w:r>
        <w:rPr>
          <w:noProof/>
          <w:color w:val="0000FF"/>
        </w:rPr>
        <w:drawing>
          <wp:inline distT="0" distB="0" distL="0" distR="0" wp14:anchorId="36A5FEEB" wp14:editId="1931526B">
            <wp:extent cx="5142865" cy="2479675"/>
            <wp:effectExtent l="0" t="0" r="635" b="0"/>
            <wp:docPr id="38" name="Imagen 38" descr="sin-excusas-1">
              <a:hlinkClick xmlns:a="http://schemas.openxmlformats.org/drawingml/2006/main" r:id="rId1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in-excusas-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142865" cy="2479675"/>
                    </a:xfrm>
                    <a:prstGeom prst="rect">
                      <a:avLst/>
                    </a:prstGeom>
                    <a:noFill/>
                    <a:ln>
                      <a:noFill/>
                    </a:ln>
                  </pic:spPr>
                </pic:pic>
              </a:graphicData>
            </a:graphic>
          </wp:inline>
        </w:drawing>
      </w:r>
    </w:p>
    <w:p w:rsidR="00E02187" w:rsidRDefault="00E02187" w:rsidP="00E02187">
      <w:pPr>
        <w:pStyle w:val="NormalWeb"/>
        <w:jc w:val="both"/>
      </w:pPr>
      <w:r>
        <w:t xml:space="preserve">La cuestión más novedosa de este artículo en particular es averiguar las razones por las que estas escuelas son más efectivas. Para esto se recopilaron los datos de los que hablamos antes. El procedimiento utilizado es hacer regresiones que expliquen el efecto estimado de cada escuela en las regresiones anteriores con algunas variables. La principal precaución con estos resultados es que no se pueden interpretar de manera causal, son correlaciones nada más y podría haber factores omitidos importantes. Pero </w:t>
      </w:r>
      <w:r>
        <w:lastRenderedPageBreak/>
        <w:t xml:space="preserve">son muy informativas, y en algún caso coinciden con lo que ya sabemos con metodologías estadísticamente más potentes. </w:t>
      </w:r>
    </w:p>
    <w:p w:rsidR="00E02187" w:rsidRDefault="00E02187" w:rsidP="00E02187">
      <w:pPr>
        <w:pStyle w:val="NormalWeb"/>
        <w:jc w:val="both"/>
      </w:pPr>
      <w:r w:rsidRPr="0027342F">
        <w:rPr>
          <w:u w:val="single"/>
        </w:rPr>
        <w:t>Por ejemplo, ni el tamaño de clase, ni el gasto por alumno, ni el hecho de que el profesor tenga un máster parece ser importante</w:t>
      </w:r>
      <w:r>
        <w:t>. De hecho, como ven en la siguiente tabla, como mucho parecen tener una correlación negativa si se ponen todas juntas. Esto ya lo sabemos por otras vías.</w:t>
      </w:r>
    </w:p>
    <w:p w:rsidR="00E02187" w:rsidRDefault="00E02187" w:rsidP="00E02187">
      <w:pPr>
        <w:pStyle w:val="NormalWeb"/>
        <w:jc w:val="both"/>
      </w:pPr>
      <w:r>
        <w:rPr>
          <w:noProof/>
          <w:color w:val="0000FF"/>
        </w:rPr>
        <w:drawing>
          <wp:inline distT="0" distB="0" distL="0" distR="0" wp14:anchorId="753D642A" wp14:editId="4F38A00F">
            <wp:extent cx="5142582" cy="2611526"/>
            <wp:effectExtent l="0" t="0" r="1270" b="0"/>
            <wp:docPr id="37" name="Imagen 37" descr="sin-excusas-2">
              <a:hlinkClick xmlns:a="http://schemas.openxmlformats.org/drawingml/2006/main" r:id="rId1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in-excusas-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142865" cy="2611670"/>
                    </a:xfrm>
                    <a:prstGeom prst="rect">
                      <a:avLst/>
                    </a:prstGeom>
                    <a:noFill/>
                    <a:ln>
                      <a:noFill/>
                    </a:ln>
                  </pic:spPr>
                </pic:pic>
              </a:graphicData>
            </a:graphic>
          </wp:inline>
        </w:drawing>
      </w:r>
    </w:p>
    <w:p w:rsidR="00E02187" w:rsidRDefault="00E02187" w:rsidP="00E02187">
      <w:pPr>
        <w:pStyle w:val="NormalWeb"/>
        <w:jc w:val="both"/>
      </w:pPr>
      <w:r w:rsidRPr="0027342F">
        <w:rPr>
          <w:color w:val="FF0000"/>
          <w:u w:val="single"/>
        </w:rPr>
        <w:t>En cambio, el efecto de las cinco políticas que expresé en la introducción: altas expectativas, más tiempo de clase, altas dosis de tutoría, información frecuente del profesor y el uso de datos para guiar la formación, explican el cincuenta por ciento de la variación en los resultados de las escuelas investigadas</w:t>
      </w:r>
      <w:r>
        <w:t>. Y no solamente esto, en una regresión del efecto de la escuela con un índice y cada una de las variables por separado, cuatro de las cinco estrategias (todas menos las altas expectativas) retienen valor explicativo.</w:t>
      </w:r>
    </w:p>
    <w:p w:rsidR="00E02187" w:rsidRDefault="00E02187" w:rsidP="00E02187">
      <w:pPr>
        <w:pStyle w:val="NormalWeb"/>
        <w:jc w:val="both"/>
      </w:pPr>
      <w:r>
        <w:rPr>
          <w:noProof/>
          <w:color w:val="0000FF"/>
        </w:rPr>
        <w:drawing>
          <wp:inline distT="0" distB="0" distL="0" distR="0" wp14:anchorId="1DC7746C" wp14:editId="07CA0331">
            <wp:extent cx="5142493" cy="2867559"/>
            <wp:effectExtent l="0" t="0" r="1270" b="9525"/>
            <wp:docPr id="36" name="Imagen 36" descr="sin-excusas-3">
              <a:hlinkClick xmlns:a="http://schemas.openxmlformats.org/drawingml/2006/main" r:id="rId1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in-excusas-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142865" cy="2867767"/>
                    </a:xfrm>
                    <a:prstGeom prst="rect">
                      <a:avLst/>
                    </a:prstGeom>
                    <a:noFill/>
                    <a:ln>
                      <a:noFill/>
                    </a:ln>
                  </pic:spPr>
                </pic:pic>
              </a:graphicData>
            </a:graphic>
          </wp:inline>
        </w:drawing>
      </w:r>
    </w:p>
    <w:p w:rsidR="00E02187" w:rsidRDefault="00E02187" w:rsidP="00E02187">
      <w:pPr>
        <w:pStyle w:val="NormalWeb"/>
        <w:jc w:val="both"/>
      </w:pPr>
      <w:r>
        <w:lastRenderedPageBreak/>
        <w:t xml:space="preserve">La última parte del artículo se dedica a verificar, de una manera muy parcial, claro, algunas teorías sobre lo que hace una escuela efectiva. </w:t>
      </w:r>
    </w:p>
    <w:p w:rsidR="00E02187" w:rsidRPr="0027342F" w:rsidRDefault="00E02187" w:rsidP="00E02187">
      <w:pPr>
        <w:pStyle w:val="NormalWeb"/>
        <w:jc w:val="both"/>
        <w:rPr>
          <w:u w:val="single"/>
        </w:rPr>
      </w:pPr>
      <w:r w:rsidRPr="0027342F">
        <w:rPr>
          <w:u w:val="single"/>
        </w:rPr>
        <w:t>Una de ellas es la teoría de la “escuela de servicios” en la cual el objetivo no son solamente los conocimientos sino el “bienestar global” del chico. Para comprobarla crean varios indicadores que son iguales a uno si la escuela tiene un trabajador social, servicios de salud, servicios “holísticos” o si el ideario escolar habla de proveer una “aproximación comprensiva al bienestar del estudiante”.</w:t>
      </w:r>
      <w:r>
        <w:t xml:space="preserve"> Con esto se genera un índice global que promedia estos 4. </w:t>
      </w:r>
      <w:r w:rsidRPr="0027342F">
        <w:rPr>
          <w:u w:val="single"/>
        </w:rPr>
        <w:t>Otra teoría es la que se centra en la contratación y retención de los mejores profesores</w:t>
      </w:r>
      <w:r>
        <w:t xml:space="preserve">. Para probar esta teoría se crea un índice que promedia indicadores sobre si la escuela tiene un mayor número de requisitos para contratar que la media, si paga un salario superior a la media, si tiene una tasa de rotación mayor a la media y si ofrece bonos por rendimiento a los profesores. </w:t>
      </w:r>
      <w:r w:rsidRPr="0027342F">
        <w:rPr>
          <w:u w:val="single"/>
        </w:rPr>
        <w:t xml:space="preserve">El último modelo comprobado es el modelo “sin excusas”, una filosofía que se centra en más tiempo en la escuela, disciplina estricta y un mayor enfoque en habilidades lingüísticas y matemáticas básicas. </w:t>
      </w:r>
    </w:p>
    <w:p w:rsidR="00E02187" w:rsidRDefault="00E02187" w:rsidP="00E02187">
      <w:pPr>
        <w:pStyle w:val="NormalWeb"/>
        <w:jc w:val="both"/>
      </w:pPr>
      <w:r>
        <w:rPr>
          <w:noProof/>
          <w:color w:val="0000FF"/>
        </w:rPr>
        <w:drawing>
          <wp:inline distT="0" distB="0" distL="0" distR="0" wp14:anchorId="4F3538C2" wp14:editId="47CF3E8C">
            <wp:extent cx="5142865" cy="3628390"/>
            <wp:effectExtent l="0" t="0" r="635" b="0"/>
            <wp:docPr id="35" name="Imagen 35" descr="sin-excusas-41">
              <a:hlinkClick xmlns:a="http://schemas.openxmlformats.org/drawingml/2006/main" r:id="rId1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sin-excusas-4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142865" cy="3628390"/>
                    </a:xfrm>
                    <a:prstGeom prst="rect">
                      <a:avLst/>
                    </a:prstGeom>
                    <a:noFill/>
                    <a:ln>
                      <a:noFill/>
                    </a:ln>
                  </pic:spPr>
                </pic:pic>
              </a:graphicData>
            </a:graphic>
          </wp:inline>
        </w:drawing>
      </w:r>
    </w:p>
    <w:p w:rsidR="00E02187" w:rsidRDefault="00E02187" w:rsidP="00E02187">
      <w:pPr>
        <w:pStyle w:val="NormalWeb"/>
        <w:jc w:val="both"/>
      </w:pPr>
      <w:r>
        <w:t>Las columnas 1, 3 y 5 de la siguiente tabla comprueban la correlación de estas teorías con el rendimiento de las escuelas. Claramente la “escuela de servicios” parece no ser muy relevante. Tanto la búsqueda de buenos profesores, como la filosofía “sin excusas” están relacionadas con el rendimiento. Las columnas 2, 4 y 6 miran lo que sucede cuando se añade el índice de las cinco políticas básicas analizado antes. Para las dos primeras estrategias, escuela de servicios y contratación de buenos profesores, no hay cambios importantes. Pero para la filosofía “sin excusas” la introducción de esta variable es importante. Lo que quiere decir probablemente es que estas políticas están muy relacionadas con la filosofía.</w:t>
      </w:r>
    </w:p>
    <w:p w:rsidR="00E02187" w:rsidRDefault="00E02187" w:rsidP="00E02187">
      <w:pPr>
        <w:pStyle w:val="NormalWeb"/>
        <w:jc w:val="both"/>
      </w:pPr>
      <w:r w:rsidRPr="0027342F">
        <w:rPr>
          <w:u w:val="single"/>
        </w:rPr>
        <w:lastRenderedPageBreak/>
        <w:t>Voy a terminar reconociendo la frustración que deben sentir algunos lectores después de leer el artículo. Se han pasado un cuarto de hora conmigo para que les diga que si profesores y estudiantes trabajan duro, mejorarán los resultados escolares</w:t>
      </w:r>
      <w:r>
        <w:t xml:space="preserve">. Ya lo sé, a veces es molesto repetir lo obvio, pero hemos llegado a un punto en el que es necesario insistir en lo evidente. Todos ponemos poner excusas para nuestro fracaso. Los árbitros nos anulan los goles, los periódicos nos ignoran, no interesamos a las televisiones. Y muchas de estas quejas están fundamentadas. Pero como dijo el gran filósofo serbio: </w:t>
      </w:r>
      <w:hyperlink r:id="rId133" w:history="1">
        <w:r w:rsidRPr="008170B3">
          <w:rPr>
            <w:rStyle w:val="Hipervnculo"/>
            <w:rFonts w:eastAsiaTheme="majorEastAsia"/>
            <w:color w:val="auto"/>
          </w:rPr>
          <w:t>fútbol es fútbol, goles son goles.</w:t>
        </w:r>
      </w:hyperlink>
      <w:r w:rsidRPr="008170B3">
        <w:t xml:space="preserve"> A</w:t>
      </w:r>
      <w:r>
        <w:t xml:space="preserve"> trabajar.</w:t>
      </w:r>
    </w:p>
    <w:p w:rsidR="00E02187" w:rsidRPr="00875C45" w:rsidRDefault="00E02187" w:rsidP="00E02187">
      <w:pPr>
        <w:pStyle w:val="NormalWeb"/>
        <w:jc w:val="both"/>
        <w:rPr>
          <w:u w:val="single"/>
        </w:rPr>
      </w:pPr>
      <w:r w:rsidRPr="00875C45">
        <w:rPr>
          <w:u w:val="single"/>
        </w:rPr>
        <w:t xml:space="preserve">La </w:t>
      </w:r>
      <w:r w:rsidRPr="00875C45">
        <w:rPr>
          <w:iCs/>
          <w:u w:val="single"/>
        </w:rPr>
        <w:t>burbuja</w:t>
      </w:r>
      <w:r w:rsidRPr="00875C45">
        <w:rPr>
          <w:u w:val="single"/>
        </w:rPr>
        <w:t xml:space="preserve"> del crédito</w:t>
      </w:r>
      <w:r>
        <w:rPr>
          <w:u w:val="single"/>
        </w:rPr>
        <w:t xml:space="preserve"> universitario en EEUU</w:t>
      </w:r>
      <w:r w:rsidRPr="00875C45">
        <w:rPr>
          <w:u w:val="single"/>
        </w:rPr>
        <w:t xml:space="preserve"> ha acabado llegando hasta el Congreso</w:t>
      </w:r>
    </w:p>
    <w:p w:rsidR="00E02187" w:rsidRPr="00875C45" w:rsidRDefault="00E02187" w:rsidP="00E02187">
      <w:pPr>
        <w:pStyle w:val="NormalWeb"/>
        <w:jc w:val="both"/>
      </w:pPr>
      <w:r>
        <w:t>“</w:t>
      </w:r>
      <w:r w:rsidRPr="00875C45">
        <w:rPr>
          <w:bCs/>
          <w:i/>
        </w:rPr>
        <w:t>Con las últimas estimaciones cifrando la deuda de los estudiantes en más de un billón de dólares</w:t>
      </w:r>
      <w:r w:rsidRPr="00875C45">
        <w:rPr>
          <w:i/>
        </w:rPr>
        <w:t xml:space="preserve"> (es decir, un millón de millones, que en términos americanos sería un trillón), la clase política no ha podido seguir ignorando un problema que amenaza con hipotecar el futuro de una generación</w:t>
      </w:r>
      <w:r>
        <w:rPr>
          <w:i/>
        </w:rPr>
        <w:t>”..</w:t>
      </w:r>
      <w:r w:rsidRPr="00875C45">
        <w:rPr>
          <w:i/>
        </w:rPr>
        <w:t>.</w:t>
      </w:r>
      <w:r>
        <w:rPr>
          <w:i/>
        </w:rPr>
        <w:t xml:space="preserve"> </w:t>
      </w:r>
      <w:r w:rsidRPr="008A0A39">
        <w:rPr>
          <w:u w:val="single"/>
        </w:rPr>
        <w:t>EEUU ya se plantea la bancarrota de los estudiantes como un mal menor</w:t>
      </w:r>
      <w:r>
        <w:t xml:space="preserve"> (El Confidencial - </w:t>
      </w:r>
      <w:r w:rsidRPr="008A0A39">
        <w:rPr>
          <w:b/>
        </w:rPr>
        <w:t>6/5/12</w:t>
      </w:r>
      <w:r>
        <w:t>)</w:t>
      </w:r>
    </w:p>
    <w:p w:rsidR="00E02187" w:rsidRPr="00875C45" w:rsidRDefault="00E02187" w:rsidP="00E02187">
      <w:pPr>
        <w:pStyle w:val="NormalWeb"/>
        <w:jc w:val="both"/>
      </w:pPr>
      <w:r w:rsidRPr="00875C45">
        <w:rPr>
          <w:bCs/>
        </w:rPr>
        <w:t>En el año 2005, el Congreso estableció la prohibición de cancelar la deuda de los estudiantes mediante el procedimiento de bancarrota</w:t>
      </w:r>
      <w:r w:rsidRPr="00875C45">
        <w:t xml:space="preserve"> para evitar las tentaciones de impago por parte de jóvenes graduados sin apenas bienes a su nombre. Sin embargo, con un creciente número de estadounidenses hipotecando su futuro y una fiebre del crédito que ya llega hasta la educación primaria, algunos legisladores piensan que es el momento de levantar esa restricción antes de que miles de jóvenes acaben enterrados durante décadas bajo una montaña de intereses inabordables.</w:t>
      </w:r>
    </w:p>
    <w:p w:rsidR="00E02187" w:rsidRPr="00875C45" w:rsidRDefault="00E02187" w:rsidP="00E02187">
      <w:pPr>
        <w:pStyle w:val="NormalWeb"/>
        <w:jc w:val="both"/>
      </w:pPr>
      <w:r w:rsidRPr="00875C45">
        <w:t>En los últimos años, la deuda de los estudiantes se ha mantenido al margen de la caída de otros productos de crédito causada por la crisis, y la tendencia hace mucho que superó la barrera de lo preocupante:</w:t>
      </w:r>
      <w:r w:rsidRPr="00875C45">
        <w:rPr>
          <w:bCs/>
        </w:rPr>
        <w:t xml:space="preserve"> la cantidad se ha doblado en los últimos cinco años y supera ya al total de las deudas por tarjetas de crédito en el país</w:t>
      </w:r>
      <w:r w:rsidRPr="00875C45">
        <w:t xml:space="preserve">. Un aumento en la concesión de créditos que no se debe precisamente a las mejores expectativas de devolución al salir de la universidad, ya que </w:t>
      </w:r>
      <w:r w:rsidRPr="00875C45">
        <w:rPr>
          <w:bCs/>
        </w:rPr>
        <w:t>en la primera década del siglo los ingresos medios de los licenciados entre 25 y 34 años cayeron un 15%.</w:t>
      </w:r>
    </w:p>
    <w:p w:rsidR="00E02187" w:rsidRPr="00875C45" w:rsidRDefault="00E02187" w:rsidP="00E02187">
      <w:pPr>
        <w:pStyle w:val="NormalWeb"/>
        <w:jc w:val="both"/>
      </w:pPr>
      <w:r w:rsidRPr="00875C45">
        <w:t xml:space="preserve">Ante la aparición en los medios de diversos casos de personas atrapadas en una red de deudas imposibles de devolver, el senador </w:t>
      </w:r>
      <w:r w:rsidRPr="00875C45">
        <w:rPr>
          <w:bCs/>
        </w:rPr>
        <w:t>Dick Durbin</w:t>
      </w:r>
      <w:r w:rsidRPr="00875C45">
        <w:t xml:space="preserve"> ha abogado por facilitar a los prestatarios la posibilidad de liberarse de sus obligaciones con entidades privadas, mientras que tanto </w:t>
      </w:r>
      <w:r w:rsidRPr="00875C45">
        <w:rPr>
          <w:bCs/>
        </w:rPr>
        <w:t>Barack Obama</w:t>
      </w:r>
      <w:r w:rsidRPr="00875C45">
        <w:t xml:space="preserve"> como el candidato republicano </w:t>
      </w:r>
      <w:r w:rsidRPr="00875C45">
        <w:rPr>
          <w:bCs/>
        </w:rPr>
        <w:t>Mitt Romney</w:t>
      </w:r>
      <w:r w:rsidRPr="00875C45">
        <w:t xml:space="preserve"> han pedido al Congreso que prolongue la congelación de la tasa de interés del 3,4% para los préstamos que concede el Gobierno. De no ser así, la tasa se doblará a partir del 1 de julio.</w:t>
      </w:r>
    </w:p>
    <w:p w:rsidR="00E02187" w:rsidRPr="00875C45" w:rsidRDefault="00E02187" w:rsidP="00E02187">
      <w:pPr>
        <w:pStyle w:val="NormalWeb"/>
        <w:jc w:val="both"/>
      </w:pPr>
      <w:r w:rsidRPr="00875C45">
        <w:t xml:space="preserve">La diferenciación entre préstamos públicos y privados es clave, puesto que los primeros representan más del 90%, aunque los límites que se establecen han llevado a muchos estudiantes a realizar combinaciones acudiendo a ambas fuentes de financiación para costear su educación. </w:t>
      </w:r>
    </w:p>
    <w:p w:rsidR="00E02187" w:rsidRPr="00875C45" w:rsidRDefault="00E02187" w:rsidP="00E02187">
      <w:pPr>
        <w:pStyle w:val="NormalWeb"/>
        <w:jc w:val="both"/>
      </w:pPr>
      <w:r w:rsidRPr="00875C45">
        <w:t xml:space="preserve">En el lado de los que apoyan la vuelta de la posibilidad de declararse en bancarrota se encuentran </w:t>
      </w:r>
      <w:r w:rsidRPr="00875C45">
        <w:rPr>
          <w:bCs/>
        </w:rPr>
        <w:t>asociaciones de consumidores, representantes de las universidades y abogados especializados</w:t>
      </w:r>
      <w:r w:rsidRPr="00875C45">
        <w:t xml:space="preserve">, aunque por razones distintas. Mientras los primeros </w:t>
      </w:r>
      <w:r w:rsidRPr="00875C45">
        <w:lastRenderedPageBreak/>
        <w:t>argumentan que la amenaza del impago llevará a las entidades a ofrecer condiciones más justas, los últimos ven una nueva oportunidad de negocio.</w:t>
      </w:r>
    </w:p>
    <w:p w:rsidR="00E02187" w:rsidRPr="00875C45" w:rsidRDefault="00E02187" w:rsidP="00E02187">
      <w:pPr>
        <w:pStyle w:val="NormalWeb"/>
        <w:jc w:val="both"/>
      </w:pPr>
      <w:r w:rsidRPr="00875C45">
        <w:t xml:space="preserve">En el extremo opuesto, los “lobbies” bancarios, que aseguran en una carta enviada al Senado que “el sistema de bancarrota supone abrir la puerta al abuso”. Además, los críticos con la propuesta del senador Durbin </w:t>
      </w:r>
      <w:r w:rsidRPr="00875C45">
        <w:rPr>
          <w:bCs/>
        </w:rPr>
        <w:t>advierten que los prestatarios aumentarían la cuantía de los intereses para compensar el mayor riesgo de pérdidas</w:t>
      </w:r>
      <w:r w:rsidRPr="00875C45">
        <w:t>. En lo referente a los préstamos públicos la cuestión de la bancarrota es aún más delicada desde el punto de vista político, puesto que implicaría que fuese el erario público el que corriese con los gastos.</w:t>
      </w:r>
    </w:p>
    <w:p w:rsidR="00E02187" w:rsidRDefault="00E02187" w:rsidP="00E02187">
      <w:pPr>
        <w:pStyle w:val="NormalWeb"/>
        <w:jc w:val="both"/>
      </w:pPr>
      <w:r w:rsidRPr="00875C45">
        <w:t xml:space="preserve">Aún está por ver la acogida que recibe la propuesta del senador Durbin, pero los legisladores estadounidenses parecen haber adquirido conciencia de la necesidad de actuar rápido, puesto que </w:t>
      </w:r>
      <w:r w:rsidRPr="00875C45">
        <w:rPr>
          <w:bCs/>
        </w:rPr>
        <w:t>un 27% de los estudiantes endeudados ya está retrasado en al menos uno de sus pagos</w:t>
      </w:r>
      <w:r w:rsidRPr="00875C45">
        <w:t>. Esto supone que, técnicamente, uno de cada cuatro ya puede ser calificado como “delincuente”.</w:t>
      </w:r>
    </w:p>
    <w:p w:rsidR="00E02187" w:rsidRPr="00875C45" w:rsidRDefault="00E02187" w:rsidP="00E02187">
      <w:pPr>
        <w:pStyle w:val="NormalWeb"/>
        <w:jc w:val="both"/>
        <w:rPr>
          <w:u w:val="single"/>
        </w:rPr>
      </w:pPr>
      <w:r w:rsidRPr="00875C45">
        <w:rPr>
          <w:u w:val="single"/>
        </w:rPr>
        <w:t>La falta de excelencia: causas y efectos (el caso español)</w:t>
      </w:r>
    </w:p>
    <w:p w:rsidR="00E02187" w:rsidRDefault="00E02187" w:rsidP="00E02187">
      <w:pPr>
        <w:pStyle w:val="NormalWeb"/>
        <w:jc w:val="both"/>
      </w:pPr>
      <w:r>
        <w:t xml:space="preserve">- </w:t>
      </w:r>
      <w:r w:rsidRPr="002B4CE4">
        <w:rPr>
          <w:u w:val="single"/>
        </w:rPr>
        <w:t>Manifiesto para mejorar el rendimiento del sector educativo en España</w:t>
      </w:r>
      <w:r>
        <w:t xml:space="preserve"> (Fedea - </w:t>
      </w:r>
      <w:r w:rsidRPr="00F934E3">
        <w:rPr>
          <w:b/>
        </w:rPr>
        <w:t>21/5/12</w:t>
      </w:r>
      <w:r>
        <w:t>)</w:t>
      </w:r>
    </w:p>
    <w:p w:rsidR="00E02187" w:rsidRDefault="00E02187" w:rsidP="00E02187">
      <w:pPr>
        <w:pStyle w:val="NormalWeb"/>
        <w:jc w:val="both"/>
      </w:pPr>
      <w:r>
        <w:t>(Por Antonio Cabrales)                                                                     Lectura recomendada</w:t>
      </w:r>
    </w:p>
    <w:p w:rsidR="00E02187" w:rsidRDefault="00E02187" w:rsidP="00E02187">
      <w:pPr>
        <w:pStyle w:val="NormalWeb"/>
        <w:jc w:val="both"/>
      </w:pPr>
      <w:r>
        <w:rPr>
          <w:rStyle w:val="Textoennegrita"/>
          <w:rFonts w:eastAsiaTheme="majorEastAsia"/>
        </w:rPr>
        <w:t>Diagnóstico</w:t>
      </w:r>
    </w:p>
    <w:p w:rsidR="00E02187" w:rsidRDefault="00E02187" w:rsidP="00E02187">
      <w:pPr>
        <w:pStyle w:val="NormalWeb"/>
        <w:jc w:val="both"/>
      </w:pPr>
      <w:r>
        <w:t xml:space="preserve">Como ya hemos explicado bastantes veces, España tiene dos problemas educativos muy importantes. Por un lado, la escasez de alumnos con muy buenos resultados, algo que no puede achacarse por desgracia al diferente estatus socioeconómico de nuestra población, porque España está por debajo de la media significativamente para alumnos con padres de mayor nivel educativo y económico como pueden ver en el siguiente gráfico. </w:t>
      </w:r>
    </w:p>
    <w:p w:rsidR="00E02187" w:rsidRDefault="00E02187" w:rsidP="00E02187">
      <w:pPr>
        <w:pStyle w:val="NormalWeb"/>
        <w:jc w:val="both"/>
      </w:pPr>
      <w:r>
        <w:rPr>
          <w:noProof/>
          <w:color w:val="0000FF"/>
        </w:rPr>
        <w:drawing>
          <wp:inline distT="0" distB="0" distL="0" distR="0" wp14:anchorId="3D05B4CB" wp14:editId="1EF5B520">
            <wp:extent cx="5442508" cy="3226004"/>
            <wp:effectExtent l="0" t="0" r="6350" b="0"/>
            <wp:docPr id="49" name="Imagen 49" descr="PISA-partents-educated">
              <a:hlinkClick xmlns:a="http://schemas.openxmlformats.org/drawingml/2006/main" r:id="rId1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SA-partents-educated"/>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442508" cy="3226004"/>
                    </a:xfrm>
                    <a:prstGeom prst="rect">
                      <a:avLst/>
                    </a:prstGeom>
                    <a:noFill/>
                    <a:ln>
                      <a:noFill/>
                    </a:ln>
                  </pic:spPr>
                </pic:pic>
              </a:graphicData>
            </a:graphic>
          </wp:inline>
        </w:drawing>
      </w:r>
    </w:p>
    <w:p w:rsidR="00E02187" w:rsidRDefault="00E02187" w:rsidP="00E02187">
      <w:pPr>
        <w:pStyle w:val="NormalWeb"/>
        <w:jc w:val="both"/>
      </w:pPr>
      <w:r>
        <w:lastRenderedPageBreak/>
        <w:t xml:space="preserve">Por otro lado el problema está en las pocas personas que obtienen formación después de la enseñanza obligatoria (lo que suele llamarse el “fracaso escolar”. </w:t>
      </w:r>
    </w:p>
    <w:p w:rsidR="00E02187" w:rsidRPr="005534D8" w:rsidRDefault="00E02187" w:rsidP="00E02187">
      <w:pPr>
        <w:pStyle w:val="NormalWeb"/>
        <w:jc w:val="both"/>
        <w:rPr>
          <w:u w:val="single"/>
        </w:rPr>
      </w:pPr>
      <w:r>
        <w:t xml:space="preserve">Todo esto es muy importante porque como hemos repetido en algunas ocasiones, </w:t>
      </w:r>
      <w:hyperlink r:id="rId136" w:history="1">
        <w:r w:rsidRPr="008170B3">
          <w:rPr>
            <w:rStyle w:val="Hipervnculo"/>
            <w:rFonts w:eastAsiaTheme="majorEastAsia"/>
            <w:color w:val="auto"/>
          </w:rPr>
          <w:t>la educación es crucial para el crecimiento</w:t>
        </w:r>
      </w:hyperlink>
      <w:r w:rsidRPr="008170B3">
        <w:rPr>
          <w:u w:val="single"/>
        </w:rPr>
        <w:t xml:space="preserve">. Y no sólo la cantidad (el número de años que </w:t>
      </w:r>
      <w:r w:rsidRPr="005534D8">
        <w:rPr>
          <w:u w:val="single"/>
        </w:rPr>
        <w:t>uno se educa) sino también la calidad. Los periodistas, de manera inteligente, se aferraron al número: 100 puntos de PISA equivalen a un 2% extra de crecimiento anual, lo cual en cuarenta años dobla la renta.</w:t>
      </w:r>
    </w:p>
    <w:p w:rsidR="00E02187" w:rsidRDefault="00E02187" w:rsidP="00E02187">
      <w:pPr>
        <w:pStyle w:val="NormalWeb"/>
        <w:jc w:val="both"/>
      </w:pPr>
      <w:r>
        <w:t>Y ¿qué proponemos?</w:t>
      </w:r>
    </w:p>
    <w:p w:rsidR="00E02187" w:rsidRDefault="00E02187" w:rsidP="00E02187">
      <w:pPr>
        <w:pStyle w:val="NormalWeb"/>
        <w:jc w:val="both"/>
      </w:pPr>
      <w:r>
        <w:rPr>
          <w:rStyle w:val="Textoennegrita"/>
          <w:rFonts w:eastAsiaTheme="majorEastAsia"/>
        </w:rPr>
        <w:t xml:space="preserve">1. </w:t>
      </w:r>
      <w:r w:rsidRPr="005534D8">
        <w:rPr>
          <w:rStyle w:val="Textoennegrita"/>
          <w:rFonts w:eastAsiaTheme="majorEastAsia"/>
          <w:color w:val="FF0000"/>
        </w:rPr>
        <w:t>Educación preescolar: Importancia de las habilidades no cognitivas</w:t>
      </w:r>
    </w:p>
    <w:p w:rsidR="00E02187" w:rsidRDefault="00E02187" w:rsidP="00E02187">
      <w:pPr>
        <w:pStyle w:val="NormalWeb"/>
        <w:jc w:val="both"/>
      </w:pPr>
      <w:r>
        <w:t xml:space="preserve">La evidencia es concluyente acerca de </w:t>
      </w:r>
      <w:r w:rsidRPr="005534D8">
        <w:rPr>
          <w:u w:val="single"/>
        </w:rPr>
        <w:t>la importan</w:t>
      </w:r>
      <w:r>
        <w:rPr>
          <w:u w:val="single"/>
        </w:rPr>
        <w:t>cia de la motivación temprana -entre 1 y 3 años-</w:t>
      </w:r>
      <w:r w:rsidRPr="005534D8">
        <w:rPr>
          <w:u w:val="single"/>
        </w:rPr>
        <w:t xml:space="preserve"> y el desarrollo de las habilidades no cognitivas</w:t>
      </w:r>
      <w:r>
        <w:t xml:space="preserve">, de manera muy especial en los estratos menos favorecidos de la sociedad. Esta inversión es además extremadamente rentable y debe mantenerse para estos grupos sociales. </w:t>
      </w:r>
    </w:p>
    <w:p w:rsidR="00E02187" w:rsidRPr="009445F9" w:rsidRDefault="00E02187" w:rsidP="00E02187">
      <w:pPr>
        <w:pStyle w:val="NormalWeb"/>
        <w:jc w:val="both"/>
        <w:rPr>
          <w:color w:val="FF0000"/>
        </w:rPr>
      </w:pPr>
      <w:r>
        <w:rPr>
          <w:rStyle w:val="Textoennegrita"/>
          <w:rFonts w:eastAsiaTheme="majorEastAsia"/>
        </w:rPr>
        <w:t xml:space="preserve">2. </w:t>
      </w:r>
      <w:r w:rsidRPr="009445F9">
        <w:rPr>
          <w:rStyle w:val="Textoennegrita"/>
          <w:rFonts w:eastAsiaTheme="majorEastAsia"/>
          <w:color w:val="FF0000"/>
        </w:rPr>
        <w:t>Una carrera profesional de los enseñantes basada en los resultados</w:t>
      </w:r>
    </w:p>
    <w:p w:rsidR="00E02187" w:rsidRDefault="00E02187" w:rsidP="00E02187">
      <w:pPr>
        <w:pStyle w:val="NormalWeb"/>
        <w:jc w:val="both"/>
      </w:pPr>
      <w:r>
        <w:t xml:space="preserve">La investigación económica demuestra, que </w:t>
      </w:r>
      <w:r w:rsidRPr="005534D8">
        <w:rPr>
          <w:u w:val="single"/>
        </w:rPr>
        <w:t>los profesores son cruciales para los resultados de sus alumnos pero también que es prácticamente imposible saber si un profesor consigue buenos resultados sólo por sus títulos o sus notas. Por tanto es importante que tras una acreditación que se base en requisitos académicos, la consolidación y el progreso profesional se base en los resultados de los alumnos</w:t>
      </w:r>
      <w:r>
        <w:t xml:space="preserve">. Pero cuando hablamos de resultados es importante no premiar a los profesionales simplemente por tener la suerte de gestionar buenos estudiantes: la medición de </w:t>
      </w:r>
      <w:r w:rsidRPr="005534D8">
        <w:rPr>
          <w:u w:val="single"/>
        </w:rPr>
        <w:t>los resultados obtenidos debe centrarse en el valor añadido del profesor</w:t>
      </w:r>
      <w:r>
        <w:t>.</w:t>
      </w:r>
    </w:p>
    <w:p w:rsidR="00E02187" w:rsidRDefault="00E02187" w:rsidP="00E02187">
      <w:pPr>
        <w:pStyle w:val="NormalWeb"/>
        <w:jc w:val="both"/>
      </w:pPr>
      <w:r>
        <w:rPr>
          <w:rStyle w:val="Textoennegrita"/>
          <w:rFonts w:eastAsiaTheme="majorEastAsia"/>
        </w:rPr>
        <w:t xml:space="preserve">3. </w:t>
      </w:r>
      <w:r w:rsidRPr="005534D8">
        <w:rPr>
          <w:rStyle w:val="Textoennegrita"/>
          <w:rFonts w:eastAsiaTheme="majorEastAsia"/>
          <w:color w:val="FF0000"/>
        </w:rPr>
        <w:t>Atención a las necesidades específicas</w:t>
      </w:r>
    </w:p>
    <w:p w:rsidR="00E02187" w:rsidRPr="008170B3" w:rsidRDefault="00E02187" w:rsidP="00E02187">
      <w:pPr>
        <w:pStyle w:val="NormalWeb"/>
        <w:jc w:val="both"/>
      </w:pPr>
      <w:r w:rsidRPr="005534D8">
        <w:rPr>
          <w:u w:val="single"/>
        </w:rPr>
        <w:t>Tenemos tasas de repetidores muy elevadas, con el consiguiente coste, desmotivación y desmoralización de los estudiantes (en la enseñanza secundaria la repetición es del 36,6% frente a un 17,4% en la OCDE). Hay que corregir estas deficiencias, sin que ello se traduzca en dejar pasar de curso a los alumnos para “mejorar” una estadística.</w:t>
      </w:r>
      <w:r>
        <w:t xml:space="preserve"> Al mismo tiempo, como hemos dicho, no hay suficientes estudiantes con un desempeño brillante. Nuestra propuesta de mejora en este ámbito pasa por limitar la rigidez del sistema educativo. Por ejemplo, es probable que </w:t>
      </w:r>
      <w:r w:rsidRPr="008170B3">
        <w:t>n</w:t>
      </w:r>
      <w:hyperlink r:id="rId137" w:history="1">
        <w:r w:rsidRPr="008170B3">
          <w:rPr>
            <w:rStyle w:val="Hipervnculo"/>
            <w:rFonts w:eastAsiaTheme="majorEastAsia"/>
            <w:color w:val="auto"/>
          </w:rPr>
          <w:t>o todos los niños tengan que comenzar la educación primaria a la misma edad</w:t>
        </w:r>
      </w:hyperlink>
      <w:r w:rsidRPr="008170B3">
        <w:t>, como ya hemos dicho aquí. También sería deseable que puedan avanzar a diferentes velocidades dentro de la misma aula o del mismo curso. Esto requiere mantener los refuerzos actualmente existentes para alumnos con necesidades especiales y desarrollar programas similares de refuerzo para los alumnos más brillantes. Es importante que los alumnos tengan siempre vías para permanecer escolarizados (</w:t>
      </w:r>
      <w:hyperlink r:id="rId138" w:history="1">
        <w:r w:rsidRPr="008170B3">
          <w:rPr>
            <w:rStyle w:val="Hipervnculo"/>
            <w:rFonts w:eastAsiaTheme="majorEastAsia"/>
            <w:color w:val="auto"/>
          </w:rPr>
          <w:t>los programa de Cualificación Profesional Inicial, PCPI, podrían ser una buena idea</w:t>
        </w:r>
      </w:hyperlink>
      <w:r w:rsidRPr="008170B3">
        <w:t>) y mantener pasarelas de acceso a la educación secundaria post-obligatoria.</w:t>
      </w:r>
    </w:p>
    <w:p w:rsidR="00E02187" w:rsidRDefault="00E02187" w:rsidP="00E02187">
      <w:pPr>
        <w:pStyle w:val="NormalWeb"/>
        <w:jc w:val="both"/>
      </w:pPr>
    </w:p>
    <w:p w:rsidR="00E02187" w:rsidRDefault="00E02187" w:rsidP="00E02187">
      <w:pPr>
        <w:pStyle w:val="NormalWeb"/>
        <w:jc w:val="both"/>
      </w:pPr>
    </w:p>
    <w:p w:rsidR="00E02187" w:rsidRPr="00AF4E98" w:rsidRDefault="00E02187" w:rsidP="00E02187">
      <w:pPr>
        <w:pStyle w:val="NormalWeb"/>
        <w:jc w:val="both"/>
        <w:rPr>
          <w:color w:val="FF0000"/>
        </w:rPr>
      </w:pPr>
      <w:r>
        <w:rPr>
          <w:rStyle w:val="Textoennegrita"/>
          <w:rFonts w:eastAsiaTheme="majorEastAsia"/>
        </w:rPr>
        <w:lastRenderedPageBreak/>
        <w:t xml:space="preserve">4. </w:t>
      </w:r>
      <w:r w:rsidRPr="00AF4E98">
        <w:rPr>
          <w:rStyle w:val="Textoennegrita"/>
          <w:rFonts w:eastAsiaTheme="majorEastAsia"/>
          <w:color w:val="FF0000"/>
        </w:rPr>
        <w:t>Autonomía, flexibilidad interna y rendición de cuentas</w:t>
      </w:r>
    </w:p>
    <w:p w:rsidR="00E02187" w:rsidRDefault="00E02187" w:rsidP="00E02187">
      <w:pPr>
        <w:pStyle w:val="NormalWeb"/>
        <w:jc w:val="both"/>
      </w:pPr>
      <w:r w:rsidRPr="00AF4E98">
        <w:rPr>
          <w:u w:val="single"/>
        </w:rPr>
        <w:t>La flexibilidad que pedimos en la propuesta anterior es impracticable sin más autonomía curricular y de recursos humanos en los centros</w:t>
      </w:r>
      <w:r>
        <w:t xml:space="preserve">. Alumnos diferentes requieren tratamientos diferentes, pero como verán en los siguientes gráficos, los centros no tienen posibilidad de adaptarse a nada en la actualidad. </w:t>
      </w:r>
    </w:p>
    <w:p w:rsidR="00E02187" w:rsidRDefault="00E02187" w:rsidP="00E02187">
      <w:pPr>
        <w:pStyle w:val="NormalWeb"/>
        <w:jc w:val="both"/>
      </w:pPr>
      <w:r>
        <w:rPr>
          <w:noProof/>
          <w:color w:val="0000FF"/>
        </w:rPr>
        <w:drawing>
          <wp:inline distT="0" distB="0" distL="0" distR="0" wp14:anchorId="79291DC0" wp14:editId="39673E65">
            <wp:extent cx="5588635" cy="2845435"/>
            <wp:effectExtent l="0" t="0" r="0" b="0"/>
            <wp:docPr id="33" name="Imagen 33" descr="autonomia-1">
              <a:hlinkClick xmlns:a="http://schemas.openxmlformats.org/drawingml/2006/main" r:id="rId1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utonomia-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588635" cy="2845435"/>
                    </a:xfrm>
                    <a:prstGeom prst="rect">
                      <a:avLst/>
                    </a:prstGeom>
                    <a:noFill/>
                    <a:ln>
                      <a:noFill/>
                    </a:ln>
                  </pic:spPr>
                </pic:pic>
              </a:graphicData>
            </a:graphic>
          </wp:inline>
        </w:drawing>
      </w:r>
    </w:p>
    <w:p w:rsidR="00E02187" w:rsidRPr="00AF4E98" w:rsidRDefault="00E02187" w:rsidP="00E02187">
      <w:pPr>
        <w:pStyle w:val="NormalWeb"/>
        <w:jc w:val="both"/>
        <w:rPr>
          <w:color w:val="FF0000"/>
          <w:u w:val="single"/>
        </w:rPr>
      </w:pPr>
      <w:r>
        <w:rPr>
          <w:noProof/>
          <w:color w:val="0000FF"/>
        </w:rPr>
        <w:drawing>
          <wp:inline distT="0" distB="0" distL="0" distR="0" wp14:anchorId="2684045C" wp14:editId="31A7FD56">
            <wp:extent cx="5515610" cy="3321050"/>
            <wp:effectExtent l="0" t="0" r="8890" b="0"/>
            <wp:docPr id="31" name="Imagen 31" descr="autonomia-2">
              <a:hlinkClick xmlns:a="http://schemas.openxmlformats.org/drawingml/2006/main" r:id="rId1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utonomia-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515610" cy="3321050"/>
                    </a:xfrm>
                    <a:prstGeom prst="rect">
                      <a:avLst/>
                    </a:prstGeom>
                    <a:noFill/>
                    <a:ln>
                      <a:noFill/>
                    </a:ln>
                  </pic:spPr>
                </pic:pic>
              </a:graphicData>
            </a:graphic>
          </wp:inline>
        </w:drawing>
      </w:r>
      <w:r w:rsidRPr="00AF4E98">
        <w:rPr>
          <w:color w:val="FF0000"/>
          <w:u w:val="single"/>
        </w:rPr>
        <w:t xml:space="preserve">Pero como se ve en el siguiente gráfico, el peor de los mundos es aquel en el que hay autonomía pero no hay rendición de cuentas (como pasa en la universidad, vaya). Y también se puede ver que la autonomía es magnífica si al mismo tiempo hay formas de ver si los centros dan valor añadido. </w:t>
      </w:r>
    </w:p>
    <w:p w:rsidR="00E02187" w:rsidRDefault="00E02187" w:rsidP="00E02187">
      <w:pPr>
        <w:pStyle w:val="NormalWeb"/>
        <w:jc w:val="both"/>
      </w:pPr>
      <w:r>
        <w:rPr>
          <w:noProof/>
          <w:color w:val="0000FF"/>
        </w:rPr>
        <w:lastRenderedPageBreak/>
        <w:drawing>
          <wp:inline distT="0" distB="0" distL="0" distR="0" wp14:anchorId="0ACD2950" wp14:editId="7BB6A1C0">
            <wp:extent cx="5142865" cy="3555365"/>
            <wp:effectExtent l="0" t="0" r="635" b="6985"/>
            <wp:docPr id="30" name="Imagen 30" descr="autonomia-rendicion-cuentas">
              <a:hlinkClick xmlns:a="http://schemas.openxmlformats.org/drawingml/2006/main" r:id="rId1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utonomia-rendicion-cuentas"/>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142865" cy="3555365"/>
                    </a:xfrm>
                    <a:prstGeom prst="rect">
                      <a:avLst/>
                    </a:prstGeom>
                    <a:noFill/>
                    <a:ln>
                      <a:noFill/>
                    </a:ln>
                  </pic:spPr>
                </pic:pic>
              </a:graphicData>
            </a:graphic>
          </wp:inline>
        </w:drawing>
      </w:r>
    </w:p>
    <w:p w:rsidR="00E02187" w:rsidRDefault="00E02187" w:rsidP="00E02187">
      <w:pPr>
        <w:pStyle w:val="NormalWeb"/>
        <w:jc w:val="both"/>
      </w:pPr>
      <w:r>
        <w:t>Una vez que la autonomía da resultados, veremos que los centros se diferencian entre sí (unos preferirán especializarse en unas cosas y otros en otras). Esto inevitablemente llevará a que necesitemos un sistema de emparejamiento (“matching”) menos dependiente de la proximidad geográfica que el actual. La investigación económica ha hecho muchos avances en este asunto, que deberían aprovecharse.</w:t>
      </w:r>
    </w:p>
    <w:p w:rsidR="00E02187" w:rsidRPr="00AF4E98" w:rsidRDefault="00E02187" w:rsidP="00E02187">
      <w:pPr>
        <w:pStyle w:val="NormalWeb"/>
        <w:jc w:val="both"/>
        <w:rPr>
          <w:color w:val="FF0000"/>
        </w:rPr>
      </w:pPr>
      <w:r>
        <w:rPr>
          <w:rStyle w:val="Textoennegrita"/>
          <w:rFonts w:eastAsiaTheme="majorEastAsia"/>
        </w:rPr>
        <w:t xml:space="preserve">5. </w:t>
      </w:r>
      <w:r w:rsidRPr="00AF4E98">
        <w:rPr>
          <w:rStyle w:val="Textoennegrita"/>
          <w:rFonts w:eastAsiaTheme="majorEastAsia"/>
          <w:color w:val="FF0000"/>
        </w:rPr>
        <w:t>Esfuerzo y comportamiento adecuado</w:t>
      </w:r>
    </w:p>
    <w:p w:rsidR="00E02187" w:rsidRPr="008170B3" w:rsidRDefault="00E02187" w:rsidP="00E02187">
      <w:pPr>
        <w:pStyle w:val="NormalWeb"/>
        <w:jc w:val="both"/>
        <w:rPr>
          <w:u w:val="single"/>
        </w:rPr>
      </w:pPr>
      <w:r w:rsidRPr="00AF4E98">
        <w:rPr>
          <w:u w:val="single"/>
        </w:rPr>
        <w:t>Otra de nuestras obs</w:t>
      </w:r>
      <w:r>
        <w:rPr>
          <w:u w:val="single"/>
        </w:rPr>
        <w:t xml:space="preserve">esiones </w:t>
      </w:r>
      <w:r w:rsidRPr="00AF4E98">
        <w:rPr>
          <w:u w:val="single"/>
        </w:rPr>
        <w:t xml:space="preserve">es concienciar a los alumnos y familias de que nada, absolutamente nada, va a sustituir al esfuerzo personal y al comportamiento adecuado (en el </w:t>
      </w:r>
      <w:r w:rsidRPr="008170B3">
        <w:rPr>
          <w:u w:val="single"/>
        </w:rPr>
        <w:t xml:space="preserve">que </w:t>
      </w:r>
      <w:hyperlink r:id="rId145" w:history="1">
        <w:r w:rsidRPr="008170B3">
          <w:rPr>
            <w:rStyle w:val="Hipervnculo"/>
            <w:rFonts w:eastAsiaTheme="majorEastAsia"/>
            <w:color w:val="auto"/>
          </w:rPr>
          <w:t>España deja mucho que desear</w:t>
        </w:r>
      </w:hyperlink>
      <w:r w:rsidRPr="008170B3">
        <w:rPr>
          <w:u w:val="single"/>
        </w:rPr>
        <w:t>).</w:t>
      </w:r>
      <w:r w:rsidRPr="008170B3">
        <w:t xml:space="preserve"> Muchos </w:t>
      </w:r>
      <w:r>
        <w:t xml:space="preserve">condicionantes personales y sociales son relevantes pero las posibilidades de mejora son escasas sin el esfuerzo del alumno. </w:t>
      </w:r>
      <w:r w:rsidRPr="00AF4E98">
        <w:rPr>
          <w:color w:val="FF0000"/>
          <w:u w:val="single"/>
        </w:rPr>
        <w:t>Simplemente no debe haber excusas para el fracaso.</w:t>
      </w:r>
      <w:r>
        <w:t xml:space="preserve"> </w:t>
      </w:r>
      <w:r w:rsidRPr="00AF4E98">
        <w:rPr>
          <w:u w:val="single"/>
        </w:rPr>
        <w:t>Y pensamos que para incentivar al esfuerzo, los resultados y rendimientos deben tener consecuencias. Al final de la educación primaria y secundaria deberían existir pruebas estandarizadas cuyos resultados tengan consecuencias académicas (por ejemplo, mayores posibilidades de elección de centros, acceso a programas especiales).</w:t>
      </w:r>
      <w:r>
        <w:t xml:space="preserve"> Y </w:t>
      </w:r>
      <w:r w:rsidRPr="00AF4E98">
        <w:rPr>
          <w:u w:val="single"/>
        </w:rPr>
        <w:t>debe proporcionarse a los profesores herramientas de autoridad que sean rápidas, eficaces y con escaso coste administrativo para gestionar los conflictos (por ejemplo</w:t>
      </w:r>
      <w:r w:rsidRPr="008170B3">
        <w:rPr>
          <w:u w:val="single"/>
        </w:rPr>
        <w:t xml:space="preserve">, </w:t>
      </w:r>
      <w:hyperlink r:id="rId146" w:history="1">
        <w:r w:rsidRPr="008170B3">
          <w:rPr>
            <w:rStyle w:val="Hipervnculo"/>
            <w:rFonts w:eastAsiaTheme="majorEastAsia"/>
            <w:color w:val="auto"/>
          </w:rPr>
          <w:t>labores de trabajo social para los más conflictivos</w:t>
        </w:r>
      </w:hyperlink>
      <w:r w:rsidRPr="008170B3">
        <w:rPr>
          <w:u w:val="single"/>
        </w:rPr>
        <w:t>).</w:t>
      </w:r>
    </w:p>
    <w:p w:rsidR="00E02187" w:rsidRPr="00AF4E98" w:rsidRDefault="00E02187" w:rsidP="00E02187">
      <w:pPr>
        <w:pStyle w:val="NormalWeb"/>
        <w:jc w:val="both"/>
        <w:rPr>
          <w:color w:val="FF0000"/>
        </w:rPr>
      </w:pPr>
      <w:r>
        <w:rPr>
          <w:rStyle w:val="Textoennegrita"/>
          <w:rFonts w:eastAsiaTheme="majorEastAsia"/>
        </w:rPr>
        <w:t xml:space="preserve">6. </w:t>
      </w:r>
      <w:r w:rsidRPr="00AF4E98">
        <w:rPr>
          <w:rStyle w:val="Textoennegrita"/>
          <w:rFonts w:eastAsiaTheme="majorEastAsia"/>
          <w:color w:val="FF0000"/>
        </w:rPr>
        <w:t>La formación profesional</w:t>
      </w:r>
    </w:p>
    <w:p w:rsidR="00E02187" w:rsidRPr="008170B3" w:rsidRDefault="00E02187" w:rsidP="00E02187">
      <w:pPr>
        <w:pStyle w:val="NormalWeb"/>
        <w:jc w:val="both"/>
        <w:rPr>
          <w:u w:val="single"/>
        </w:rPr>
      </w:pPr>
      <w:r w:rsidRPr="009445F9">
        <w:rPr>
          <w:u w:val="single"/>
        </w:rPr>
        <w:t xml:space="preserve">Ya saben nuestros lectores que la formación profesional nos </w:t>
      </w:r>
      <w:hyperlink r:id="rId147" w:history="1">
        <w:r w:rsidRPr="008170B3">
          <w:rPr>
            <w:rStyle w:val="Hipervnculo"/>
            <w:rFonts w:eastAsiaTheme="majorEastAsia"/>
            <w:color w:val="auto"/>
          </w:rPr>
          <w:t>parece un aspecto crucial</w:t>
        </w:r>
      </w:hyperlink>
      <w:r w:rsidRPr="008170B3">
        <w:rPr>
          <w:u w:val="single"/>
        </w:rPr>
        <w:t xml:space="preserve">, y descuidado, del sector educativo. Tenemos un porcentaje de estudiantes muy inferior al de otros países europeos. Parte del problema está, </w:t>
      </w:r>
      <w:hyperlink r:id="rId148" w:history="1">
        <w:r w:rsidRPr="008170B3">
          <w:rPr>
            <w:rStyle w:val="Hipervnculo"/>
            <w:rFonts w:eastAsiaTheme="majorEastAsia"/>
            <w:color w:val="auto"/>
          </w:rPr>
          <w:t>según hemos mostrado alguna vez</w:t>
        </w:r>
      </w:hyperlink>
      <w:r w:rsidRPr="008170B3">
        <w:rPr>
          <w:u w:val="single"/>
        </w:rPr>
        <w:t xml:space="preserve"> en que la financiación de la formación profesional es insuficiente. Pero también nos parece que es importante</w:t>
      </w:r>
      <w:hyperlink r:id="rId149" w:history="1">
        <w:r w:rsidRPr="008170B3">
          <w:rPr>
            <w:rStyle w:val="Hipervnculo"/>
            <w:rFonts w:eastAsiaTheme="majorEastAsia"/>
            <w:color w:val="auto"/>
          </w:rPr>
          <w:t xml:space="preserve"> mejorar la conexión de la formación profesional con el mundo empresarial</w:t>
        </w:r>
      </w:hyperlink>
      <w:r w:rsidRPr="008170B3">
        <w:rPr>
          <w:u w:val="single"/>
        </w:rPr>
        <w:t>.</w:t>
      </w:r>
    </w:p>
    <w:p w:rsidR="00E02187" w:rsidRDefault="00E02187" w:rsidP="00E02187">
      <w:pPr>
        <w:pStyle w:val="NormalWeb"/>
        <w:jc w:val="both"/>
      </w:pPr>
      <w:r>
        <w:rPr>
          <w:rStyle w:val="Textoennegrita"/>
          <w:rFonts w:eastAsiaTheme="majorEastAsia"/>
        </w:rPr>
        <w:lastRenderedPageBreak/>
        <w:t xml:space="preserve">7. </w:t>
      </w:r>
      <w:r w:rsidRPr="00AF4E98">
        <w:rPr>
          <w:rStyle w:val="Textoennegrita"/>
          <w:rFonts w:eastAsiaTheme="majorEastAsia"/>
          <w:color w:val="FF0000"/>
        </w:rPr>
        <w:t>Universidad: autonomía y competencia</w:t>
      </w:r>
    </w:p>
    <w:p w:rsidR="00E02187" w:rsidRPr="008170B3" w:rsidRDefault="00E02187" w:rsidP="00E02187">
      <w:pPr>
        <w:pStyle w:val="NormalWeb"/>
        <w:jc w:val="both"/>
      </w:pPr>
      <w:r w:rsidRPr="00AF4E98">
        <w:rPr>
          <w:u w:val="single"/>
        </w:rPr>
        <w:t xml:space="preserve">Para mejora de manera sustancial los resultados de las universidades es importante que sean independientes tanto en sus políticas de gestión del capital humano (no sólo en contratación, como ahora, también en condiciones laborales) como en su configuración </w:t>
      </w:r>
      <w:r w:rsidRPr="008170B3">
        <w:rPr>
          <w:u w:val="single"/>
        </w:rPr>
        <w:t xml:space="preserve">investigadora y docente. Pero como ya hemos dicho antes, esto solamente funciona con una </w:t>
      </w:r>
      <w:hyperlink r:id="rId150" w:history="1">
        <w:r w:rsidRPr="008170B3">
          <w:rPr>
            <w:rStyle w:val="Hipervnculo"/>
            <w:rFonts w:eastAsiaTheme="majorEastAsia"/>
            <w:color w:val="auto"/>
          </w:rPr>
          <w:t>financiación competitiva basada en una evaluación</w:t>
        </w:r>
      </w:hyperlink>
      <w:r w:rsidRPr="008170B3">
        <w:rPr>
          <w:u w:val="single"/>
        </w:rPr>
        <w:t xml:space="preserve"> seria y uniforme de los resultados en docencia e investigación</w:t>
      </w:r>
      <w:r w:rsidRPr="008170B3">
        <w:t xml:space="preserve">. Esto es mucho mejor que micro-gestionar infinidad de titulaciones y planes de estudio, o condiciones laborales de los profesores. Pero esta estrategia debe venir asociada a una </w:t>
      </w:r>
      <w:hyperlink r:id="rId151" w:history="1">
        <w:r w:rsidRPr="008170B3">
          <w:rPr>
            <w:rStyle w:val="Hipervnculo"/>
            <w:rFonts w:eastAsiaTheme="majorEastAsia"/>
            <w:color w:val="auto"/>
          </w:rPr>
          <w:t>reforma del gobierno de las universidades</w:t>
        </w:r>
      </w:hyperlink>
      <w:r w:rsidRPr="008170B3">
        <w:t xml:space="preserve"> para que rindan cuentas de manera más directa a la sociedad que las financia.</w:t>
      </w:r>
    </w:p>
    <w:p w:rsidR="00E02187" w:rsidRDefault="00E02187" w:rsidP="00E02187">
      <w:pPr>
        <w:pStyle w:val="NormalWeb"/>
        <w:jc w:val="both"/>
      </w:pPr>
      <w:r>
        <w:rPr>
          <w:rStyle w:val="Textoennegrita"/>
          <w:rFonts w:eastAsiaTheme="majorEastAsia"/>
        </w:rPr>
        <w:t xml:space="preserve">8. </w:t>
      </w:r>
      <w:r w:rsidRPr="00AF4E98">
        <w:rPr>
          <w:rStyle w:val="Textoennegrita"/>
          <w:rFonts w:eastAsiaTheme="majorEastAsia"/>
          <w:color w:val="FF0000"/>
        </w:rPr>
        <w:t>Evaluación rigurosa</w:t>
      </w:r>
    </w:p>
    <w:p w:rsidR="00E02187" w:rsidRPr="008170B3" w:rsidRDefault="00E02187" w:rsidP="00E02187">
      <w:pPr>
        <w:pStyle w:val="NormalWeb"/>
        <w:jc w:val="both"/>
      </w:pPr>
      <w:r>
        <w:t xml:space="preserve">En España se han introducido numerosas reformas globales del sistema educativo e innumerables programas concretos sin una evaluación rigurosa. Esta situación debe cambiar radicalmente, las reformas deben introducirse de forma que puedan ser evaluadas con rigor. Esto requiere, entre otras cosas, </w:t>
      </w:r>
      <w:hyperlink r:id="rId152" w:history="1">
        <w:r w:rsidRPr="008170B3">
          <w:rPr>
            <w:rStyle w:val="Hipervnculo"/>
            <w:rFonts w:eastAsiaTheme="majorEastAsia"/>
            <w:color w:val="auto"/>
          </w:rPr>
          <w:t>que sean evaluadas de manera independiente</w:t>
        </w:r>
      </w:hyperlink>
      <w:r w:rsidRPr="008170B3">
        <w:t xml:space="preserve"> y que los datos necesarios para la evaluación estén disponibles para la comunidad investigadora, como lo están por ejemplo los datos de la prueba de PISA y otras similares. </w:t>
      </w:r>
    </w:p>
    <w:p w:rsidR="00E02187" w:rsidRDefault="00E02187" w:rsidP="00E02187">
      <w:pPr>
        <w:pStyle w:val="NormalWeb"/>
        <w:jc w:val="both"/>
      </w:pPr>
      <w:r>
        <w:rPr>
          <w:rStyle w:val="Textoennegrita"/>
          <w:rFonts w:eastAsiaTheme="majorEastAsia"/>
        </w:rPr>
        <w:t>Conclusión</w:t>
      </w:r>
    </w:p>
    <w:p w:rsidR="00E02187" w:rsidRDefault="00E02187" w:rsidP="00E02187">
      <w:pPr>
        <w:pStyle w:val="NormalWeb"/>
        <w:jc w:val="both"/>
      </w:pPr>
      <w:r>
        <w:t>Resumiendo, España puede mejorar mucho en educación. Si lo hacemos tendremos buenos resultados a largo plazo, y a corto plazo generaremos ilusión y confianza, algo de lo que no andamos muy sobrados estos días. Y las recetas no son complicadas, ni caras en general, aunque a veces sí que hace falta gastar. Pero hay que gastar en lo que es útil y da resultados. Ahora, a trabajar.</w:t>
      </w:r>
    </w:p>
    <w:p w:rsidR="00E02187" w:rsidRPr="009445F9" w:rsidRDefault="00E02187" w:rsidP="00E02187">
      <w:pPr>
        <w:pStyle w:val="NormalWeb"/>
        <w:jc w:val="both"/>
        <w:rPr>
          <w:u w:val="single"/>
        </w:rPr>
      </w:pPr>
      <w:r>
        <w:rPr>
          <w:u w:val="single"/>
        </w:rPr>
        <w:t>EEUU: el resultado</w:t>
      </w:r>
      <w:r w:rsidRPr="009445F9">
        <w:rPr>
          <w:u w:val="single"/>
        </w:rPr>
        <w:t xml:space="preserve"> edu</w:t>
      </w:r>
      <w:r>
        <w:rPr>
          <w:u w:val="single"/>
        </w:rPr>
        <w:t xml:space="preserve">cativo </w:t>
      </w:r>
      <w:r w:rsidRPr="009445F9">
        <w:rPr>
          <w:u w:val="single"/>
        </w:rPr>
        <w:t>de los hijos de inmigrantes</w:t>
      </w:r>
      <w:r>
        <w:rPr>
          <w:u w:val="single"/>
        </w:rPr>
        <w:t xml:space="preserve"> y su futuro laboral</w:t>
      </w:r>
    </w:p>
    <w:p w:rsidR="00E02187" w:rsidRPr="009445F9" w:rsidRDefault="00E02187" w:rsidP="00E02187">
      <w:pPr>
        <w:jc w:val="both"/>
        <w:rPr>
          <w:rFonts w:ascii="Times New Roman" w:hAnsi="Times New Roman"/>
          <w:sz w:val="24"/>
          <w:szCs w:val="24"/>
        </w:rPr>
      </w:pPr>
      <w:r>
        <w:rPr>
          <w:rFonts w:ascii="Times New Roman" w:hAnsi="Times New Roman"/>
          <w:i/>
          <w:sz w:val="24"/>
          <w:szCs w:val="24"/>
        </w:rPr>
        <w:t>“</w:t>
      </w:r>
      <w:r w:rsidRPr="009445F9">
        <w:rPr>
          <w:rFonts w:ascii="Times New Roman" w:hAnsi="Times New Roman"/>
          <w:i/>
          <w:sz w:val="24"/>
          <w:szCs w:val="24"/>
        </w:rPr>
        <w:t>La educación, salud y posición socioeconómica de los hijos de inmigrantes en Estados Unidos, el grupo de mayor crecimiento en ese país, han aumentado la preocupación sobre cómo será su desempeño cuando se incorporen a la fuerza laboral</w:t>
      </w:r>
      <w:r>
        <w:rPr>
          <w:rFonts w:ascii="Times New Roman" w:hAnsi="Times New Roman"/>
          <w:i/>
          <w:sz w:val="24"/>
          <w:szCs w:val="24"/>
        </w:rPr>
        <w:t>”..</w:t>
      </w:r>
      <w:r w:rsidRPr="009445F9">
        <w:rPr>
          <w:rFonts w:ascii="Times New Roman" w:hAnsi="Times New Roman"/>
          <w:i/>
          <w:sz w:val="24"/>
          <w:szCs w:val="24"/>
        </w:rPr>
        <w:t>.</w:t>
      </w:r>
      <w:r>
        <w:rPr>
          <w:rFonts w:ascii="Times New Roman" w:hAnsi="Times New Roman"/>
          <w:i/>
          <w:sz w:val="24"/>
          <w:szCs w:val="24"/>
        </w:rPr>
        <w:t xml:space="preserve"> </w:t>
      </w:r>
      <w:r>
        <w:rPr>
          <w:rFonts w:ascii="Times New Roman" w:hAnsi="Times New Roman"/>
          <w:sz w:val="24"/>
          <w:szCs w:val="24"/>
          <w:u w:val="single"/>
        </w:rPr>
        <w:t>Los hijos de inmigrantes en EEUU</w:t>
      </w:r>
      <w:r w:rsidRPr="00044C94">
        <w:rPr>
          <w:rFonts w:ascii="Times New Roman" w:hAnsi="Times New Roman"/>
          <w:sz w:val="24"/>
          <w:szCs w:val="24"/>
          <w:u w:val="single"/>
        </w:rPr>
        <w:t xml:space="preserve"> se rezagan en educación</w:t>
      </w:r>
      <w:r>
        <w:rPr>
          <w:rFonts w:ascii="Times New Roman" w:hAnsi="Times New Roman"/>
          <w:sz w:val="24"/>
          <w:szCs w:val="24"/>
        </w:rPr>
        <w:t xml:space="preserve"> (The Wall Street Journal - </w:t>
      </w:r>
      <w:r w:rsidRPr="00044C94">
        <w:rPr>
          <w:rFonts w:ascii="Times New Roman" w:hAnsi="Times New Roman"/>
          <w:b/>
          <w:sz w:val="24"/>
          <w:szCs w:val="24"/>
        </w:rPr>
        <w:t>13/6/12</w:t>
      </w:r>
      <w:r>
        <w:rPr>
          <w:rFonts w:ascii="Times New Roman" w:hAnsi="Times New Roman"/>
          <w:sz w:val="24"/>
          <w:szCs w:val="24"/>
        </w:rPr>
        <w:t>)</w:t>
      </w:r>
    </w:p>
    <w:p w:rsidR="00E02187" w:rsidRPr="005416F3" w:rsidRDefault="00E02187" w:rsidP="00E02187">
      <w:pPr>
        <w:jc w:val="both"/>
        <w:rPr>
          <w:rFonts w:ascii="Times New Roman" w:hAnsi="Times New Roman"/>
          <w:sz w:val="24"/>
          <w:szCs w:val="24"/>
        </w:rPr>
      </w:pPr>
      <w:r w:rsidRPr="005416F3">
        <w:rPr>
          <w:rFonts w:ascii="Times New Roman" w:hAnsi="Times New Roman"/>
          <w:sz w:val="24"/>
          <w:szCs w:val="24"/>
        </w:rPr>
        <w:t>Muchos de los padres son hispanos y hablan poco o nada de inglés. Y aunque la historia de EEUU tiene muchos ejemplos de hijos de inmigrantes que han asimilado la cultura, algunos investigadores se preocupan de los prospectos de esta generación. Su desempeño, aseguran, podría socavar la economía estadounidense, afectando aspectos que van desde los servicios médicos para los ancianos hasta los precios de las casas.</w:t>
      </w:r>
    </w:p>
    <w:p w:rsidR="00E02187" w:rsidRPr="005416F3" w:rsidRDefault="00E02187" w:rsidP="00E02187">
      <w:pPr>
        <w:jc w:val="both"/>
        <w:rPr>
          <w:rFonts w:ascii="Times New Roman" w:hAnsi="Times New Roman"/>
          <w:sz w:val="24"/>
          <w:szCs w:val="24"/>
        </w:rPr>
      </w:pPr>
      <w:r w:rsidRPr="005416F3">
        <w:rPr>
          <w:rFonts w:ascii="Times New Roman" w:hAnsi="Times New Roman"/>
          <w:sz w:val="24"/>
          <w:szCs w:val="24"/>
        </w:rPr>
        <w:t>“La generación de la posguerra… dependerá cada vez más de los hijos de los inmigrantes para asegurar que la economía sea productiva”, asegura Donald Hernández, profesor de sociología de Hunter College, quien escribió un informe sobre los hijos de inmigrantes.</w:t>
      </w:r>
    </w:p>
    <w:p w:rsidR="00E02187" w:rsidRPr="005416F3" w:rsidRDefault="00E02187" w:rsidP="00E02187">
      <w:pPr>
        <w:jc w:val="both"/>
        <w:rPr>
          <w:rFonts w:ascii="Times New Roman" w:hAnsi="Times New Roman"/>
          <w:sz w:val="24"/>
          <w:szCs w:val="24"/>
        </w:rPr>
      </w:pPr>
      <w:r w:rsidRPr="005416F3">
        <w:rPr>
          <w:rFonts w:ascii="Times New Roman" w:hAnsi="Times New Roman"/>
          <w:sz w:val="24"/>
          <w:szCs w:val="24"/>
        </w:rPr>
        <w:lastRenderedPageBreak/>
        <w:t>El informe, publicado a principios de junio (2012), fue financiado por la Fundación para el Desarrollo de la Niñez, un grupo filantrópico estadounidense que patrocina investigaciones sobre el bienestar de la niñez. El estudio analizó cifras oficiales de demografía, educación y salud recolectadas entre 1994 y 2010.</w:t>
      </w:r>
    </w:p>
    <w:p w:rsidR="00E02187" w:rsidRPr="005416F3" w:rsidRDefault="00E02187" w:rsidP="00E02187">
      <w:pPr>
        <w:jc w:val="both"/>
        <w:rPr>
          <w:rFonts w:ascii="Times New Roman" w:hAnsi="Times New Roman"/>
          <w:sz w:val="24"/>
          <w:szCs w:val="24"/>
        </w:rPr>
      </w:pPr>
      <w:r w:rsidRPr="005416F3">
        <w:rPr>
          <w:rFonts w:ascii="Times New Roman" w:hAnsi="Times New Roman"/>
          <w:sz w:val="24"/>
          <w:szCs w:val="24"/>
        </w:rPr>
        <w:t>“Necesitamos trabajadores educados debido a que la economía moderna es cada vez más dependiente del conocimiento”, dijo Randy Johnson, vicepresidente de la Cámara de Comercio de EEUU. “Es claro que la gente que no termina la secundaria enfrenta grandes barreras en esta economía y eso no es bueno para el país porque ellos no tienen las habilidades para obtener empleos con buenos salarios”.</w:t>
      </w:r>
    </w:p>
    <w:p w:rsidR="00E02187" w:rsidRPr="005416F3" w:rsidRDefault="00E02187" w:rsidP="00E02187">
      <w:pPr>
        <w:jc w:val="both"/>
        <w:rPr>
          <w:rFonts w:ascii="Times New Roman" w:hAnsi="Times New Roman"/>
          <w:sz w:val="24"/>
          <w:szCs w:val="24"/>
        </w:rPr>
      </w:pPr>
      <w:r w:rsidRPr="005416F3">
        <w:rPr>
          <w:rFonts w:ascii="Times New Roman" w:hAnsi="Times New Roman"/>
          <w:sz w:val="24"/>
          <w:szCs w:val="24"/>
        </w:rPr>
        <w:t>Johnson dijo que la tasa de desempleo es sustancialmente más alta para aquellos que son menos educados, señalando que es de 13% para aquellos que no tienen un diploma de secundaria y 4% para aquellos con al menos un título universitario.</w:t>
      </w:r>
    </w:p>
    <w:p w:rsidR="00E02187" w:rsidRPr="005416F3" w:rsidRDefault="00E02187" w:rsidP="00E02187">
      <w:pPr>
        <w:jc w:val="both"/>
        <w:rPr>
          <w:rFonts w:ascii="Times New Roman" w:hAnsi="Times New Roman"/>
          <w:sz w:val="24"/>
          <w:szCs w:val="24"/>
        </w:rPr>
      </w:pPr>
      <w:r w:rsidRPr="005416F3">
        <w:rPr>
          <w:rFonts w:ascii="Times New Roman" w:hAnsi="Times New Roman"/>
          <w:sz w:val="24"/>
          <w:szCs w:val="24"/>
        </w:rPr>
        <w:t xml:space="preserve">Muchos de los inmigrantes en mayor desventaja son hispanos, según el estudio, el cual encontró que los hijos de padres asiáticos tuvieron un mejor desempeño en términos educativos. </w:t>
      </w:r>
    </w:p>
    <w:p w:rsidR="00E02187" w:rsidRPr="005416F3" w:rsidRDefault="00E02187" w:rsidP="00E02187">
      <w:pPr>
        <w:jc w:val="both"/>
        <w:rPr>
          <w:rFonts w:ascii="Times New Roman" w:hAnsi="Times New Roman"/>
          <w:sz w:val="24"/>
          <w:szCs w:val="24"/>
        </w:rPr>
      </w:pPr>
      <w:r w:rsidRPr="005416F3">
        <w:rPr>
          <w:rFonts w:ascii="Times New Roman" w:hAnsi="Times New Roman"/>
          <w:sz w:val="24"/>
          <w:szCs w:val="24"/>
        </w:rPr>
        <w:t xml:space="preserve">Marguerite Roza, profesora de la Universidad de Washington especializada en productividad educacional, asegura que mejorar los prospectos de los estudiantes latinos y otros en desventaja en momentos en que los presupuestos son limitados requiere “enfoques innovadores como el uso de tecnologías informáticas a la par con la enseñanza tradicional”. </w:t>
      </w:r>
    </w:p>
    <w:p w:rsidR="00E02187" w:rsidRPr="005416F3" w:rsidRDefault="00E02187" w:rsidP="00E02187">
      <w:pPr>
        <w:jc w:val="both"/>
        <w:rPr>
          <w:rFonts w:ascii="Times New Roman" w:hAnsi="Times New Roman"/>
          <w:sz w:val="24"/>
          <w:szCs w:val="24"/>
        </w:rPr>
      </w:pPr>
      <w:r w:rsidRPr="005416F3">
        <w:rPr>
          <w:rFonts w:ascii="Times New Roman" w:hAnsi="Times New Roman"/>
          <w:sz w:val="24"/>
          <w:szCs w:val="24"/>
        </w:rPr>
        <w:t>La inmigración proveniente de Latinoamérica y Asia se disparó en la década de los 80. Actualmente, un cuarto de todos los niños en EEUU tienen al menos un padre oriundo de otro país. 90% de esos 18 millones de niños son ciudadanos estadounidenses que comenzarán a llegar a la mayoría de edad el próximo año.</w:t>
      </w:r>
    </w:p>
    <w:p w:rsidR="00E02187" w:rsidRPr="005416F3" w:rsidRDefault="00E02187" w:rsidP="00E02187">
      <w:pPr>
        <w:jc w:val="both"/>
        <w:rPr>
          <w:rFonts w:ascii="Times New Roman" w:hAnsi="Times New Roman"/>
          <w:sz w:val="24"/>
          <w:szCs w:val="24"/>
        </w:rPr>
      </w:pPr>
      <w:r w:rsidRPr="005416F3">
        <w:rPr>
          <w:rFonts w:ascii="Times New Roman" w:hAnsi="Times New Roman"/>
          <w:sz w:val="24"/>
          <w:szCs w:val="24"/>
        </w:rPr>
        <w:t>Muchos de los hijos de inmigrantes comienzan su vida con ventajas que los hijos de los estadounidenses no tienen, según el estudio. Cerca de tres cuartos de los niños de inmigrantes vivían con ambos padres en 2010, según el estudio, frente a 70% de los niños de estadounidenses. Al menos uno de los padres tenía un empleo a tiempo completo para casi dos tercios de cada grupo. Los hijos de inmigrantes son menos propensos a tener un bajo peso al nacer y tienen tasas bajas de mortalidad infantil, una ventaja conocida como la “paradoja de los inmigrantes” debido a que va en contra de las expectativas.</w:t>
      </w:r>
    </w:p>
    <w:p w:rsidR="00E02187" w:rsidRPr="005416F3" w:rsidRDefault="00E02187" w:rsidP="00E02187">
      <w:pPr>
        <w:jc w:val="both"/>
        <w:rPr>
          <w:rFonts w:ascii="Times New Roman" w:hAnsi="Times New Roman"/>
          <w:sz w:val="24"/>
          <w:szCs w:val="24"/>
        </w:rPr>
      </w:pPr>
      <w:r w:rsidRPr="005416F3">
        <w:rPr>
          <w:rFonts w:ascii="Times New Roman" w:hAnsi="Times New Roman"/>
          <w:sz w:val="24"/>
          <w:szCs w:val="24"/>
        </w:rPr>
        <w:t xml:space="preserve">No obstante, a medida que crecen, los hijos de inmigrantes se rezagan a medida que los obstáculos causados por nacer en la pobreza se agudizan. </w:t>
      </w:r>
    </w:p>
    <w:p w:rsidR="00E02187" w:rsidRDefault="00E02187" w:rsidP="00E02187">
      <w:pPr>
        <w:jc w:val="both"/>
        <w:rPr>
          <w:rFonts w:ascii="Times New Roman" w:hAnsi="Times New Roman"/>
          <w:sz w:val="24"/>
          <w:szCs w:val="24"/>
        </w:rPr>
      </w:pPr>
      <w:r w:rsidRPr="005416F3">
        <w:rPr>
          <w:rFonts w:ascii="Times New Roman" w:hAnsi="Times New Roman"/>
          <w:sz w:val="24"/>
          <w:szCs w:val="24"/>
        </w:rPr>
        <w:t xml:space="preserve">Las generaciones anteriores de inmigrantes llegaron durante la era de manufactura cuando era posible conseguir un avance social al adquirir más habilidades en el trabajo. Ahora, en esta economía de servicios “las escaleras laborales que conectaban a los empleos de bajos salarios con los de altos salarios han desaparecido”, dijo Daniel Cornfield, profesor de sociología de la Universidad Vanderbilt, quien estudia </w:t>
      </w:r>
      <w:r w:rsidRPr="005416F3">
        <w:rPr>
          <w:rFonts w:ascii="Times New Roman" w:hAnsi="Times New Roman"/>
          <w:sz w:val="24"/>
          <w:szCs w:val="24"/>
        </w:rPr>
        <w:lastRenderedPageBreak/>
        <w:t xml:space="preserve">inmigración y tendencias laborales. “Uno tiene que acumular mucha educación antes de entrar a la fuerza laboral para avanzar”. </w:t>
      </w:r>
    </w:p>
    <w:p w:rsidR="00E02187" w:rsidRPr="005416F3" w:rsidRDefault="00E02187" w:rsidP="00E02187">
      <w:pPr>
        <w:jc w:val="both"/>
        <w:rPr>
          <w:rFonts w:ascii="Times New Roman" w:hAnsi="Times New Roman"/>
          <w:sz w:val="24"/>
          <w:szCs w:val="24"/>
          <w:u w:val="single"/>
        </w:rPr>
      </w:pPr>
      <w:r w:rsidRPr="005416F3">
        <w:rPr>
          <w:rFonts w:ascii="Times New Roman" w:hAnsi="Times New Roman"/>
          <w:sz w:val="24"/>
          <w:szCs w:val="24"/>
          <w:u w:val="single"/>
        </w:rPr>
        <w:t>El difícil futuro de los “hijos de un dios menor”: heredaran la pobreza y la ignorancia</w:t>
      </w:r>
    </w:p>
    <w:p w:rsidR="00E02187" w:rsidRDefault="00E02187" w:rsidP="00E02187">
      <w:pPr>
        <w:pStyle w:val="NormalWeb"/>
        <w:jc w:val="both"/>
      </w:pPr>
      <w:r>
        <w:t xml:space="preserve">- </w:t>
      </w:r>
      <w:r w:rsidRPr="00EB22CC">
        <w:rPr>
          <w:u w:val="single"/>
        </w:rPr>
        <w:t>La inteligencia se hereda, siempre y cuando la familia no sea pobre</w:t>
      </w:r>
      <w:r>
        <w:t xml:space="preserve"> (The Wall Street Journal - </w:t>
      </w:r>
      <w:r w:rsidRPr="00EB22CC">
        <w:rPr>
          <w:b/>
        </w:rPr>
        <w:t>1/7/12</w:t>
      </w:r>
      <w:r>
        <w:t>)</w:t>
      </w:r>
    </w:p>
    <w:p w:rsidR="00E02187" w:rsidRPr="006E46BA" w:rsidRDefault="00E02187" w:rsidP="00E02187">
      <w:pPr>
        <w:pStyle w:val="NormalWeb"/>
        <w:jc w:val="both"/>
      </w:pPr>
      <w:r w:rsidRPr="006E46BA">
        <w:t>(Por Matt Ridley)</w:t>
      </w:r>
      <w:r>
        <w:t xml:space="preserve">                                                                              Lectura recomendada</w:t>
      </w:r>
    </w:p>
    <w:p w:rsidR="00E02187" w:rsidRPr="0024293D" w:rsidRDefault="00E02187" w:rsidP="00E02187">
      <w:pPr>
        <w:pStyle w:val="NormalWeb"/>
        <w:jc w:val="both"/>
        <w:rPr>
          <w:color w:val="FF0000"/>
          <w:u w:val="single"/>
        </w:rPr>
      </w:pPr>
      <w:r w:rsidRPr="0024293D">
        <w:rPr>
          <w:color w:val="FF0000"/>
          <w:u w:val="single"/>
        </w:rPr>
        <w:t>Actualmente, no hay duda de que la inteligencia se hereda: es más probable que los adultos inteligentes tengan hijos inteligentes. Sin embargo, en los años 70, sugerir que el coeficiente intelectual (CI) podía heredarse era una herejía intelectual, que podía castigarse con el equivalente a la hoguera.</w:t>
      </w:r>
    </w:p>
    <w:p w:rsidR="00E02187" w:rsidRDefault="00E02187" w:rsidP="00E02187">
      <w:pPr>
        <w:pStyle w:val="NormalWeb"/>
        <w:jc w:val="both"/>
      </w:pPr>
      <w:r>
        <w:t>Más que cualquier otra evidencia, fue el estudio de gemelos lo que produjo el cambio. Born together-Reared Apart (algo así como Nacidos juntos, criados por separado), un nuevo libro de Nancy L. Segal sobre el Estudio Minnesota de Gemelos Criados por Separado (Mistra, por sus siglas en inglés), narra la historia del cambio. En 1979, Thomas Bouchard de la Universidad de Minnesota leyó un informe en un periódico sobre gemelos del estado de Ohio, que tras ser separados al nacer habían sido reunidos. Resultó que ambos poseían hábitos misteriosamente similares. Bouchard comenzó a reunir historias clínicas de gemelos criados por separado y a invitarlos a Minneapolis para estudiarlos.</w:t>
      </w:r>
    </w:p>
    <w:p w:rsidR="00E02187" w:rsidRDefault="00E02187" w:rsidP="00E02187">
      <w:pPr>
        <w:pStyle w:val="NormalWeb"/>
        <w:jc w:val="both"/>
      </w:pPr>
      <w:r>
        <w:t>Para 1990, Segal y otros médicos estaban listos para publicar sus resultados en la revista Science. Para entonces habían medido el CI de 48 pares de mellizos o gemelos criados por separado y 40 pares de mellizos o gemelos criados juntos. Los primeros eran 69% similares en CI, comparado con 88% en el caso de los segundos, en ambos casos una semejanza mucho mayor que para cualquier otro par de individuos, incluso hermanos. Otras variables además de la genética, como posesiones materiales en el hogar, tenían poca influencia, y tampoco importaba el grado de contacto social entre los hermanos en cada par asociado con su similitud en CI.</w:t>
      </w:r>
    </w:p>
    <w:p w:rsidR="00E02187" w:rsidRDefault="00E02187" w:rsidP="00E02187">
      <w:pPr>
        <w:pStyle w:val="NormalWeb"/>
        <w:jc w:val="both"/>
      </w:pPr>
      <w:r>
        <w:t>El ensayo atrajo abundantes críticas, y durante años hubo una silenciosa campaña para desacreditar el estudio Mistra al afirmar que se basaba en anécdotas, que subestimaba el contacto entre gemelos, que no tomaba en cuenta una tendencia que tienen los mellizos reunidos a exagerar sus similitudes o asumía muy poca semejanza entre las familias que adoptaron a los gemelos.</w:t>
      </w:r>
    </w:p>
    <w:p w:rsidR="00E02187" w:rsidRDefault="00E02187" w:rsidP="00E02187">
      <w:pPr>
        <w:pStyle w:val="NormalWeb"/>
        <w:jc w:val="both"/>
      </w:pPr>
      <w:r>
        <w:t xml:space="preserve">Sin embargo, como afirma Segal, los científicos del Mistra fueron meticulosos al abordar estos y otros puntos. </w:t>
      </w:r>
    </w:p>
    <w:p w:rsidR="00E02187" w:rsidRDefault="00E02187" w:rsidP="00E02187">
      <w:pPr>
        <w:pStyle w:val="NormalWeb"/>
        <w:jc w:val="both"/>
      </w:pPr>
      <w:r>
        <w:t xml:space="preserve">Hoy, un tercio de un siglo después de que comenzara el estudio y cuando otras investigaciones de gemelos reunidos llegaron a la misma conclusión, las cifras son sorprendentes. Los gemelos idénticos criados por separado son más similares en CI (74%) que los gemelos no idénticos criados juntos (60%) y mucho más que pares de padres e hijos (42%); medio hermanos (31%); hermanos adoptivos (29%-34%); gemelos virtuales, o niños de edad similar pero sin relación familiar que fueron criados </w:t>
      </w:r>
      <w:r>
        <w:lastRenderedPageBreak/>
        <w:t>juntos (28%); pares de padres e hijos adoptivos (19%), y primos (15%). Nada más que los genes puede explicar esta jerarquía.</w:t>
      </w:r>
    </w:p>
    <w:p w:rsidR="00E02187" w:rsidRPr="00627E17" w:rsidRDefault="00E02187" w:rsidP="00E02187">
      <w:pPr>
        <w:pStyle w:val="NormalWeb"/>
        <w:jc w:val="both"/>
      </w:pPr>
      <w:r w:rsidRPr="00627E17">
        <w:t>Pero, como aceptan tanto Bouchard y Segal, la alta incidencia en la inteligencia heredada se aplica principalmente a familias no pobres. Críe a un niño hambriento o enfermo y el ambiente sí afecta el CI.</w:t>
      </w:r>
    </w:p>
    <w:p w:rsidR="00E02187" w:rsidRDefault="00E02187" w:rsidP="00E02187">
      <w:pPr>
        <w:pStyle w:val="NormalWeb"/>
        <w:jc w:val="both"/>
        <w:rPr>
          <w:u w:val="single"/>
        </w:rPr>
      </w:pPr>
      <w:r>
        <w:rPr>
          <w:u w:val="single"/>
        </w:rPr>
        <w:t>Algunas historias de éxitos y fracasos (mirando un poco lo que ocurre fuera de Europa)</w:t>
      </w:r>
    </w:p>
    <w:p w:rsidR="00E02187" w:rsidRPr="005416F3" w:rsidRDefault="00E02187" w:rsidP="00E02187">
      <w:pPr>
        <w:pStyle w:val="NormalWeb"/>
        <w:jc w:val="both"/>
        <w:rPr>
          <w:u w:val="single"/>
        </w:rPr>
      </w:pPr>
      <w:r>
        <w:t xml:space="preserve"> -</w:t>
      </w:r>
      <w:r w:rsidRPr="00DC6902">
        <w:t xml:space="preserve"> </w:t>
      </w:r>
      <w:r w:rsidRPr="00DC6902">
        <w:rPr>
          <w:u w:val="single"/>
        </w:rPr>
        <w:t>Washington pagará a los peores para que estudien en verano</w:t>
      </w:r>
      <w:r>
        <w:t xml:space="preserve"> (Gaceta.es - </w:t>
      </w:r>
      <w:r w:rsidRPr="00DC6902">
        <w:rPr>
          <w:b/>
        </w:rPr>
        <w:t>2/8/12</w:t>
      </w:r>
      <w:r>
        <w:t>)</w:t>
      </w:r>
      <w:r w:rsidRPr="00DC6902">
        <w:t xml:space="preserve">  </w:t>
      </w:r>
    </w:p>
    <w:p w:rsidR="00E02187" w:rsidRPr="00DC6902" w:rsidRDefault="00E02187" w:rsidP="00E02187">
      <w:pPr>
        <w:jc w:val="both"/>
        <w:rPr>
          <w:rFonts w:ascii="Times New Roman" w:hAnsi="Times New Roman"/>
          <w:sz w:val="24"/>
          <w:szCs w:val="24"/>
        </w:rPr>
      </w:pPr>
      <w:r w:rsidRPr="00DC6902">
        <w:rPr>
          <w:rFonts w:ascii="Times New Roman" w:hAnsi="Times New Roman"/>
          <w:sz w:val="24"/>
          <w:szCs w:val="24"/>
        </w:rPr>
        <w:t xml:space="preserve">El programa puede ampliarse un año si los resultados son positivos. </w:t>
      </w:r>
    </w:p>
    <w:p w:rsidR="00E02187" w:rsidRPr="00FF5241" w:rsidRDefault="00E02187" w:rsidP="00E02187">
      <w:pPr>
        <w:jc w:val="both"/>
        <w:rPr>
          <w:rFonts w:ascii="Times New Roman" w:hAnsi="Times New Roman"/>
          <w:color w:val="FF0000"/>
          <w:sz w:val="24"/>
          <w:szCs w:val="24"/>
          <w:u w:val="single"/>
        </w:rPr>
      </w:pPr>
      <w:r w:rsidRPr="00FF5241">
        <w:rPr>
          <w:rFonts w:ascii="Times New Roman" w:hAnsi="Times New Roman"/>
          <w:color w:val="FF0000"/>
          <w:sz w:val="24"/>
          <w:szCs w:val="24"/>
          <w:u w:val="single"/>
        </w:rPr>
        <w:t>El Distrito de Columbia (Washington) está pagando a 305 estudiantes con rendimiento académico bajo por asistir a la escuela de ver</w:t>
      </w:r>
      <w:r>
        <w:rPr>
          <w:rFonts w:ascii="Times New Roman" w:hAnsi="Times New Roman"/>
          <w:color w:val="FF0000"/>
          <w:sz w:val="24"/>
          <w:szCs w:val="24"/>
          <w:u w:val="single"/>
        </w:rPr>
        <w:t>ano, según “The Washington Examiner”</w:t>
      </w:r>
      <w:r w:rsidRPr="00FF5241">
        <w:rPr>
          <w:rFonts w:ascii="Times New Roman" w:hAnsi="Times New Roman"/>
          <w:color w:val="FF0000"/>
          <w:sz w:val="24"/>
          <w:szCs w:val="24"/>
          <w:u w:val="single"/>
        </w:rPr>
        <w:t>.</w:t>
      </w:r>
    </w:p>
    <w:p w:rsidR="00E02187" w:rsidRPr="00DC6902" w:rsidRDefault="00E02187" w:rsidP="00E02187">
      <w:pPr>
        <w:jc w:val="both"/>
        <w:rPr>
          <w:rFonts w:ascii="Times New Roman" w:hAnsi="Times New Roman"/>
          <w:sz w:val="24"/>
          <w:szCs w:val="24"/>
        </w:rPr>
      </w:pPr>
      <w:r w:rsidRPr="00DC6902">
        <w:rPr>
          <w:rFonts w:ascii="Times New Roman" w:hAnsi="Times New Roman"/>
          <w:sz w:val="24"/>
          <w:szCs w:val="24"/>
        </w:rPr>
        <w:t>Los chicos que pasan a noveno grado están ganando 5,25 dólares la hora</w:t>
      </w:r>
      <w:r>
        <w:rPr>
          <w:rFonts w:ascii="Times New Roman" w:hAnsi="Times New Roman"/>
          <w:sz w:val="24"/>
          <w:szCs w:val="24"/>
        </w:rPr>
        <w:t xml:space="preserve"> por participar en el programa “Summer Bridge”</w:t>
      </w:r>
      <w:r w:rsidRPr="00DC6902">
        <w:rPr>
          <w:rFonts w:ascii="Times New Roman" w:hAnsi="Times New Roman"/>
          <w:sz w:val="24"/>
          <w:szCs w:val="24"/>
        </w:rPr>
        <w:t xml:space="preserve"> que va dirigido a los estudiantes menos aplicados de las Escuelas Públicas del Distrito de Columbia (EPDC). Los 95 estudiantes que se inscribieron voluntariamente en el programa recibirán la mitad de un crédito electivo. Pero para completar los 400 puestos vacantes con estudiantes en situación de riesgo académico, las EPDC se dirigieron al Departamento de Servicios de Empleo, de donde sacaron a 305 jóvenes que se habían inscrito para el Programa de Empleo de Verano.</w:t>
      </w:r>
    </w:p>
    <w:p w:rsidR="00E02187" w:rsidRPr="00DC6902" w:rsidRDefault="00E02187" w:rsidP="00E02187">
      <w:pPr>
        <w:jc w:val="both"/>
        <w:rPr>
          <w:rFonts w:ascii="Times New Roman" w:hAnsi="Times New Roman"/>
          <w:sz w:val="24"/>
          <w:szCs w:val="24"/>
        </w:rPr>
      </w:pPr>
      <w:r w:rsidRPr="00DC6902">
        <w:rPr>
          <w:rFonts w:ascii="Times New Roman" w:hAnsi="Times New Roman"/>
          <w:sz w:val="24"/>
          <w:szCs w:val="24"/>
        </w:rPr>
        <w:t>Escogieron a los chicos con bajas ca</w:t>
      </w:r>
      <w:r>
        <w:rPr>
          <w:rFonts w:ascii="Times New Roman" w:hAnsi="Times New Roman"/>
          <w:sz w:val="24"/>
          <w:szCs w:val="24"/>
        </w:rPr>
        <w:t>lificaciones y les dijeron que “estudiar sería su trabajo”</w:t>
      </w:r>
      <w:r w:rsidRPr="00DC6902">
        <w:rPr>
          <w:rFonts w:ascii="Times New Roman" w:hAnsi="Times New Roman"/>
          <w:sz w:val="24"/>
          <w:szCs w:val="24"/>
        </w:rPr>
        <w:t>. Melissa Salmanowitz, una portavoz de la canciller Kaya Henderson, dijo que los funcionarios de DCPS estudiarán los resultados de este año con la intención de ampliar el programa el próximo verano. Sal</w:t>
      </w:r>
      <w:r>
        <w:rPr>
          <w:rFonts w:ascii="Times New Roman" w:hAnsi="Times New Roman"/>
          <w:sz w:val="24"/>
          <w:szCs w:val="24"/>
        </w:rPr>
        <w:t>manowitz describió el programa “Summer Bridge” como “</w:t>
      </w:r>
      <w:r w:rsidRPr="00DC6902">
        <w:rPr>
          <w:rFonts w:ascii="Times New Roman" w:hAnsi="Times New Roman"/>
          <w:sz w:val="24"/>
          <w:szCs w:val="24"/>
        </w:rPr>
        <w:t>un m</w:t>
      </w:r>
      <w:r>
        <w:rPr>
          <w:rFonts w:ascii="Times New Roman" w:hAnsi="Times New Roman"/>
          <w:sz w:val="24"/>
          <w:szCs w:val="24"/>
        </w:rPr>
        <w:t>odelo completamente diferente”.</w:t>
      </w:r>
    </w:p>
    <w:p w:rsidR="00E02187" w:rsidRDefault="00E02187" w:rsidP="00E02187">
      <w:pPr>
        <w:jc w:val="both"/>
        <w:rPr>
          <w:rFonts w:ascii="Times New Roman" w:hAnsi="Times New Roman"/>
          <w:sz w:val="24"/>
          <w:szCs w:val="24"/>
          <w:u w:val="single"/>
        </w:rPr>
      </w:pPr>
      <w:r w:rsidRPr="00DC6902">
        <w:rPr>
          <w:rFonts w:ascii="Times New Roman" w:hAnsi="Times New Roman"/>
          <w:sz w:val="24"/>
          <w:szCs w:val="24"/>
        </w:rPr>
        <w:t xml:space="preserve">Los estudiantes no se limitan a pasar los cursos, sino que también hacen simulaciones de los lugares de trabajo. Así, en un escenario los estudiantes usan las matemáticas y las destrezas de alfabetización para resolver problemas mientras fingen ser ejecutivos de una cadena de televisión deportiva, explica Salmanowitz. Sin embargo, hay quien ya le ve el lado negativo a esta medida. </w:t>
      </w:r>
      <w:r w:rsidRPr="00FF5241">
        <w:rPr>
          <w:rFonts w:ascii="Times New Roman" w:hAnsi="Times New Roman"/>
          <w:sz w:val="24"/>
          <w:szCs w:val="24"/>
          <w:u w:val="single"/>
        </w:rPr>
        <w:t>La entrega de cheques de pago a los estudiantes para</w:t>
      </w:r>
      <w:r>
        <w:rPr>
          <w:rFonts w:ascii="Times New Roman" w:hAnsi="Times New Roman"/>
          <w:sz w:val="24"/>
          <w:szCs w:val="24"/>
          <w:u w:val="single"/>
        </w:rPr>
        <w:t xml:space="preserve"> el aprendizaje podría ser una “pendiente resbaladiza”</w:t>
      </w:r>
      <w:r w:rsidRPr="00FF5241">
        <w:rPr>
          <w:rFonts w:ascii="Times New Roman" w:hAnsi="Times New Roman"/>
          <w:sz w:val="24"/>
          <w:szCs w:val="24"/>
          <w:u w:val="single"/>
        </w:rPr>
        <w:t xml:space="preserve">, asegura Chuck Thies, un político </w:t>
      </w:r>
      <w:r>
        <w:rPr>
          <w:rFonts w:ascii="Times New Roman" w:hAnsi="Times New Roman"/>
          <w:sz w:val="24"/>
          <w:szCs w:val="24"/>
          <w:u w:val="single"/>
        </w:rPr>
        <w:t>local de consultoría. “</w:t>
      </w:r>
      <w:r w:rsidRPr="00FF5241">
        <w:rPr>
          <w:rFonts w:ascii="Times New Roman" w:hAnsi="Times New Roman"/>
          <w:sz w:val="24"/>
          <w:szCs w:val="24"/>
          <w:u w:val="single"/>
        </w:rPr>
        <w:t>Es muy importante que lleguemos a estudiantes en riesgo y de bajo rendimiento, pero no creo que incentivar con d</w:t>
      </w:r>
      <w:r>
        <w:rPr>
          <w:rFonts w:ascii="Times New Roman" w:hAnsi="Times New Roman"/>
          <w:sz w:val="24"/>
          <w:szCs w:val="24"/>
          <w:u w:val="single"/>
        </w:rPr>
        <w:t>inero envíe el mensaje correcto”</w:t>
      </w:r>
      <w:r w:rsidRPr="00FF5241">
        <w:rPr>
          <w:rFonts w:ascii="Times New Roman" w:hAnsi="Times New Roman"/>
          <w:sz w:val="24"/>
          <w:szCs w:val="24"/>
          <w:u w:val="single"/>
        </w:rPr>
        <w:t>, subraya Thies.</w:t>
      </w:r>
    </w:p>
    <w:p w:rsidR="00E02187" w:rsidRDefault="00E02187" w:rsidP="00E02187">
      <w:pPr>
        <w:pStyle w:val="NormalWeb"/>
        <w:jc w:val="both"/>
      </w:pPr>
      <w:r>
        <w:t xml:space="preserve">- </w:t>
      </w:r>
      <w:r w:rsidRPr="002A778C">
        <w:rPr>
          <w:u w:val="single"/>
        </w:rPr>
        <w:t>Así arruinaron los japoneses la educación: un modelo a olvidar</w:t>
      </w:r>
      <w:r>
        <w:t xml:space="preserve"> (El Confidencial - </w:t>
      </w:r>
      <w:r w:rsidRPr="002A778C">
        <w:rPr>
          <w:b/>
        </w:rPr>
        <w:t>1/10/12</w:t>
      </w:r>
      <w:r>
        <w:t>)</w:t>
      </w:r>
    </w:p>
    <w:p w:rsidR="00E02187" w:rsidRPr="00470501" w:rsidRDefault="00E02187" w:rsidP="00E02187">
      <w:pPr>
        <w:pStyle w:val="NormalWeb"/>
        <w:jc w:val="both"/>
        <w:rPr>
          <w:u w:val="single"/>
        </w:rPr>
      </w:pPr>
      <w:r w:rsidRPr="00470501">
        <w:rPr>
          <w:color w:val="FF0000"/>
          <w:u w:val="single"/>
        </w:rPr>
        <w:t xml:space="preserve">Hace veinte años, el sistema educativo japonés era un ejemplo para el mundo. La estrecha relación entre empresas y universidades había hecho que los estudiantes japoneses tuvieran asegurado un puesto de trabajo nada más finalizar sus estudios, e incluso antes. El país no conocía el paro, las escuelas y universidades eran muy exigentes y el fracaso escolar era prácticamente inexistente. </w:t>
      </w:r>
      <w:r w:rsidRPr="00470501">
        <w:rPr>
          <w:b/>
          <w:bCs/>
          <w:color w:val="FF0000"/>
          <w:u w:val="single"/>
        </w:rPr>
        <w:t xml:space="preserve">Hoy poco queda del </w:t>
      </w:r>
      <w:r w:rsidRPr="00470501">
        <w:rPr>
          <w:b/>
          <w:bCs/>
          <w:color w:val="FF0000"/>
          <w:u w:val="single"/>
        </w:rPr>
        <w:lastRenderedPageBreak/>
        <w:t>milagro educativo japonés.</w:t>
      </w:r>
      <w:r>
        <w:t xml:space="preserve"> </w:t>
      </w:r>
      <w:r w:rsidRPr="00470501">
        <w:rPr>
          <w:u w:val="single"/>
        </w:rPr>
        <w:t>Las aulas están vacías, debido al frenazo de la natalidad, y todos los años cierran un puñado de universidades, porque son incapaces de atraer estudiantes.</w:t>
      </w:r>
    </w:p>
    <w:p w:rsidR="00E02187" w:rsidRDefault="00E02187" w:rsidP="00E02187">
      <w:pPr>
        <w:pStyle w:val="NormalWeb"/>
        <w:jc w:val="both"/>
      </w:pPr>
      <w:r w:rsidRPr="00470501">
        <w:rPr>
          <w:u w:val="single"/>
        </w:rPr>
        <w:t xml:space="preserve">A este contexto nada halagüeño se añade un problema que, muchos consideran, es pilar en el fracaso del sistema: </w:t>
      </w:r>
      <w:r w:rsidRPr="00470501">
        <w:rPr>
          <w:b/>
          <w:bCs/>
          <w:u w:val="single"/>
        </w:rPr>
        <w:t>Japón se encuentra en la cola de la enseñanza de idiomas.</w:t>
      </w:r>
      <w:r>
        <w:rPr>
          <w:b/>
          <w:bCs/>
        </w:rPr>
        <w:t xml:space="preserve"> </w:t>
      </w:r>
      <w:r>
        <w:t xml:space="preserve">Hasta el año 2000, cuando se cambió la ley educativa, el sistema no contemplaba la enseñanza de inglés hasta la escuela secundaria, entre los 13 y los 15 años. Y ahora que se empieza a impartir desde primaria faltan profesores con un nivel adecuado. </w:t>
      </w:r>
    </w:p>
    <w:p w:rsidR="00E02187" w:rsidRDefault="00E02187" w:rsidP="00E02187">
      <w:pPr>
        <w:pStyle w:val="NormalWeb"/>
        <w:jc w:val="both"/>
      </w:pPr>
      <w:r>
        <w:rPr>
          <w:b/>
          <w:bCs/>
        </w:rPr>
        <w:t>Ante este panorama cobró gran importancia la acreditación externa de las habilidades lingüísticas</w:t>
      </w:r>
      <w:r>
        <w:t>, y particularmente la pruebas de inglés TOEIC (Test of English for International Communication) -la versión para entornos empresariales del TOEFL (Test of English as a Foreign Language) que se diseñó ex profeso pensando en el entorno japonés- que las empresas empezaron a exigir a medida que se hizo necesaria una mayor apertura hacia mercados internacionales. Ayer visitaron Madrid los más altos responsables de la organización sin ánimo de lucro que imparte estos exámenes en el país nipón, The Institute for International Business Communication (IIBC). Su cometido: explicar a los responsables de estas pruebas en España, la consultoría Capman, cómo estos test se abrieron paso tan rápidamente en Japón, y qué importancia tiene la implantación de un sistema de acreditación unificado que mida las competencias lingüísticas.</w:t>
      </w:r>
    </w:p>
    <w:p w:rsidR="00E02187" w:rsidRPr="00C23EA3" w:rsidRDefault="00E02187" w:rsidP="00E02187">
      <w:pPr>
        <w:pStyle w:val="NormalWeb"/>
        <w:jc w:val="both"/>
      </w:pPr>
      <w:r w:rsidRPr="00C23EA3">
        <w:rPr>
          <w:bCs/>
        </w:rPr>
        <w:t>La revolución de los estudiantes mediocres</w:t>
      </w:r>
    </w:p>
    <w:p w:rsidR="00E02187" w:rsidRPr="00470501" w:rsidRDefault="00E02187" w:rsidP="00E02187">
      <w:pPr>
        <w:pStyle w:val="NormalWeb"/>
        <w:jc w:val="both"/>
        <w:rPr>
          <w:u w:val="single"/>
        </w:rPr>
      </w:pPr>
      <w:r w:rsidRPr="00470501">
        <w:rPr>
          <w:u w:val="single"/>
        </w:rPr>
        <w:t xml:space="preserve">Aprovechando esta visita, </w:t>
      </w:r>
      <w:r w:rsidRPr="00470501">
        <w:rPr>
          <w:b/>
          <w:bCs/>
          <w:u w:val="single"/>
        </w:rPr>
        <w:t>Naotomi Umezawa</w:t>
      </w:r>
      <w:r w:rsidRPr="00470501">
        <w:rPr>
          <w:u w:val="single"/>
        </w:rPr>
        <w:t xml:space="preserve">, director ejecutivo del IIBC, ha explicado a </w:t>
      </w:r>
      <w:r w:rsidRPr="00470501">
        <w:rPr>
          <w:i/>
          <w:iCs/>
          <w:u w:val="single"/>
        </w:rPr>
        <w:t xml:space="preserve">El Confidencial </w:t>
      </w:r>
      <w:r w:rsidRPr="00470501">
        <w:rPr>
          <w:u w:val="single"/>
        </w:rPr>
        <w:t>las particularidades del sistema educativo japonés y por qué razón se ha quedado estancado. Basta analizar un dato para darse cuenta de que algo no funciona. El 45% de los trabajadores japoneses tiene</w:t>
      </w:r>
      <w:r>
        <w:rPr>
          <w:u w:val="single"/>
        </w:rPr>
        <w:t xml:space="preserve"> un título universitario -</w:t>
      </w:r>
      <w:r w:rsidRPr="00470501">
        <w:rPr>
          <w:u w:val="single"/>
        </w:rPr>
        <w:t xml:space="preserve">es el tercer país del mundo </w:t>
      </w:r>
      <w:r>
        <w:rPr>
          <w:u w:val="single"/>
        </w:rPr>
        <w:t>con mayor número de licenciados-</w:t>
      </w:r>
      <w:r w:rsidRPr="00470501">
        <w:rPr>
          <w:u w:val="single"/>
        </w:rPr>
        <w:t xml:space="preserve"> pero las tasas de desempleo de estos es muy alta, de un 15%. </w:t>
      </w:r>
      <w:r w:rsidRPr="00470501">
        <w:rPr>
          <w:b/>
          <w:bCs/>
          <w:u w:val="single"/>
        </w:rPr>
        <w:t xml:space="preserve">Las universidades japonesas, además, no dejan de bajar en los </w:t>
      </w:r>
      <w:r w:rsidRPr="00470501">
        <w:rPr>
          <w:b/>
          <w:bCs/>
          <w:i/>
          <w:iCs/>
          <w:u w:val="single"/>
        </w:rPr>
        <w:t>rankings</w:t>
      </w:r>
      <w:r w:rsidRPr="00470501">
        <w:rPr>
          <w:b/>
          <w:bCs/>
          <w:u w:val="single"/>
        </w:rPr>
        <w:t xml:space="preserve"> internacionales.</w:t>
      </w:r>
      <w:r w:rsidRPr="00470501">
        <w:rPr>
          <w:u w:val="single"/>
        </w:rPr>
        <w:t xml:space="preserve"> La universidad de Tokio, la más prestigiosa del país, no aparece en la mayoría de listas hasta la posición 30. </w:t>
      </w:r>
    </w:p>
    <w:p w:rsidR="00E02187" w:rsidRPr="00470501" w:rsidRDefault="00E02187" w:rsidP="00E02187">
      <w:pPr>
        <w:pStyle w:val="NormalWeb"/>
        <w:jc w:val="both"/>
        <w:rPr>
          <w:u w:val="single"/>
        </w:rPr>
      </w:pPr>
      <w:r w:rsidRPr="00470501">
        <w:rPr>
          <w:u w:val="single"/>
        </w:rPr>
        <w:t>Umezawa es claro al respecto, el nivel educativo de Japón está en franco declive: “</w:t>
      </w:r>
      <w:r w:rsidRPr="00470501">
        <w:rPr>
          <w:b/>
          <w:bCs/>
          <w:u w:val="single"/>
        </w:rPr>
        <w:t>El nivel del sistema universitario no ha dejado de bajar y bajar.</w:t>
      </w:r>
      <w:r w:rsidRPr="00470501">
        <w:rPr>
          <w:u w:val="single"/>
        </w:rPr>
        <w:t xml:space="preserve"> En el pasado era muy importante para los estudiantes entrar en las mejores universidades. Una vez que entrabas, tu futuro estaba asegurado. Si lograbas entrar no hacía falta ni siquiera estudiar mucho, sólo esperar, automáticamente tenías un trabajo”.</w:t>
      </w:r>
    </w:p>
    <w:p w:rsidR="00E02187" w:rsidRPr="00470501" w:rsidRDefault="00E02187" w:rsidP="00E02187">
      <w:pPr>
        <w:pStyle w:val="NormalWeb"/>
        <w:jc w:val="both"/>
        <w:rPr>
          <w:color w:val="FF0000"/>
          <w:u w:val="single"/>
        </w:rPr>
      </w:pPr>
      <w:r w:rsidRPr="00470501">
        <w:rPr>
          <w:b/>
          <w:bCs/>
          <w:u w:val="single"/>
        </w:rPr>
        <w:t>El sistema se centró entonces en preparar a los estudiantes para superar la selectividad</w:t>
      </w:r>
      <w:r w:rsidRPr="00470501">
        <w:rPr>
          <w:u w:val="single"/>
        </w:rPr>
        <w:t xml:space="preserve"> del país nipón, quizás el examen de acceso a la universidad más duro del mundo, al que los estudiantes dedicaban todo su esfuerzo. Una vez superado esto, todo era un camino de rosas, tal como cuenta Umezawa. Las universidades se hicieron cada vez menos exigentes: “Cuando los estudiantes llegan a la universidad están tan cansados, han estudiado tan duro, que no se esfuerzan mucho, no les quedan fuerzas”.</w:t>
      </w:r>
      <w:r>
        <w:t xml:space="preserve"> </w:t>
      </w:r>
      <w:r w:rsidRPr="00470501">
        <w:rPr>
          <w:color w:val="FF0000"/>
          <w:u w:val="single"/>
        </w:rPr>
        <w:t>El problema es que ahora, con la mediocridad campando a sus anchas, tal como cuenta el directivo japonés, ya no basta con llegar a la universidad, “una vez que llegas, aunque sea el centro más prestigioso, es muy difícil tener un trabajo asegurado. Hay que estudiar mucho”.</w:t>
      </w:r>
    </w:p>
    <w:p w:rsidR="00E02187" w:rsidRPr="00C23EA3" w:rsidRDefault="00E02187" w:rsidP="00E02187">
      <w:pPr>
        <w:pStyle w:val="NormalWeb"/>
        <w:jc w:val="both"/>
      </w:pPr>
      <w:r w:rsidRPr="00C23EA3">
        <w:rPr>
          <w:bCs/>
        </w:rPr>
        <w:lastRenderedPageBreak/>
        <w:t>“Las compañías se van a globalizar, y lo van a hacer a la fuerza”</w:t>
      </w:r>
    </w:p>
    <w:p w:rsidR="00E02187" w:rsidRDefault="00E02187" w:rsidP="00E02187">
      <w:pPr>
        <w:pStyle w:val="NormalWeb"/>
        <w:jc w:val="both"/>
      </w:pPr>
      <w:r w:rsidRPr="00470501">
        <w:rPr>
          <w:u w:val="single"/>
        </w:rPr>
        <w:t>Japón es una sociedad muy conservadora, con unos valores tradicionales muy respetados pero que, de un tiempo a esta parte, parecen estar volviéndose en contra del progreso del país. Umezawa cree que los japoneses han vivido demasiado tiempo mirándose al ombligo y ahora tienen dificultades para abrirse al mundo</w:t>
      </w:r>
      <w:r>
        <w:t xml:space="preserve">: “Muchos estudiantes dicen que no quieren ir al extranjero, no quieren estudiar fuera, quieren quedarse en Japón porque si se van fuera unos años, piensan que cuando vuelvan no van a encontrar trabajo. Esto puede ser un problema. Por ejemplo, en Corea la gente es más abierta y se preocupa por tener presencia internacional. Hay muchos coreanos  y chinos en la ONU, en posiciones muy importantes, y no hay un solo japonés. </w:t>
      </w:r>
      <w:r w:rsidRPr="00470501">
        <w:rPr>
          <w:b/>
          <w:bCs/>
          <w:u w:val="single"/>
        </w:rPr>
        <w:t>Creo que los japoneses deberían salir fuera y trabajar en empresas extranjeras. Pero no ocurre.</w:t>
      </w:r>
      <w:r>
        <w:t xml:space="preserve"> Somos muy conservadores, no queremos salir fuera y ver que hay gente mejor que nosotros. Además en Japón es más difícil emigrar, en Europa os movéis más, podéis ir a cualquier país”. </w:t>
      </w:r>
    </w:p>
    <w:p w:rsidR="00E02187" w:rsidRPr="00470501" w:rsidRDefault="00E02187" w:rsidP="00E02187">
      <w:pPr>
        <w:pStyle w:val="NormalWeb"/>
        <w:jc w:val="both"/>
        <w:rPr>
          <w:u w:val="single"/>
        </w:rPr>
      </w:pPr>
      <w:r w:rsidRPr="00470501">
        <w:rPr>
          <w:b/>
          <w:bCs/>
          <w:u w:val="single"/>
        </w:rPr>
        <w:t>Esta falta de apertura se está notando mucho en las universidades, que son incapaces de atraer a estudiantes extranjeros</w:t>
      </w:r>
      <w:r>
        <w:rPr>
          <w:b/>
          <w:bCs/>
        </w:rPr>
        <w:t>.</w:t>
      </w:r>
      <w:r>
        <w:t xml:space="preserve"> Umezawa, que vuelve a su terreno siempre que puede, cree que esto se debe a la escasa importancia que se da al inglés en el sistema: “Los profesores no saben explicar nada en inglés. Si supieran dar alguna asignatura en este idioma podríamos atraer a estudiantes internacionales. Tenemos mucho sitio en las universidades, pues a medida que disminuye el número de jóvenes hay más puestos libres, el problema es que </w:t>
      </w:r>
      <w:r w:rsidRPr="00470501">
        <w:rPr>
          <w:b/>
          <w:bCs/>
          <w:u w:val="single"/>
        </w:rPr>
        <w:t>muchos centros están en bancarrota, y han tenido que cerrar, pues no hay suficientes estudiantes para que sean rentables.</w:t>
      </w:r>
      <w:r>
        <w:t xml:space="preserve"> Los profesores y responsables de las universidades no se dan cuenta de que la solución está en conseguir que vengan a nuestras universidades estudiantes extranjeros. Estuve hablando con un profesor de la Universidad de Kyoto, una de las mejores del país. Me dijo que habían ido a ferias de educación superior de otros países para  atraer estudiantes extranjeros, pero nadie se acercaba siquiera al puesto. </w:t>
      </w:r>
      <w:r w:rsidRPr="00470501">
        <w:rPr>
          <w:u w:val="single"/>
        </w:rPr>
        <w:t>La gente, simplemente, no quiere venir. Los estudiantes extranjeros no están interesados en ir a Japón. Todos los carteles están en japonés, no los entienden, tendrían que estudiar japonés. Y es muy difícil. Año a año las universidades irán cerrando, cada vez quedarán menos”</w:t>
      </w:r>
    </w:p>
    <w:p w:rsidR="00E02187" w:rsidRDefault="00E02187" w:rsidP="00E02187">
      <w:pPr>
        <w:pStyle w:val="NormalWeb"/>
        <w:jc w:val="both"/>
      </w:pPr>
      <w:r>
        <w:t xml:space="preserve">Esta despreocupación por abrirse al mundo es primordial sin embargo en los entornos empresariales. Tal como explica Umezawa, </w:t>
      </w:r>
      <w:r>
        <w:rPr>
          <w:b/>
          <w:bCs/>
        </w:rPr>
        <w:t>las compañías niponas son cada vez son más conscientes de que vivimos en un mundo globalizado</w:t>
      </w:r>
      <w:r>
        <w:t xml:space="preserve">, y que para moverse en él es muy importante saber inglés: “Ahora puede que no necesites empleados con inglés, pero no sabes si dentro de dos años tu compañía va a ser comprada por una empresa extranjera y tu jefe va a ser americano. Por eso es importante globalizar tu empresa para afrontar dificultades futuras. Ahora en Japón nos falta gente que sepa inglés. Muchas compañías invitan a sus empleados extranjeros a estudiar japonés, pero es difícil, por eso </w:t>
      </w:r>
      <w:r>
        <w:rPr>
          <w:b/>
          <w:bCs/>
        </w:rPr>
        <w:t>otras compañías, desde hace unos dos años, decidieron hacer que el inglés fuera el idioma oficial de la empresa, también en Japón.</w:t>
      </w:r>
      <w:r>
        <w:t xml:space="preserve"> Muchos empleados tuvieron que estudiar inglés para adaptarse a la situación. En una empresa en concreto se ha pedido que los empleados tengan una puntuación de 600 en el TOEIC dentro de dos años. Quien no llegue a ese nivel será despedido. Las compañías se van a globalizar, y lo van a hacer a la fuerza”. </w:t>
      </w:r>
    </w:p>
    <w:p w:rsidR="00E02187" w:rsidRDefault="00E02187" w:rsidP="00E02187">
      <w:pPr>
        <w:pStyle w:val="NormalWeb"/>
        <w:jc w:val="both"/>
      </w:pPr>
    </w:p>
    <w:p w:rsidR="00E02187" w:rsidRPr="00C23EA3" w:rsidRDefault="00E02187" w:rsidP="00E02187">
      <w:pPr>
        <w:pStyle w:val="NormalWeb"/>
        <w:jc w:val="both"/>
      </w:pPr>
      <w:r w:rsidRPr="00C23EA3">
        <w:rPr>
          <w:bCs/>
        </w:rPr>
        <w:lastRenderedPageBreak/>
        <w:t>El declive del espíritu zen</w:t>
      </w:r>
    </w:p>
    <w:p w:rsidR="00E02187" w:rsidRPr="00470501" w:rsidRDefault="00E02187" w:rsidP="00E02187">
      <w:pPr>
        <w:pStyle w:val="NormalWeb"/>
        <w:jc w:val="both"/>
        <w:rPr>
          <w:b/>
          <w:bCs/>
          <w:u w:val="single"/>
        </w:rPr>
      </w:pPr>
      <w:r w:rsidRPr="00470501">
        <w:rPr>
          <w:color w:val="FF0000"/>
          <w:u w:val="single"/>
        </w:rPr>
        <w:t xml:space="preserve">Los japoneses tienen una imagen de gente tranquila, educada y trabajadora, algo que encaja con la mayoría de adultos, pero empieza a escasear entre los jóvenes. El país nipón no se enfrenta sólo a un problema en sus relaciones con el exterior, también entre sus propias generaciones. </w:t>
      </w:r>
      <w:r w:rsidRPr="00470501">
        <w:rPr>
          <w:b/>
          <w:bCs/>
          <w:color w:val="FF0000"/>
          <w:u w:val="single"/>
        </w:rPr>
        <w:t>Muchos jóvenes ya no están dispuestos a vivir en una sociedad tan tradicional.</w:t>
      </w:r>
      <w:r>
        <w:t xml:space="preserve"> Umezawa cree que es difícil explicar por qué los valores tradicionales japoneses están en declive, pero admite que, en definitiva, se están perdiendo las buenas costumbres: “Los valores del sistema educativo son difíciles de explicar. Tienen más que ver con el espíritu, con el zen. No es algo oficial, pero desde hace muchísimo tiempo los japoneses hemos sido criados para ser educados y respetar a otra gente. Tanto en la escuela como en la familia, en definitiva, se nos ha enseñado a comportarnos bien. Pero </w:t>
      </w:r>
      <w:r w:rsidRPr="00470501">
        <w:rPr>
          <w:u w:val="single"/>
        </w:rPr>
        <w:t>de un tiempo a esta parte estamos teniendo problemas que no conocíamos, los estudiantes se aburren e increpan a los profesores. Tenemos además un problema de violencia en el aula. Los alumnos se están volviendo muy agresivos, increpan a los profesores, no les tratan bien, y se pelean entre ellos. Es un gran problema</w:t>
      </w:r>
      <w:r w:rsidRPr="00470501">
        <w:rPr>
          <w:b/>
          <w:bCs/>
          <w:u w:val="single"/>
        </w:rPr>
        <w:t>. Los japoneses somos muy tranquilos, pensamos que los valores éticos son muy importantes, pero hay una tendencia hace unos años difícil de explicar”</w:t>
      </w:r>
    </w:p>
    <w:p w:rsidR="00E02187" w:rsidRDefault="00E02187" w:rsidP="00E02187">
      <w:pPr>
        <w:pStyle w:val="NormalWeb"/>
        <w:jc w:val="both"/>
      </w:pPr>
      <w:r>
        <w:t xml:space="preserve">Según un informe del Ministerio de Educación japonés </w:t>
      </w:r>
      <w:r>
        <w:rPr>
          <w:b/>
          <w:bCs/>
        </w:rPr>
        <w:t xml:space="preserve">sólo en 2007 hubo 52.765 casos de violencia documentados en la escuela pública. </w:t>
      </w:r>
      <w:r>
        <w:t xml:space="preserve">Una cifra que no deja de subir año tras año. En muchos de estos incidentes, además, las víctimas eran los profesores. </w:t>
      </w:r>
    </w:p>
    <w:p w:rsidR="00E02187" w:rsidRPr="00470501" w:rsidRDefault="00E02187" w:rsidP="00E02187">
      <w:pPr>
        <w:pStyle w:val="NormalWeb"/>
        <w:jc w:val="both"/>
        <w:rPr>
          <w:u w:val="single"/>
        </w:rPr>
      </w:pPr>
      <w:r w:rsidRPr="00470501">
        <w:rPr>
          <w:u w:val="single"/>
        </w:rPr>
        <w:t xml:space="preserve">El Gobierno fue sensible a esta realidad, que comenzó a hacerse evidente a partir del año 2000, e intentó modificar el sistema para que fuera más abierto, menos conservador, aún a riesgo de que el nivel educativo bajara. La realidad es que parece que no se ha logrado gran cosa, debido principalmente, tal como explica Umezawa, a la inestabilidad del sistema político: </w:t>
      </w:r>
      <w:r w:rsidRPr="00470501">
        <w:rPr>
          <w:b/>
          <w:bCs/>
          <w:u w:val="single"/>
        </w:rPr>
        <w:t>“Hasta ahora la economía japonesa era muy fuerte, y los gobiernos eran muy estables, ahora es todo inestable.</w:t>
      </w:r>
      <w:r w:rsidRPr="00470501">
        <w:rPr>
          <w:u w:val="single"/>
        </w:rPr>
        <w:t xml:space="preserve"> Si un Gobierno hace cambios en la política solo duran hasta que llega otro primer ministro”.</w:t>
      </w:r>
    </w:p>
    <w:p w:rsidR="00E02187" w:rsidRDefault="00E02187" w:rsidP="00E02187">
      <w:pPr>
        <w:pStyle w:val="NormalWeb"/>
        <w:jc w:val="both"/>
      </w:pPr>
      <w:r w:rsidRPr="00470501">
        <w:rPr>
          <w:u w:val="single"/>
        </w:rPr>
        <w:t xml:space="preserve">Todo esto viene de la mano de un problema demográfico, similar al que se plantea en España: la población japonesa está envejeciendo. </w:t>
      </w:r>
      <w:r w:rsidRPr="00470501">
        <w:rPr>
          <w:b/>
          <w:bCs/>
          <w:u w:val="single"/>
        </w:rPr>
        <w:t>“Tenemos pocos jóvenes y muchos viejos y el Gobierno tiene que asegurarse de que se paguen las pensiones”</w:t>
      </w:r>
      <w:r w:rsidRPr="00470501">
        <w:rPr>
          <w:u w:val="single"/>
        </w:rPr>
        <w:t>, explica el directivo japonés. La realidad, reconoce Umezawa, es que no se quiere invertir en educación: “Sería bueno si hubiera escuelas públicas dónde se impartieran materias en inglés, pero la educación es muy cara, y el porcentaje del presupuesto que invierte el Gobierno japonés no para de bajar.</w:t>
      </w:r>
      <w:r>
        <w:t xml:space="preserve"> El Gobierno no puede pagar la educación, son los padres los que tienen que hacerlo. Pero la economía es mala, y no pueden pagar. He trabajado muy duro para que mi hija pueda acudir a una escuela internacional, y su inglés sea mejor que el del resto, pero hay mucha gente que sólo puede llevar a sus hijos a la escuela pública”.</w:t>
      </w:r>
    </w:p>
    <w:p w:rsidR="00E02187" w:rsidRDefault="00E02187" w:rsidP="00E02187">
      <w:pPr>
        <w:pStyle w:val="NormalWeb"/>
        <w:jc w:val="both"/>
      </w:pPr>
      <w:r>
        <w:rPr>
          <w:b/>
          <w:bCs/>
        </w:rPr>
        <w:t>Dada la situación los estudiantes se ven obligados a hacer los test de inglés que acrediten unos conocimientos que no han podido obtener en la escuela.</w:t>
      </w:r>
      <w:r>
        <w:t xml:space="preserve"> No son malos tiempos para las academias de idiomas y los examinadores. La empresa de Umezawa realizó el año pasado 2,3 millones de pruebas. En 2009 hicieron tanto dinero que el Ministerio de Economía les presionó para que bajaran los precios. El directivo se queda muy sorprendido cuando le pregunto sobre el asunto, pero responde rápido y sin ambages: “Somos una organización sin ánimo de lucro, y no podemos tener beneficios, </w:t>
      </w:r>
      <w:r>
        <w:lastRenderedPageBreak/>
        <w:t>pero movemos mucho dinero y por eso el Gobierno nos pidió bajar los precios”. Su próximo objetivo es introducir los test en las escuelas, y conseguir que el TOEIC y el TOEFL se conviertan en los exámenes estandarizados que acrediten el nivel de inglés. Ahora sólo falta que las escuelas sean capaces de ofrecerlo. </w:t>
      </w:r>
    </w:p>
    <w:p w:rsidR="00E02187" w:rsidRPr="00433A92" w:rsidRDefault="00E02187" w:rsidP="00E02187">
      <w:pPr>
        <w:jc w:val="both"/>
        <w:rPr>
          <w:rFonts w:ascii="Times New Roman" w:hAnsi="Times New Roman"/>
          <w:sz w:val="24"/>
          <w:szCs w:val="24"/>
        </w:rPr>
      </w:pPr>
      <w:r>
        <w:rPr>
          <w:rFonts w:ascii="Times New Roman" w:hAnsi="Times New Roman"/>
          <w:sz w:val="24"/>
          <w:szCs w:val="24"/>
        </w:rPr>
        <w:t xml:space="preserve">- </w:t>
      </w:r>
      <w:r w:rsidRPr="00433A92">
        <w:rPr>
          <w:rFonts w:ascii="Times New Roman" w:hAnsi="Times New Roman"/>
          <w:sz w:val="24"/>
          <w:szCs w:val="24"/>
          <w:u w:val="single"/>
        </w:rPr>
        <w:t>La FP dual que Wert quiere imitar: las claves del éxito de Suiza</w:t>
      </w:r>
      <w:r>
        <w:rPr>
          <w:rFonts w:ascii="Times New Roman" w:hAnsi="Times New Roman"/>
          <w:sz w:val="24"/>
          <w:szCs w:val="24"/>
        </w:rPr>
        <w:t xml:space="preserve"> (Libertad Digital - </w:t>
      </w:r>
      <w:r w:rsidRPr="00433A92">
        <w:rPr>
          <w:rFonts w:ascii="Times New Roman" w:hAnsi="Times New Roman"/>
          <w:b/>
          <w:sz w:val="24"/>
          <w:szCs w:val="24"/>
        </w:rPr>
        <w:t>18/11/12</w:t>
      </w:r>
      <w:r>
        <w:rPr>
          <w:rFonts w:ascii="Times New Roman" w:hAnsi="Times New Roman"/>
          <w:sz w:val="24"/>
          <w:szCs w:val="24"/>
        </w:rPr>
        <w:t>)</w:t>
      </w:r>
    </w:p>
    <w:p w:rsidR="00E02187" w:rsidRDefault="00E02187" w:rsidP="00E02187">
      <w:pPr>
        <w:jc w:val="both"/>
        <w:rPr>
          <w:rFonts w:ascii="Times New Roman" w:hAnsi="Times New Roman"/>
          <w:sz w:val="24"/>
          <w:szCs w:val="24"/>
        </w:rPr>
      </w:pPr>
      <w:r w:rsidRPr="00433A92">
        <w:rPr>
          <w:rFonts w:ascii="Times New Roman" w:hAnsi="Times New Roman"/>
          <w:sz w:val="24"/>
          <w:szCs w:val="24"/>
        </w:rPr>
        <w:t>El país helvético mantiene unas bajísimas tasas de abandono escolar y paro juvenil gracias en buena parte a su modelo educativo.</w:t>
      </w:r>
    </w:p>
    <w:p w:rsidR="00E02187" w:rsidRDefault="00E02187" w:rsidP="00E02187">
      <w:pPr>
        <w:spacing w:after="0" w:line="240" w:lineRule="auto"/>
        <w:rPr>
          <w:rFonts w:ascii="Times New Roman" w:eastAsia="Times New Roman" w:hAnsi="Times New Roman"/>
          <w:sz w:val="24"/>
          <w:szCs w:val="24"/>
          <w:lang w:eastAsia="es-ES"/>
        </w:rPr>
      </w:pPr>
      <w:r>
        <w:rPr>
          <w:rFonts w:ascii="Times New Roman" w:eastAsia="Times New Roman" w:hAnsi="Times New Roman"/>
          <w:sz w:val="24"/>
          <w:szCs w:val="24"/>
          <w:lang w:eastAsia="es-ES"/>
        </w:rPr>
        <w:t>(Por D</w:t>
      </w:r>
      <w:r w:rsidRPr="00433A92">
        <w:rPr>
          <w:rFonts w:ascii="Times New Roman" w:eastAsia="Times New Roman" w:hAnsi="Times New Roman"/>
          <w:sz w:val="24"/>
          <w:szCs w:val="24"/>
          <w:lang w:eastAsia="es-ES"/>
        </w:rPr>
        <w:t>. S</w:t>
      </w:r>
      <w:r>
        <w:rPr>
          <w:rFonts w:ascii="Times New Roman" w:eastAsia="Times New Roman" w:hAnsi="Times New Roman"/>
          <w:sz w:val="24"/>
          <w:szCs w:val="24"/>
          <w:lang w:eastAsia="es-ES"/>
        </w:rPr>
        <w:t>oriano)</w:t>
      </w:r>
    </w:p>
    <w:p w:rsidR="00E02187" w:rsidRDefault="00E02187" w:rsidP="00E02187">
      <w:pPr>
        <w:spacing w:after="0" w:line="240" w:lineRule="auto"/>
        <w:rPr>
          <w:rFonts w:ascii="Times New Roman" w:eastAsia="Times New Roman" w:hAnsi="Times New Roman"/>
          <w:sz w:val="24"/>
          <w:szCs w:val="24"/>
          <w:lang w:eastAsia="es-ES"/>
        </w:rPr>
      </w:pPr>
    </w:p>
    <w:p w:rsidR="00E02187" w:rsidRPr="003B70F5" w:rsidRDefault="00E02187" w:rsidP="00E02187">
      <w:pPr>
        <w:spacing w:after="0"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w:t>
      </w:r>
      <w:r w:rsidRPr="003B70F5">
        <w:rPr>
          <w:rFonts w:ascii="Times New Roman" w:eastAsia="Times New Roman" w:hAnsi="Times New Roman"/>
          <w:sz w:val="24"/>
          <w:szCs w:val="24"/>
          <w:u w:val="single"/>
          <w:lang w:eastAsia="es-ES"/>
        </w:rPr>
        <w:t>Si no quieres estudiar, t</w:t>
      </w:r>
      <w:r>
        <w:rPr>
          <w:rFonts w:ascii="Times New Roman" w:eastAsia="Times New Roman" w:hAnsi="Times New Roman"/>
          <w:sz w:val="24"/>
          <w:szCs w:val="24"/>
          <w:u w:val="single"/>
          <w:lang w:eastAsia="es-ES"/>
        </w:rPr>
        <w:t>e pones a trabajar mañana mismo”</w:t>
      </w:r>
      <w:r w:rsidRPr="003B70F5">
        <w:rPr>
          <w:rFonts w:ascii="Times New Roman" w:eastAsia="Times New Roman" w:hAnsi="Times New Roman"/>
          <w:sz w:val="24"/>
          <w:szCs w:val="24"/>
          <w:u w:val="single"/>
          <w:lang w:eastAsia="es-ES"/>
        </w:rPr>
        <w:t>. ¿Qué padre no ha</w:t>
      </w:r>
      <w:r w:rsidRPr="003B70F5">
        <w:rPr>
          <w:rFonts w:ascii="Times New Roman" w:eastAsia="Times New Roman" w:hAnsi="Times New Roman"/>
          <w:i/>
          <w:iCs/>
          <w:sz w:val="24"/>
          <w:szCs w:val="24"/>
          <w:u w:val="single"/>
          <w:lang w:eastAsia="es-ES"/>
        </w:rPr>
        <w:t xml:space="preserve"> amenazado</w:t>
      </w:r>
      <w:r w:rsidRPr="003B70F5">
        <w:rPr>
          <w:rFonts w:ascii="Times New Roman" w:eastAsia="Times New Roman" w:hAnsi="Times New Roman"/>
          <w:sz w:val="24"/>
          <w:szCs w:val="24"/>
          <w:u w:val="single"/>
          <w:lang w:eastAsia="es-ES"/>
        </w:rPr>
        <w:t xml:space="preserve"> alguna vez de esta manera a ese hijo que le traía malas notas? Sin embargo, puede lo que en España es una advertencia para los malos alumnos, en realidad sea la clave del éxito de una de las sociedades más avanzadas, ricas y prósperas del mundo.</w:t>
      </w:r>
    </w:p>
    <w:p w:rsidR="00E02187" w:rsidRPr="00433A92"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3B70F5">
        <w:rPr>
          <w:rFonts w:ascii="Times New Roman" w:eastAsia="Times New Roman" w:hAnsi="Times New Roman"/>
          <w:sz w:val="24"/>
          <w:szCs w:val="24"/>
          <w:u w:val="single"/>
          <w:lang w:eastAsia="es-ES"/>
        </w:rPr>
        <w:t xml:space="preserve">En </w:t>
      </w:r>
      <w:r w:rsidRPr="003B70F5">
        <w:rPr>
          <w:rFonts w:ascii="Times New Roman" w:eastAsia="Times New Roman" w:hAnsi="Times New Roman"/>
          <w:b/>
          <w:bCs/>
          <w:sz w:val="24"/>
          <w:szCs w:val="24"/>
          <w:u w:val="single"/>
          <w:lang w:eastAsia="es-ES"/>
        </w:rPr>
        <w:t>Suiza</w:t>
      </w:r>
      <w:r w:rsidRPr="003B70F5">
        <w:rPr>
          <w:rFonts w:ascii="Times New Roman" w:eastAsia="Times New Roman" w:hAnsi="Times New Roman"/>
          <w:sz w:val="24"/>
          <w:szCs w:val="24"/>
          <w:u w:val="single"/>
          <w:lang w:eastAsia="es-ES"/>
        </w:rPr>
        <w:t xml:space="preserve">, la disyuntiva no es tal. Para la gran mayoría de sus jóvenes, estudiar y trabajar el mismo tiempo es lo habitual. Muchos adolescentes helvéticos se sacan un título al mismo tiempo que aprenden un oficio, sin que vean en ello ninguna incompatibilidad. ¿El resultado?: una </w:t>
      </w:r>
      <w:r w:rsidRPr="003B70F5">
        <w:rPr>
          <w:rFonts w:ascii="Times New Roman" w:eastAsia="Times New Roman" w:hAnsi="Times New Roman"/>
          <w:b/>
          <w:bCs/>
          <w:sz w:val="24"/>
          <w:szCs w:val="24"/>
          <w:u w:val="single"/>
          <w:lang w:eastAsia="es-ES"/>
        </w:rPr>
        <w:t>tasa de paro juvenil</w:t>
      </w:r>
      <w:r w:rsidRPr="003B70F5">
        <w:rPr>
          <w:rFonts w:ascii="Times New Roman" w:eastAsia="Times New Roman" w:hAnsi="Times New Roman"/>
          <w:sz w:val="24"/>
          <w:szCs w:val="24"/>
          <w:u w:val="single"/>
          <w:lang w:eastAsia="es-ES"/>
        </w:rPr>
        <w:t xml:space="preserve"> ínfima, un abandono escolar entre los más bajos de Europa y un porcentaje de ni-nis mínimo</w:t>
      </w:r>
      <w:r w:rsidRPr="00433A92">
        <w:rPr>
          <w:rFonts w:ascii="Times New Roman" w:eastAsia="Times New Roman" w:hAnsi="Times New Roman"/>
          <w:sz w:val="24"/>
          <w:szCs w:val="24"/>
          <w:lang w:eastAsia="es-ES"/>
        </w:rPr>
        <w:t>. No sólo eso, a pesar de su fama como refugio fiscal y paraíso bancario para los multimillonarios, Suiza es uno de los países del mundo con una industria más pujante, un tejido empresarial más diversificado y una clase media más próspera.</w:t>
      </w:r>
    </w:p>
    <w:p w:rsidR="00E02187" w:rsidRPr="00C23EA3"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23EA3">
        <w:rPr>
          <w:rFonts w:ascii="Times New Roman" w:eastAsia="Times New Roman" w:hAnsi="Times New Roman"/>
          <w:bCs/>
          <w:sz w:val="24"/>
          <w:szCs w:val="24"/>
          <w:lang w:eastAsia="es-ES"/>
        </w:rPr>
        <w:t>La FP Dual</w:t>
      </w:r>
    </w:p>
    <w:p w:rsidR="00E02187" w:rsidRPr="00433A92"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433A92">
        <w:rPr>
          <w:rFonts w:ascii="Times New Roman" w:eastAsia="Times New Roman" w:hAnsi="Times New Roman"/>
          <w:sz w:val="24"/>
          <w:szCs w:val="24"/>
          <w:lang w:eastAsia="es-ES"/>
        </w:rPr>
        <w:t xml:space="preserve">Hace unos días, </w:t>
      </w:r>
      <w:hyperlink r:id="rId153" w:history="1">
        <w:r w:rsidRPr="00C23EA3">
          <w:rPr>
            <w:rFonts w:ascii="Times New Roman" w:eastAsia="Times New Roman" w:hAnsi="Times New Roman"/>
            <w:sz w:val="24"/>
            <w:szCs w:val="24"/>
            <w:u w:val="single"/>
            <w:lang w:eastAsia="es-ES"/>
          </w:rPr>
          <w:t>José Ignacio Wert</w:t>
        </w:r>
      </w:hyperlink>
      <w:r w:rsidRPr="00C23EA3">
        <w:rPr>
          <w:rFonts w:ascii="Times New Roman" w:eastAsia="Times New Roman" w:hAnsi="Times New Roman"/>
          <w:sz w:val="24"/>
          <w:szCs w:val="24"/>
          <w:lang w:eastAsia="es-ES"/>
        </w:rPr>
        <w:t xml:space="preserve"> presentó el </w:t>
      </w:r>
      <w:hyperlink r:id="rId154" w:history="1">
        <w:r w:rsidRPr="00C23EA3">
          <w:rPr>
            <w:rFonts w:ascii="Times New Roman" w:eastAsia="Times New Roman" w:hAnsi="Times New Roman"/>
            <w:sz w:val="24"/>
            <w:szCs w:val="24"/>
            <w:u w:val="single"/>
            <w:lang w:eastAsia="es-ES"/>
          </w:rPr>
          <w:t>proyecto de FP Dual</w:t>
        </w:r>
      </w:hyperlink>
      <w:r w:rsidRPr="00433A92">
        <w:rPr>
          <w:rFonts w:ascii="Times New Roman" w:eastAsia="Times New Roman" w:hAnsi="Times New Roman"/>
          <w:sz w:val="24"/>
          <w:szCs w:val="24"/>
          <w:lang w:eastAsia="es-ES"/>
        </w:rPr>
        <w:t xml:space="preserve"> que el Gobierno quiere impulsar. La idea es que los jóvenes españoles entre 16 y 25 años (hasta 30 mientras dure la crisis) compaginen sus estudios de FP con el trabajo en una empresa, que podría </w:t>
      </w:r>
      <w:r w:rsidRPr="00433A92">
        <w:rPr>
          <w:rFonts w:ascii="Times New Roman" w:eastAsia="Times New Roman" w:hAnsi="Times New Roman"/>
          <w:i/>
          <w:iCs/>
          <w:sz w:val="24"/>
          <w:szCs w:val="24"/>
          <w:lang w:eastAsia="es-ES"/>
        </w:rPr>
        <w:t>becarles</w:t>
      </w:r>
      <w:r w:rsidRPr="00433A92">
        <w:rPr>
          <w:rFonts w:ascii="Times New Roman" w:eastAsia="Times New Roman" w:hAnsi="Times New Roman"/>
          <w:sz w:val="24"/>
          <w:szCs w:val="24"/>
          <w:lang w:eastAsia="es-ES"/>
        </w:rPr>
        <w:t xml:space="preserve"> con unos bajos sueldos, que en principio estarán entre 250-500 euros. El objetivo es que aquellos estudiantes que no quieren cursar el bachillerato consigan experiencia laboral y al mismo tiempo se saquen un título oficial.</w:t>
      </w:r>
    </w:p>
    <w:p w:rsidR="00E02187" w:rsidRPr="003B70F5" w:rsidRDefault="00E02187" w:rsidP="00E02187">
      <w:pPr>
        <w:spacing w:before="100" w:beforeAutospacing="1" w:after="100" w:afterAutospacing="1" w:line="240" w:lineRule="auto"/>
        <w:jc w:val="both"/>
        <w:rPr>
          <w:rFonts w:ascii="Times New Roman" w:eastAsia="Times New Roman" w:hAnsi="Times New Roman"/>
          <w:sz w:val="24"/>
          <w:szCs w:val="24"/>
          <w:u w:val="single"/>
          <w:lang w:eastAsia="es-ES"/>
        </w:rPr>
      </w:pPr>
      <w:r w:rsidRPr="003B70F5">
        <w:rPr>
          <w:rFonts w:ascii="Times New Roman" w:eastAsia="Times New Roman" w:hAnsi="Times New Roman"/>
          <w:sz w:val="24"/>
          <w:szCs w:val="24"/>
          <w:u w:val="single"/>
          <w:lang w:eastAsia="es-ES"/>
        </w:rPr>
        <w:t xml:space="preserve">Los modelos que el ministro de Educación tiene en la cabeza son los de los países centroeuropeos más avanzados: </w:t>
      </w:r>
      <w:r w:rsidRPr="003B70F5">
        <w:rPr>
          <w:rFonts w:ascii="Times New Roman" w:eastAsia="Times New Roman" w:hAnsi="Times New Roman"/>
          <w:b/>
          <w:bCs/>
          <w:sz w:val="24"/>
          <w:szCs w:val="24"/>
          <w:u w:val="single"/>
          <w:lang w:eastAsia="es-ES"/>
        </w:rPr>
        <w:t>Austria, Alemania y Suiza</w:t>
      </w:r>
      <w:r w:rsidRPr="003B70F5">
        <w:rPr>
          <w:rFonts w:ascii="Times New Roman" w:eastAsia="Times New Roman" w:hAnsi="Times New Roman"/>
          <w:sz w:val="24"/>
          <w:szCs w:val="24"/>
          <w:u w:val="single"/>
          <w:lang w:eastAsia="es-ES"/>
        </w:rPr>
        <w:t xml:space="preserve">. Los tres han conseguido lo que parece la cuadratura del círculo. Tienen un abandono escolar bastante bajo, un paro juvenil reducido, un alto porcentaje de titulados medios, un gran tejido industrial, una gran capacidad exportadora y unos altos niveles de vida. Evidentemente, no todo se debe a su modelo de </w:t>
      </w:r>
      <w:hyperlink r:id="rId155" w:history="1">
        <w:r w:rsidRPr="00C23EA3">
          <w:rPr>
            <w:rFonts w:ascii="Times New Roman" w:eastAsia="Times New Roman" w:hAnsi="Times New Roman"/>
            <w:sz w:val="24"/>
            <w:szCs w:val="24"/>
            <w:u w:val="single"/>
            <w:lang w:eastAsia="es-ES"/>
          </w:rPr>
          <w:t>FP Dual</w:t>
        </w:r>
      </w:hyperlink>
      <w:r w:rsidRPr="003B70F5">
        <w:rPr>
          <w:rFonts w:ascii="Times New Roman" w:eastAsia="Times New Roman" w:hAnsi="Times New Roman"/>
          <w:sz w:val="24"/>
          <w:szCs w:val="24"/>
          <w:u w:val="single"/>
          <w:lang w:eastAsia="es-ES"/>
        </w:rPr>
        <w:t>, pero está claro que es una parte importante de un sistema que funciona. Mientras, en España, en las manifestaciones de los últimos meses sobre la reforma educativa, es habitual escuchar c</w:t>
      </w:r>
      <w:r>
        <w:rPr>
          <w:rFonts w:ascii="Times New Roman" w:eastAsia="Times New Roman" w:hAnsi="Times New Roman"/>
          <w:sz w:val="24"/>
          <w:szCs w:val="24"/>
          <w:u w:val="single"/>
          <w:lang w:eastAsia="es-ES"/>
        </w:rPr>
        <w:t>onsignas sobre la necesidad de “sacar a la empresa de las aulas”</w:t>
      </w:r>
      <w:r w:rsidRPr="003B70F5">
        <w:rPr>
          <w:rFonts w:ascii="Times New Roman" w:eastAsia="Times New Roman" w:hAnsi="Times New Roman"/>
          <w:sz w:val="24"/>
          <w:szCs w:val="24"/>
          <w:u w:val="single"/>
          <w:lang w:eastAsia="es-ES"/>
        </w:rPr>
        <w:t>.</w:t>
      </w:r>
    </w:p>
    <w:p w:rsidR="00E02187" w:rsidRPr="00C23EA3"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23EA3">
        <w:rPr>
          <w:rFonts w:ascii="Times New Roman" w:eastAsia="Times New Roman" w:hAnsi="Times New Roman"/>
          <w:bCs/>
          <w:sz w:val="24"/>
          <w:szCs w:val="24"/>
          <w:lang w:eastAsia="es-ES"/>
        </w:rPr>
        <w:t>El modelo suizo</w:t>
      </w:r>
    </w:p>
    <w:p w:rsidR="00E02187" w:rsidRPr="003B70F5" w:rsidRDefault="00E02187" w:rsidP="00E02187">
      <w:pPr>
        <w:spacing w:before="100" w:beforeAutospacing="1" w:after="100" w:afterAutospacing="1" w:line="240" w:lineRule="auto"/>
        <w:jc w:val="both"/>
        <w:rPr>
          <w:rFonts w:ascii="Times New Roman" w:eastAsia="Times New Roman" w:hAnsi="Times New Roman"/>
          <w:sz w:val="24"/>
          <w:szCs w:val="24"/>
          <w:u w:val="single"/>
          <w:lang w:eastAsia="es-ES"/>
        </w:rPr>
      </w:pPr>
      <w:r w:rsidRPr="003B70F5">
        <w:rPr>
          <w:rFonts w:ascii="Times New Roman" w:eastAsia="Times New Roman" w:hAnsi="Times New Roman"/>
          <w:sz w:val="24"/>
          <w:szCs w:val="24"/>
          <w:u w:val="single"/>
          <w:lang w:eastAsia="es-ES"/>
        </w:rPr>
        <w:t xml:space="preserve">Quizás sea el país helvético el que mejor ha desarrollado el modelo. En Suiza, los chavales con 14 y 15 años deben decidir cuál va a ser su trayectoria profesional. Tienen </w:t>
      </w:r>
      <w:r w:rsidRPr="003B70F5">
        <w:rPr>
          <w:rFonts w:ascii="Times New Roman" w:eastAsia="Times New Roman" w:hAnsi="Times New Roman"/>
          <w:sz w:val="24"/>
          <w:szCs w:val="24"/>
          <w:u w:val="single"/>
          <w:lang w:eastAsia="es-ES"/>
        </w:rPr>
        <w:lastRenderedPageBreak/>
        <w:t>tres alternativas: FP, bachillerato académico (el modelo más clásico) o bachillerato especializado (dirigido a estudiantes que se quieren dedicar a áreas muy concretas, como medicina o pedagogía).</w:t>
      </w:r>
    </w:p>
    <w:p w:rsidR="00E02187" w:rsidRPr="00C23EA3" w:rsidRDefault="00E02187" w:rsidP="00E02187">
      <w:pPr>
        <w:spacing w:before="100" w:beforeAutospacing="1" w:after="100" w:afterAutospacing="1" w:line="240" w:lineRule="auto"/>
        <w:jc w:val="both"/>
        <w:rPr>
          <w:rFonts w:ascii="Times New Roman" w:eastAsia="Times New Roman" w:hAnsi="Times New Roman"/>
          <w:sz w:val="24"/>
          <w:szCs w:val="24"/>
          <w:u w:val="single"/>
          <w:lang w:eastAsia="es-ES"/>
        </w:rPr>
      </w:pPr>
      <w:r w:rsidRPr="003B70F5">
        <w:rPr>
          <w:rFonts w:ascii="Times New Roman" w:eastAsia="Times New Roman" w:hAnsi="Times New Roman"/>
          <w:sz w:val="24"/>
          <w:szCs w:val="24"/>
          <w:u w:val="single"/>
          <w:lang w:eastAsia="es-ES"/>
        </w:rPr>
        <w:t xml:space="preserve">En 2011, 81.200 suizos comenzaron una </w:t>
      </w:r>
      <w:r w:rsidRPr="003B70F5">
        <w:rPr>
          <w:rFonts w:ascii="Times New Roman" w:eastAsia="Times New Roman" w:hAnsi="Times New Roman"/>
          <w:b/>
          <w:bCs/>
          <w:sz w:val="24"/>
          <w:szCs w:val="24"/>
          <w:u w:val="single"/>
          <w:lang w:eastAsia="es-ES"/>
        </w:rPr>
        <w:t>formación profesional básica</w:t>
      </w:r>
      <w:r w:rsidRPr="003B70F5">
        <w:rPr>
          <w:rFonts w:ascii="Times New Roman" w:eastAsia="Times New Roman" w:hAnsi="Times New Roman"/>
          <w:sz w:val="24"/>
          <w:szCs w:val="24"/>
          <w:u w:val="single"/>
          <w:lang w:eastAsia="es-ES"/>
        </w:rPr>
        <w:t>, en alguna de las 230 especialidades que se ofertan (las más demandadas son las centradas en el sector del comercio). A cambio, sólo 27.900 siguieron el camino que en España se consideraría como convencional, el del bachillerato académico o especializado. Evidentemente, los jóvenes helvéticos no creen que seguir una rama técnica vaya a suponer un problema en su futuro laboral o unos ingresos reducidos</w:t>
      </w:r>
      <w:r w:rsidRPr="00433A92">
        <w:rPr>
          <w:rFonts w:ascii="Times New Roman" w:eastAsia="Times New Roman" w:hAnsi="Times New Roman"/>
          <w:sz w:val="24"/>
          <w:szCs w:val="24"/>
          <w:lang w:eastAsia="es-ES"/>
        </w:rPr>
        <w:t xml:space="preserve">. </w:t>
      </w:r>
      <w:r w:rsidRPr="003B70F5">
        <w:rPr>
          <w:rFonts w:ascii="Times New Roman" w:eastAsia="Times New Roman" w:hAnsi="Times New Roman"/>
          <w:sz w:val="24"/>
          <w:szCs w:val="24"/>
          <w:u w:val="single"/>
          <w:lang w:eastAsia="es-ES"/>
        </w:rPr>
        <w:t xml:space="preserve">Mientras, nuestro país tiene una de las tasas más bajas de titulados de carácter medio y a cambio tiene uno de los porcentajes más altos de </w:t>
      </w:r>
      <w:hyperlink r:id="rId156" w:history="1">
        <w:r w:rsidRPr="00C23EA3">
          <w:rPr>
            <w:rFonts w:ascii="Times New Roman" w:eastAsia="Times New Roman" w:hAnsi="Times New Roman"/>
            <w:sz w:val="24"/>
            <w:szCs w:val="24"/>
            <w:u w:val="single"/>
            <w:lang w:eastAsia="es-ES"/>
          </w:rPr>
          <w:t>titulados universitarios</w:t>
        </w:r>
      </w:hyperlink>
      <w:r w:rsidRPr="00C23EA3">
        <w:rPr>
          <w:rFonts w:ascii="Times New Roman" w:eastAsia="Times New Roman" w:hAnsi="Times New Roman"/>
          <w:sz w:val="24"/>
          <w:szCs w:val="24"/>
          <w:u w:val="single"/>
          <w:lang w:eastAsia="es-ES"/>
        </w:rPr>
        <w:t xml:space="preserve"> (que muchas veces acaban en empleos para los que están sobrecualificados).</w:t>
      </w:r>
    </w:p>
    <w:p w:rsidR="00E02187" w:rsidRPr="00C23EA3" w:rsidRDefault="00E02187" w:rsidP="00E02187">
      <w:pPr>
        <w:spacing w:before="100" w:beforeAutospacing="1" w:after="100" w:afterAutospacing="1" w:line="240" w:lineRule="auto"/>
        <w:jc w:val="both"/>
        <w:rPr>
          <w:rFonts w:ascii="Times New Roman" w:eastAsia="Times New Roman" w:hAnsi="Times New Roman"/>
          <w:sz w:val="24"/>
          <w:szCs w:val="24"/>
          <w:u w:val="single"/>
          <w:lang w:eastAsia="es-ES"/>
        </w:rPr>
      </w:pPr>
      <w:r w:rsidRPr="00C23EA3">
        <w:rPr>
          <w:rFonts w:ascii="Times New Roman" w:eastAsia="Times New Roman" w:hAnsi="Times New Roman"/>
          <w:sz w:val="24"/>
          <w:szCs w:val="24"/>
          <w:u w:val="single"/>
          <w:lang w:eastAsia="es-ES"/>
        </w:rPr>
        <w:t xml:space="preserve">Ofrecer a los alumnos alternativas que se ajusten a sus gustos tiene consecuencias muy positivas en todos los ámbitos. Por ejemplo, el </w:t>
      </w:r>
      <w:r w:rsidRPr="00C23EA3">
        <w:rPr>
          <w:rFonts w:ascii="Times New Roman" w:eastAsia="Times New Roman" w:hAnsi="Times New Roman"/>
          <w:b/>
          <w:bCs/>
          <w:sz w:val="24"/>
          <w:szCs w:val="24"/>
          <w:u w:val="single"/>
          <w:lang w:eastAsia="es-ES"/>
        </w:rPr>
        <w:t xml:space="preserve">porcentaje de </w:t>
      </w:r>
      <w:r w:rsidRPr="00C23EA3">
        <w:rPr>
          <w:rFonts w:ascii="Times New Roman" w:eastAsia="Times New Roman" w:hAnsi="Times New Roman"/>
          <w:b/>
          <w:bCs/>
          <w:i/>
          <w:iCs/>
          <w:sz w:val="24"/>
          <w:szCs w:val="24"/>
          <w:u w:val="single"/>
          <w:lang w:eastAsia="es-ES"/>
        </w:rPr>
        <w:t>ni-nis</w:t>
      </w:r>
      <w:r w:rsidRPr="00C23EA3">
        <w:rPr>
          <w:rFonts w:ascii="Times New Roman" w:eastAsia="Times New Roman" w:hAnsi="Times New Roman"/>
          <w:sz w:val="24"/>
          <w:szCs w:val="24"/>
          <w:u w:val="single"/>
          <w:lang w:eastAsia="es-ES"/>
        </w:rPr>
        <w:t xml:space="preserve"> (jóvenes entre 15 y 29 años) que ni estudian ni trabajan es inferior al 10% en Suiza, mientras </w:t>
      </w:r>
      <w:hyperlink r:id="rId157" w:history="1">
        <w:r w:rsidRPr="00C23EA3">
          <w:rPr>
            <w:rFonts w:ascii="Times New Roman" w:eastAsia="Times New Roman" w:hAnsi="Times New Roman"/>
            <w:sz w:val="24"/>
            <w:szCs w:val="24"/>
            <w:u w:val="single"/>
            <w:lang w:eastAsia="es-ES"/>
          </w:rPr>
          <w:t>en España</w:t>
        </w:r>
      </w:hyperlink>
      <w:r w:rsidRPr="00C23EA3">
        <w:rPr>
          <w:rFonts w:ascii="Times New Roman" w:eastAsia="Times New Roman" w:hAnsi="Times New Roman"/>
          <w:sz w:val="24"/>
          <w:szCs w:val="24"/>
          <w:u w:val="single"/>
          <w:lang w:eastAsia="es-ES"/>
        </w:rPr>
        <w:t xml:space="preserve"> roza el 25%, unos porcentajes que se repiten cuando se habla de fracaso escolar. Y desde muy jóvenes, empiezan a saber lo que es ganar un sueldo y poder pagarse sus gastos. Los sueldos para los alumnos de FP Dual van de los 450 euros al mes del primer año a los 950 durante el cuarto curso de aprendizaje. Así, es lógico que con menos de 20 años ya haya jóvenes suizos que empiezan a independizarse.</w:t>
      </w:r>
    </w:p>
    <w:p w:rsidR="00E02187" w:rsidRPr="00C23EA3"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23EA3">
        <w:rPr>
          <w:rFonts w:ascii="Times New Roman" w:eastAsia="Times New Roman" w:hAnsi="Times New Roman"/>
          <w:sz w:val="24"/>
          <w:szCs w:val="24"/>
          <w:u w:val="single"/>
          <w:lang w:eastAsia="es-ES"/>
        </w:rPr>
        <w:t xml:space="preserve">Además, todo esto tiene un reflejo claro en la más dolorosa de las estadísticas de esta crisis: mientras </w:t>
      </w:r>
      <w:hyperlink r:id="rId158" w:history="1">
        <w:r w:rsidRPr="00C23EA3">
          <w:rPr>
            <w:rFonts w:ascii="Times New Roman" w:eastAsia="Times New Roman" w:hAnsi="Times New Roman"/>
            <w:sz w:val="24"/>
            <w:szCs w:val="24"/>
            <w:u w:val="single"/>
            <w:lang w:eastAsia="es-ES"/>
          </w:rPr>
          <w:t>en España</w:t>
        </w:r>
      </w:hyperlink>
      <w:r w:rsidRPr="00C23EA3">
        <w:rPr>
          <w:rFonts w:ascii="Times New Roman" w:eastAsia="Times New Roman" w:hAnsi="Times New Roman"/>
          <w:sz w:val="24"/>
          <w:szCs w:val="24"/>
          <w:u w:val="single"/>
          <w:lang w:eastAsia="es-ES"/>
        </w:rPr>
        <w:t xml:space="preserve"> el </w:t>
      </w:r>
      <w:hyperlink r:id="rId159" w:history="1">
        <w:r w:rsidRPr="00C23EA3">
          <w:rPr>
            <w:rFonts w:ascii="Times New Roman" w:eastAsia="Times New Roman" w:hAnsi="Times New Roman"/>
            <w:sz w:val="24"/>
            <w:szCs w:val="24"/>
            <w:u w:val="single"/>
            <w:lang w:eastAsia="es-ES"/>
          </w:rPr>
          <w:t>paro juvenil</w:t>
        </w:r>
      </w:hyperlink>
      <w:r w:rsidRPr="00C23EA3">
        <w:rPr>
          <w:rFonts w:ascii="Times New Roman" w:eastAsia="Times New Roman" w:hAnsi="Times New Roman"/>
          <w:sz w:val="24"/>
          <w:szCs w:val="24"/>
          <w:u w:val="single"/>
          <w:lang w:eastAsia="es-ES"/>
        </w:rPr>
        <w:t xml:space="preserve"> supera el 50%, </w:t>
      </w:r>
      <w:hyperlink r:id="rId160" w:history="1">
        <w:r w:rsidRPr="00C23EA3">
          <w:rPr>
            <w:rFonts w:ascii="Times New Roman" w:eastAsia="Times New Roman" w:hAnsi="Times New Roman"/>
            <w:sz w:val="24"/>
            <w:szCs w:val="24"/>
            <w:u w:val="single"/>
            <w:lang w:eastAsia="es-ES"/>
          </w:rPr>
          <w:t>en Suiza</w:t>
        </w:r>
      </w:hyperlink>
      <w:r w:rsidRPr="00C23EA3">
        <w:rPr>
          <w:rFonts w:ascii="Times New Roman" w:eastAsia="Times New Roman" w:hAnsi="Times New Roman"/>
          <w:sz w:val="24"/>
          <w:szCs w:val="24"/>
          <w:u w:val="single"/>
          <w:lang w:eastAsia="es-ES"/>
        </w:rPr>
        <w:t xml:space="preserve"> se mueve entre el 3 y el 5%, incluso en épocas de recesión.</w:t>
      </w:r>
      <w:r w:rsidRPr="00C23EA3">
        <w:rPr>
          <w:rFonts w:ascii="Times New Roman" w:eastAsia="Times New Roman" w:hAnsi="Times New Roman"/>
          <w:sz w:val="24"/>
          <w:szCs w:val="24"/>
          <w:lang w:eastAsia="es-ES"/>
        </w:rPr>
        <w:t xml:space="preserve"> Es decir, mientras un país cercena las posibilidades de sus jóvenes y les cierra alternativas, el otro les ofrece un futuro estable, con una profesión prestigiosa y un mercado laboral abierto.</w:t>
      </w:r>
    </w:p>
    <w:p w:rsidR="00E02187" w:rsidRPr="00C23EA3"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23EA3">
        <w:rPr>
          <w:rFonts w:ascii="Times New Roman" w:eastAsia="Times New Roman" w:hAnsi="Times New Roman"/>
          <w:bCs/>
          <w:sz w:val="24"/>
          <w:szCs w:val="24"/>
          <w:lang w:eastAsia="es-ES"/>
        </w:rPr>
        <w:t>Las opciones</w:t>
      </w:r>
    </w:p>
    <w:p w:rsidR="00E02187" w:rsidRPr="00C23EA3"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23EA3">
        <w:rPr>
          <w:rFonts w:ascii="Times New Roman" w:eastAsia="Times New Roman" w:hAnsi="Times New Roman"/>
          <w:sz w:val="24"/>
          <w:szCs w:val="24"/>
          <w:lang w:eastAsia="es-ES"/>
        </w:rPr>
        <w:t>Para conseguirlo, nadie tien</w:t>
      </w:r>
      <w:r>
        <w:rPr>
          <w:rFonts w:ascii="Times New Roman" w:eastAsia="Times New Roman" w:hAnsi="Times New Roman"/>
          <w:sz w:val="24"/>
          <w:szCs w:val="24"/>
          <w:lang w:eastAsia="es-ES"/>
        </w:rPr>
        <w:t>e miedo en el país helvético a “meter”</w:t>
      </w:r>
      <w:r w:rsidRPr="00C23EA3">
        <w:rPr>
          <w:rFonts w:ascii="Times New Roman" w:eastAsia="Times New Roman" w:hAnsi="Times New Roman"/>
          <w:sz w:val="24"/>
          <w:szCs w:val="24"/>
          <w:lang w:eastAsia="es-ES"/>
        </w:rPr>
        <w:t xml:space="preserve"> a las empresas en las aulas. El modelo de FP Dual es voluntario, hay algunas especialidades de FP que no implican un trabajo, y absolutamente mayoritario. En principio, esta etapa dura 3 o 4 años, tras los que se obtiene un certificado oficial. El que quiera puede dejar la escuela en este momento e incorporarse plenamente al </w:t>
      </w:r>
      <w:r w:rsidRPr="00C23EA3">
        <w:rPr>
          <w:rFonts w:ascii="Times New Roman" w:eastAsia="Times New Roman" w:hAnsi="Times New Roman"/>
          <w:b/>
          <w:bCs/>
          <w:sz w:val="24"/>
          <w:szCs w:val="24"/>
          <w:lang w:eastAsia="es-ES"/>
        </w:rPr>
        <w:t>mercado laboral</w:t>
      </w:r>
      <w:r w:rsidRPr="00C23EA3">
        <w:rPr>
          <w:rFonts w:ascii="Times New Roman" w:eastAsia="Times New Roman" w:hAnsi="Times New Roman"/>
          <w:sz w:val="24"/>
          <w:szCs w:val="24"/>
          <w:lang w:eastAsia="es-ES"/>
        </w:rPr>
        <w:t xml:space="preserve"> </w:t>
      </w:r>
      <w:r w:rsidRPr="00C23EA3">
        <w:rPr>
          <w:rFonts w:ascii="Times New Roman" w:eastAsia="Times New Roman" w:hAnsi="Times New Roman"/>
          <w:i/>
          <w:iCs/>
          <w:sz w:val="24"/>
          <w:szCs w:val="24"/>
          <w:lang w:eastAsia="es-ES"/>
        </w:rPr>
        <w:t>convencional</w:t>
      </w:r>
      <w:r w:rsidRPr="00C23EA3">
        <w:rPr>
          <w:rFonts w:ascii="Times New Roman" w:eastAsia="Times New Roman" w:hAnsi="Times New Roman"/>
          <w:sz w:val="24"/>
          <w:szCs w:val="24"/>
          <w:lang w:eastAsia="es-ES"/>
        </w:rPr>
        <w:t>.</w:t>
      </w:r>
    </w:p>
    <w:p w:rsidR="00E02187" w:rsidRPr="00C23EA3"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23EA3">
        <w:rPr>
          <w:rFonts w:ascii="Times New Roman" w:eastAsia="Times New Roman" w:hAnsi="Times New Roman"/>
          <w:sz w:val="24"/>
          <w:szCs w:val="24"/>
          <w:lang w:eastAsia="es-ES"/>
        </w:rPr>
        <w:t>Sin embargo, aquellos que quieran continuar su formación también pueden hacerlo mediante el llamado Bachillerato Profesional (el BP es una especie de Formación Profesional avanzada). Desde el BP se puede acceder a las Escuelas Superiores de FP y a las universidades técnicas, que componen la educación superior o terciaria.</w:t>
      </w:r>
    </w:p>
    <w:p w:rsidR="00E02187"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23EA3">
        <w:rPr>
          <w:rFonts w:ascii="Times New Roman" w:eastAsia="Times New Roman" w:hAnsi="Times New Roman"/>
          <w:sz w:val="24"/>
          <w:szCs w:val="24"/>
          <w:lang w:eastAsia="es-ES"/>
        </w:rPr>
        <w:t>Esto quiere decir que la FP Dual no es un callejón sin salida para los malos estudiantes. En realidad, es una alternativa más para que los adolescentes puedan escoger la profesión que más les guste. Luego, pueden completar sin problemas una educación superior e incluso ir a la universidad. Y no sólo eso, al final de cada curso existe la posibilidad de cambiar la opción tanto para ir de Bachillerato a FP como para hacer el camino inverso.</w:t>
      </w:r>
    </w:p>
    <w:p w:rsidR="00E02187"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p>
    <w:p w:rsidR="00E02187" w:rsidRPr="00462CFF" w:rsidRDefault="00E02187" w:rsidP="00E02187">
      <w:pPr>
        <w:pStyle w:val="NormalWeb"/>
        <w:jc w:val="both"/>
      </w:pPr>
      <w:r>
        <w:rPr>
          <w:u w:val="single"/>
        </w:rPr>
        <w:lastRenderedPageBreak/>
        <w:t>Un v</w:t>
      </w:r>
      <w:r w:rsidRPr="00462CFF">
        <w:rPr>
          <w:u w:val="single"/>
        </w:rPr>
        <w:t>iaje a través del infierno de los préstamos</w:t>
      </w:r>
      <w:r w:rsidRPr="00C23EA3">
        <w:rPr>
          <w:u w:val="single"/>
        </w:rPr>
        <w:t xml:space="preserve"> estudiantiles en EEUU</w:t>
      </w:r>
      <w:r>
        <w:rPr>
          <w:u w:val="single"/>
        </w:rPr>
        <w:t xml:space="preserve"> (deuda sin futuro)</w:t>
      </w:r>
    </w:p>
    <w:p w:rsidR="00E02187" w:rsidRDefault="00E02187" w:rsidP="00E02187">
      <w:pPr>
        <w:pStyle w:val="NormalWeb"/>
        <w:jc w:val="both"/>
      </w:pPr>
      <w:r>
        <w:rPr>
          <w:i/>
        </w:rPr>
        <w:t>“</w:t>
      </w:r>
      <w:r w:rsidRPr="00462CFF">
        <w:rPr>
          <w:i/>
        </w:rPr>
        <w:t>Ella vive con su pareja en los suburbios de Filadelfia, en un piso de 74 metros cuadrados sin lavadora. “Tengo un doctorado y lavo mi ropa en la lavandería”, dice. McDevitt tiene una carrera que le encanta -da conferencias, escribe y habla sobre la sexualidad humana- pero como no recibió ninguna ayuda financiera pidió préstamos privados para pagar sus estudios, lo que le deja una deuda mensual de US$ 1.600. “Simplemente no puedo pagar esa cantidad”, dice. Luego de haber intentado negociar con varios prestamistas, está perdiendo las ganas de luchar. “Mi crédito va muy mal”, agrega. “¿Cuál es el incentivo si ya estoy acabada?”</w:t>
      </w:r>
      <w:r>
        <w:rPr>
          <w:i/>
        </w:rPr>
        <w:t xml:space="preserve">… </w:t>
      </w:r>
      <w:r>
        <w:rPr>
          <w:u w:val="single"/>
        </w:rPr>
        <w:t>Préstamos estudiantiles en EEUU</w:t>
      </w:r>
      <w:r w:rsidRPr="00AC0D8E">
        <w:rPr>
          <w:u w:val="single"/>
        </w:rPr>
        <w:t>: la trampa millonaria</w:t>
      </w:r>
      <w:r>
        <w:t xml:space="preserve"> (BBCMundo - </w:t>
      </w:r>
      <w:r w:rsidRPr="00AC0D8E">
        <w:rPr>
          <w:b/>
        </w:rPr>
        <w:t>11/12/12</w:t>
      </w:r>
      <w:r>
        <w:t>)</w:t>
      </w:r>
    </w:p>
    <w:p w:rsidR="00E02187" w:rsidRPr="00AF37C9" w:rsidRDefault="00E02187" w:rsidP="00E02187">
      <w:pPr>
        <w:pStyle w:val="NormalWeb"/>
        <w:jc w:val="both"/>
      </w:pPr>
      <w:r w:rsidRPr="00AF37C9">
        <w:t>El caso de McDevitt no es el único. La deuda estudiantil es un dolor de cabeza por valor de un billón de dólares para la economía de Estados Unidos, y el problema se agrava. A medida que el costo de la educación universitaria se eleva, las tasas de morosidad van en aumento. Algunas estimaciones dicen que más de cinco millones de personas en EEUU han dejado de pagar sus préstamos estudiantiles. Casi 375.000 personas dejaron de pagar en el último año solamente, según el Departamento de Educación de EEUU.</w:t>
      </w:r>
    </w:p>
    <w:p w:rsidR="00E02187" w:rsidRPr="00AF37C9" w:rsidRDefault="00E02187" w:rsidP="00E02187">
      <w:pPr>
        <w:pStyle w:val="NormalWeb"/>
        <w:jc w:val="both"/>
      </w:pPr>
      <w:r w:rsidRPr="00AF37C9">
        <w:t>Y los prestatarios pueden enfrentarse a consecuencias nefastas. El gobierno federal cuenta con herramientas fuertes para cobrar las deudas de los morosos, incluyendo el embargo del 15% de su sueldo y los ingresos de jubilación, de acuerdo con el experto en financiación de la educación Mark Kantrowitz, editor de los sitios FinAid y Fastweb. “Es como un viaje a través del infierno, pero sin luz al final del túnel”, señala.</w:t>
      </w:r>
    </w:p>
    <w:p w:rsidR="00E02187" w:rsidRPr="00AF37C9" w:rsidRDefault="00E02187" w:rsidP="00E02187">
      <w:pPr>
        <w:pStyle w:val="NormalWeb"/>
        <w:jc w:val="both"/>
      </w:pPr>
      <w:r w:rsidRPr="00AF37C9">
        <w:t>Los prestatarios en mora no pueden obtener una hipoteca o un préstamo para un automóvil. Y su capacidad de crédito estará arruinada, lo que puede afectar a su posibilidad de alquilar un piso o incluso conseguir un trabajo.</w:t>
      </w:r>
    </w:p>
    <w:p w:rsidR="00E02187" w:rsidRPr="00AF37C9" w:rsidRDefault="00E02187" w:rsidP="00E02187">
      <w:pPr>
        <w:pStyle w:val="NormalWeb"/>
        <w:jc w:val="both"/>
      </w:pPr>
      <w:r w:rsidRPr="00AF37C9">
        <w:t>“Estamos en un punto de inflexión”, dice Anne Johnson, directora de Campus Progress, un grupo de defensa de los estudiantes. El impacto a largo plazo del fuerte endeudamiento en los jóvenes es abrumador, dice Johnson. “Está cambiando todo el panorama económico de su futuro”, dice. “Es un desafío enorme”.</w:t>
      </w:r>
    </w:p>
    <w:p w:rsidR="00E02187" w:rsidRPr="00AF37C9" w:rsidRDefault="00E02187" w:rsidP="00E02187">
      <w:pPr>
        <w:pStyle w:val="NormalWeb"/>
        <w:jc w:val="both"/>
      </w:pPr>
      <w:r w:rsidRPr="00AF37C9">
        <w:t>Johnson señala que el aumento del costo de la educación superior es una parte importante del problema. En los últimos 30 años, los costos de las matrículas se han incrementado cerca del 1.000%. Una carrera de cuatro años en una universidad privada puede costar cerca de US$ 150.000.</w:t>
      </w:r>
    </w:p>
    <w:p w:rsidR="00E02187" w:rsidRPr="00AF37C9" w:rsidRDefault="00E02187" w:rsidP="00E02187">
      <w:pPr>
        <w:pStyle w:val="NormalWeb"/>
        <w:jc w:val="both"/>
      </w:pPr>
      <w:r w:rsidRPr="00AF37C9">
        <w:t>Los expertos dicen que los estudiantes no siempre son conscientes del costo total de su educación. “A consumidores que en otros aspectos son muy conscientes se les puede pasar por alto la cantidad que les va a costar la universidad y cómo van a pagarla”, dice Lauren Asher, presidenta del Instituto de Acceso y Éxito en la Universidad.</w:t>
      </w:r>
    </w:p>
    <w:p w:rsidR="00E02187" w:rsidRPr="00AF37C9" w:rsidRDefault="00E02187" w:rsidP="00E02187">
      <w:pPr>
        <w:pStyle w:val="NormalWeb"/>
        <w:jc w:val="both"/>
      </w:pPr>
      <w:r w:rsidRPr="00AF37C9">
        <w:t>Candice Varetoni, de 23 años, flamante graduada universitaria, acumula US$ 67.000 en deuda, vive con sus padres en el estado de Nueva York y tiene más de una hora de viaje a su trabajo de marketing en Nueva Jersey. Cuando se matriculó en la universidad, no estaba al tanto de todas sus opciones de préstamos. “Para ser honesta, creo que era ignorante sobre mis opciones en ese entonces”, comenta.</w:t>
      </w:r>
    </w:p>
    <w:p w:rsidR="00E02187" w:rsidRPr="00AF37C9" w:rsidRDefault="00E02187" w:rsidP="00E02187">
      <w:pPr>
        <w:pStyle w:val="NormalWeb"/>
        <w:jc w:val="both"/>
      </w:pPr>
      <w:r w:rsidRPr="00AF37C9">
        <w:lastRenderedPageBreak/>
        <w:t>Si pudiera volver el tiempo atrás, Varetoni habría comparado las tasas de varios prestamistas, y podría haber considerado una universidad menos costosa para realizar al menos una parte de sus estudios. “En cinco años a partir de ahora espero poder dejar la casa de mis padres”, dice.</w:t>
      </w:r>
    </w:p>
    <w:p w:rsidR="00E02187" w:rsidRPr="00AF37C9" w:rsidRDefault="00E02187" w:rsidP="00E02187">
      <w:pPr>
        <w:pStyle w:val="NormalWeb"/>
        <w:jc w:val="both"/>
      </w:pPr>
      <w:r w:rsidRPr="00AF37C9">
        <w:t>Muchos estudiantes ven que una vez que pagan su título de grado, los estudios de posgrado plantean otro desafío financiero. Alan Thomas, de 36 años, se graduó sin deudas y decidió empezar a estudiar leyes en 2007, después de haber oído que los abogados ganaban sueldos de seis cifras nada más terminar la carrera. “Obviamente, esa imagen ha cambiado por completo”, señala.</w:t>
      </w:r>
    </w:p>
    <w:p w:rsidR="00E02187" w:rsidRPr="00AF37C9" w:rsidRDefault="00E02187" w:rsidP="00E02187">
      <w:pPr>
        <w:pStyle w:val="NormalWeb"/>
        <w:jc w:val="both"/>
      </w:pPr>
      <w:r w:rsidRPr="00AF37C9">
        <w:t>Thomas ahora debe US$ 130.000 en préstamos estudiantiles. Está pagando 8,25% de interés sobre el dinero que pidió prestado para financiar su matrícula en la Facultad de Derecho y solventar sus gastos, postergando los pagos de su préstamo de estudiante mientras establecía su propio bufete. Pagar sus préstamos en tiempo y forma no le resulta fácil, ya que su factura mensual es de US$ 1.000. Pero trabaja en casa y controla sus gastos. “Soy muy frugal”, dice.</w:t>
      </w:r>
    </w:p>
    <w:p w:rsidR="00E02187" w:rsidRDefault="00E02187" w:rsidP="00E02187">
      <w:pPr>
        <w:pStyle w:val="NormalWeb"/>
        <w:jc w:val="both"/>
      </w:pPr>
      <w:r w:rsidRPr="00AF37C9">
        <w:t>Por lo tanto, estará libre de deudas en el futuro cercano, evalúa. “Yo diría que en cuatro o cinco años, si soy muy cuidadoso”, dice. “Probablemente pueda llegar a sacarme de encima todo el problema, y estoy muy entusiasmado en ese sentido”.</w:t>
      </w:r>
    </w:p>
    <w:p w:rsidR="00E02187" w:rsidRPr="00C24AB4" w:rsidRDefault="00E02187" w:rsidP="00E02187">
      <w:pPr>
        <w:spacing w:before="100" w:beforeAutospacing="1" w:after="100" w:afterAutospacing="1" w:line="240" w:lineRule="auto"/>
        <w:jc w:val="both"/>
        <w:outlineLvl w:val="1"/>
        <w:rPr>
          <w:rFonts w:ascii="Times New Roman" w:eastAsia="Times New Roman" w:hAnsi="Times New Roman"/>
          <w:bCs/>
          <w:sz w:val="24"/>
          <w:szCs w:val="24"/>
          <w:u w:val="single"/>
          <w:lang w:eastAsia="es-ES"/>
        </w:rPr>
      </w:pPr>
      <w:r>
        <w:rPr>
          <w:rFonts w:ascii="Times New Roman" w:eastAsia="Times New Roman" w:hAnsi="Times New Roman"/>
          <w:bCs/>
          <w:sz w:val="24"/>
          <w:szCs w:val="24"/>
          <w:u w:val="single"/>
          <w:lang w:eastAsia="es-ES"/>
        </w:rPr>
        <w:t>Made in USA: a</w:t>
      </w:r>
      <w:r w:rsidRPr="00C24AB4">
        <w:rPr>
          <w:rFonts w:ascii="Times New Roman" w:eastAsia="Times New Roman" w:hAnsi="Times New Roman"/>
          <w:bCs/>
          <w:sz w:val="24"/>
          <w:szCs w:val="24"/>
          <w:u w:val="single"/>
          <w:lang w:eastAsia="es-ES"/>
        </w:rPr>
        <w:t>sí cebó</w:t>
      </w:r>
      <w:r>
        <w:rPr>
          <w:rFonts w:ascii="Times New Roman" w:eastAsia="Times New Roman" w:hAnsi="Times New Roman"/>
          <w:bCs/>
          <w:sz w:val="24"/>
          <w:szCs w:val="24"/>
          <w:u w:val="single"/>
          <w:lang w:eastAsia="es-ES"/>
        </w:rPr>
        <w:t xml:space="preserve"> el Estado la burbuja educativa</w:t>
      </w:r>
    </w:p>
    <w:p w:rsidR="00E02187" w:rsidRPr="00C24AB4" w:rsidRDefault="00E02187" w:rsidP="00E02187">
      <w:pPr>
        <w:pStyle w:val="NormalWeb"/>
        <w:jc w:val="both"/>
      </w:pPr>
      <w:r>
        <w:rPr>
          <w:i/>
        </w:rPr>
        <w:t>“</w:t>
      </w:r>
      <w:r w:rsidRPr="00AF37C9">
        <w:rPr>
          <w:i/>
        </w:rPr>
        <w:t xml:space="preserve">El 45% de los estadounidenses que comienzan una carrera universitaria no se gradúa. Entre quienes sí lo consiguen, </w:t>
      </w:r>
      <w:hyperlink r:id="rId161" w:history="1">
        <w:r w:rsidRPr="00AF37C9">
          <w:rPr>
            <w:i/>
          </w:rPr>
          <w:t>el 85% vuelve a vivir con sus padres</w:t>
        </w:r>
      </w:hyperlink>
      <w:r w:rsidRPr="00AF37C9">
        <w:rPr>
          <w:i/>
        </w:rPr>
        <w:t xml:space="preserve"> después de terminar sus estudios. A sus espaldas cargan una </w:t>
      </w:r>
      <w:r w:rsidRPr="00AF37C9">
        <w:rPr>
          <w:bCs/>
          <w:i/>
        </w:rPr>
        <w:t>deuda promedio</w:t>
      </w:r>
      <w:r w:rsidRPr="00AF37C9">
        <w:rPr>
          <w:i/>
        </w:rPr>
        <w:t xml:space="preserve"> superior a los </w:t>
      </w:r>
      <w:r w:rsidRPr="00AF37C9">
        <w:rPr>
          <w:bCs/>
          <w:i/>
        </w:rPr>
        <w:t>$</w:t>
      </w:r>
      <w:r w:rsidR="00393CD5">
        <w:rPr>
          <w:bCs/>
          <w:i/>
        </w:rPr>
        <w:t xml:space="preserve"> </w:t>
      </w:r>
      <w:r w:rsidRPr="00AF37C9">
        <w:rPr>
          <w:bCs/>
          <w:i/>
        </w:rPr>
        <w:t>24.000 dólares</w:t>
      </w:r>
      <w:r w:rsidRPr="00AF37C9">
        <w:rPr>
          <w:i/>
        </w:rPr>
        <w:t>, un 50% más que hace una década</w:t>
      </w:r>
      <w:r>
        <w:rPr>
          <w:i/>
        </w:rPr>
        <w:t>”..</w:t>
      </w:r>
      <w:r w:rsidRPr="00AF37C9">
        <w:rPr>
          <w:i/>
        </w:rPr>
        <w:t>.</w:t>
      </w:r>
      <w:r>
        <w:t xml:space="preserve"> </w:t>
      </w:r>
      <w:r w:rsidRPr="007D3235">
        <w:rPr>
          <w:u w:val="single"/>
        </w:rPr>
        <w:t>EEUU sufre su particular burbuja universitaria</w:t>
      </w:r>
      <w:r>
        <w:t xml:space="preserve"> (Libertad Digital - </w:t>
      </w:r>
      <w:r w:rsidRPr="007D3235">
        <w:rPr>
          <w:b/>
        </w:rPr>
        <w:t>22/12/12</w:t>
      </w:r>
      <w:r>
        <w:t>)</w:t>
      </w:r>
    </w:p>
    <w:p w:rsidR="00E02187"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Desde hace años, la educación superior estadounidense ha multiplicado su precio de forma acelerada. Así, </w:t>
      </w:r>
      <w:hyperlink r:id="rId162" w:history="1">
        <w:r w:rsidRPr="00C24AB4">
          <w:rPr>
            <w:rFonts w:ascii="Times New Roman" w:eastAsia="Times New Roman" w:hAnsi="Times New Roman"/>
            <w:sz w:val="24"/>
            <w:szCs w:val="24"/>
            <w:lang w:eastAsia="es-ES"/>
          </w:rPr>
          <w:t>una licenciatura vale hoy un 945% más que en 1980</w:t>
        </w:r>
      </w:hyperlink>
      <w:r w:rsidRPr="00C24AB4">
        <w:rPr>
          <w:rFonts w:ascii="Times New Roman" w:eastAsia="Times New Roman" w:hAnsi="Times New Roman"/>
          <w:sz w:val="24"/>
          <w:szCs w:val="24"/>
          <w:lang w:eastAsia="es-ES"/>
        </w:rPr>
        <w:t xml:space="preserve">, un aumento muy superior a la inflación acumulada, que si bien ha sido elevada, no llega al 200% en dicho periodo. </w:t>
      </w:r>
      <w:hyperlink r:id="rId163" w:history="1">
        <w:r w:rsidRPr="00C24AB4">
          <w:rPr>
            <w:rFonts w:ascii="Times New Roman" w:eastAsia="Times New Roman" w:hAnsi="Times New Roman"/>
            <w:sz w:val="24"/>
            <w:szCs w:val="24"/>
            <w:lang w:eastAsia="es-ES"/>
          </w:rPr>
          <w:t>La tendencia también la apreciamos en el precio del servicio de residencia en los campus (comida y habitación),</w:t>
        </w:r>
      </w:hyperlink>
      <w:r w:rsidRPr="00C24AB4">
        <w:rPr>
          <w:rFonts w:ascii="Times New Roman" w:eastAsia="Times New Roman" w:hAnsi="Times New Roman"/>
          <w:sz w:val="24"/>
          <w:szCs w:val="24"/>
          <w:lang w:eastAsia="es-ES"/>
        </w:rPr>
        <w:t xml:space="preserve"> que se ha duplicado durante el mismo periodo.</w:t>
      </w:r>
    </w:p>
    <w:p w:rsidR="00E02187" w:rsidRPr="00C24AB4"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Estamos hablando, por supuesto, de una burbuja económica de tamaño gigantesco y consecuencias sociales dramáticas. La mentalidad de quienes se encuentran atrapados en este proceso es similar a la de la burbuja inmobiliaria: el “me endeudo porque esta casa será una buena inversión” recuerda irremediablemente al </w:t>
      </w:r>
      <w:r w:rsidRPr="00C24AB4">
        <w:rPr>
          <w:rFonts w:ascii="Times New Roman" w:eastAsia="Times New Roman" w:hAnsi="Times New Roman"/>
          <w:bCs/>
          <w:sz w:val="24"/>
          <w:szCs w:val="24"/>
          <w:lang w:eastAsia="es-ES"/>
        </w:rPr>
        <w:t>“me endeudo porque este título será una buena inversión”</w:t>
      </w:r>
      <w:r w:rsidRPr="00C24AB4">
        <w:rPr>
          <w:rFonts w:ascii="Times New Roman" w:eastAsia="Times New Roman" w:hAnsi="Times New Roman"/>
          <w:sz w:val="24"/>
          <w:szCs w:val="24"/>
          <w:lang w:eastAsia="es-ES"/>
        </w:rPr>
        <w:t>. En ambos casos, el frenazo de la economía estadounidense trae consigo el progresivo pinchazo de la “burbuja”, reventando la ilusión de rentabilidad.</w:t>
      </w:r>
    </w:p>
    <w:p w:rsidR="00E02187" w:rsidRPr="00C24AB4"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p>
    <w:p w:rsidR="00E02187" w:rsidRPr="007D3235"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sz w:val="24"/>
          <w:szCs w:val="24"/>
          <w:lang w:eastAsia="es-ES"/>
        </w:rPr>
        <w:lastRenderedPageBreak/>
        <w:drawing>
          <wp:inline distT="0" distB="0" distL="0" distR="0" wp14:anchorId="7CA5839D" wp14:editId="74B71791">
            <wp:extent cx="5376672" cy="2428646"/>
            <wp:effectExtent l="0" t="0" r="0" b="0"/>
            <wp:docPr id="204" name="Imagen 204" descr="bur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bured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376550" cy="2428591"/>
                    </a:xfrm>
                    <a:prstGeom prst="rect">
                      <a:avLst/>
                    </a:prstGeom>
                    <a:noFill/>
                    <a:ln>
                      <a:noFill/>
                    </a:ln>
                  </pic:spPr>
                </pic:pic>
              </a:graphicData>
            </a:graphic>
          </wp:inline>
        </w:drawing>
      </w:r>
    </w:p>
    <w:p w:rsidR="00E02187" w:rsidRPr="00C24AB4"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El porcentaje de licenciados que paga su carrera con deuda asciende a dos tercios del total. </w:t>
      </w:r>
      <w:hyperlink r:id="rId165" w:history="1">
        <w:r w:rsidRPr="00C24AB4">
          <w:rPr>
            <w:rFonts w:ascii="Times New Roman" w:eastAsia="Times New Roman" w:hAnsi="Times New Roman"/>
            <w:sz w:val="24"/>
            <w:szCs w:val="24"/>
            <w:lang w:eastAsia="es-ES"/>
          </w:rPr>
          <w:t>El montante total de estas obligaciones es de tres billones de dólares</w:t>
        </w:r>
      </w:hyperlink>
      <w:r w:rsidRPr="00C24AB4">
        <w:rPr>
          <w:rFonts w:ascii="Times New Roman" w:eastAsia="Times New Roman" w:hAnsi="Times New Roman"/>
          <w:sz w:val="24"/>
          <w:szCs w:val="24"/>
          <w:lang w:eastAsia="es-ES"/>
        </w:rPr>
        <w:t>, una cifra que iguala la deuda total de todas las tarjetas de crédito registradas en los Estados Unidos.</w:t>
      </w:r>
    </w:p>
    <w:p w:rsidR="00E02187" w:rsidRPr="00C24AB4"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Esta burbuja de la educación superior ha </w:t>
      </w:r>
      <w:r w:rsidRPr="00C24AB4">
        <w:rPr>
          <w:rFonts w:ascii="Times New Roman" w:eastAsia="Times New Roman" w:hAnsi="Times New Roman"/>
          <w:bCs/>
          <w:sz w:val="24"/>
          <w:szCs w:val="24"/>
          <w:lang w:eastAsia="es-ES"/>
        </w:rPr>
        <w:t xml:space="preserve">devaluado el valor de los títulos </w:t>
      </w:r>
      <w:r w:rsidRPr="00C24AB4">
        <w:rPr>
          <w:rFonts w:ascii="Times New Roman" w:eastAsia="Times New Roman" w:hAnsi="Times New Roman"/>
          <w:sz w:val="24"/>
          <w:szCs w:val="24"/>
          <w:lang w:eastAsia="es-ES"/>
        </w:rPr>
        <w:t>universitarios, ya que ha aumentado su oferta de forma significativa. Por cada 12 licenciados en el año 2000 hubo 16 en 2009, pero ocho de cada diez graduados en dicha promoción no encontró trabajo tras la universidad. Incluso aquellos que no sufren la lacra del paro juvenil se han encontrado con un mercado laboral tan deprimido que la mitad de estos nuevos licenciados gana menos de $</w:t>
      </w:r>
      <w:r>
        <w:rPr>
          <w:rFonts w:ascii="Times New Roman" w:eastAsia="Times New Roman" w:hAnsi="Times New Roman"/>
          <w:sz w:val="24"/>
          <w:szCs w:val="24"/>
          <w:lang w:eastAsia="es-ES"/>
        </w:rPr>
        <w:t xml:space="preserve"> </w:t>
      </w:r>
      <w:r w:rsidRPr="00C24AB4">
        <w:rPr>
          <w:rFonts w:ascii="Times New Roman" w:eastAsia="Times New Roman" w:hAnsi="Times New Roman"/>
          <w:sz w:val="24"/>
          <w:szCs w:val="24"/>
          <w:lang w:eastAsia="es-ES"/>
        </w:rPr>
        <w:t xml:space="preserve">15.000 dólares anuales. </w:t>
      </w:r>
    </w:p>
    <w:p w:rsidR="00E02187" w:rsidRPr="00C24AB4"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Los </w:t>
      </w:r>
      <w:r w:rsidRPr="00C24AB4">
        <w:rPr>
          <w:rFonts w:ascii="Times New Roman" w:eastAsia="Times New Roman" w:hAnsi="Times New Roman"/>
          <w:bCs/>
          <w:sz w:val="24"/>
          <w:szCs w:val="24"/>
          <w:lang w:eastAsia="es-ES"/>
        </w:rPr>
        <w:t>cálculos de Barclays</w:t>
      </w:r>
      <w:r w:rsidRPr="00C24AB4">
        <w:rPr>
          <w:rFonts w:ascii="Times New Roman" w:eastAsia="Times New Roman" w:hAnsi="Times New Roman"/>
          <w:sz w:val="24"/>
          <w:szCs w:val="24"/>
          <w:lang w:eastAsia="es-ES"/>
        </w:rPr>
        <w:t xml:space="preserve"> retrasan el </w:t>
      </w:r>
      <w:r>
        <w:rPr>
          <w:rFonts w:ascii="Times New Roman" w:eastAsia="Times New Roman" w:hAnsi="Times New Roman"/>
          <w:sz w:val="24"/>
          <w:szCs w:val="24"/>
          <w:lang w:eastAsia="es-ES"/>
        </w:rPr>
        <w:t>hundimiento definitivo de esta “burbuja”</w:t>
      </w:r>
      <w:r w:rsidRPr="00C24AB4">
        <w:rPr>
          <w:rFonts w:ascii="Times New Roman" w:eastAsia="Times New Roman" w:hAnsi="Times New Roman"/>
          <w:sz w:val="24"/>
          <w:szCs w:val="24"/>
          <w:lang w:eastAsia="es-ES"/>
        </w:rPr>
        <w:t xml:space="preserve"> hasta </w:t>
      </w:r>
      <w:r w:rsidRPr="00C24AB4">
        <w:rPr>
          <w:rFonts w:ascii="Times New Roman" w:eastAsia="Times New Roman" w:hAnsi="Times New Roman"/>
          <w:bCs/>
          <w:sz w:val="24"/>
          <w:szCs w:val="24"/>
          <w:lang w:eastAsia="es-ES"/>
        </w:rPr>
        <w:t>2020</w:t>
      </w:r>
      <w:r w:rsidRPr="00C24AB4">
        <w:rPr>
          <w:rFonts w:ascii="Times New Roman" w:eastAsia="Times New Roman" w:hAnsi="Times New Roman"/>
          <w:sz w:val="24"/>
          <w:szCs w:val="24"/>
          <w:lang w:eastAsia="es-ES"/>
        </w:rPr>
        <w:t xml:space="preserve">, por lo que la espiral descrita en párrafos anteriores se traducirá en dramáticas consecuencias sociales y económicas a lo largo de los próximos diez años. Citando el informe de la entidad financiera, la cadena de noticias CNBC no ha dudado en anticipar que esta situación </w:t>
      </w:r>
      <w:hyperlink r:id="rId166" w:history="1">
        <w:r>
          <w:rPr>
            <w:rFonts w:ascii="Times New Roman" w:eastAsia="Times New Roman" w:hAnsi="Times New Roman"/>
            <w:sz w:val="24"/>
            <w:szCs w:val="24"/>
            <w:lang w:eastAsia="es-ES"/>
          </w:rPr>
          <w:t>“</w:t>
        </w:r>
      </w:hyperlink>
      <w:r w:rsidRPr="00C24AB4">
        <w:rPr>
          <w:rFonts w:ascii="Times New Roman" w:eastAsia="Times New Roman" w:hAnsi="Times New Roman"/>
          <w:sz w:val="24"/>
          <w:szCs w:val="24"/>
          <w:lang w:eastAsia="es-ES"/>
        </w:rPr>
        <w:t>.</w:t>
      </w:r>
    </w:p>
    <w:p w:rsidR="00E02187" w:rsidRPr="00C24AB4"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Evidentemente, la intervención del Estado ha sido el principal factor que ha alimentado esta gigantesca burbuja de la educación superior. La</w:t>
      </w:r>
      <w:r w:rsidRPr="00C24AB4">
        <w:rPr>
          <w:rFonts w:ascii="Times New Roman" w:eastAsia="Times New Roman" w:hAnsi="Times New Roman"/>
          <w:bCs/>
          <w:sz w:val="24"/>
          <w:szCs w:val="24"/>
          <w:lang w:eastAsia="es-ES"/>
        </w:rPr>
        <w:t xml:space="preserve"> barra libre de crédito</w:t>
      </w:r>
      <w:r w:rsidRPr="00C24AB4">
        <w:rPr>
          <w:rFonts w:ascii="Times New Roman" w:eastAsia="Times New Roman" w:hAnsi="Times New Roman"/>
          <w:sz w:val="24"/>
          <w:szCs w:val="24"/>
          <w:lang w:eastAsia="es-ES"/>
        </w:rPr>
        <w:t xml:space="preserve"> implementada por la Reserva Federal desde comienzos del siglo XXI aceleró enormemente el crecimiento de la burbuja que ahora empieza a pincharse.</w:t>
      </w:r>
    </w:p>
    <w:p w:rsidR="00E02187" w:rsidRPr="00C24AB4"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Coincidiendo con el expansionismo monetario de la FED, </w:t>
      </w:r>
      <w:hyperlink r:id="rId167" w:history="1">
        <w:r w:rsidRPr="00C24AB4">
          <w:rPr>
            <w:rFonts w:ascii="Times New Roman" w:eastAsia="Times New Roman" w:hAnsi="Times New Roman"/>
            <w:sz w:val="24"/>
            <w:szCs w:val="24"/>
            <w:lang w:eastAsia="es-ES"/>
          </w:rPr>
          <w:t>la deuda universitaria se ha disparado más de un 500%</w:t>
        </w:r>
      </w:hyperlink>
      <w:r w:rsidRPr="00C24AB4">
        <w:rPr>
          <w:rFonts w:ascii="Times New Roman" w:eastAsia="Times New Roman" w:hAnsi="Times New Roman"/>
          <w:sz w:val="24"/>
          <w:szCs w:val="24"/>
          <w:lang w:eastAsia="es-ES"/>
        </w:rPr>
        <w:t xml:space="preserve">. No obstante, el problema viene de lejos: en realidad, el espectacular aumento de los costes de la educación superior no puede explicarse sin detallar los </w:t>
      </w:r>
      <w:r w:rsidRPr="00C24AB4">
        <w:rPr>
          <w:rFonts w:ascii="Times New Roman" w:eastAsia="Times New Roman" w:hAnsi="Times New Roman"/>
          <w:bCs/>
          <w:sz w:val="24"/>
          <w:szCs w:val="24"/>
          <w:lang w:eastAsia="es-ES"/>
        </w:rPr>
        <w:t>avales y garantías</w:t>
      </w:r>
      <w:r w:rsidRPr="00C24AB4">
        <w:rPr>
          <w:rFonts w:ascii="Times New Roman" w:eastAsia="Times New Roman" w:hAnsi="Times New Roman"/>
          <w:sz w:val="24"/>
          <w:szCs w:val="24"/>
          <w:lang w:eastAsia="es-ES"/>
        </w:rPr>
        <w:t xml:space="preserve"> que las </w:t>
      </w:r>
      <w:r w:rsidRPr="00C24AB4">
        <w:rPr>
          <w:rFonts w:ascii="Times New Roman" w:eastAsia="Times New Roman" w:hAnsi="Times New Roman"/>
          <w:bCs/>
          <w:sz w:val="24"/>
          <w:szCs w:val="24"/>
          <w:lang w:eastAsia="es-ES"/>
        </w:rPr>
        <w:t>Administraciones Públicas</w:t>
      </w:r>
      <w:r w:rsidRPr="00C24AB4">
        <w:rPr>
          <w:rFonts w:ascii="Times New Roman" w:eastAsia="Times New Roman" w:hAnsi="Times New Roman"/>
          <w:sz w:val="24"/>
          <w:szCs w:val="24"/>
          <w:lang w:eastAsia="es-ES"/>
        </w:rPr>
        <w:t xml:space="preserve"> estadounidenses han concedido a los estudiantes.</w:t>
      </w:r>
    </w:p>
    <w:p w:rsidR="00E02187" w:rsidRPr="00C24AB4"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Las intenciones de esta política eran probablemente nobles, pero el resultado ha sido desastroso. En teoría, la idea era</w:t>
      </w:r>
      <w:r w:rsidRPr="00C24AB4">
        <w:rPr>
          <w:rFonts w:ascii="Times New Roman" w:eastAsia="Times New Roman" w:hAnsi="Times New Roman"/>
          <w:bCs/>
          <w:sz w:val="24"/>
          <w:szCs w:val="24"/>
          <w:lang w:eastAsia="es-ES"/>
        </w:rPr>
        <w:t xml:space="preserve"> facilitar el acceso a financiación</w:t>
      </w:r>
      <w:r w:rsidRPr="00C24AB4">
        <w:rPr>
          <w:rFonts w:ascii="Times New Roman" w:eastAsia="Times New Roman" w:hAnsi="Times New Roman"/>
          <w:sz w:val="24"/>
          <w:szCs w:val="24"/>
          <w:lang w:eastAsia="es-ES"/>
        </w:rPr>
        <w:t xml:space="preserve"> de los estudiantes; en la práctica, lo que ha supuesto esta política es una </w:t>
      </w:r>
      <w:r w:rsidRPr="00C24AB4">
        <w:rPr>
          <w:rFonts w:ascii="Times New Roman" w:eastAsia="Times New Roman" w:hAnsi="Times New Roman"/>
          <w:bCs/>
          <w:sz w:val="24"/>
          <w:szCs w:val="24"/>
          <w:lang w:eastAsia="es-ES"/>
        </w:rPr>
        <w:t>espectacular inflación de los costes educativos</w:t>
      </w:r>
      <w:r w:rsidRPr="00C24AB4">
        <w:rPr>
          <w:rFonts w:ascii="Times New Roman" w:eastAsia="Times New Roman" w:hAnsi="Times New Roman"/>
          <w:sz w:val="24"/>
          <w:szCs w:val="24"/>
          <w:lang w:eastAsia="es-ES"/>
        </w:rPr>
        <w:t xml:space="preserve">. Como las universidades cuentan con que el Estado respaldará estos préstamos, no dudan en aumentar el precio de sus matrículas año tras año. </w:t>
      </w:r>
    </w:p>
    <w:p w:rsidR="00E02187" w:rsidRPr="00C24AB4"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lastRenderedPageBreak/>
        <w:t xml:space="preserve">Entre el 2000 y el 2012, los préstamos universitarios otorgados directamente por el gobierno se multiplicaron de forma espectacular: pasaron de menos de 100.000 millones de dólares a más de 450.000 en apenas doce años. Desde la llegada del Presidente Obama a la Casa Blanca, el gobierno federal ha profundizado este proceso, </w:t>
      </w:r>
      <w:hyperlink r:id="rId168" w:history="1">
        <w:r w:rsidRPr="00C24AB4">
          <w:rPr>
            <w:rFonts w:ascii="Times New Roman" w:eastAsia="Times New Roman" w:hAnsi="Times New Roman"/>
            <w:sz w:val="24"/>
            <w:szCs w:val="24"/>
            <w:lang w:eastAsia="es-ES"/>
          </w:rPr>
          <w:t>multiplicando en más de un 300% el volumen total de créditos educativos concedidos por el Estado</w:t>
        </w:r>
      </w:hyperlink>
      <w:r w:rsidRPr="00C24AB4">
        <w:rPr>
          <w:rFonts w:ascii="Times New Roman" w:eastAsia="Times New Roman" w:hAnsi="Times New Roman"/>
          <w:sz w:val="24"/>
          <w:szCs w:val="24"/>
          <w:lang w:eastAsia="es-ES"/>
        </w:rPr>
        <w:t>.</w:t>
      </w:r>
    </w:p>
    <w:p w:rsidR="00E02187" w:rsidRPr="00C24AB4"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La </w:t>
      </w:r>
      <w:r w:rsidRPr="00C24AB4">
        <w:rPr>
          <w:rFonts w:ascii="Times New Roman" w:eastAsia="Times New Roman" w:hAnsi="Times New Roman"/>
          <w:bCs/>
          <w:sz w:val="24"/>
          <w:szCs w:val="24"/>
          <w:lang w:eastAsia="es-ES"/>
        </w:rPr>
        <w:t xml:space="preserve">masificación de la universidad </w:t>
      </w:r>
      <w:r w:rsidRPr="00C24AB4">
        <w:rPr>
          <w:rFonts w:ascii="Times New Roman" w:eastAsia="Times New Roman" w:hAnsi="Times New Roman"/>
          <w:sz w:val="24"/>
          <w:szCs w:val="24"/>
          <w:lang w:eastAsia="es-ES"/>
        </w:rPr>
        <w:t xml:space="preserve">no tiene justificación laboral, ya </w:t>
      </w:r>
      <w:hyperlink r:id="rId169" w:history="1">
        <w:r w:rsidRPr="00C24AB4">
          <w:rPr>
            <w:rFonts w:ascii="Times New Roman" w:eastAsia="Times New Roman" w:hAnsi="Times New Roman"/>
            <w:sz w:val="24"/>
            <w:szCs w:val="24"/>
            <w:lang w:eastAsia="es-ES"/>
          </w:rPr>
          <w:t xml:space="preserve">que 17 millones de estadounidenses están “sobrecualificados” y desempeñan trabajos que exigen una preparación académica inferior a la que han obtenido.  </w:t>
        </w:r>
      </w:hyperlink>
      <w:r w:rsidRPr="00C24AB4">
        <w:rPr>
          <w:rFonts w:ascii="Times New Roman" w:eastAsia="Times New Roman" w:hAnsi="Times New Roman"/>
          <w:sz w:val="24"/>
          <w:szCs w:val="24"/>
          <w:lang w:eastAsia="es-ES"/>
        </w:rPr>
        <w:t xml:space="preserve">Se calcula que a lo largo de la próxima década, los programas de refinanciación del Gobierno acabarán suponiendo </w:t>
      </w:r>
      <w:hyperlink r:id="rId170" w:history="1">
        <w:r w:rsidRPr="00C24AB4">
          <w:rPr>
            <w:rFonts w:ascii="Times New Roman" w:eastAsia="Times New Roman" w:hAnsi="Times New Roman"/>
            <w:sz w:val="24"/>
            <w:szCs w:val="24"/>
            <w:lang w:eastAsia="es-ES"/>
          </w:rPr>
          <w:t>un agujero de 190.000 millones de dólares</w:t>
        </w:r>
      </w:hyperlink>
      <w:r w:rsidRPr="00C24AB4">
        <w:rPr>
          <w:rFonts w:ascii="Times New Roman" w:eastAsia="Times New Roman" w:hAnsi="Times New Roman"/>
          <w:sz w:val="24"/>
          <w:szCs w:val="24"/>
          <w:lang w:eastAsia="es-ES"/>
        </w:rPr>
        <w:t>, que será asumido por los contribuyentes.</w:t>
      </w:r>
    </w:p>
    <w:p w:rsidR="00E02187" w:rsidRPr="00C24AB4"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La mentalidad progresista que defiende este tipo de políticas mantiene que la educación superior no debería ser analizada según criterios de mercado. </w:t>
      </w:r>
      <w:hyperlink r:id="rId171" w:history="1">
        <w:r w:rsidRPr="00C24AB4">
          <w:rPr>
            <w:rFonts w:ascii="Times New Roman" w:eastAsia="Times New Roman" w:hAnsi="Times New Roman"/>
            <w:sz w:val="24"/>
            <w:szCs w:val="24"/>
            <w:lang w:eastAsia="es-ES"/>
          </w:rPr>
          <w:t>Esto abre la puerta a la intervención estatal</w:t>
        </w:r>
      </w:hyperlink>
      <w:r w:rsidRPr="00C24AB4">
        <w:rPr>
          <w:rFonts w:ascii="Times New Roman" w:eastAsia="Times New Roman" w:hAnsi="Times New Roman"/>
          <w:sz w:val="24"/>
          <w:szCs w:val="24"/>
          <w:lang w:eastAsia="es-ES"/>
        </w:rPr>
        <w:t xml:space="preserve"> y explica el auge de licenciaturas y cursos de nula aplicación en la vida real, una fractura que numerosos empresarios llevan años denunciando y que uno puede rep</w:t>
      </w:r>
      <w:r>
        <w:rPr>
          <w:rFonts w:ascii="Times New Roman" w:eastAsia="Times New Roman" w:hAnsi="Times New Roman"/>
          <w:sz w:val="24"/>
          <w:szCs w:val="24"/>
          <w:lang w:eastAsia="es-ES"/>
        </w:rPr>
        <w:t>asando las numerosas listas de “cursos inútiles”</w:t>
      </w:r>
      <w:r w:rsidRPr="00C24AB4">
        <w:rPr>
          <w:rFonts w:ascii="Times New Roman" w:eastAsia="Times New Roman" w:hAnsi="Times New Roman"/>
          <w:sz w:val="24"/>
          <w:szCs w:val="24"/>
          <w:lang w:eastAsia="es-ES"/>
        </w:rPr>
        <w:t xml:space="preserve"> que circulan por la red.</w:t>
      </w:r>
    </w:p>
    <w:p w:rsidR="00E02187" w:rsidRPr="00C24AB4"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Existen diversos estudios que apuntan a una </w:t>
      </w:r>
      <w:hyperlink r:id="rId172" w:history="1">
        <w:r w:rsidRPr="00C24AB4">
          <w:rPr>
            <w:rFonts w:ascii="Times New Roman" w:eastAsia="Times New Roman" w:hAnsi="Times New Roman"/>
            <w:sz w:val="24"/>
            <w:szCs w:val="24"/>
            <w:lang w:eastAsia="es-ES"/>
          </w:rPr>
          <w:t>notable degradación de la moral estudiantil</w:t>
        </w:r>
      </w:hyperlink>
      <w:r w:rsidRPr="00C24AB4">
        <w:rPr>
          <w:rFonts w:ascii="Times New Roman" w:eastAsia="Times New Roman" w:hAnsi="Times New Roman"/>
          <w:sz w:val="24"/>
          <w:szCs w:val="24"/>
          <w:lang w:eastAsia="es-ES"/>
        </w:rPr>
        <w:t xml:space="preserve"> estadounidense. Según dichos informes, buena parte de los universitarios parece entender su paso por la educación superior como un periodo de socialización, en vez de como una etapa de aprendizaje.</w:t>
      </w:r>
    </w:p>
    <w:p w:rsidR="00E02187" w:rsidRPr="00C24AB4"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Entre las voces más críticas con el actual desempeño de la educación superior estadounidense encontramos a </w:t>
      </w:r>
      <w:r w:rsidRPr="00C24AB4">
        <w:rPr>
          <w:rFonts w:ascii="Times New Roman" w:eastAsia="Times New Roman" w:hAnsi="Times New Roman"/>
          <w:bCs/>
          <w:sz w:val="24"/>
          <w:szCs w:val="24"/>
          <w:lang w:eastAsia="es-ES"/>
        </w:rPr>
        <w:t xml:space="preserve">Peter Thiel </w:t>
      </w:r>
      <w:r w:rsidRPr="00C24AB4">
        <w:rPr>
          <w:rFonts w:ascii="Times New Roman" w:eastAsia="Times New Roman" w:hAnsi="Times New Roman"/>
          <w:sz w:val="24"/>
          <w:szCs w:val="24"/>
          <w:lang w:eastAsia="es-ES"/>
        </w:rPr>
        <w:t xml:space="preserve">(co-fundador de PayPal) o </w:t>
      </w:r>
      <w:r w:rsidRPr="00C24AB4">
        <w:rPr>
          <w:rFonts w:ascii="Times New Roman" w:eastAsia="Times New Roman" w:hAnsi="Times New Roman"/>
          <w:bCs/>
          <w:sz w:val="24"/>
          <w:szCs w:val="24"/>
          <w:lang w:eastAsia="es-ES"/>
        </w:rPr>
        <w:t>Peter Schiff</w:t>
      </w:r>
      <w:r w:rsidRPr="00C24AB4">
        <w:rPr>
          <w:rFonts w:ascii="Times New Roman" w:eastAsia="Times New Roman" w:hAnsi="Times New Roman"/>
          <w:sz w:val="24"/>
          <w:szCs w:val="24"/>
          <w:lang w:eastAsia="es-ES"/>
        </w:rPr>
        <w:t xml:space="preserve"> (CEO de Euro Pacific Capital). Thiel lleva años </w:t>
      </w:r>
      <w:hyperlink r:id="rId173" w:history="1">
        <w:r w:rsidRPr="00C24AB4">
          <w:rPr>
            <w:rFonts w:ascii="Times New Roman" w:eastAsia="Times New Roman" w:hAnsi="Times New Roman"/>
            <w:sz w:val="24"/>
            <w:szCs w:val="24"/>
            <w:lang w:eastAsia="es-ES"/>
          </w:rPr>
          <w:t>anticipando el pinchazo de la burbuja educativa</w:t>
        </w:r>
      </w:hyperlink>
      <w:r w:rsidRPr="00C24AB4">
        <w:rPr>
          <w:rFonts w:ascii="Times New Roman" w:eastAsia="Times New Roman" w:hAnsi="Times New Roman"/>
          <w:sz w:val="24"/>
          <w:szCs w:val="24"/>
          <w:lang w:eastAsia="es-ES"/>
        </w:rPr>
        <w:t xml:space="preserve"> y lanzó recientemente una iniciativa </w:t>
      </w:r>
      <w:hyperlink r:id="rId174" w:history="1">
        <w:r w:rsidRPr="00C24AB4">
          <w:rPr>
            <w:rFonts w:ascii="Times New Roman" w:eastAsia="Times New Roman" w:hAnsi="Times New Roman"/>
            <w:sz w:val="24"/>
            <w:szCs w:val="24"/>
            <w:lang w:eastAsia="es-ES"/>
          </w:rPr>
          <w:t>que apoya y financia a aquellos jóvenes que no quieren cursar estudios universitarios y prefieren lanzar su propio negocio</w:t>
        </w:r>
      </w:hyperlink>
      <w:r w:rsidRPr="00C24AB4">
        <w:rPr>
          <w:rFonts w:ascii="Times New Roman" w:eastAsia="Times New Roman" w:hAnsi="Times New Roman"/>
          <w:sz w:val="24"/>
          <w:szCs w:val="24"/>
          <w:lang w:eastAsia="es-ES"/>
        </w:rPr>
        <w:t xml:space="preserve">. Por su parte, Schiff </w:t>
      </w:r>
      <w:hyperlink r:id="rId175" w:history="1">
        <w:r w:rsidRPr="00C24AB4">
          <w:rPr>
            <w:rFonts w:ascii="Times New Roman" w:eastAsia="Times New Roman" w:hAnsi="Times New Roman"/>
            <w:sz w:val="24"/>
            <w:szCs w:val="24"/>
            <w:lang w:eastAsia="es-ES"/>
          </w:rPr>
          <w:t>lleva años analizando este asunto</w:t>
        </w:r>
      </w:hyperlink>
      <w:r w:rsidRPr="00C24AB4">
        <w:rPr>
          <w:rFonts w:ascii="Times New Roman" w:eastAsia="Times New Roman" w:hAnsi="Times New Roman"/>
          <w:sz w:val="24"/>
          <w:szCs w:val="24"/>
          <w:lang w:eastAsia="es-ES"/>
        </w:rPr>
        <w:t xml:space="preserve"> y </w:t>
      </w:r>
      <w:hyperlink r:id="rId176" w:history="1">
        <w:r w:rsidRPr="00C24AB4">
          <w:rPr>
            <w:rFonts w:ascii="Times New Roman" w:eastAsia="Times New Roman" w:hAnsi="Times New Roman"/>
            <w:sz w:val="24"/>
            <w:szCs w:val="24"/>
            <w:lang w:eastAsia="es-ES"/>
          </w:rPr>
          <w:t>denunciando el despilfarro</w:t>
        </w:r>
      </w:hyperlink>
      <w:r w:rsidRPr="00C24AB4">
        <w:rPr>
          <w:rFonts w:ascii="Times New Roman" w:eastAsia="Times New Roman" w:hAnsi="Times New Roman"/>
          <w:sz w:val="24"/>
          <w:szCs w:val="24"/>
          <w:lang w:eastAsia="es-ES"/>
        </w:rPr>
        <w:t xml:space="preserve"> que supone invertir miles de dólares en licenciaturas que no se ajustan a la realidad económica y social del siglo XXI.</w:t>
      </w:r>
    </w:p>
    <w:p w:rsidR="00E02187" w:rsidRPr="00C24AB4"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Aunque estas iniciativas deberían motivar un cambio de mentalidad, numerosos jóvenes siguen sumándose a la burbuja educativa sin siquiera esforzarse por reducir las obligaciones que esto les genera. Muchos ni siquiera compaginan sus estudios superiores con un trabajo a tiempo parcial, </w:t>
      </w:r>
      <w:r w:rsidRPr="00C24AB4">
        <w:rPr>
          <w:rFonts w:ascii="Times New Roman" w:eastAsia="Times New Roman" w:hAnsi="Times New Roman"/>
          <w:bCs/>
          <w:sz w:val="24"/>
          <w:szCs w:val="24"/>
          <w:lang w:eastAsia="es-ES"/>
        </w:rPr>
        <w:t>posponiendo sus deudas</w:t>
      </w:r>
      <w:r w:rsidRPr="00C24AB4">
        <w:rPr>
          <w:rFonts w:ascii="Times New Roman" w:eastAsia="Times New Roman" w:hAnsi="Times New Roman"/>
          <w:sz w:val="24"/>
          <w:szCs w:val="24"/>
          <w:lang w:eastAsia="es-ES"/>
        </w:rPr>
        <w:t xml:space="preserve"> eternamente y renunciando a amortizar rápidamente la deuda y los gastos asumidos.</w:t>
      </w:r>
    </w:p>
    <w:p w:rsidR="00E02187" w:rsidRPr="00C24AB4"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Esta actitud no parece preocupar a muchos estudiantes, que simpatizan con la propuesta de </w:t>
      </w:r>
      <w:r>
        <w:rPr>
          <w:rFonts w:ascii="Times New Roman" w:eastAsia="Times New Roman" w:hAnsi="Times New Roman"/>
          <w:sz w:val="24"/>
          <w:szCs w:val="24"/>
          <w:lang w:eastAsia="es-ES"/>
        </w:rPr>
        <w:t>“</w:t>
      </w:r>
      <w:r w:rsidRPr="00C24AB4">
        <w:rPr>
          <w:rFonts w:ascii="Times New Roman" w:eastAsia="Times New Roman" w:hAnsi="Times New Roman"/>
          <w:iCs/>
          <w:sz w:val="24"/>
          <w:szCs w:val="24"/>
          <w:lang w:eastAsia="es-ES"/>
        </w:rPr>
        <w:t>Ocupa Wall Street</w:t>
      </w:r>
      <w:r>
        <w:rPr>
          <w:rFonts w:ascii="Times New Roman" w:eastAsia="Times New Roman" w:hAnsi="Times New Roman"/>
          <w:iCs/>
          <w:sz w:val="24"/>
          <w:szCs w:val="24"/>
          <w:lang w:eastAsia="es-ES"/>
        </w:rPr>
        <w:t>”</w:t>
      </w:r>
      <w:r w:rsidRPr="00C24AB4">
        <w:rPr>
          <w:rFonts w:ascii="Times New Roman" w:eastAsia="Times New Roman" w:hAnsi="Times New Roman"/>
          <w:sz w:val="24"/>
          <w:szCs w:val="24"/>
          <w:lang w:eastAsia="es-ES"/>
        </w:rPr>
        <w:t xml:space="preserve"> de</w:t>
      </w:r>
      <w:r w:rsidRPr="00C24AB4">
        <w:rPr>
          <w:rFonts w:ascii="Times New Roman" w:eastAsia="Times New Roman" w:hAnsi="Times New Roman"/>
          <w:bCs/>
          <w:sz w:val="24"/>
          <w:szCs w:val="24"/>
          <w:lang w:eastAsia="es-ES"/>
        </w:rPr>
        <w:t xml:space="preserve"> “rescatar” a todos los universitarios </w:t>
      </w:r>
      <w:r w:rsidRPr="00C24AB4">
        <w:rPr>
          <w:rFonts w:ascii="Times New Roman" w:eastAsia="Times New Roman" w:hAnsi="Times New Roman"/>
          <w:sz w:val="24"/>
          <w:szCs w:val="24"/>
          <w:lang w:eastAsia="es-ES"/>
        </w:rPr>
        <w:t xml:space="preserve">que han asumido un préstamo que ahora les cuesta devolver. Curiosamente, los </w:t>
      </w:r>
      <w:r>
        <w:rPr>
          <w:rFonts w:ascii="Times New Roman" w:eastAsia="Times New Roman" w:hAnsi="Times New Roman"/>
          <w:sz w:val="24"/>
          <w:szCs w:val="24"/>
          <w:lang w:eastAsia="es-ES"/>
        </w:rPr>
        <w:t>“</w:t>
      </w:r>
      <w:r w:rsidRPr="00C24AB4">
        <w:rPr>
          <w:rFonts w:ascii="Times New Roman" w:eastAsia="Times New Roman" w:hAnsi="Times New Roman"/>
          <w:iCs/>
          <w:sz w:val="24"/>
          <w:szCs w:val="24"/>
          <w:lang w:eastAsia="es-ES"/>
        </w:rPr>
        <w:t>indignados</w:t>
      </w:r>
      <w:r>
        <w:rPr>
          <w:rFonts w:ascii="Times New Roman" w:eastAsia="Times New Roman" w:hAnsi="Times New Roman"/>
          <w:iCs/>
          <w:sz w:val="24"/>
          <w:szCs w:val="24"/>
          <w:lang w:eastAsia="es-ES"/>
        </w:rPr>
        <w:t>”</w:t>
      </w:r>
      <w:r w:rsidRPr="00C24AB4">
        <w:rPr>
          <w:rFonts w:ascii="Times New Roman" w:eastAsia="Times New Roman" w:hAnsi="Times New Roman"/>
          <w:i/>
          <w:iCs/>
          <w:sz w:val="24"/>
          <w:szCs w:val="24"/>
          <w:lang w:eastAsia="es-ES"/>
        </w:rPr>
        <w:t xml:space="preserve"> </w:t>
      </w:r>
      <w:r w:rsidRPr="00C24AB4">
        <w:rPr>
          <w:rFonts w:ascii="Times New Roman" w:eastAsia="Times New Roman" w:hAnsi="Times New Roman"/>
          <w:sz w:val="24"/>
          <w:szCs w:val="24"/>
          <w:lang w:eastAsia="es-ES"/>
        </w:rPr>
        <w:t xml:space="preserve">estadounidenses se oponen a los “rescates” a las empresas. Sobre este punto, cabe señalar que, según cálculos de Barclays, el total de </w:t>
      </w:r>
      <w:r w:rsidRPr="00C24AB4">
        <w:rPr>
          <w:rFonts w:ascii="Times New Roman" w:eastAsia="Times New Roman" w:hAnsi="Times New Roman"/>
          <w:bCs/>
          <w:sz w:val="24"/>
          <w:szCs w:val="24"/>
          <w:lang w:eastAsia="es-ES"/>
        </w:rPr>
        <w:t xml:space="preserve">préstamos otorgados por el Gobierno </w:t>
      </w:r>
      <w:r w:rsidRPr="00C24AB4">
        <w:rPr>
          <w:rFonts w:ascii="Times New Roman" w:eastAsia="Times New Roman" w:hAnsi="Times New Roman"/>
          <w:sz w:val="24"/>
          <w:szCs w:val="24"/>
          <w:lang w:eastAsia="es-ES"/>
        </w:rPr>
        <w:t xml:space="preserve">federal estadounidense en la última década asciende a </w:t>
      </w:r>
      <w:r w:rsidRPr="00C24AB4">
        <w:rPr>
          <w:rFonts w:ascii="Times New Roman" w:eastAsia="Times New Roman" w:hAnsi="Times New Roman"/>
          <w:bCs/>
          <w:sz w:val="24"/>
          <w:szCs w:val="24"/>
          <w:lang w:eastAsia="es-ES"/>
        </w:rPr>
        <w:t xml:space="preserve">538.000 millones </w:t>
      </w:r>
      <w:r w:rsidRPr="00C24AB4">
        <w:rPr>
          <w:rFonts w:ascii="Times New Roman" w:eastAsia="Times New Roman" w:hAnsi="Times New Roman"/>
          <w:sz w:val="24"/>
          <w:szCs w:val="24"/>
          <w:lang w:eastAsia="es-ES"/>
        </w:rPr>
        <w:t>de dólares, cifra superior al rescate financiero TARP, que ha sido valorado en 431.000 millones de dólares.</w:t>
      </w:r>
    </w:p>
    <w:p w:rsidR="00E02187" w:rsidRPr="007D3235"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sz w:val="24"/>
          <w:szCs w:val="24"/>
          <w:lang w:eastAsia="es-ES"/>
        </w:rPr>
        <w:lastRenderedPageBreak/>
        <w:drawing>
          <wp:inline distT="0" distB="0" distL="0" distR="0" wp14:anchorId="044FB586" wp14:editId="00F3783A">
            <wp:extent cx="5186306" cy="2618841"/>
            <wp:effectExtent l="0" t="0" r="0" b="0"/>
            <wp:docPr id="203" name="Imagen 203" descr="bur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bured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186680" cy="2619030"/>
                    </a:xfrm>
                    <a:prstGeom prst="rect">
                      <a:avLst/>
                    </a:prstGeom>
                    <a:noFill/>
                    <a:ln>
                      <a:noFill/>
                    </a:ln>
                  </pic:spPr>
                </pic:pic>
              </a:graphicData>
            </a:graphic>
          </wp:inline>
        </w:drawing>
      </w:r>
    </w:p>
    <w:p w:rsidR="00E02187" w:rsidRPr="007D3235"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7D3235">
        <w:rPr>
          <w:rFonts w:ascii="Times New Roman" w:eastAsia="Times New Roman" w:hAnsi="Times New Roman"/>
          <w:sz w:val="24"/>
          <w:szCs w:val="24"/>
          <w:lang w:eastAsia="es-ES"/>
        </w:rPr>
        <w:t xml:space="preserve">Por último, es innegable los propios centros que hoy se benefician de esta burbuja deben empezar a </w:t>
      </w:r>
      <w:r w:rsidRPr="004165C0">
        <w:rPr>
          <w:rFonts w:ascii="Times New Roman" w:eastAsia="Times New Roman" w:hAnsi="Times New Roman"/>
          <w:bCs/>
          <w:sz w:val="24"/>
          <w:szCs w:val="24"/>
          <w:lang w:eastAsia="es-ES"/>
        </w:rPr>
        <w:t>cambiar su modelo formativo</w:t>
      </w:r>
      <w:r w:rsidRPr="007D3235">
        <w:rPr>
          <w:rFonts w:ascii="Times New Roman" w:eastAsia="Times New Roman" w:hAnsi="Times New Roman"/>
          <w:b/>
          <w:bCs/>
          <w:sz w:val="24"/>
          <w:szCs w:val="24"/>
          <w:lang w:eastAsia="es-ES"/>
        </w:rPr>
        <w:t>.</w:t>
      </w:r>
      <w:r w:rsidRPr="007D3235">
        <w:rPr>
          <w:rFonts w:ascii="Times New Roman" w:eastAsia="Times New Roman" w:hAnsi="Times New Roman"/>
          <w:sz w:val="24"/>
          <w:szCs w:val="24"/>
          <w:lang w:eastAsia="es-ES"/>
        </w:rPr>
        <w:t xml:space="preserve"> Quizá en vez de un centro al que se acude una única vez en la vida, de los 18 a los 22 años, la universidad podría convertirse en un centro de formación al que acudir en diferentes etapas de la vida, por periodos más breves y con un enfoque más práctico y especializado. También es importante que los estudiantes puedan elegir un currículo académico más personalizado, individualizando el proceso de aprendizaje de acuerdo con las necesidades de cada uno y fomentando la formación por internet.</w:t>
      </w:r>
    </w:p>
    <w:p w:rsidR="00E02187" w:rsidRDefault="00E02187" w:rsidP="00E02187">
      <w:pPr>
        <w:spacing w:before="100" w:beforeAutospacing="1" w:after="100" w:afterAutospacing="1" w:line="240" w:lineRule="auto"/>
        <w:jc w:val="both"/>
        <w:rPr>
          <w:rFonts w:ascii="Times New Roman" w:eastAsia="Times New Roman" w:hAnsi="Times New Roman"/>
          <w:sz w:val="24"/>
          <w:szCs w:val="24"/>
          <w:lang w:eastAsia="es-ES"/>
        </w:rPr>
      </w:pPr>
      <w:r w:rsidRPr="007D3235">
        <w:rPr>
          <w:rFonts w:ascii="Times New Roman" w:eastAsia="Times New Roman" w:hAnsi="Times New Roman"/>
          <w:sz w:val="24"/>
          <w:szCs w:val="24"/>
          <w:lang w:eastAsia="es-ES"/>
        </w:rPr>
        <w:t>Por último, la modernización definitiva pasará inevitablemente por enmarcar todos estos procesos dentro de una gran reforma educativa que apueste por la exigencia académica, la competencia entre centros formativos, la innovación tecnológica y la participación del sector privado.</w:t>
      </w:r>
    </w:p>
    <w:p w:rsidR="00E02187" w:rsidRPr="004165C0" w:rsidRDefault="00E02187" w:rsidP="00E02187">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Una educación como en la familia Ingalls ¿online?</w:t>
      </w:r>
      <w:r w:rsidRPr="004165C0">
        <w:rPr>
          <w:rFonts w:ascii="Times New Roman" w:eastAsia="Times New Roman" w:hAnsi="Times New Roman"/>
          <w:sz w:val="24"/>
          <w:szCs w:val="24"/>
          <w:u w:val="single"/>
          <w:lang w:eastAsia="es-ES"/>
        </w:rPr>
        <w:t xml:space="preserve"> (un debate pendiente</w:t>
      </w:r>
      <w:r>
        <w:rPr>
          <w:rFonts w:ascii="Times New Roman" w:eastAsia="Times New Roman" w:hAnsi="Times New Roman"/>
          <w:sz w:val="24"/>
          <w:szCs w:val="24"/>
          <w:u w:val="single"/>
          <w:lang w:eastAsia="es-ES"/>
        </w:rPr>
        <w:t xml:space="preserve"> </w:t>
      </w:r>
      <w:r w:rsidRPr="004165C0">
        <w:rPr>
          <w:rFonts w:ascii="Times New Roman" w:eastAsia="Times New Roman" w:hAnsi="Times New Roman"/>
          <w:sz w:val="24"/>
          <w:szCs w:val="24"/>
          <w:u w:val="single"/>
          <w:lang w:eastAsia="es-ES"/>
        </w:rPr>
        <w:t>muy saludable)</w:t>
      </w:r>
    </w:p>
    <w:p w:rsidR="00E02187" w:rsidRDefault="00E02187" w:rsidP="00E02187">
      <w:pPr>
        <w:pStyle w:val="NormalWeb"/>
        <w:jc w:val="both"/>
      </w:pPr>
      <w:r>
        <w:t xml:space="preserve">- </w:t>
      </w:r>
      <w:r w:rsidRPr="00FE0917">
        <w:rPr>
          <w:u w:val="single"/>
        </w:rPr>
        <w:t>Así será la escuela del futuro (si no desaparece antes)</w:t>
      </w:r>
      <w:r>
        <w:t xml:space="preserve"> (El Confidencial - </w:t>
      </w:r>
      <w:r w:rsidRPr="00FE0917">
        <w:rPr>
          <w:b/>
        </w:rPr>
        <w:t>18/2/13</w:t>
      </w:r>
      <w:r>
        <w:t>)</w:t>
      </w:r>
    </w:p>
    <w:p w:rsidR="00E02187" w:rsidRPr="00FE0917" w:rsidRDefault="00E02187" w:rsidP="00E02187">
      <w:pPr>
        <w:pStyle w:val="NormalWeb"/>
        <w:jc w:val="both"/>
      </w:pPr>
      <w:r>
        <w:t>(Por Héctor G. Barnés)                                                                      Lectura recomendada</w:t>
      </w:r>
    </w:p>
    <w:p w:rsidR="00E02187" w:rsidRPr="001D3A69" w:rsidRDefault="00E02187" w:rsidP="00E02187">
      <w:pPr>
        <w:pStyle w:val="NormalWeb"/>
        <w:jc w:val="both"/>
        <w:rPr>
          <w:color w:val="FF0000"/>
          <w:u w:val="single"/>
        </w:rPr>
      </w:pPr>
      <w:r w:rsidRPr="00FE0917">
        <w:t>“Las nuevas tecnologías ofrecen una personal</w:t>
      </w:r>
      <w:r>
        <w:t>ización que el antiguo sistema -</w:t>
      </w:r>
      <w:r w:rsidRPr="00FE0917">
        <w:t xml:space="preserve">todo el mundo </w:t>
      </w:r>
      <w:r>
        <w:t>leyendo a la vez el mismo libro-</w:t>
      </w:r>
      <w:r w:rsidRPr="00FE0917">
        <w:t xml:space="preserve"> no era capaz de ofrecer”. Fue el escritor futurista </w:t>
      </w:r>
      <w:r w:rsidRPr="001D3A69">
        <w:rPr>
          <w:b/>
          <w:bCs/>
          <w:color w:val="FF0000"/>
        </w:rPr>
        <w:t>Alvin Toffler</w:t>
      </w:r>
      <w:r w:rsidRPr="001D3A69">
        <w:rPr>
          <w:color w:val="FF0000"/>
        </w:rPr>
        <w:t xml:space="preserve"> </w:t>
      </w:r>
      <w:r w:rsidRPr="00FE0917">
        <w:t xml:space="preserve">el que pronunció dicha aseveración la pasada década, en una entrevista a la ya desaparecida revista </w:t>
      </w:r>
      <w:r w:rsidRPr="00FE0917">
        <w:rPr>
          <w:i/>
          <w:iCs/>
        </w:rPr>
        <w:t>Edutopia</w:t>
      </w:r>
      <w:r w:rsidRPr="00FE0917">
        <w:t xml:space="preserve">. Toffler iba aún más allá y aseguraba que </w:t>
      </w:r>
      <w:r w:rsidRPr="00FE0917">
        <w:rPr>
          <w:b/>
          <w:bCs/>
        </w:rPr>
        <w:t>las formas de aprendizaje están condenadas a la evolución</w:t>
      </w:r>
      <w:r w:rsidRPr="00FE0917">
        <w:t xml:space="preserve"> si no queremos que el hombre sea superado por la tecnología que él mismo ha creado. </w:t>
      </w:r>
      <w:r w:rsidRPr="001D3A69">
        <w:rPr>
          <w:color w:val="FF0000"/>
          <w:u w:val="single"/>
        </w:rPr>
        <w:t xml:space="preserve">El autor de </w:t>
      </w:r>
      <w:r w:rsidRPr="001D3A69">
        <w:rPr>
          <w:i/>
          <w:iCs/>
          <w:color w:val="FF0000"/>
          <w:u w:val="single"/>
        </w:rPr>
        <w:t>La revolución de la riqueza</w:t>
      </w:r>
      <w:r w:rsidRPr="001D3A69">
        <w:rPr>
          <w:color w:val="FF0000"/>
          <w:u w:val="single"/>
        </w:rPr>
        <w:t xml:space="preserve"> (Debate) apostaba por el “cierre de la escuela pública” en Estados Unidos y la proliferación de las </w:t>
      </w:r>
      <w:r w:rsidRPr="001D3A69">
        <w:rPr>
          <w:i/>
          <w:iCs/>
          <w:color w:val="FF0000"/>
          <w:u w:val="single"/>
        </w:rPr>
        <w:t>charter schools</w:t>
      </w:r>
      <w:r w:rsidRPr="001D3A69">
        <w:rPr>
          <w:color w:val="FF0000"/>
          <w:u w:val="single"/>
        </w:rPr>
        <w:t xml:space="preserve"> (algo así como centros concertados) que, financiadas por dinero público, gozan de una amplia independencia en sus decisiones y programas educativos. </w:t>
      </w:r>
    </w:p>
    <w:p w:rsidR="00E02187" w:rsidRPr="001D3A69" w:rsidRDefault="00E02187" w:rsidP="00E02187">
      <w:pPr>
        <w:pStyle w:val="NormalWeb"/>
        <w:jc w:val="both"/>
        <w:rPr>
          <w:color w:val="FF0000"/>
          <w:u w:val="single"/>
        </w:rPr>
      </w:pPr>
      <w:r w:rsidRPr="001D3A69">
        <w:rPr>
          <w:color w:val="FF0000"/>
          <w:u w:val="single"/>
        </w:rPr>
        <w:t>Toffler enunciaba</w:t>
      </w:r>
      <w:r w:rsidRPr="001D3A69">
        <w:rPr>
          <w:color w:val="FF0000"/>
        </w:rPr>
        <w:t xml:space="preserve"> </w:t>
      </w:r>
      <w:r w:rsidRPr="00FE0917">
        <w:t xml:space="preserve">en su intervención </w:t>
      </w:r>
      <w:r w:rsidRPr="001D3A69">
        <w:rPr>
          <w:color w:val="FF0000"/>
          <w:u w:val="single"/>
        </w:rPr>
        <w:t>algunas de las características</w:t>
      </w:r>
      <w:r w:rsidRPr="001D3A69">
        <w:rPr>
          <w:color w:val="FF0000"/>
        </w:rPr>
        <w:t xml:space="preserve"> </w:t>
      </w:r>
      <w:r w:rsidRPr="00FE0917">
        <w:t xml:space="preserve">que los expertos en educación aseguran que marcarán el futuro inmediato de la educación y que, obviamente, se topan a diario con muchos problemas logísticos y de financiación. </w:t>
      </w:r>
      <w:r w:rsidRPr="001D3A69">
        <w:rPr>
          <w:color w:val="FF0000"/>
          <w:u w:val="single"/>
        </w:rPr>
        <w:lastRenderedPageBreak/>
        <w:t xml:space="preserve">Escuelas abiertas las 24 horas del día, compatibilidad del trabajo de los profesores con otras dedicaciones, programas educativos integrados en diferentes disciplinas, experiencias educativas personalizadas…. En definitiva, una flexibilidad que caracteriza a esas </w:t>
      </w:r>
      <w:r w:rsidRPr="001D3A69">
        <w:rPr>
          <w:i/>
          <w:iCs/>
          <w:color w:val="FF0000"/>
          <w:u w:val="single"/>
        </w:rPr>
        <w:t xml:space="preserve">charter schools </w:t>
      </w:r>
      <w:r w:rsidRPr="001D3A69">
        <w:rPr>
          <w:color w:val="FF0000"/>
          <w:u w:val="single"/>
        </w:rPr>
        <w:t xml:space="preserve">y que, señala el escritor, </w:t>
      </w:r>
      <w:r w:rsidRPr="001D3A69">
        <w:rPr>
          <w:b/>
          <w:bCs/>
          <w:color w:val="FF0000"/>
          <w:u w:val="single"/>
        </w:rPr>
        <w:t>ya no responde, como en el pasado, a las necesidades de una sociedad industrial</w:t>
      </w:r>
      <w:r w:rsidRPr="001D3A69">
        <w:rPr>
          <w:color w:val="FF0000"/>
          <w:u w:val="single"/>
        </w:rPr>
        <w:t xml:space="preserve"> que había perfilado la escuela tradicional, sino a las de la sociedad del conocimiento en que vivimos.</w:t>
      </w:r>
    </w:p>
    <w:p w:rsidR="00E02187" w:rsidRPr="001D3A69" w:rsidRDefault="00E02187" w:rsidP="00E02187">
      <w:pPr>
        <w:pStyle w:val="NormalWeb"/>
        <w:jc w:val="both"/>
        <w:rPr>
          <w:u w:val="single"/>
        </w:rPr>
      </w:pPr>
      <w:r w:rsidRPr="001D3A69">
        <w:rPr>
          <w:b/>
          <w:bCs/>
          <w:color w:val="FF0000"/>
          <w:u w:val="single"/>
        </w:rPr>
        <w:t>Innovación tecnológica y educación personalizada</w:t>
      </w:r>
      <w:r w:rsidRPr="001D3A69">
        <w:rPr>
          <w:color w:val="FF0000"/>
          <w:u w:val="single"/>
        </w:rPr>
        <w:t xml:space="preserve"> son seguramente los dos grandes pilares de la que será la educación del futuro</w:t>
      </w:r>
      <w:r w:rsidRPr="00FE0917">
        <w:t xml:space="preserve">, en la medida en que la situación financiera actual permita introducir estos cambios. Pero al mismo tiempo, </w:t>
      </w:r>
      <w:r w:rsidRPr="001D3A69">
        <w:rPr>
          <w:color w:val="FF0000"/>
          <w:u w:val="single"/>
        </w:rPr>
        <w:t>se están produciendo ciertos movimientos de carácter mundial que cambiarán para siempre la forma que tenemos de adquirir conocimiento.</w:t>
      </w:r>
      <w:r w:rsidRPr="00FE0917">
        <w:t xml:space="preserve"> Si no somos capaces de adaptarnos a los nuevos retos, alerta Toffler utilizando su habitual retórica apocalíptica, “estamos abocados a la catástrofe”. Quizá sea decir mucho, pero de lo que </w:t>
      </w:r>
      <w:r w:rsidRPr="001D3A69">
        <w:rPr>
          <w:u w:val="single"/>
        </w:rPr>
        <w:t>no cabe duda es que el panorama de la educación se está redibujando. ¿En qué sentido?</w:t>
      </w:r>
    </w:p>
    <w:p w:rsidR="00E02187" w:rsidRPr="00FE0917" w:rsidRDefault="00E02187" w:rsidP="00E02187">
      <w:pPr>
        <w:numPr>
          <w:ilvl w:val="0"/>
          <w:numId w:val="6"/>
        </w:numPr>
        <w:spacing w:before="100" w:beforeAutospacing="1" w:after="100" w:afterAutospacing="1" w:line="240" w:lineRule="auto"/>
        <w:jc w:val="both"/>
        <w:rPr>
          <w:rFonts w:ascii="Times New Roman" w:hAnsi="Times New Roman" w:cs="Times New Roman"/>
          <w:sz w:val="24"/>
          <w:szCs w:val="24"/>
        </w:rPr>
      </w:pPr>
      <w:r w:rsidRPr="001D3A69">
        <w:rPr>
          <w:rFonts w:ascii="Times New Roman" w:hAnsi="Times New Roman" w:cs="Times New Roman"/>
          <w:b/>
          <w:bCs/>
          <w:color w:val="FF0000"/>
          <w:sz w:val="24"/>
          <w:szCs w:val="24"/>
        </w:rPr>
        <w:t>La globalización de las universidades</w:t>
      </w:r>
      <w:r w:rsidRPr="00FE0917">
        <w:rPr>
          <w:rFonts w:ascii="Times New Roman" w:hAnsi="Times New Roman" w:cs="Times New Roman"/>
          <w:b/>
          <w:bCs/>
          <w:sz w:val="24"/>
          <w:szCs w:val="24"/>
        </w:rPr>
        <w:t xml:space="preserve">. </w:t>
      </w:r>
      <w:r w:rsidRPr="00FE0917">
        <w:rPr>
          <w:rFonts w:ascii="Times New Roman" w:hAnsi="Times New Roman" w:cs="Times New Roman"/>
          <w:sz w:val="24"/>
          <w:szCs w:val="24"/>
        </w:rPr>
        <w:t xml:space="preserve">La tecnología puede ser la forma más sencilla de conectar lugares muy distantes entre sí, pero también se puede recurrir a </w:t>
      </w:r>
      <w:r w:rsidRPr="001D3A69">
        <w:rPr>
          <w:rFonts w:ascii="Times New Roman" w:hAnsi="Times New Roman" w:cs="Times New Roman"/>
          <w:sz w:val="24"/>
          <w:szCs w:val="24"/>
          <w:u w:val="single"/>
        </w:rPr>
        <w:t>la vieja estrategia de abrir una sucursal de los centros educativos más importantes en otros países</w:t>
      </w:r>
      <w:r w:rsidRPr="00FE0917">
        <w:rPr>
          <w:rFonts w:ascii="Times New Roman" w:hAnsi="Times New Roman" w:cs="Times New Roman"/>
          <w:sz w:val="24"/>
          <w:szCs w:val="24"/>
        </w:rPr>
        <w:t xml:space="preserve">. Es lo que hizo la Harvard Business School al ofrecer diferentes programas educativos en la India basados en innovación o </w:t>
      </w:r>
      <w:r w:rsidRPr="00FE0917">
        <w:rPr>
          <w:rFonts w:ascii="Times New Roman" w:hAnsi="Times New Roman" w:cs="Times New Roman"/>
          <w:i/>
          <w:iCs/>
          <w:sz w:val="24"/>
          <w:szCs w:val="24"/>
        </w:rPr>
        <w:t>management</w:t>
      </w:r>
      <w:r w:rsidRPr="00FE0917">
        <w:rPr>
          <w:rFonts w:ascii="Times New Roman" w:hAnsi="Times New Roman" w:cs="Times New Roman"/>
          <w:sz w:val="24"/>
          <w:szCs w:val="24"/>
        </w:rPr>
        <w:t xml:space="preserve"> estratégico, con el objetivo de captar a los que serán los grandes emprendedores de esos países emergentes. Como señalaba </w:t>
      </w:r>
      <w:r w:rsidRPr="00FE0917">
        <w:rPr>
          <w:rFonts w:ascii="Times New Roman" w:hAnsi="Times New Roman" w:cs="Times New Roman"/>
          <w:b/>
          <w:bCs/>
          <w:sz w:val="24"/>
          <w:szCs w:val="24"/>
        </w:rPr>
        <w:t>Ben Wildavsky</w:t>
      </w:r>
      <w:r w:rsidRPr="00FE0917">
        <w:rPr>
          <w:rFonts w:ascii="Times New Roman" w:hAnsi="Times New Roman" w:cs="Times New Roman"/>
          <w:sz w:val="24"/>
          <w:szCs w:val="24"/>
        </w:rPr>
        <w:t xml:space="preserve"> en </w:t>
      </w:r>
      <w:r w:rsidRPr="00FE0917">
        <w:rPr>
          <w:rFonts w:ascii="Times New Roman" w:hAnsi="Times New Roman" w:cs="Times New Roman"/>
          <w:i/>
          <w:iCs/>
          <w:sz w:val="24"/>
          <w:szCs w:val="24"/>
        </w:rPr>
        <w:t>The Great Brain Race: How Global Universities Are Reshaping the World</w:t>
      </w:r>
      <w:r w:rsidRPr="00FE0917">
        <w:rPr>
          <w:rFonts w:ascii="Times New Roman" w:hAnsi="Times New Roman" w:cs="Times New Roman"/>
          <w:sz w:val="24"/>
          <w:szCs w:val="24"/>
        </w:rPr>
        <w:t xml:space="preserve"> (Princeton University Press), </w:t>
      </w:r>
      <w:r w:rsidRPr="001D3A69">
        <w:rPr>
          <w:rFonts w:ascii="Times New Roman" w:hAnsi="Times New Roman" w:cs="Times New Roman"/>
          <w:sz w:val="24"/>
          <w:szCs w:val="24"/>
          <w:u w:val="single"/>
        </w:rPr>
        <w:t>no solo hay tres millones de alumnos que cursan su educación superior fuera de sus países de origen, sino que en urbes como Abu Dhabi o Singapur están abriendo sus puertas nuevos centros educativos que pronto competirán con las universidades anglosajonas más importantes</w:t>
      </w:r>
      <w:r w:rsidRPr="00FE0917">
        <w:rPr>
          <w:rFonts w:ascii="Times New Roman" w:hAnsi="Times New Roman" w:cs="Times New Roman"/>
          <w:sz w:val="24"/>
          <w:szCs w:val="24"/>
        </w:rPr>
        <w:t>.</w:t>
      </w:r>
    </w:p>
    <w:p w:rsidR="00E02187" w:rsidRPr="00FE0917" w:rsidRDefault="00E02187" w:rsidP="00E02187">
      <w:pPr>
        <w:numPr>
          <w:ilvl w:val="0"/>
          <w:numId w:val="7"/>
        </w:numPr>
        <w:spacing w:before="100" w:beforeAutospacing="1" w:after="100" w:afterAutospacing="1" w:line="240" w:lineRule="auto"/>
        <w:jc w:val="both"/>
        <w:rPr>
          <w:rFonts w:ascii="Times New Roman" w:hAnsi="Times New Roman" w:cs="Times New Roman"/>
          <w:sz w:val="24"/>
          <w:szCs w:val="24"/>
        </w:rPr>
      </w:pPr>
      <w:r w:rsidRPr="001D3A69">
        <w:rPr>
          <w:rFonts w:ascii="Times New Roman" w:hAnsi="Times New Roman" w:cs="Times New Roman"/>
          <w:b/>
          <w:bCs/>
          <w:color w:val="FF0000"/>
          <w:sz w:val="24"/>
          <w:szCs w:val="24"/>
        </w:rPr>
        <w:t>La realidad aumentada, el arma definitiva</w:t>
      </w:r>
      <w:r w:rsidRPr="00FE0917">
        <w:rPr>
          <w:rFonts w:ascii="Times New Roman" w:hAnsi="Times New Roman" w:cs="Times New Roman"/>
          <w:b/>
          <w:bCs/>
          <w:sz w:val="24"/>
          <w:szCs w:val="24"/>
        </w:rPr>
        <w:t xml:space="preserve">. </w:t>
      </w:r>
      <w:r w:rsidRPr="00FE0917">
        <w:rPr>
          <w:rFonts w:ascii="Times New Roman" w:hAnsi="Times New Roman" w:cs="Times New Roman"/>
          <w:sz w:val="24"/>
          <w:szCs w:val="24"/>
        </w:rPr>
        <w:t xml:space="preserve">No hace falta volver a incidir en el papel clave que la tecnología puede jugar a la hora </w:t>
      </w:r>
      <w:r w:rsidRPr="001D3A69">
        <w:rPr>
          <w:rFonts w:ascii="Times New Roman" w:hAnsi="Times New Roman" w:cs="Times New Roman"/>
          <w:sz w:val="24"/>
          <w:szCs w:val="24"/>
          <w:u w:val="single"/>
        </w:rPr>
        <w:t>de conseguir que una nueva generación de nativos digitales se interese por los contenidos de cada materia,</w:t>
      </w:r>
      <w:r w:rsidRPr="00FE0917">
        <w:rPr>
          <w:rFonts w:ascii="Times New Roman" w:hAnsi="Times New Roman" w:cs="Times New Roman"/>
          <w:sz w:val="24"/>
          <w:szCs w:val="24"/>
        </w:rPr>
        <w:t xml:space="preserve"> así como para que sus padres mantengan una relación con los cuerpos docentes. Es decir: </w:t>
      </w:r>
      <w:r w:rsidRPr="001D3A69">
        <w:rPr>
          <w:rFonts w:ascii="Times New Roman" w:hAnsi="Times New Roman" w:cs="Times New Roman"/>
          <w:sz w:val="24"/>
          <w:szCs w:val="24"/>
          <w:u w:val="single"/>
        </w:rPr>
        <w:t xml:space="preserve">adiós a los libros físicos, hola a los ejercicios </w:t>
      </w:r>
      <w:r w:rsidRPr="001D3A69">
        <w:rPr>
          <w:rFonts w:ascii="Times New Roman" w:hAnsi="Times New Roman" w:cs="Times New Roman"/>
          <w:i/>
          <w:iCs/>
          <w:sz w:val="24"/>
          <w:szCs w:val="24"/>
          <w:u w:val="single"/>
        </w:rPr>
        <w:t>online</w:t>
      </w:r>
      <w:r w:rsidRPr="001D3A69">
        <w:rPr>
          <w:rFonts w:ascii="Times New Roman" w:hAnsi="Times New Roman" w:cs="Times New Roman"/>
          <w:sz w:val="24"/>
          <w:szCs w:val="24"/>
          <w:u w:val="single"/>
        </w:rPr>
        <w:t>, a las tutorías con los padres a través de la red, a los videojuegos sobre los contenidos impartidos, a las simulaciones virtuales…</w:t>
      </w:r>
      <w:r w:rsidRPr="00FE0917">
        <w:rPr>
          <w:rFonts w:ascii="Times New Roman" w:hAnsi="Times New Roman" w:cs="Times New Roman"/>
          <w:sz w:val="24"/>
          <w:szCs w:val="24"/>
        </w:rPr>
        <w:t xml:space="preserve"> A todo ello hay que añadir </w:t>
      </w:r>
      <w:r w:rsidRPr="001D3A69">
        <w:rPr>
          <w:rFonts w:ascii="Times New Roman" w:hAnsi="Times New Roman" w:cs="Times New Roman"/>
          <w:sz w:val="24"/>
          <w:szCs w:val="24"/>
          <w:u w:val="single"/>
        </w:rPr>
        <w:t>el concepto de “</w:t>
      </w:r>
      <w:r w:rsidRPr="001D3A69">
        <w:rPr>
          <w:rFonts w:ascii="Times New Roman" w:hAnsi="Times New Roman" w:cs="Times New Roman"/>
          <w:color w:val="FF0000"/>
          <w:sz w:val="24"/>
          <w:szCs w:val="24"/>
          <w:u w:val="single"/>
        </w:rPr>
        <w:t>realidad aumentada</w:t>
      </w:r>
      <w:r w:rsidRPr="001D3A69">
        <w:rPr>
          <w:rFonts w:ascii="Times New Roman" w:hAnsi="Times New Roman" w:cs="Times New Roman"/>
          <w:sz w:val="24"/>
          <w:szCs w:val="24"/>
          <w:u w:val="single"/>
        </w:rPr>
        <w:t>”, una tecnología que cada vez aparece con más frecuencia en los centros educativos y que ya no sustituye el mundo real por otro virtual, sino que complementa la percepción del primero.</w:t>
      </w:r>
      <w:r w:rsidRPr="00FE0917">
        <w:rPr>
          <w:rFonts w:ascii="Times New Roman" w:hAnsi="Times New Roman" w:cs="Times New Roman"/>
          <w:sz w:val="24"/>
          <w:szCs w:val="24"/>
        </w:rPr>
        <w:t xml:space="preserve"> Por ejemplo, a través de la reconstrucción en tres dimensiones de escenarios históricos o de simulaciones que permitan a los alumnos llevar a cabo deter</w:t>
      </w:r>
      <w:r>
        <w:rPr>
          <w:rFonts w:ascii="Times New Roman" w:hAnsi="Times New Roman" w:cs="Times New Roman"/>
          <w:sz w:val="24"/>
          <w:szCs w:val="24"/>
        </w:rPr>
        <w:t>minadas actividades peligrosas -</w:t>
      </w:r>
      <w:r w:rsidRPr="00FE0917">
        <w:rPr>
          <w:rFonts w:ascii="Times New Roman" w:hAnsi="Times New Roman" w:cs="Times New Roman"/>
          <w:sz w:val="24"/>
          <w:szCs w:val="24"/>
        </w:rPr>
        <w:t xml:space="preserve">por ejemplo, relacionadas con la </w:t>
      </w:r>
      <w:r>
        <w:rPr>
          <w:rFonts w:ascii="Times New Roman" w:hAnsi="Times New Roman" w:cs="Times New Roman"/>
          <w:sz w:val="24"/>
          <w:szCs w:val="24"/>
        </w:rPr>
        <w:t>tecnologías-</w:t>
      </w:r>
      <w:r w:rsidRPr="00FE0917">
        <w:rPr>
          <w:rFonts w:ascii="Times New Roman" w:hAnsi="Times New Roman" w:cs="Times New Roman"/>
          <w:sz w:val="24"/>
          <w:szCs w:val="24"/>
        </w:rPr>
        <w:t xml:space="preserve"> sin poner en riesgo su integridad física. </w:t>
      </w:r>
    </w:p>
    <w:p w:rsidR="00E02187" w:rsidRPr="001D3A69" w:rsidRDefault="00E02187" w:rsidP="00E02187">
      <w:pPr>
        <w:numPr>
          <w:ilvl w:val="0"/>
          <w:numId w:val="8"/>
        </w:numPr>
        <w:spacing w:before="100" w:beforeAutospacing="1" w:after="100" w:afterAutospacing="1" w:line="240" w:lineRule="auto"/>
        <w:jc w:val="both"/>
        <w:rPr>
          <w:rFonts w:ascii="Times New Roman" w:hAnsi="Times New Roman" w:cs="Times New Roman"/>
          <w:sz w:val="24"/>
          <w:szCs w:val="24"/>
          <w:u w:val="single"/>
        </w:rPr>
      </w:pPr>
      <w:r w:rsidRPr="001D3A69">
        <w:rPr>
          <w:rFonts w:ascii="Times New Roman" w:hAnsi="Times New Roman" w:cs="Times New Roman"/>
          <w:b/>
          <w:bCs/>
          <w:color w:val="FF0000"/>
          <w:sz w:val="24"/>
          <w:szCs w:val="24"/>
        </w:rPr>
        <w:t xml:space="preserve">Una educación </w:t>
      </w:r>
      <w:r w:rsidRPr="001D3A69">
        <w:rPr>
          <w:rFonts w:ascii="Times New Roman" w:hAnsi="Times New Roman" w:cs="Times New Roman"/>
          <w:b/>
          <w:bCs/>
          <w:i/>
          <w:iCs/>
          <w:color w:val="FF0000"/>
          <w:sz w:val="24"/>
          <w:szCs w:val="24"/>
        </w:rPr>
        <w:t>online</w:t>
      </w:r>
      <w:r w:rsidRPr="001D3A69">
        <w:rPr>
          <w:rFonts w:ascii="Times New Roman" w:hAnsi="Times New Roman" w:cs="Times New Roman"/>
          <w:b/>
          <w:bCs/>
          <w:color w:val="FF0000"/>
          <w:sz w:val="24"/>
          <w:szCs w:val="24"/>
        </w:rPr>
        <w:t xml:space="preserve"> gratuita</w:t>
      </w:r>
      <w:r w:rsidRPr="00FE0917">
        <w:rPr>
          <w:rFonts w:ascii="Times New Roman" w:hAnsi="Times New Roman" w:cs="Times New Roman"/>
          <w:b/>
          <w:bCs/>
          <w:sz w:val="24"/>
          <w:szCs w:val="24"/>
        </w:rPr>
        <w:t xml:space="preserve">. </w:t>
      </w:r>
      <w:r w:rsidRPr="001D3A69">
        <w:rPr>
          <w:rFonts w:ascii="Times New Roman" w:hAnsi="Times New Roman" w:cs="Times New Roman"/>
          <w:sz w:val="24"/>
          <w:szCs w:val="24"/>
          <w:u w:val="single"/>
        </w:rPr>
        <w:t>En los últimos años han proliferado iniciativas que, a un bajo precio o incluso de forma totalmente gratuita, permiten a los alumnos acceder a contenidos y clases magistrales de profesores de primera fila que en el pasado sólo unos pocos podrían haber disfrutado</w:t>
      </w:r>
      <w:r w:rsidRPr="00FE0917">
        <w:rPr>
          <w:rFonts w:ascii="Times New Roman" w:hAnsi="Times New Roman" w:cs="Times New Roman"/>
          <w:sz w:val="24"/>
          <w:szCs w:val="24"/>
        </w:rPr>
        <w:t xml:space="preserve">. Uno de los ejemplos más llamativos de esta tendencia que se ha dado en </w:t>
      </w:r>
      <w:r w:rsidRPr="001D3A69">
        <w:rPr>
          <w:rFonts w:ascii="Times New Roman" w:hAnsi="Times New Roman" w:cs="Times New Roman"/>
          <w:color w:val="FF0000"/>
          <w:sz w:val="24"/>
          <w:szCs w:val="24"/>
        </w:rPr>
        <w:t xml:space="preserve">llamar </w:t>
      </w:r>
      <w:hyperlink r:id="rId178" w:tgtFrame="_blank" w:history="1">
        <w:r w:rsidRPr="001D3A69">
          <w:rPr>
            <w:rStyle w:val="Hipervnculo"/>
            <w:rFonts w:ascii="Times New Roman" w:hAnsi="Times New Roman" w:cs="Times New Roman"/>
            <w:color w:val="FF0000"/>
            <w:sz w:val="24"/>
            <w:szCs w:val="24"/>
          </w:rPr>
          <w:t>MOOC (</w:t>
        </w:r>
        <w:r w:rsidRPr="001D3A69">
          <w:rPr>
            <w:rStyle w:val="Hipervnculo"/>
            <w:rFonts w:ascii="Times New Roman" w:hAnsi="Times New Roman" w:cs="Times New Roman"/>
            <w:i/>
            <w:iCs/>
            <w:color w:val="FF0000"/>
            <w:sz w:val="24"/>
            <w:szCs w:val="24"/>
          </w:rPr>
          <w:t>Massive Online Open Courses</w:t>
        </w:r>
        <w:r w:rsidRPr="001D3A69">
          <w:rPr>
            <w:rStyle w:val="Hipervnculo"/>
            <w:rFonts w:ascii="Times New Roman" w:hAnsi="Times New Roman" w:cs="Times New Roman"/>
            <w:color w:val="FF0000"/>
            <w:sz w:val="24"/>
            <w:szCs w:val="24"/>
          </w:rPr>
          <w:t>)</w:t>
        </w:r>
      </w:hyperlink>
      <w:r w:rsidRPr="00FE0917">
        <w:rPr>
          <w:rFonts w:ascii="Times New Roman" w:hAnsi="Times New Roman" w:cs="Times New Roman"/>
          <w:sz w:val="24"/>
          <w:szCs w:val="24"/>
        </w:rPr>
        <w:t xml:space="preserve">, es el de </w:t>
      </w:r>
      <w:hyperlink r:id="rId179" w:tgtFrame="_blank" w:history="1">
        <w:r w:rsidRPr="001D3A69">
          <w:rPr>
            <w:rStyle w:val="Hipervnculo"/>
            <w:rFonts w:ascii="Times New Roman" w:hAnsi="Times New Roman" w:cs="Times New Roman"/>
            <w:color w:val="FF0000"/>
            <w:sz w:val="24"/>
            <w:szCs w:val="24"/>
          </w:rPr>
          <w:t>Coursera</w:t>
        </w:r>
      </w:hyperlink>
      <w:r w:rsidRPr="00FE0917">
        <w:rPr>
          <w:rFonts w:ascii="Times New Roman" w:hAnsi="Times New Roman" w:cs="Times New Roman"/>
          <w:sz w:val="24"/>
          <w:szCs w:val="24"/>
        </w:rPr>
        <w:t xml:space="preserve">, que ofrece cursos de universidades </w:t>
      </w:r>
      <w:r w:rsidRPr="00FE0917">
        <w:rPr>
          <w:rFonts w:ascii="Times New Roman" w:hAnsi="Times New Roman" w:cs="Times New Roman"/>
          <w:sz w:val="24"/>
          <w:szCs w:val="24"/>
        </w:rPr>
        <w:lastRenderedPageBreak/>
        <w:t xml:space="preserve">como la de </w:t>
      </w:r>
      <w:r w:rsidRPr="001D3A69">
        <w:rPr>
          <w:rFonts w:ascii="Times New Roman" w:hAnsi="Times New Roman" w:cs="Times New Roman"/>
          <w:color w:val="FF0000"/>
          <w:sz w:val="24"/>
          <w:szCs w:val="24"/>
        </w:rPr>
        <w:t>Princeton</w:t>
      </w:r>
      <w:r w:rsidRPr="00FE0917">
        <w:rPr>
          <w:rFonts w:ascii="Times New Roman" w:hAnsi="Times New Roman" w:cs="Times New Roman"/>
          <w:sz w:val="24"/>
          <w:szCs w:val="24"/>
        </w:rPr>
        <w:t xml:space="preserve"> o Stanford </w:t>
      </w:r>
      <w:r w:rsidRPr="001D3A69">
        <w:rPr>
          <w:rFonts w:ascii="Times New Roman" w:hAnsi="Times New Roman" w:cs="Times New Roman"/>
          <w:sz w:val="24"/>
          <w:szCs w:val="24"/>
          <w:u w:val="single"/>
        </w:rPr>
        <w:t>de manera totalmente gratuita</w:t>
      </w:r>
      <w:r w:rsidRPr="00FE0917">
        <w:rPr>
          <w:rFonts w:ascii="Times New Roman" w:hAnsi="Times New Roman" w:cs="Times New Roman"/>
          <w:sz w:val="24"/>
          <w:szCs w:val="24"/>
        </w:rPr>
        <w:t xml:space="preserve">. </w:t>
      </w:r>
      <w:r w:rsidRPr="001D3A69">
        <w:rPr>
          <w:rFonts w:ascii="Times New Roman" w:hAnsi="Times New Roman" w:cs="Times New Roman"/>
          <w:sz w:val="24"/>
          <w:szCs w:val="24"/>
          <w:u w:val="single"/>
        </w:rPr>
        <w:t xml:space="preserve">¿La contrapartida? Que sus títulos aún no tienen validez, lo que abre la puerta en el futuro al fin de la llamada “titulitis”, donde lo importante ya no es tanto dónde se ha estudiado o la titulación que se posee como las capacidades que uno haya sido capaz de obtener durante su formación. </w:t>
      </w:r>
    </w:p>
    <w:p w:rsidR="00E02187" w:rsidRPr="00FE0917" w:rsidRDefault="00E02187" w:rsidP="00E02187">
      <w:pPr>
        <w:numPr>
          <w:ilvl w:val="0"/>
          <w:numId w:val="9"/>
        </w:numPr>
        <w:spacing w:before="100" w:beforeAutospacing="1" w:after="100" w:afterAutospacing="1" w:line="240" w:lineRule="auto"/>
        <w:jc w:val="both"/>
        <w:rPr>
          <w:rFonts w:ascii="Times New Roman" w:hAnsi="Times New Roman" w:cs="Times New Roman"/>
          <w:sz w:val="24"/>
          <w:szCs w:val="24"/>
        </w:rPr>
      </w:pPr>
      <w:r w:rsidRPr="001D3A69">
        <w:rPr>
          <w:rFonts w:ascii="Times New Roman" w:hAnsi="Times New Roman" w:cs="Times New Roman"/>
          <w:b/>
          <w:bCs/>
          <w:color w:val="FF0000"/>
          <w:sz w:val="24"/>
          <w:szCs w:val="24"/>
        </w:rPr>
        <w:t xml:space="preserve">Francia, </w:t>
      </w:r>
      <w:r w:rsidRPr="001D3A69">
        <w:rPr>
          <w:rFonts w:ascii="Times New Roman" w:hAnsi="Times New Roman" w:cs="Times New Roman"/>
          <w:color w:val="FF0000"/>
          <w:sz w:val="24"/>
          <w:szCs w:val="24"/>
        </w:rPr>
        <w:t>l</w:t>
      </w:r>
      <w:r w:rsidRPr="001D3A69">
        <w:rPr>
          <w:rFonts w:ascii="Times New Roman" w:hAnsi="Times New Roman" w:cs="Times New Roman"/>
          <w:b/>
          <w:bCs/>
          <w:color w:val="FF0000"/>
          <w:sz w:val="24"/>
          <w:szCs w:val="24"/>
        </w:rPr>
        <w:t>a gran apuesta universitaria occidental</w:t>
      </w:r>
      <w:r w:rsidRPr="00FE0917">
        <w:rPr>
          <w:rFonts w:ascii="Times New Roman" w:hAnsi="Times New Roman" w:cs="Times New Roman"/>
          <w:sz w:val="24"/>
          <w:szCs w:val="24"/>
        </w:rPr>
        <w:t xml:space="preserve">. </w:t>
      </w:r>
      <w:r w:rsidRPr="001D3A69">
        <w:rPr>
          <w:rFonts w:ascii="Times New Roman" w:hAnsi="Times New Roman" w:cs="Times New Roman"/>
          <w:sz w:val="24"/>
          <w:szCs w:val="24"/>
          <w:u w:val="single"/>
        </w:rPr>
        <w:t xml:space="preserve">En un momento en el que las universidades inglesas se encuentran en el punto de mira después de aumentar sensiblemente el precio de sus matrículas, provocando que sólo las clases más adineradas puedan acceder a ellas, quizá el viejo sueño de </w:t>
      </w:r>
      <w:r w:rsidRPr="001D3A69">
        <w:rPr>
          <w:rFonts w:ascii="Times New Roman" w:hAnsi="Times New Roman" w:cs="Times New Roman"/>
          <w:b/>
          <w:bCs/>
          <w:sz w:val="24"/>
          <w:szCs w:val="24"/>
          <w:u w:val="single"/>
        </w:rPr>
        <w:t>Nicolas Sarkozy</w:t>
      </w:r>
      <w:r w:rsidRPr="001D3A69">
        <w:rPr>
          <w:rFonts w:ascii="Times New Roman" w:hAnsi="Times New Roman" w:cs="Times New Roman"/>
          <w:sz w:val="24"/>
          <w:szCs w:val="24"/>
          <w:u w:val="single"/>
        </w:rPr>
        <w:t xml:space="preserve"> de convertir a Francia en la gran referencia educativa se cumpla.</w:t>
      </w:r>
      <w:r w:rsidRPr="00FE0917">
        <w:rPr>
          <w:rFonts w:ascii="Times New Roman" w:hAnsi="Times New Roman" w:cs="Times New Roman"/>
          <w:sz w:val="24"/>
          <w:szCs w:val="24"/>
        </w:rPr>
        <w:t xml:space="preserve"> Bajo el nombre de </w:t>
      </w:r>
      <w:r w:rsidRPr="001D3A69">
        <w:rPr>
          <w:rFonts w:ascii="Times New Roman" w:hAnsi="Times New Roman" w:cs="Times New Roman"/>
          <w:color w:val="FF0000"/>
          <w:sz w:val="24"/>
          <w:szCs w:val="24"/>
        </w:rPr>
        <w:t>Initiatives d’Excellence (Idex)</w:t>
      </w:r>
      <w:r w:rsidRPr="00FE0917">
        <w:rPr>
          <w:rFonts w:ascii="Times New Roman" w:hAnsi="Times New Roman" w:cs="Times New Roman"/>
          <w:sz w:val="24"/>
          <w:szCs w:val="24"/>
        </w:rPr>
        <w:t xml:space="preserve">, </w:t>
      </w:r>
      <w:r w:rsidRPr="001D3A69">
        <w:rPr>
          <w:rFonts w:ascii="Times New Roman" w:hAnsi="Times New Roman" w:cs="Times New Roman"/>
          <w:sz w:val="24"/>
          <w:szCs w:val="24"/>
          <w:u w:val="single"/>
        </w:rPr>
        <w:t>el ambicioso proyecto se ha propuesto crear “de cinco a diez centros multidisciplinares” en Francia que se constituyan como el principal conjunto de universidades del Viejo Continente, la contrapartida europea a la Ivy League americana.</w:t>
      </w:r>
      <w:r w:rsidRPr="00FE0917">
        <w:rPr>
          <w:rFonts w:ascii="Times New Roman" w:hAnsi="Times New Roman" w:cs="Times New Roman"/>
          <w:sz w:val="24"/>
          <w:szCs w:val="24"/>
        </w:rPr>
        <w:t xml:space="preserve"> Una inversión de alrededor de 7,7 mil millones de euros apoyará los ocho proyectos ganadores, anunciados entre 2011 y el pasado mes de febrero de 2012: A*MIDEX (Marsella), IPS (Isla de Francia en París), IDEX BOURDEAUX (Burdeos), PSL (París), USPC (París), SUPER (París), UNITY (Toulouse) y UNISTRA (Estrasburgo). </w:t>
      </w:r>
      <w:r w:rsidRPr="00FE0917">
        <w:rPr>
          <w:rFonts w:ascii="Times New Roman" w:hAnsi="Times New Roman" w:cs="Times New Roman"/>
          <w:b/>
          <w:bCs/>
          <w:sz w:val="24"/>
          <w:szCs w:val="24"/>
        </w:rPr>
        <w:t>François Hollande</w:t>
      </w:r>
      <w:r w:rsidRPr="00FE0917">
        <w:rPr>
          <w:rFonts w:ascii="Times New Roman" w:hAnsi="Times New Roman" w:cs="Times New Roman"/>
          <w:sz w:val="24"/>
          <w:szCs w:val="24"/>
        </w:rPr>
        <w:t xml:space="preserve">, por su parte, parece dispuesto a apoyar el proyecto, que ha sido criticado por partidos de izquierda como el Frente de Izquierda. </w:t>
      </w:r>
    </w:p>
    <w:p w:rsidR="00E02187" w:rsidRPr="00EE5702" w:rsidRDefault="00E02187" w:rsidP="00E02187">
      <w:pPr>
        <w:numPr>
          <w:ilvl w:val="0"/>
          <w:numId w:val="10"/>
        </w:numPr>
        <w:spacing w:before="100" w:beforeAutospacing="1" w:after="100" w:afterAutospacing="1" w:line="240" w:lineRule="auto"/>
        <w:jc w:val="both"/>
        <w:rPr>
          <w:rFonts w:ascii="Times New Roman" w:hAnsi="Times New Roman" w:cs="Times New Roman"/>
          <w:sz w:val="24"/>
          <w:szCs w:val="24"/>
          <w:u w:val="single"/>
        </w:rPr>
      </w:pPr>
      <w:r w:rsidRPr="001D3A69">
        <w:rPr>
          <w:rFonts w:ascii="Times New Roman" w:hAnsi="Times New Roman" w:cs="Times New Roman"/>
          <w:b/>
          <w:bCs/>
          <w:color w:val="FF0000"/>
          <w:sz w:val="24"/>
          <w:szCs w:val="24"/>
        </w:rPr>
        <w:t xml:space="preserve">¿El final del abandono escolar o su aumento exponencial? </w:t>
      </w:r>
      <w:r w:rsidRPr="001D3A69">
        <w:rPr>
          <w:rFonts w:ascii="Times New Roman" w:hAnsi="Times New Roman" w:cs="Times New Roman"/>
          <w:sz w:val="24"/>
          <w:szCs w:val="24"/>
          <w:u w:val="single"/>
        </w:rPr>
        <w:t xml:space="preserve">La educación </w:t>
      </w:r>
      <w:r w:rsidRPr="001D3A69">
        <w:rPr>
          <w:rFonts w:ascii="Times New Roman" w:hAnsi="Times New Roman" w:cs="Times New Roman"/>
          <w:i/>
          <w:iCs/>
          <w:sz w:val="24"/>
          <w:szCs w:val="24"/>
          <w:u w:val="single"/>
        </w:rPr>
        <w:t>online</w:t>
      </w:r>
      <w:r w:rsidRPr="001D3A69">
        <w:rPr>
          <w:rFonts w:ascii="Times New Roman" w:hAnsi="Times New Roman" w:cs="Times New Roman"/>
          <w:sz w:val="24"/>
          <w:szCs w:val="24"/>
          <w:u w:val="single"/>
        </w:rPr>
        <w:t xml:space="preserve"> es un arma de doble filo en lo referente al abandono escolar.</w:t>
      </w:r>
      <w:r w:rsidRPr="00FE0917">
        <w:rPr>
          <w:rFonts w:ascii="Times New Roman" w:hAnsi="Times New Roman" w:cs="Times New Roman"/>
          <w:sz w:val="24"/>
          <w:szCs w:val="24"/>
        </w:rPr>
        <w:t xml:space="preserve"> Los partidarios de la misma defienden que el acceso directo a la información sin salir de casa y el atractivo que esta puede tener para los niños más proclives al fracaso pueden provocar que sea la solución definitiva al creciente aumento del abandono educativo en primera en países como Estados Unidos. Sin embargo, </w:t>
      </w:r>
      <w:r w:rsidRPr="00EE5702">
        <w:rPr>
          <w:rFonts w:ascii="Times New Roman" w:hAnsi="Times New Roman" w:cs="Times New Roman"/>
          <w:sz w:val="24"/>
          <w:szCs w:val="24"/>
          <w:u w:val="single"/>
        </w:rPr>
        <w:t xml:space="preserve">está demostrado que la educación </w:t>
      </w:r>
      <w:r w:rsidRPr="00EE5702">
        <w:rPr>
          <w:rFonts w:ascii="Times New Roman" w:hAnsi="Times New Roman" w:cs="Times New Roman"/>
          <w:i/>
          <w:iCs/>
          <w:sz w:val="24"/>
          <w:szCs w:val="24"/>
          <w:u w:val="single"/>
        </w:rPr>
        <w:t>online</w:t>
      </w:r>
      <w:r w:rsidRPr="00EE5702">
        <w:rPr>
          <w:rFonts w:ascii="Times New Roman" w:hAnsi="Times New Roman" w:cs="Times New Roman"/>
          <w:sz w:val="24"/>
          <w:szCs w:val="24"/>
          <w:u w:val="single"/>
        </w:rPr>
        <w:t xml:space="preserve"> favorece el abandono mucho más que la presencial, ya que no genera lazos psicológicos que sí aparecen cuando se conoce en persona al docente, se hacen amigos entre los compañeros o se genera una rutina diaria en la que se acude al centro educativo.</w:t>
      </w:r>
    </w:p>
    <w:p w:rsidR="00E02187" w:rsidRPr="00FE0917" w:rsidRDefault="00E02187" w:rsidP="00E02187">
      <w:pPr>
        <w:numPr>
          <w:ilvl w:val="0"/>
          <w:numId w:val="11"/>
        </w:numPr>
        <w:spacing w:before="100" w:beforeAutospacing="1" w:after="100" w:afterAutospacing="1" w:line="240" w:lineRule="auto"/>
        <w:jc w:val="both"/>
        <w:rPr>
          <w:rFonts w:ascii="Times New Roman" w:hAnsi="Times New Roman" w:cs="Times New Roman"/>
          <w:sz w:val="24"/>
          <w:szCs w:val="24"/>
        </w:rPr>
      </w:pPr>
      <w:r w:rsidRPr="00EE5702">
        <w:rPr>
          <w:rFonts w:ascii="Times New Roman" w:hAnsi="Times New Roman" w:cs="Times New Roman"/>
          <w:b/>
          <w:bCs/>
          <w:color w:val="FF0000"/>
          <w:sz w:val="24"/>
          <w:szCs w:val="24"/>
        </w:rPr>
        <w:t>El retorno de la educación en el campo</w:t>
      </w:r>
      <w:r w:rsidRPr="00FE0917">
        <w:rPr>
          <w:rFonts w:ascii="Times New Roman" w:hAnsi="Times New Roman" w:cs="Times New Roman"/>
          <w:b/>
          <w:bCs/>
          <w:sz w:val="24"/>
          <w:szCs w:val="24"/>
        </w:rPr>
        <w:t>.</w:t>
      </w:r>
      <w:r w:rsidRPr="00FE0917">
        <w:rPr>
          <w:rFonts w:ascii="Times New Roman" w:hAnsi="Times New Roman" w:cs="Times New Roman"/>
          <w:sz w:val="24"/>
          <w:szCs w:val="24"/>
        </w:rPr>
        <w:t xml:space="preserve"> </w:t>
      </w:r>
      <w:r w:rsidRPr="00EE5702">
        <w:rPr>
          <w:rFonts w:ascii="Times New Roman" w:hAnsi="Times New Roman" w:cs="Times New Roman"/>
          <w:sz w:val="24"/>
          <w:szCs w:val="24"/>
          <w:u w:val="single"/>
        </w:rPr>
        <w:t>¿Nos espera una sociedad en la que los niños se encontrarán aislados en su casa, comunicados por una red infinita de ordenadores?</w:t>
      </w:r>
      <w:r w:rsidRPr="00FE0917">
        <w:rPr>
          <w:rFonts w:ascii="Times New Roman" w:hAnsi="Times New Roman" w:cs="Times New Roman"/>
          <w:sz w:val="24"/>
          <w:szCs w:val="24"/>
        </w:rPr>
        <w:t xml:space="preserve"> Muchos educadores han reaccionado ante tal peligro apostando por el viejo concepto de la educación en el campo, especialmente en países con una gran tradición en este aspecto como Estados Unidos, Inglaterra, Australia o Nueva Zelanda, influidos por las ideas de pensadores como </w:t>
      </w:r>
      <w:r w:rsidRPr="00FE0917">
        <w:rPr>
          <w:rFonts w:ascii="Times New Roman" w:hAnsi="Times New Roman" w:cs="Times New Roman"/>
          <w:b/>
          <w:bCs/>
          <w:sz w:val="24"/>
          <w:szCs w:val="24"/>
        </w:rPr>
        <w:t>Henry David Thoreau</w:t>
      </w:r>
      <w:r w:rsidRPr="00FE0917">
        <w:rPr>
          <w:rFonts w:ascii="Times New Roman" w:hAnsi="Times New Roman" w:cs="Times New Roman"/>
          <w:sz w:val="24"/>
          <w:szCs w:val="24"/>
        </w:rPr>
        <w:t xml:space="preserve"> o </w:t>
      </w:r>
      <w:r w:rsidRPr="00FE0917">
        <w:rPr>
          <w:rFonts w:ascii="Times New Roman" w:hAnsi="Times New Roman" w:cs="Times New Roman"/>
          <w:b/>
          <w:bCs/>
          <w:sz w:val="24"/>
          <w:szCs w:val="24"/>
        </w:rPr>
        <w:t>John Locke</w:t>
      </w:r>
      <w:r w:rsidRPr="00FE0917">
        <w:rPr>
          <w:rFonts w:ascii="Times New Roman" w:hAnsi="Times New Roman" w:cs="Times New Roman"/>
          <w:sz w:val="24"/>
          <w:szCs w:val="24"/>
        </w:rPr>
        <w:t xml:space="preserve">. En muchos casos, este tipo de salidas tienen como objetivo la concienciación sobre el medio ambiente, pero no únicamente: un estudio publicado en 1997 en el </w:t>
      </w:r>
      <w:r w:rsidRPr="00FE0917">
        <w:rPr>
          <w:rFonts w:ascii="Times New Roman" w:hAnsi="Times New Roman" w:cs="Times New Roman"/>
          <w:i/>
          <w:iCs/>
          <w:sz w:val="24"/>
          <w:szCs w:val="24"/>
        </w:rPr>
        <w:t>Review of Educational Research</w:t>
      </w:r>
      <w:r w:rsidRPr="00FE0917">
        <w:rPr>
          <w:rFonts w:ascii="Times New Roman" w:hAnsi="Times New Roman" w:cs="Times New Roman"/>
          <w:sz w:val="24"/>
          <w:szCs w:val="24"/>
        </w:rPr>
        <w:t xml:space="preserve"> puso de manifiesto que este tipo de programas tenían efectos positivos muy evidentes en el desarrollo de las habilidades comunicativas, la capacidad de liderazgo y el autoconcepto de los alumnos. </w:t>
      </w:r>
    </w:p>
    <w:p w:rsidR="00E02187" w:rsidRPr="00EE5702" w:rsidRDefault="00E02187" w:rsidP="00E02187">
      <w:pPr>
        <w:numPr>
          <w:ilvl w:val="0"/>
          <w:numId w:val="12"/>
        </w:numPr>
        <w:spacing w:before="100" w:beforeAutospacing="1" w:after="100" w:afterAutospacing="1" w:line="240" w:lineRule="auto"/>
        <w:jc w:val="both"/>
        <w:rPr>
          <w:rFonts w:ascii="Times New Roman" w:hAnsi="Times New Roman" w:cs="Times New Roman"/>
          <w:sz w:val="24"/>
          <w:szCs w:val="24"/>
          <w:u w:val="single"/>
        </w:rPr>
      </w:pPr>
      <w:r w:rsidRPr="00EE5702">
        <w:rPr>
          <w:rFonts w:ascii="Times New Roman" w:hAnsi="Times New Roman" w:cs="Times New Roman"/>
          <w:b/>
          <w:bCs/>
          <w:color w:val="FF0000"/>
          <w:sz w:val="24"/>
          <w:szCs w:val="24"/>
        </w:rPr>
        <w:t>La neurociencia nos dirá cómo aprender</w:t>
      </w:r>
      <w:r w:rsidRPr="00FE0917">
        <w:rPr>
          <w:rFonts w:ascii="Times New Roman" w:hAnsi="Times New Roman" w:cs="Times New Roman"/>
          <w:b/>
          <w:bCs/>
          <w:sz w:val="24"/>
          <w:szCs w:val="24"/>
        </w:rPr>
        <w:t>.</w:t>
      </w:r>
      <w:r w:rsidRPr="00FE0917">
        <w:rPr>
          <w:rFonts w:ascii="Times New Roman" w:hAnsi="Times New Roman" w:cs="Times New Roman"/>
          <w:sz w:val="24"/>
          <w:szCs w:val="24"/>
        </w:rPr>
        <w:t xml:space="preserve"> Los avances en el terreno de la neurociencia resultan prometedores para el mundo de la educación, ya que cada vez sabemos de manera más conc</w:t>
      </w:r>
      <w:r>
        <w:rPr>
          <w:rFonts w:ascii="Times New Roman" w:hAnsi="Times New Roman" w:cs="Times New Roman"/>
          <w:sz w:val="24"/>
          <w:szCs w:val="24"/>
        </w:rPr>
        <w:t>reta</w:t>
      </w:r>
      <w:r w:rsidRPr="00FE0917">
        <w:rPr>
          <w:rFonts w:ascii="Times New Roman" w:hAnsi="Times New Roman" w:cs="Times New Roman"/>
          <w:sz w:val="24"/>
          <w:szCs w:val="24"/>
        </w:rPr>
        <w:t xml:space="preserve"> cómo funciona nuestro cerebro. Diversos centros se han puesto en marcha en todo el planeta para averiguar cuáles son los </w:t>
      </w:r>
      <w:r w:rsidRPr="00FE0917">
        <w:rPr>
          <w:rFonts w:ascii="Times New Roman" w:hAnsi="Times New Roman" w:cs="Times New Roman"/>
          <w:sz w:val="24"/>
          <w:szCs w:val="24"/>
        </w:rPr>
        <w:lastRenderedPageBreak/>
        <w:t xml:space="preserve">métodos más útiles de aprendizaje, como son el Centre for Educational Neuroscience en el Reino Unido o diversas iniciativas de la National Academy of Science americana. </w:t>
      </w:r>
      <w:r w:rsidRPr="00EE5702">
        <w:rPr>
          <w:rFonts w:ascii="Times New Roman" w:hAnsi="Times New Roman" w:cs="Times New Roman"/>
          <w:sz w:val="24"/>
          <w:szCs w:val="24"/>
          <w:u w:val="single"/>
        </w:rPr>
        <w:t>Se han llegado a diversas conclusiones en todos los ámbitos de la educación, pero en términos generales, se ha puesto de relieve la importancia de las emociones en el aprendizaje, el papel que ambos hemisferios del cerebro juegan a la hora de adquirir conocimiento y la existencia de modelos muy distintos de inteligencia.</w:t>
      </w:r>
    </w:p>
    <w:p w:rsidR="00E02187" w:rsidRPr="00EE5702" w:rsidRDefault="00E02187" w:rsidP="00E02187">
      <w:pPr>
        <w:numPr>
          <w:ilvl w:val="0"/>
          <w:numId w:val="13"/>
        </w:numPr>
        <w:spacing w:before="100" w:beforeAutospacing="1" w:after="100" w:afterAutospacing="1" w:line="240" w:lineRule="auto"/>
        <w:jc w:val="both"/>
        <w:rPr>
          <w:rFonts w:ascii="Times New Roman" w:hAnsi="Times New Roman" w:cs="Times New Roman"/>
          <w:sz w:val="24"/>
          <w:szCs w:val="24"/>
          <w:u w:val="single"/>
        </w:rPr>
      </w:pPr>
      <w:r w:rsidRPr="00EE5702">
        <w:rPr>
          <w:rFonts w:ascii="Times New Roman" w:hAnsi="Times New Roman" w:cs="Times New Roman"/>
          <w:b/>
          <w:bCs/>
          <w:color w:val="FF0000"/>
          <w:sz w:val="24"/>
          <w:szCs w:val="24"/>
        </w:rPr>
        <w:t xml:space="preserve">El final del </w:t>
      </w:r>
      <w:r w:rsidRPr="00EE5702">
        <w:rPr>
          <w:rFonts w:ascii="Times New Roman" w:hAnsi="Times New Roman" w:cs="Times New Roman"/>
          <w:b/>
          <w:bCs/>
          <w:i/>
          <w:iCs/>
          <w:color w:val="FF0000"/>
          <w:sz w:val="24"/>
          <w:szCs w:val="24"/>
        </w:rPr>
        <w:t>bullying</w:t>
      </w:r>
      <w:r w:rsidRPr="00FE0917">
        <w:rPr>
          <w:rFonts w:ascii="Times New Roman" w:hAnsi="Times New Roman" w:cs="Times New Roman"/>
          <w:b/>
          <w:bCs/>
          <w:sz w:val="24"/>
          <w:szCs w:val="24"/>
        </w:rPr>
        <w:t>.</w:t>
      </w:r>
      <w:r w:rsidRPr="00FE0917">
        <w:rPr>
          <w:rFonts w:ascii="Times New Roman" w:hAnsi="Times New Roman" w:cs="Times New Roman"/>
          <w:sz w:val="24"/>
          <w:szCs w:val="24"/>
        </w:rPr>
        <w:t xml:space="preserve"> Hasta que a comienzos de los años noventa el psicólogo </w:t>
      </w:r>
      <w:r w:rsidRPr="00FE0917">
        <w:rPr>
          <w:rFonts w:ascii="Times New Roman" w:hAnsi="Times New Roman" w:cs="Times New Roman"/>
          <w:b/>
          <w:bCs/>
          <w:sz w:val="24"/>
          <w:szCs w:val="24"/>
        </w:rPr>
        <w:t>Dan Olweus</w:t>
      </w:r>
      <w:r w:rsidRPr="00FE0917">
        <w:rPr>
          <w:rFonts w:ascii="Times New Roman" w:hAnsi="Times New Roman" w:cs="Times New Roman"/>
          <w:sz w:val="24"/>
          <w:szCs w:val="24"/>
        </w:rPr>
        <w:t xml:space="preserve"> utilizó el concepto de </w:t>
      </w:r>
      <w:r w:rsidRPr="00FE0917">
        <w:rPr>
          <w:rFonts w:ascii="Times New Roman" w:hAnsi="Times New Roman" w:cs="Times New Roman"/>
          <w:i/>
          <w:iCs/>
          <w:sz w:val="24"/>
          <w:szCs w:val="24"/>
        </w:rPr>
        <w:t>bullying</w:t>
      </w:r>
      <w:r w:rsidRPr="00FE0917">
        <w:rPr>
          <w:rFonts w:ascii="Times New Roman" w:hAnsi="Times New Roman" w:cs="Times New Roman"/>
          <w:sz w:val="24"/>
          <w:szCs w:val="24"/>
        </w:rPr>
        <w:t xml:space="preserve"> para dar nombre a las conductas de agresión, física o psicológica, entre escolares, pocos se habían preocupado por las consecuencias que estos casos, muchas veces calificados como “meras chiquilladas”, podían tener en el desarrollo del niño. La concienciación de la sociedad sobre este problema ha provocado que gran parte de los países occidentales gocen de una mayor legislación sobre este aspecto, y los profesores gozan de una mejor preparación para afrontar estas situaciones. </w:t>
      </w:r>
      <w:r w:rsidRPr="00EE5702">
        <w:rPr>
          <w:rFonts w:ascii="Times New Roman" w:hAnsi="Times New Roman" w:cs="Times New Roman"/>
          <w:sz w:val="24"/>
          <w:szCs w:val="24"/>
          <w:u w:val="single"/>
        </w:rPr>
        <w:t xml:space="preserve">La virtualización de la enseñanza provocará que las agresiones físicas disminuyan, pero al mismo tiempo, </w:t>
      </w:r>
      <w:r>
        <w:rPr>
          <w:rFonts w:ascii="Times New Roman" w:hAnsi="Times New Roman" w:cs="Times New Roman"/>
          <w:sz w:val="24"/>
          <w:szCs w:val="24"/>
          <w:u w:val="single"/>
        </w:rPr>
        <w:t>que aumente el tan preocupante -</w:t>
      </w:r>
      <w:r w:rsidRPr="00EE5702">
        <w:rPr>
          <w:rFonts w:ascii="Times New Roman" w:hAnsi="Times New Roman" w:cs="Times New Roman"/>
          <w:sz w:val="24"/>
          <w:szCs w:val="24"/>
          <w:u w:val="single"/>
        </w:rPr>
        <w:t xml:space="preserve">por difícil </w:t>
      </w:r>
      <w:r>
        <w:rPr>
          <w:rFonts w:ascii="Times New Roman" w:hAnsi="Times New Roman" w:cs="Times New Roman"/>
          <w:sz w:val="24"/>
          <w:szCs w:val="24"/>
          <w:u w:val="single"/>
        </w:rPr>
        <w:t>de identificar-</w:t>
      </w:r>
      <w:r w:rsidRPr="00EE5702">
        <w:rPr>
          <w:rFonts w:ascii="Times New Roman" w:hAnsi="Times New Roman" w:cs="Times New Roman"/>
          <w:sz w:val="24"/>
          <w:szCs w:val="24"/>
          <w:u w:val="single"/>
        </w:rPr>
        <w:t xml:space="preserve"> </w:t>
      </w:r>
      <w:r w:rsidRPr="00EE5702">
        <w:rPr>
          <w:rFonts w:ascii="Times New Roman" w:hAnsi="Times New Roman" w:cs="Times New Roman"/>
          <w:i/>
          <w:iCs/>
          <w:sz w:val="24"/>
          <w:szCs w:val="24"/>
          <w:u w:val="single"/>
        </w:rPr>
        <w:t>cyberbullying</w:t>
      </w:r>
      <w:r w:rsidRPr="00EE5702">
        <w:rPr>
          <w:rFonts w:ascii="Times New Roman" w:hAnsi="Times New Roman" w:cs="Times New Roman"/>
          <w:sz w:val="24"/>
          <w:szCs w:val="24"/>
          <w:u w:val="single"/>
        </w:rPr>
        <w:t xml:space="preserve">. </w:t>
      </w:r>
    </w:p>
    <w:p w:rsidR="00E02187" w:rsidRPr="00FE0917" w:rsidRDefault="00E02187" w:rsidP="00E02187">
      <w:pPr>
        <w:numPr>
          <w:ilvl w:val="0"/>
          <w:numId w:val="14"/>
        </w:numPr>
        <w:spacing w:before="100" w:beforeAutospacing="1" w:after="100" w:afterAutospacing="1" w:line="240" w:lineRule="auto"/>
        <w:jc w:val="both"/>
        <w:rPr>
          <w:rFonts w:ascii="Times New Roman" w:hAnsi="Times New Roman" w:cs="Times New Roman"/>
          <w:sz w:val="24"/>
          <w:szCs w:val="24"/>
        </w:rPr>
      </w:pPr>
      <w:r w:rsidRPr="00EE5702">
        <w:rPr>
          <w:rFonts w:ascii="Times New Roman" w:hAnsi="Times New Roman" w:cs="Times New Roman"/>
          <w:b/>
          <w:bCs/>
          <w:color w:val="FF0000"/>
          <w:sz w:val="24"/>
          <w:szCs w:val="24"/>
        </w:rPr>
        <w:t>Una educación definida por las empresas</w:t>
      </w:r>
      <w:r w:rsidRPr="00FE0917">
        <w:rPr>
          <w:rFonts w:ascii="Times New Roman" w:hAnsi="Times New Roman" w:cs="Times New Roman"/>
          <w:b/>
          <w:bCs/>
          <w:sz w:val="24"/>
          <w:szCs w:val="24"/>
        </w:rPr>
        <w:t xml:space="preserve">. </w:t>
      </w:r>
      <w:r w:rsidRPr="00EE5702">
        <w:rPr>
          <w:rFonts w:ascii="Times New Roman" w:hAnsi="Times New Roman" w:cs="Times New Roman"/>
          <w:sz w:val="24"/>
          <w:szCs w:val="24"/>
          <w:u w:val="single"/>
        </w:rPr>
        <w:t>El proceso ya ha comenzado. Ante la constante queja de que el mundo educativo y el mundo laboral recorren caminos separados, el liberalismo económico ha defendido la idea de que la educación ha de adaptarse a la empresa, tanto para garantizar el futuro laboral de los estudiantes (dicen sus partidarios), como para obtener trabajadores ya adaptados a cada perfil demandado (dicen sus críticos).</w:t>
      </w:r>
      <w:r w:rsidRPr="00FE0917">
        <w:rPr>
          <w:rFonts w:ascii="Times New Roman" w:hAnsi="Times New Roman" w:cs="Times New Roman"/>
          <w:sz w:val="24"/>
          <w:szCs w:val="24"/>
        </w:rPr>
        <w:t xml:space="preserve"> En ese sentido, leyes españolas como la de la Formación Profesional Dual, que favorece la participación de las empresas en la educación a través de convenios con cada centro, o diversas directivas de la Comunidad Europea, suponen un importante salto a la hora de que el modelo formativo se adapte al mercado.</w:t>
      </w:r>
    </w:p>
    <w:p w:rsidR="00E02187" w:rsidRDefault="00E02187" w:rsidP="00E02187">
      <w:pPr>
        <w:numPr>
          <w:ilvl w:val="0"/>
          <w:numId w:val="15"/>
        </w:numPr>
        <w:spacing w:before="100" w:beforeAutospacing="1" w:after="100" w:afterAutospacing="1" w:line="240" w:lineRule="auto"/>
        <w:jc w:val="both"/>
        <w:rPr>
          <w:rFonts w:ascii="Times New Roman" w:hAnsi="Times New Roman" w:cs="Times New Roman"/>
          <w:color w:val="FF0000"/>
          <w:sz w:val="24"/>
          <w:szCs w:val="24"/>
          <w:u w:val="single"/>
        </w:rPr>
      </w:pPr>
      <w:r w:rsidRPr="00EE5702">
        <w:rPr>
          <w:rFonts w:ascii="Times New Roman" w:hAnsi="Times New Roman" w:cs="Times New Roman"/>
          <w:b/>
          <w:bCs/>
          <w:color w:val="FF0000"/>
          <w:sz w:val="24"/>
          <w:szCs w:val="24"/>
        </w:rPr>
        <w:t>La desaparición de la escuela</w:t>
      </w:r>
      <w:r w:rsidRPr="00FE0917">
        <w:rPr>
          <w:rFonts w:ascii="Times New Roman" w:hAnsi="Times New Roman" w:cs="Times New Roman"/>
          <w:b/>
          <w:bCs/>
          <w:sz w:val="24"/>
          <w:szCs w:val="24"/>
        </w:rPr>
        <w:t>.</w:t>
      </w:r>
      <w:r w:rsidRPr="00FE0917">
        <w:rPr>
          <w:rFonts w:ascii="Times New Roman" w:hAnsi="Times New Roman" w:cs="Times New Roman"/>
          <w:sz w:val="24"/>
          <w:szCs w:val="24"/>
        </w:rPr>
        <w:t xml:space="preserve"> </w:t>
      </w:r>
      <w:r w:rsidRPr="00EE5702">
        <w:rPr>
          <w:rFonts w:ascii="Times New Roman" w:hAnsi="Times New Roman" w:cs="Times New Roman"/>
          <w:sz w:val="24"/>
          <w:szCs w:val="24"/>
          <w:u w:val="single"/>
        </w:rPr>
        <w:t>En última instancia, cabe la posibilidad de que el colegio, tal y como lo conocemos hoy en día, desaparezca. Algunos afirman que porque el centro escolar como tal desaparecerá, y la educación se trasladará a la esfera privada de cada hogar.</w:t>
      </w:r>
      <w:r w:rsidRPr="00FE0917">
        <w:rPr>
          <w:rFonts w:ascii="Times New Roman" w:hAnsi="Times New Roman" w:cs="Times New Roman"/>
          <w:sz w:val="24"/>
          <w:szCs w:val="24"/>
        </w:rPr>
        <w:t xml:space="preserve"> Otros, porque anticipan la aparición de nuevos centros que no se destinarán únicamente a impartir clases, sino donde también los niños podrán realizar deporte, jugar con sus compañeros, comer, cenar, pasar su tiempo libre… </w:t>
      </w:r>
      <w:r w:rsidRPr="00EE5702">
        <w:rPr>
          <w:rFonts w:ascii="Times New Roman" w:hAnsi="Times New Roman" w:cs="Times New Roman"/>
          <w:color w:val="FF0000"/>
          <w:sz w:val="24"/>
          <w:szCs w:val="24"/>
          <w:u w:val="single"/>
        </w:rPr>
        <w:t>En cualquier caso, lo que está claro es que, en un sentido u otro, los horarios de nueve a tres están mucho más cerca de extinguirse de lo que pensamos.</w:t>
      </w:r>
    </w:p>
    <w:p w:rsidR="00E02187" w:rsidRPr="00EA5ECF" w:rsidRDefault="00E02187" w:rsidP="00E02187">
      <w:pPr>
        <w:pStyle w:val="NormalWeb"/>
        <w:jc w:val="both"/>
        <w:rPr>
          <w:u w:val="single"/>
        </w:rPr>
      </w:pPr>
      <w:r w:rsidRPr="00EA5ECF">
        <w:rPr>
          <w:u w:val="single"/>
        </w:rPr>
        <w:t>Los expertos aseguran que lo más importante para tener un sistema educativo de calidad es atraer a buenos profesores y motivarlos correctamente.</w:t>
      </w:r>
    </w:p>
    <w:p w:rsidR="00E02187" w:rsidRPr="00A8596F" w:rsidRDefault="00E02187" w:rsidP="00E02187">
      <w:pPr>
        <w:pStyle w:val="NormalWeb"/>
        <w:jc w:val="both"/>
      </w:pPr>
      <w:r>
        <w:rPr>
          <w:i/>
        </w:rPr>
        <w:t>“</w:t>
      </w:r>
      <w:r w:rsidRPr="00EA5ECF">
        <w:rPr>
          <w:i/>
        </w:rPr>
        <w:t xml:space="preserve">Lo más importante para conseguir una </w:t>
      </w:r>
      <w:r w:rsidRPr="00EA5ECF">
        <w:rPr>
          <w:rStyle w:val="Textoennegrita"/>
          <w:b w:val="0"/>
          <w:i/>
        </w:rPr>
        <w:t>escuela de calidad es tener buenos profesores</w:t>
      </w:r>
      <w:r w:rsidRPr="00EA5ECF">
        <w:rPr>
          <w:i/>
        </w:rPr>
        <w:t xml:space="preserve">. Parece una verdad de Perogrullo, pero lo cierto es que en el debate sobre el sistema educativo no siempre se tiene en cuenta. En muchas ocasiones, se pone el acento en cuestiones como el gasto total medido en relación con el PIB, el número de alumnos por aula o los diferentes planes educativos. Sin embargo, la mayoría de los estudios internacionales aseguran que estos aspectos son secundarios, aunque hay algo en lo que coinciden todos los modelos de éxito, desde Finlandia a Singapur: tienen unos </w:t>
      </w:r>
      <w:r w:rsidRPr="00EA5ECF">
        <w:rPr>
          <w:i/>
        </w:rPr>
        <w:lastRenderedPageBreak/>
        <w:t>maestros excelentes</w:t>
      </w:r>
      <w:r>
        <w:rPr>
          <w:i/>
        </w:rPr>
        <w:t>”..</w:t>
      </w:r>
      <w:r w:rsidRPr="00EA5ECF">
        <w:rPr>
          <w:i/>
        </w:rPr>
        <w:t>.</w:t>
      </w:r>
      <w:r>
        <w:rPr>
          <w:i/>
        </w:rPr>
        <w:t xml:space="preserve"> </w:t>
      </w:r>
      <w:r w:rsidRPr="00A8596F">
        <w:rPr>
          <w:u w:val="single"/>
        </w:rPr>
        <w:t>¿Cómo reclutan e incentivan a sus maestros los países más exitosos?</w:t>
      </w:r>
      <w:r>
        <w:t xml:space="preserve"> (Libertad Digital - </w:t>
      </w:r>
      <w:r w:rsidRPr="00A8596F">
        <w:rPr>
          <w:b/>
        </w:rPr>
        <w:t>15/3/13</w:t>
      </w:r>
      <w:r>
        <w:t>)</w:t>
      </w:r>
    </w:p>
    <w:p w:rsidR="00E02187" w:rsidRPr="00D762BF" w:rsidRDefault="00E02187" w:rsidP="00E02187">
      <w:pPr>
        <w:pStyle w:val="NormalWeb"/>
        <w:jc w:val="both"/>
      </w:pPr>
      <w:r w:rsidRPr="00D762BF">
        <w:t xml:space="preserve">La importancia de un buen profesor no debe ser subestimada. En los últimos años, en España, </w:t>
      </w:r>
      <w:hyperlink r:id="rId180" w:history="1">
        <w:r w:rsidRPr="00D762BF">
          <w:rPr>
            <w:rStyle w:val="Hipervnculo"/>
            <w:rFonts w:eastAsiaTheme="majorEastAsia"/>
            <w:color w:val="auto"/>
          </w:rPr>
          <w:t>Fedea</w:t>
        </w:r>
      </w:hyperlink>
      <w:r w:rsidRPr="00D762BF">
        <w:t xml:space="preserve"> (especialmente con los trabajos de </w:t>
      </w:r>
      <w:hyperlink r:id="rId181" w:history="1">
        <w:r w:rsidRPr="00D762BF">
          <w:rPr>
            <w:rStyle w:val="Hipervnculo"/>
            <w:rFonts w:eastAsiaTheme="majorEastAsia"/>
            <w:color w:val="auto"/>
          </w:rPr>
          <w:t>Antonio Cabrales</w:t>
        </w:r>
      </w:hyperlink>
      <w:r w:rsidRPr="00D762BF">
        <w:t xml:space="preserve"> y </w:t>
      </w:r>
      <w:hyperlink r:id="rId182" w:history="1">
        <w:r w:rsidRPr="00D762BF">
          <w:rPr>
            <w:rStyle w:val="Hipervnculo"/>
            <w:rFonts w:eastAsiaTheme="majorEastAsia"/>
            <w:color w:val="auto"/>
          </w:rPr>
          <w:t>Florentino Felgueroso</w:t>
        </w:r>
      </w:hyperlink>
      <w:r w:rsidRPr="00D762BF">
        <w:t xml:space="preserve">) ha sido una de las instituciones que más y </w:t>
      </w:r>
      <w:r w:rsidRPr="00D762BF">
        <w:rPr>
          <w:rStyle w:val="Textoennegrita"/>
          <w:b w:val="0"/>
        </w:rPr>
        <w:t>mejor ha investigado, con cifras y un análisis económico serio</w:t>
      </w:r>
      <w:r w:rsidRPr="00D762BF">
        <w:t xml:space="preserve">, cuáles son los problemas del sistema educativo. Según sus datos, recogidos en esta </w:t>
      </w:r>
      <w:hyperlink r:id="rId183" w:history="1">
        <w:r w:rsidRPr="00D762BF">
          <w:rPr>
            <w:rStyle w:val="Hipervnculo"/>
            <w:rFonts w:eastAsiaTheme="majorEastAsia"/>
            <w:color w:val="auto"/>
          </w:rPr>
          <w:t>pequeña presentación</w:t>
        </w:r>
      </w:hyperlink>
      <w:r w:rsidRPr="00D762BF">
        <w:t>, “sustituir el 10% de profesores peores por profesores en la media de la distribución nos llevaría al nivel de Canadá en PISA; y esto bastaría para subir el crecimiento económico y doblar la renta en 20 años”.</w:t>
      </w:r>
    </w:p>
    <w:p w:rsidR="00E02187" w:rsidRPr="00D762BF" w:rsidRDefault="00E02187" w:rsidP="00E02187">
      <w:pPr>
        <w:pStyle w:val="NormalWeb"/>
        <w:jc w:val="both"/>
      </w:pPr>
      <w:r w:rsidRPr="00D762BF">
        <w:t xml:space="preserve">A pesar de todo lo que se escucha en los medios en los últimos meses, el último </w:t>
      </w:r>
      <w:hyperlink r:id="rId184" w:anchor="pisa2009_1" w:history="1">
        <w:r w:rsidRPr="00D762BF">
          <w:rPr>
            <w:rStyle w:val="Hipervnculo"/>
            <w:rFonts w:eastAsiaTheme="majorEastAsia"/>
            <w:color w:val="auto"/>
          </w:rPr>
          <w:t>informe de PISA</w:t>
        </w:r>
      </w:hyperlink>
      <w:r w:rsidRPr="00D762BF">
        <w:t xml:space="preserve"> (el </w:t>
      </w:r>
      <w:hyperlink r:id="rId185" w:history="1">
        <w:r w:rsidRPr="00D762BF">
          <w:rPr>
            <w:rStyle w:val="Hipervnculo"/>
            <w:rFonts w:eastAsiaTheme="majorEastAsia"/>
            <w:color w:val="auto"/>
          </w:rPr>
          <w:t>estudio de la OCDE</w:t>
        </w:r>
      </w:hyperlink>
      <w:r w:rsidRPr="00D762BF">
        <w:t xml:space="preserve"> que es considerado la prueba más fiable para comparar los sistemas de los diferentes países) destaca que llegados a un nivel de gasto mínimo, que todos los países occidentales alcanzan, el</w:t>
      </w:r>
      <w:r w:rsidRPr="00D762BF">
        <w:rPr>
          <w:rStyle w:val="Textoennegrita"/>
        </w:rPr>
        <w:t xml:space="preserve"> </w:t>
      </w:r>
      <w:r w:rsidRPr="00D762BF">
        <w:rPr>
          <w:rStyle w:val="Textoennegrita"/>
          <w:b w:val="0"/>
        </w:rPr>
        <w:t>dinero invertido por alumno no es un factor determinante en los resultados</w:t>
      </w:r>
      <w:r w:rsidRPr="00D762BF">
        <w:t>. Mientras tanto, la calidad de los profesores aparece como el elemento más importante para las buenas notas de los estudiantes.</w:t>
      </w:r>
    </w:p>
    <w:p w:rsidR="00E02187" w:rsidRPr="00D762BF" w:rsidRDefault="00E02187" w:rsidP="00E02187">
      <w:pPr>
        <w:pStyle w:val="NormalWeb"/>
        <w:jc w:val="both"/>
      </w:pPr>
      <w:r w:rsidRPr="00D762BF">
        <w:t xml:space="preserve">En el mismo sentido, la consultora </w:t>
      </w:r>
      <w:hyperlink r:id="rId186" w:history="1">
        <w:r w:rsidRPr="00D762BF">
          <w:rPr>
            <w:rStyle w:val="Hipervnculo"/>
            <w:rFonts w:eastAsiaTheme="majorEastAsia"/>
            <w:color w:val="auto"/>
          </w:rPr>
          <w:t>McKinsey publicó</w:t>
        </w:r>
      </w:hyperlink>
      <w:r w:rsidRPr="00D762BF">
        <w:t xml:space="preserve"> en 2007 su </w:t>
      </w:r>
      <w:hyperlink r:id="rId187" w:history="1">
        <w:r w:rsidRPr="00D762BF">
          <w:rPr>
            <w:rStyle w:val="Hipervnculo"/>
            <w:rFonts w:eastAsiaTheme="majorEastAsia"/>
            <w:color w:val="auto"/>
          </w:rPr>
          <w:t>informe</w:t>
        </w:r>
      </w:hyperlink>
      <w:r w:rsidRPr="00D762BF">
        <w:t xml:space="preserve"> </w:t>
      </w:r>
      <w:r w:rsidRPr="00D762BF">
        <w:rPr>
          <w:rStyle w:val="nfasis"/>
        </w:rPr>
        <w:t>Cómo hicieron los sistemas educativos con mejor desempeño del mundo para alcanzar sus objetivos</w:t>
      </w:r>
      <w:r w:rsidRPr="00D762BF">
        <w:t xml:space="preserve">. Su principal conclusión es que los países con mejores resultados han basado su desempeño en tres claves: 1) </w:t>
      </w:r>
      <w:r w:rsidRPr="00D762BF">
        <w:rPr>
          <w:rStyle w:val="Textoennegrita"/>
          <w:b w:val="0"/>
        </w:rPr>
        <w:t>conseguir a las personas más aptas para ejercer la docencia</w:t>
      </w:r>
      <w:r w:rsidRPr="00D762BF">
        <w:t>, 2) desarrollarlas hasta convertirlas en instructores eficientes y 3) garantizar que el sistema sea capaz de brindar la mejor instrucción posible a todos los niños. “La calidad de un sistema educativo tiene como techo la calidad de sus docentes”, aseguran sus autores.</w:t>
      </w:r>
    </w:p>
    <w:p w:rsidR="00E02187" w:rsidRPr="00D762BF" w:rsidRDefault="00E02187" w:rsidP="00E02187">
      <w:pPr>
        <w:pStyle w:val="NormalWeb"/>
        <w:jc w:val="both"/>
      </w:pPr>
      <w:r w:rsidRPr="00D762BF">
        <w:t xml:space="preserve">Una vez que esto está claro, la pregunta que todos nos hacemos es cómo conseguir a estos grandes maestros. La respuesta está en </w:t>
      </w:r>
      <w:r w:rsidRPr="00D762BF">
        <w:rPr>
          <w:rStyle w:val="Textoennegrita"/>
          <w:b w:val="0"/>
        </w:rPr>
        <w:t>un buen proceso de selección, que atraiga a los jóvenes más brillantes</w:t>
      </w:r>
      <w:r w:rsidRPr="00D762BF">
        <w:t xml:space="preserve"> y con vocación; y en la creación de una carrera profesional con los mejores incentivos, que ayude a progresar a los mejores, les premie y recompense como merecen y esperan. Desgraciadamente, </w:t>
      </w:r>
      <w:hyperlink r:id="rId188" w:history="1">
        <w:r w:rsidRPr="00D762BF">
          <w:rPr>
            <w:rStyle w:val="Hipervnculo"/>
            <w:rFonts w:eastAsiaTheme="majorEastAsia"/>
            <w:color w:val="auto"/>
          </w:rPr>
          <w:t>España no destaca</w:t>
        </w:r>
      </w:hyperlink>
      <w:r w:rsidRPr="00D762BF">
        <w:t xml:space="preserve"> ni en una ni otra cosa y eso se nota en los resultados de las pruebas internacionales como PISA.</w:t>
      </w:r>
    </w:p>
    <w:p w:rsidR="00E02187" w:rsidRPr="00D762BF" w:rsidRDefault="00E02187" w:rsidP="00E02187">
      <w:pPr>
        <w:pStyle w:val="Ttulo2"/>
        <w:jc w:val="both"/>
        <w:rPr>
          <w:rFonts w:ascii="Times New Roman" w:hAnsi="Times New Roman" w:cs="Times New Roman"/>
          <w:color w:val="auto"/>
          <w:sz w:val="24"/>
          <w:szCs w:val="24"/>
        </w:rPr>
      </w:pPr>
      <w:r w:rsidRPr="00D762BF">
        <w:rPr>
          <w:rStyle w:val="Textoennegrita"/>
          <w:rFonts w:ascii="Times New Roman" w:hAnsi="Times New Roman" w:cs="Times New Roman"/>
          <w:color w:val="auto"/>
          <w:sz w:val="24"/>
          <w:szCs w:val="24"/>
        </w:rPr>
        <w:t>Las claves</w:t>
      </w:r>
    </w:p>
    <w:p w:rsidR="00E02187" w:rsidRPr="00D762BF" w:rsidRDefault="00E02187" w:rsidP="00E02187">
      <w:pPr>
        <w:pStyle w:val="NormalWeb"/>
        <w:jc w:val="both"/>
      </w:pPr>
      <w:r w:rsidRPr="00D762BF">
        <w:t xml:space="preserve">En su </w:t>
      </w:r>
      <w:hyperlink r:id="rId189" w:history="1">
        <w:r w:rsidRPr="00D762BF">
          <w:rPr>
            <w:rStyle w:val="Hipervnculo"/>
            <w:rFonts w:eastAsiaTheme="majorEastAsia"/>
            <w:i/>
            <w:iCs/>
            <w:color w:val="auto"/>
          </w:rPr>
          <w:t>Manifiesto</w:t>
        </w:r>
      </w:hyperlink>
      <w:r w:rsidRPr="00D762BF">
        <w:rPr>
          <w:rStyle w:val="nfasis"/>
        </w:rPr>
        <w:t xml:space="preserve"> para mejorar el rendimiento del sector educativo en España</w:t>
      </w:r>
      <w:r w:rsidRPr="00D762BF">
        <w:t>, Fedea toca algunas de las principales claves para captar a los mejores profesores posibles, una exigencia que debería ser compartida por buena parte de la sociedad, puesto que no hay ningún bien que las familias valoren tanto como la educación de sus hijos:</w:t>
      </w:r>
    </w:p>
    <w:p w:rsidR="00E02187" w:rsidRPr="005749B0" w:rsidRDefault="00E02187" w:rsidP="00E02187">
      <w:pPr>
        <w:pStyle w:val="NormalWeb"/>
        <w:jc w:val="both"/>
      </w:pPr>
      <w:r w:rsidRPr="00D762BF">
        <w:t xml:space="preserve">En la actualidad, la </w:t>
      </w:r>
      <w:r w:rsidRPr="00D762BF">
        <w:rPr>
          <w:rStyle w:val="Textoennegrita"/>
          <w:b w:val="0"/>
        </w:rPr>
        <w:t>carrera profesional</w:t>
      </w:r>
      <w:r w:rsidRPr="00D762BF">
        <w:t xml:space="preserve"> de los profesores y de los directores de centro depende exclusivamente del mero paso del tiempo y de su participación en actividades formativas regladas. Este esquema no sólo es anómalo en el contexto europeo sino que nos parece regresivo e ineficaz. Los profesionales </w:t>
      </w:r>
      <w:r w:rsidRPr="00D762BF">
        <w:rPr>
          <w:rStyle w:val="Textoennegrita"/>
          <w:b w:val="0"/>
        </w:rPr>
        <w:t>deben ver recompensados los resultados</w:t>
      </w:r>
      <w:r w:rsidRPr="00D762BF">
        <w:t xml:space="preserve"> conseguidos por sus alumnos, tanto para lograr su acreditación profesional como para su progresión profesional posterior. Los directores de centro deben tener </w:t>
      </w:r>
      <w:r w:rsidRPr="00D762BF">
        <w:rPr>
          <w:rStyle w:val="Textoennegrita"/>
          <w:b w:val="0"/>
        </w:rPr>
        <w:t>mayor independencia</w:t>
      </w:r>
      <w:r w:rsidRPr="00D762BF">
        <w:t xml:space="preserve"> para configurar sus plantillas y sus estrategias docentes, de nuevo, siempre sujetos a la verificación externa de los resultados conseguidos. Cuando hablamos de resultados es importante no premiar a los profesionales simplemente por </w:t>
      </w:r>
      <w:r w:rsidRPr="005749B0">
        <w:lastRenderedPageBreak/>
        <w:t xml:space="preserve">tener la suerte de gestionar buenos estudiantes: la </w:t>
      </w:r>
      <w:r w:rsidRPr="005749B0">
        <w:rPr>
          <w:rStyle w:val="Textoennegrita"/>
          <w:b w:val="0"/>
        </w:rPr>
        <w:t>medición de los resultados obtenidos debe centrarse en el valor añadido</w:t>
      </w:r>
      <w:r w:rsidRPr="005749B0">
        <w:t xml:space="preserve"> del profesor o la escuela a las capacitaciones con que acceden los alumnos a la misma.</w:t>
      </w:r>
    </w:p>
    <w:p w:rsidR="00E02187" w:rsidRPr="005749B0" w:rsidRDefault="00E02187" w:rsidP="00E02187">
      <w:pPr>
        <w:pStyle w:val="NormalWeb"/>
        <w:jc w:val="both"/>
      </w:pPr>
      <w:r w:rsidRPr="005749B0">
        <w:t>Siguiendo tanto estas indicaciones como los resultados del estudio de McKinsey, podríamos dividir en dos partes lo que un buen sistema debe ofrecer a los maestros:</w:t>
      </w:r>
    </w:p>
    <w:p w:rsidR="00E02187" w:rsidRPr="005749B0" w:rsidRDefault="00E02187" w:rsidP="00E02187">
      <w:pPr>
        <w:pStyle w:val="NormalWeb"/>
        <w:jc w:val="both"/>
      </w:pPr>
      <w:r w:rsidRPr="005749B0">
        <w:rPr>
          <w:rStyle w:val="Textoennegrita"/>
          <w:b w:val="0"/>
        </w:rPr>
        <w:t xml:space="preserve">- Selección: </w:t>
      </w:r>
      <w:r w:rsidRPr="005749B0">
        <w:t>el proceso debe ser exigente y atrayente. Los sistemas con mejor desempeño reclutan a los candidatos “en el primer tercio de cada promoción de graduados de sus sistemas educativos: el primer 5% en Corea del Sur, el 10% superior en Finlandia y el 30% superior en Singapur y Hong Kong”. Es decir, que los mejores estudiantes de estos países quieren ser maestros. Es una profesión demandada y muy valorada por la sociedad.</w:t>
      </w:r>
    </w:p>
    <w:p w:rsidR="00E02187" w:rsidRPr="005749B0" w:rsidRDefault="00E02187" w:rsidP="00E02187">
      <w:pPr>
        <w:pStyle w:val="NormalWeb"/>
        <w:jc w:val="both"/>
      </w:pPr>
      <w:r w:rsidRPr="005749B0">
        <w:t xml:space="preserve">¿Y cómo lo consiguen? Pues para empezar con unos exámenes exigentes que separan el trigo de la paja y premian a los que más se esfuerzan; un proceso normalmente asociado a la </w:t>
      </w:r>
      <w:r w:rsidRPr="005749B0">
        <w:rPr>
          <w:rStyle w:val="Textoennegrita"/>
          <w:b w:val="0"/>
        </w:rPr>
        <w:t>autonomía de los centros para contratar a los maestros</w:t>
      </w:r>
      <w:r w:rsidRPr="005749B0">
        <w:t>. En Finlandia, por ejemplo, existe una evaluación a nivel nacional, seguida de filtros por parte de las universidades y, al final, la última decisión de contratación de cada profesor la tiene cada escuela de forma individual.</w:t>
      </w:r>
    </w:p>
    <w:p w:rsidR="00E02187" w:rsidRDefault="00E02187" w:rsidP="00E02187">
      <w:pPr>
        <w:pStyle w:val="NormalWeb"/>
        <w:jc w:val="both"/>
      </w:pPr>
      <w:r w:rsidRPr="00A8596F">
        <w:t xml:space="preserve"> </w:t>
      </w:r>
      <w:r w:rsidRPr="00A8596F">
        <w:rPr>
          <w:noProof/>
          <w:color w:val="0000FF"/>
        </w:rPr>
        <w:drawing>
          <wp:inline distT="0" distB="0" distL="0" distR="0" wp14:anchorId="2363BCFF" wp14:editId="44563836">
            <wp:extent cx="5420563" cy="3430829"/>
            <wp:effectExtent l="0" t="0" r="0" b="0"/>
            <wp:docPr id="13" name="Imagen 13" descr="http://s.libertaddigital.com/fotos/noticias/seleccion_profesores_finlandia.jpg">
              <a:hlinkClick xmlns:a="http://schemas.openxmlformats.org/drawingml/2006/main" r:id="rId1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libertaddigital.com/fotos/noticias/seleccion_profesores_finlandia.jpg">
                      <a:hlinkClick r:id="rId190"/>
                    </pic:cNvPr>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422833" cy="3432266"/>
                    </a:xfrm>
                    <a:prstGeom prst="rect">
                      <a:avLst/>
                    </a:prstGeom>
                    <a:noFill/>
                    <a:ln>
                      <a:noFill/>
                    </a:ln>
                  </pic:spPr>
                </pic:pic>
              </a:graphicData>
            </a:graphic>
          </wp:inline>
        </w:drawing>
      </w:r>
    </w:p>
    <w:p w:rsidR="00E02187" w:rsidRPr="005749B0" w:rsidRDefault="00E02187" w:rsidP="00E02187">
      <w:pPr>
        <w:pStyle w:val="NormalWeb"/>
        <w:jc w:val="both"/>
      </w:pPr>
      <w:r w:rsidRPr="005749B0">
        <w:t xml:space="preserve">Evidentemente, convencer a los jóvenes más brillantes para que quieran ser maestros requiere incentivarles de manera correcta. </w:t>
      </w:r>
      <w:r w:rsidRPr="005749B0">
        <w:rPr>
          <w:rStyle w:val="Textoennegrita"/>
          <w:b w:val="0"/>
        </w:rPr>
        <w:t>Cuando se habla de incentivos se piensa siempre en sueldos</w:t>
      </w:r>
      <w:r w:rsidRPr="005749B0">
        <w:t>, pero en el caso de los profesores no es lo único que importa. Un salario inicial alto ayuda, como es lógico; pero en una carrera en la que la vocación es tan importante, es fundamental reconocer el mérito más allá de la mera remuneración, con una carrera profesional que la sociedad valore en su justo término (algo en lo que, por otro lado, también el sueldo es un reflejo).</w:t>
      </w:r>
    </w:p>
    <w:p w:rsidR="00E02187" w:rsidRPr="005749B0" w:rsidRDefault="00E02187" w:rsidP="00E02187">
      <w:pPr>
        <w:pStyle w:val="NormalWeb"/>
        <w:jc w:val="both"/>
      </w:pPr>
      <w:r w:rsidRPr="005749B0">
        <w:rPr>
          <w:rStyle w:val="Textoennegrita"/>
          <w:b w:val="0"/>
        </w:rPr>
        <w:lastRenderedPageBreak/>
        <w:t>- Carrera profesional:</w:t>
      </w:r>
      <w:r w:rsidRPr="005749B0">
        <w:t xml:space="preserve"> como decíamos antes, los estudios muestran que no tiene mucho sentido atraer talento si luego se desperdicia en una carrera profesional sin expectativas. En España, los profesores son </w:t>
      </w:r>
      <w:hyperlink r:id="rId192" w:history="1">
        <w:r w:rsidRPr="00D762BF">
          <w:rPr>
            <w:rStyle w:val="Hipervnculo"/>
            <w:rFonts w:eastAsiaTheme="majorEastAsia"/>
            <w:color w:val="auto"/>
          </w:rPr>
          <w:t>funcionarios</w:t>
        </w:r>
      </w:hyperlink>
      <w:r w:rsidRPr="00D762BF">
        <w:t>, con tod</w:t>
      </w:r>
      <w:r w:rsidRPr="005749B0">
        <w:t xml:space="preserve">o lo que eso implica: unas pruebas de selección que, aunque con un diseño muy mejorable, al menos sirven para premiar a los mejores (en este sentido, es interesante la iniciativa de la Comunidad de Madrid de dar más peso a los exámenes y menos a la antigüedad en el baremo de las oposiciones). El problema es que esta selección luego no tiene continuidad en </w:t>
      </w:r>
      <w:r w:rsidRPr="005749B0">
        <w:rPr>
          <w:rStyle w:val="Textoennegrita"/>
          <w:b w:val="0"/>
        </w:rPr>
        <w:t xml:space="preserve">un modelo que no premia al que lo hace bien </w:t>
      </w:r>
      <w:r w:rsidRPr="005749B0">
        <w:t>y no castiga al que lo hace mal. En general, podríamos decir que los maestros españoles son bastante buenos en potencia, pero se enfrentan a los peores estímulos posibles dentro de un sistema muy mal diseñado.</w:t>
      </w:r>
    </w:p>
    <w:p w:rsidR="00E02187" w:rsidRPr="005749B0" w:rsidRDefault="00E02187" w:rsidP="00E02187">
      <w:pPr>
        <w:pStyle w:val="NormalWeb"/>
        <w:jc w:val="both"/>
      </w:pPr>
      <w:r w:rsidRPr="005749B0">
        <w:t>Los países que lo hacen bien motivan los docentes en dos direcciones: reconocimiento de su valía y recompensas para los mejores.</w:t>
      </w:r>
    </w:p>
    <w:p w:rsidR="00E02187" w:rsidRPr="005749B0" w:rsidRDefault="00E02187" w:rsidP="00E02187">
      <w:pPr>
        <w:pStyle w:val="NormalWeb"/>
        <w:jc w:val="both"/>
      </w:pPr>
      <w:r w:rsidRPr="005749B0">
        <w:t xml:space="preserve">En cuanto a lo primero, siempre es complicado medir cómo se reconoce el trabajo de un buen maestro más allá de cuestiones monetarias. Un primer paso es, evidentemente, ofrecerle </w:t>
      </w:r>
      <w:r w:rsidRPr="005749B0">
        <w:rPr>
          <w:rStyle w:val="Textoennegrita"/>
          <w:b w:val="0"/>
        </w:rPr>
        <w:t>autonomía para que se organice según sus propios criterios</w:t>
      </w:r>
      <w:r w:rsidRPr="005749B0">
        <w:t xml:space="preserve"> y no de los del ministro de turno. Tanto en cuestiones académicas como disciplinarias, los sistemas más exitosos del mundo dejan gran parte de las decisiones a pie de aula, en manos de los profesores o de los claustros.</w:t>
      </w:r>
    </w:p>
    <w:p w:rsidR="00E02187" w:rsidRPr="005749B0" w:rsidRDefault="00E02187" w:rsidP="00E02187">
      <w:pPr>
        <w:pStyle w:val="NormalWeb"/>
        <w:jc w:val="both"/>
      </w:pPr>
      <w:r w:rsidRPr="005749B0">
        <w:t xml:space="preserve">Por supuesto, esta autonomía debe ir acompañada, para tener éxito, de un </w:t>
      </w:r>
      <w:r w:rsidRPr="005749B0">
        <w:rPr>
          <w:rStyle w:val="Textoennegrita"/>
          <w:b w:val="0"/>
        </w:rPr>
        <w:t>control de sus resultados</w:t>
      </w:r>
      <w:r w:rsidRPr="005749B0">
        <w:t xml:space="preserve">, normalmente vía exámenes estandarizados a lo largo de la vida escolar de los alumnos. De esta manera, la rendición de cuentas asegura que tanto los que lo hacen bien como los que lo hacen mal salen en la </w:t>
      </w:r>
      <w:r w:rsidRPr="005749B0">
        <w:rPr>
          <w:rStyle w:val="nfasis"/>
          <w:i w:val="0"/>
        </w:rPr>
        <w:t>foto</w:t>
      </w:r>
      <w:r w:rsidRPr="005749B0">
        <w:t>, con los poderosos efectos que esto tiene y con los estímulos que esto genera para padres, alumnos y profesores.</w:t>
      </w:r>
    </w:p>
    <w:p w:rsidR="00E02187" w:rsidRPr="00D762BF" w:rsidRDefault="00E02187" w:rsidP="00E02187">
      <w:pPr>
        <w:pStyle w:val="NormalWeb"/>
        <w:jc w:val="both"/>
      </w:pPr>
      <w:r w:rsidRPr="005749B0">
        <w:t xml:space="preserve">En lo que hace referencia a la </w:t>
      </w:r>
      <w:hyperlink r:id="rId193" w:history="1">
        <w:r w:rsidRPr="00D762BF">
          <w:rPr>
            <w:rStyle w:val="Hipervnculo"/>
            <w:rFonts w:eastAsiaTheme="majorEastAsia"/>
            <w:color w:val="auto"/>
          </w:rPr>
          <w:t>publicación de resultados</w:t>
        </w:r>
      </w:hyperlink>
      <w:r w:rsidRPr="00D762BF">
        <w:rPr>
          <w:rStyle w:val="Textoennegrita"/>
          <w:b w:val="0"/>
        </w:rPr>
        <w:t>,</w:t>
      </w:r>
      <w:r w:rsidRPr="00D762BF">
        <w:t xml:space="preserve"> lo más acertado parece ser realizarlas por centro y siempre en términos relativos (es decir, teniendo en cuenta el punto de partida de los alumnos). De esta manera, se evita que los profesores intenten evitar a los grupos de alumnos más retrasados o no presten atención a estos estudiantes. Pero, como explican los autores del artículo referenciado, para que esto dé resultado entonces hay que volver a pensar en lo de la autonomía de los centros también en lo que se refiere a la contratación.</w:t>
      </w:r>
    </w:p>
    <w:p w:rsidR="00E02187" w:rsidRPr="00D762BF" w:rsidRDefault="00E02187" w:rsidP="00E02187">
      <w:pPr>
        <w:pStyle w:val="NormalWeb"/>
        <w:jc w:val="both"/>
      </w:pPr>
      <w:r w:rsidRPr="00D762BF">
        <w:t xml:space="preserve">Normalmente, esta clase de reconocimiento social va acompañada de </w:t>
      </w:r>
      <w:r w:rsidRPr="00D762BF">
        <w:rPr>
          <w:rStyle w:val="Textoennegrita"/>
          <w:b w:val="0"/>
        </w:rPr>
        <w:t>incentivos salariales más convencionales</w:t>
      </w:r>
      <w:r w:rsidRPr="00D762BF">
        <w:t xml:space="preserve">. Es lógico. Por un lado, pagar más es una muy buena forma de agradecerle a alguien su labor en una cuestión tan importante. Además, el sueldo es una recompensa inmediata y tangible que permite que los que se esfuerzan vean recompensado su esfuerzo en el corto plazo. Aunque en España los </w:t>
      </w:r>
      <w:hyperlink r:id="rId194" w:history="1">
        <w:r w:rsidRPr="00D762BF">
          <w:rPr>
            <w:rStyle w:val="Hipervnculo"/>
            <w:rFonts w:eastAsiaTheme="majorEastAsia"/>
            <w:color w:val="auto"/>
          </w:rPr>
          <w:t>docentes han rechazado</w:t>
        </w:r>
      </w:hyperlink>
      <w:r w:rsidRPr="00D762BF">
        <w:t xml:space="preserve"> de forma reiterada ser </w:t>
      </w:r>
      <w:hyperlink r:id="rId195" w:history="1">
        <w:r w:rsidRPr="00D762BF">
          <w:rPr>
            <w:rStyle w:val="Hipervnculo"/>
            <w:rFonts w:eastAsiaTheme="majorEastAsia"/>
            <w:color w:val="auto"/>
          </w:rPr>
          <w:t>evaluados</w:t>
        </w:r>
      </w:hyperlink>
      <w:r w:rsidRPr="00D762BF">
        <w:t xml:space="preserve">, lo cierto es que establecer algún tipo de </w:t>
      </w:r>
      <w:hyperlink r:id="rId196" w:history="1">
        <w:r w:rsidRPr="00D762BF">
          <w:rPr>
            <w:rStyle w:val="Hipervnculo"/>
            <w:rFonts w:eastAsiaTheme="majorEastAsia"/>
            <w:color w:val="auto"/>
          </w:rPr>
          <w:t>prima en función de sus resultados</w:t>
        </w:r>
      </w:hyperlink>
      <w:r w:rsidRPr="00D762BF">
        <w:t xml:space="preserve"> (tanto desde el punto de vista positivo como negativo) se ha demostrado como un buen acicate en la mayoría de los sistemas que lo han puesto en práctica.</w:t>
      </w:r>
    </w:p>
    <w:p w:rsidR="00E02187" w:rsidRPr="007E6609" w:rsidRDefault="00E02187" w:rsidP="00E02187">
      <w:pPr>
        <w:pStyle w:val="NormalWeb"/>
        <w:shd w:val="clear" w:color="auto" w:fill="FFFFFF"/>
        <w:jc w:val="both"/>
        <w:rPr>
          <w:color w:val="111111"/>
        </w:rPr>
      </w:pPr>
      <w:r w:rsidRPr="00D762BF">
        <w:t xml:space="preserve">La </w:t>
      </w:r>
      <w:hyperlink r:id="rId197" w:history="1">
        <w:r w:rsidRPr="00D762BF">
          <w:rPr>
            <w:rStyle w:val="Hipervnculo"/>
            <w:rFonts w:eastAsiaTheme="majorEastAsia"/>
            <w:color w:val="auto"/>
          </w:rPr>
          <w:t>IEA</w:t>
        </w:r>
      </w:hyperlink>
      <w:r w:rsidRPr="00D762BF">
        <w:t xml:space="preserve"> (una asociación internacional para la evaluación de los logros educativos) ha elaborado </w:t>
      </w:r>
      <w:hyperlink r:id="rId198" w:history="1">
        <w:r w:rsidRPr="00D762BF">
          <w:rPr>
            <w:rStyle w:val="Hipervnculo"/>
            <w:rFonts w:eastAsiaTheme="majorEastAsia"/>
            <w:color w:val="auto"/>
          </w:rPr>
          <w:t>un estudio (el TEDS-M)</w:t>
        </w:r>
      </w:hyperlink>
      <w:r w:rsidRPr="00D762BF">
        <w:t xml:space="preserve"> sobre la formación de los maestros en la parte de matemáticas. El estudio, que se realizó en 2008, ha liberado los datos y elaborado los informes de cada país en 2012. Los datos se organizan en tres partes, una sobr</w:t>
      </w:r>
      <w:r w:rsidRPr="007E6609">
        <w:rPr>
          <w:color w:val="111111"/>
        </w:rPr>
        <w:t xml:space="preserve">e políticas </w:t>
      </w:r>
      <w:r w:rsidRPr="007E6609">
        <w:rPr>
          <w:color w:val="111111"/>
        </w:rPr>
        <w:lastRenderedPageBreak/>
        <w:t>educativas en general, otro sobre currículos de las escuelas de maestros y otra sobre competencias y expectativas de los maestros.</w:t>
      </w:r>
    </w:p>
    <w:p w:rsidR="00E02187" w:rsidRPr="007E6609" w:rsidRDefault="00E02187" w:rsidP="00E02187">
      <w:pPr>
        <w:pStyle w:val="NormalWeb"/>
        <w:shd w:val="clear" w:color="auto" w:fill="FFFFFF"/>
        <w:spacing w:line="377" w:lineRule="atLeast"/>
        <w:jc w:val="both"/>
        <w:rPr>
          <w:color w:val="111111"/>
        </w:rPr>
      </w:pPr>
      <w:r w:rsidRPr="007E6609">
        <w:rPr>
          <w:color w:val="111111"/>
        </w:rPr>
        <w:t xml:space="preserve">Los resultados de la prueba conocimientos generales de matemáticas pueden verse en la siguiente tabla. </w:t>
      </w:r>
    </w:p>
    <w:p w:rsidR="00E02187" w:rsidRDefault="00E02187" w:rsidP="00E02187">
      <w:pPr>
        <w:pStyle w:val="NormalWeb"/>
        <w:shd w:val="clear" w:color="auto" w:fill="FFFFFF"/>
        <w:spacing w:line="377" w:lineRule="atLeast"/>
        <w:jc w:val="both"/>
        <w:rPr>
          <w:rFonts w:ascii="Georgia" w:hAnsi="Georgia"/>
          <w:color w:val="111111"/>
          <w:sz w:val="21"/>
          <w:szCs w:val="21"/>
        </w:rPr>
      </w:pPr>
      <w:r>
        <w:rPr>
          <w:rFonts w:ascii="Georgia" w:hAnsi="Georgia"/>
          <w:noProof/>
          <w:color w:val="2361A1"/>
          <w:sz w:val="21"/>
          <w:szCs w:val="21"/>
        </w:rPr>
        <w:drawing>
          <wp:inline distT="0" distB="0" distL="0" distR="0" wp14:anchorId="18A49764" wp14:editId="7D508628">
            <wp:extent cx="5705855" cy="4652467"/>
            <wp:effectExtent l="0" t="0" r="0" b="0"/>
            <wp:docPr id="85" name="Imagen 85" descr="TEDS-M 1">
              <a:hlinkClick xmlns:a="http://schemas.openxmlformats.org/drawingml/2006/main" r:id="rId1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EDS-M 1">
                      <a:hlinkClick r:id="rId199"/>
                    </pic:cNvPr>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716905" cy="4661477"/>
                    </a:xfrm>
                    <a:prstGeom prst="rect">
                      <a:avLst/>
                    </a:prstGeom>
                    <a:noFill/>
                    <a:ln>
                      <a:noFill/>
                    </a:ln>
                  </pic:spPr>
                </pic:pic>
              </a:graphicData>
            </a:graphic>
          </wp:inline>
        </w:drawing>
      </w:r>
    </w:p>
    <w:p w:rsidR="00E02187" w:rsidRDefault="00E02187" w:rsidP="00E02187">
      <w:pPr>
        <w:pStyle w:val="NormalWeb"/>
        <w:shd w:val="clear" w:color="auto" w:fill="FFFFFF"/>
        <w:jc w:val="both"/>
        <w:rPr>
          <w:color w:val="111111"/>
        </w:rPr>
      </w:pPr>
    </w:p>
    <w:p w:rsidR="00E02187" w:rsidRPr="007E6609" w:rsidRDefault="00E02187" w:rsidP="00E02187">
      <w:pPr>
        <w:pStyle w:val="NormalWeb"/>
        <w:shd w:val="clear" w:color="auto" w:fill="FFFFFF"/>
        <w:jc w:val="both"/>
        <w:rPr>
          <w:color w:val="111111"/>
        </w:rPr>
      </w:pPr>
      <w:r w:rsidRPr="007E6609">
        <w:rPr>
          <w:color w:val="111111"/>
        </w:rPr>
        <w:t>¿Qué puntuación media tiene España? Pues 481, claramente por debajo de la media. Podría ser una coincidencia, pero en PISA 2009 en matemáticas la puntuación media de España fue de 483. Pero hay una diferencia importante. En PISA estamos por debajo de la media en los resultados de los estudiantes, pero también estamos por debajo de la media en el nivel socioeconómico de los padres. Cuando comparamos estudiantes universitarios de magisterio en todos los países ya no es lo mismo. Aun así, podría ser que nuestros aspirantes a profesores tuvieran niveles socioeconómicos muy diferentes a los de otros países. Afortunadamente TEDS-m tiene un cuestionario socioeconómico de contexto, para controlar por este problema. Y usándolo se ve claramente que éste no es el problema. El siguiente gráfico muestra el nivel socioeconómico en el eje horizontal y el resultado de la prueba en el vertical. Como pueden ver, los estudiantes españoles están por debajo de lo que les correspondería según su nivel socioeconómico.</w:t>
      </w:r>
    </w:p>
    <w:p w:rsidR="00E02187" w:rsidRDefault="00E02187" w:rsidP="00E02187">
      <w:pPr>
        <w:pStyle w:val="NormalWeb"/>
        <w:shd w:val="clear" w:color="auto" w:fill="FFFFFF"/>
        <w:spacing w:line="377" w:lineRule="atLeast"/>
        <w:jc w:val="both"/>
        <w:rPr>
          <w:rFonts w:ascii="Georgia" w:hAnsi="Georgia"/>
          <w:color w:val="111111"/>
          <w:sz w:val="21"/>
          <w:szCs w:val="21"/>
        </w:rPr>
      </w:pPr>
      <w:r>
        <w:rPr>
          <w:rFonts w:ascii="Georgia" w:hAnsi="Georgia"/>
          <w:noProof/>
          <w:color w:val="2361A1"/>
          <w:sz w:val="21"/>
          <w:szCs w:val="21"/>
        </w:rPr>
        <w:lastRenderedPageBreak/>
        <w:drawing>
          <wp:inline distT="0" distB="0" distL="0" distR="0" wp14:anchorId="4CBA5A00" wp14:editId="241B8998">
            <wp:extent cx="5716905" cy="2765145"/>
            <wp:effectExtent l="0" t="0" r="0" b="0"/>
            <wp:docPr id="84" name="Imagen 84" descr="TEDS-M socioec">
              <a:hlinkClick xmlns:a="http://schemas.openxmlformats.org/drawingml/2006/main" r:id="rId2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EDS-M socioec">
                      <a:hlinkClick r:id="rId201"/>
                    </pic:cNvPr>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716905" cy="2765145"/>
                    </a:xfrm>
                    <a:prstGeom prst="rect">
                      <a:avLst/>
                    </a:prstGeom>
                    <a:noFill/>
                    <a:ln>
                      <a:noFill/>
                    </a:ln>
                  </pic:spPr>
                </pic:pic>
              </a:graphicData>
            </a:graphic>
          </wp:inline>
        </w:drawing>
      </w:r>
    </w:p>
    <w:p w:rsidR="00E02187" w:rsidRPr="007E6609" w:rsidRDefault="00E02187" w:rsidP="00E02187">
      <w:pPr>
        <w:pStyle w:val="NormalWeb"/>
        <w:shd w:val="clear" w:color="auto" w:fill="FFFFFF"/>
        <w:jc w:val="both"/>
        <w:rPr>
          <w:color w:val="111111"/>
        </w:rPr>
      </w:pPr>
      <w:r w:rsidRPr="007E6609">
        <w:rPr>
          <w:color w:val="111111"/>
        </w:rPr>
        <w:t>Una primera aproximación a explicar el problema es que nuestros estudiantes estudian mucha pedagogía, y de hecho en conocimientos de didáctica lo hacen marginalmente mejor, con un 492. Pero aun así están por debajo de la media, y por debajo de lo esperable para su nivel socioeconómico. Pero de hecho su formación no es tan extraña. La siguiente gráfica compara los temas estudiados por estos chicos en distintos países. Como verán las diferencias son muy pequeñas y no parecen sistemáticas.</w:t>
      </w:r>
    </w:p>
    <w:p w:rsidR="00E02187" w:rsidRDefault="00E02187" w:rsidP="00E02187">
      <w:pPr>
        <w:pStyle w:val="NormalWeb"/>
        <w:shd w:val="clear" w:color="auto" w:fill="FFFFFF"/>
        <w:spacing w:line="377" w:lineRule="atLeast"/>
        <w:jc w:val="both"/>
        <w:rPr>
          <w:rFonts w:ascii="Georgia" w:hAnsi="Georgia"/>
          <w:color w:val="111111"/>
          <w:sz w:val="21"/>
          <w:szCs w:val="21"/>
        </w:rPr>
      </w:pPr>
      <w:r>
        <w:rPr>
          <w:rFonts w:ascii="Georgia" w:hAnsi="Georgia"/>
          <w:noProof/>
          <w:color w:val="2361A1"/>
          <w:sz w:val="21"/>
          <w:szCs w:val="21"/>
        </w:rPr>
        <w:drawing>
          <wp:inline distT="0" distB="0" distL="0" distR="0" wp14:anchorId="033A88B8" wp14:editId="779BBD27">
            <wp:extent cx="5716905" cy="4564684"/>
            <wp:effectExtent l="0" t="0" r="0" b="7620"/>
            <wp:docPr id="83" name="Imagen 83" descr="TEDS-formacion">
              <a:hlinkClick xmlns:a="http://schemas.openxmlformats.org/drawingml/2006/main" r:id="rId2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EDS-formacion">
                      <a:hlinkClick r:id="rId203"/>
                    </pic:cNvPr>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716905" cy="4564684"/>
                    </a:xfrm>
                    <a:prstGeom prst="rect">
                      <a:avLst/>
                    </a:prstGeom>
                    <a:noFill/>
                    <a:ln>
                      <a:noFill/>
                    </a:ln>
                  </pic:spPr>
                </pic:pic>
              </a:graphicData>
            </a:graphic>
          </wp:inline>
        </w:drawing>
      </w:r>
    </w:p>
    <w:p w:rsidR="00E02187" w:rsidRDefault="00E02187" w:rsidP="00E02187">
      <w:pPr>
        <w:pStyle w:val="NormalWeb"/>
        <w:shd w:val="clear" w:color="auto" w:fill="FFFFFF"/>
        <w:jc w:val="both"/>
        <w:rPr>
          <w:color w:val="111111"/>
        </w:rPr>
      </w:pPr>
      <w:r w:rsidRPr="007E6609">
        <w:rPr>
          <w:color w:val="111111"/>
        </w:rPr>
        <w:lastRenderedPageBreak/>
        <w:t xml:space="preserve">Una pista más interesante se puede observar en el siguiente gráfico. Los estudiantes españoles de magisterio que estudiaron el bachillerato tecnológico en lugar del de Ciencias Sociales o Humanidades tuvieron un rendimiento claramente superior. Podría pensarse que esto se debe al contenido matemático del examen, pero también puede deberse a que la selección de estudiantes que realizan el bachillerato técnico es mejor. </w:t>
      </w:r>
      <w:r>
        <w:rPr>
          <w:rFonts w:ascii="Georgia" w:hAnsi="Georgia"/>
          <w:noProof/>
          <w:color w:val="2361A1"/>
          <w:sz w:val="21"/>
          <w:szCs w:val="21"/>
        </w:rPr>
        <w:drawing>
          <wp:inline distT="0" distB="0" distL="0" distR="0" wp14:anchorId="2266F2B0" wp14:editId="62791384">
            <wp:extent cx="5716905" cy="4572000"/>
            <wp:effectExtent l="0" t="0" r="0" b="0"/>
            <wp:docPr id="82" name="Imagen 82" descr="TEDS-M bachillerato">
              <a:hlinkClick xmlns:a="http://schemas.openxmlformats.org/drawingml/2006/main" r:id="rId2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EDS-M bachillerato">
                      <a:hlinkClick r:id="rId205"/>
                    </pic:cNvPr>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716905" cy="4572000"/>
                    </a:xfrm>
                    <a:prstGeom prst="rect">
                      <a:avLst/>
                    </a:prstGeom>
                    <a:noFill/>
                    <a:ln>
                      <a:noFill/>
                    </a:ln>
                  </pic:spPr>
                </pic:pic>
              </a:graphicData>
            </a:graphic>
          </wp:inline>
        </w:drawing>
      </w:r>
      <w:r>
        <w:rPr>
          <w:color w:val="111111"/>
        </w:rPr>
        <w:t>Los especialistas de Fedea proponen</w:t>
      </w:r>
      <w:r w:rsidRPr="007E6609">
        <w:rPr>
          <w:color w:val="111111"/>
        </w:rPr>
        <w:t xml:space="preserve"> una solución relativamente </w:t>
      </w:r>
      <w:r>
        <w:rPr>
          <w:color w:val="111111"/>
        </w:rPr>
        <w:t>sencilla al problema de los</w:t>
      </w:r>
      <w:r w:rsidRPr="007E6609">
        <w:rPr>
          <w:color w:val="111111"/>
        </w:rPr>
        <w:t xml:space="preserve"> maestros</w:t>
      </w:r>
      <w:r>
        <w:rPr>
          <w:color w:val="111111"/>
        </w:rPr>
        <w:t xml:space="preserve"> españoles</w:t>
      </w:r>
      <w:r w:rsidRPr="007E6609">
        <w:rPr>
          <w:color w:val="111111"/>
        </w:rPr>
        <w:t xml:space="preserve"> de primaria. Un “numerus clausus” en las escuelas de magisterio que dé lugar a unas notas de ingreso más elevadas (como ya pasa, por ejemplo, en Finlandia). Al</w:t>
      </w:r>
      <w:r>
        <w:rPr>
          <w:color w:val="111111"/>
        </w:rPr>
        <w:t xml:space="preserve">guien puede contestar lo que </w:t>
      </w:r>
      <w:r w:rsidRPr="007E6609">
        <w:rPr>
          <w:color w:val="111111"/>
        </w:rPr>
        <w:t>cuentan que le</w:t>
      </w:r>
      <w:r>
        <w:rPr>
          <w:color w:val="111111"/>
        </w:rPr>
        <w:t>s</w:t>
      </w:r>
      <w:r w:rsidRPr="007E6609">
        <w:rPr>
          <w:color w:val="111111"/>
        </w:rPr>
        <w:t xml:space="preserve"> dijeron a los responsables de una comunidad autónoma los decanos de las escuelas de magisterio al proponerles una nota de 6 para entrar en la escuela: “pero es que entonces nos qued</w:t>
      </w:r>
      <w:r>
        <w:rPr>
          <w:color w:val="111111"/>
        </w:rPr>
        <w:t>amos sin estudiantes”. Y esto les</w:t>
      </w:r>
      <w:r w:rsidRPr="007E6609">
        <w:rPr>
          <w:color w:val="111111"/>
        </w:rPr>
        <w:t xml:space="preserve"> lleva a la segunda medida. La financiación de las escuelas de magisterio no debería depender del número de estudiantes sino de las notas del TEDS-m o alguna prueba equivalente. Así los decanos no se verían en el dilema de admitir a futuros malos profesores o quedarse sin financiación. Y, ya puestos, que nos den a las demás facultades el mismo tratamiento. Porque es verdad que un mal maestro tiene consecuencias nefastas para la sociedad, pero un mal economista o un funesto banquero son también armas de destrucción social masiva.</w:t>
      </w:r>
    </w:p>
    <w:p w:rsidR="00E02187" w:rsidRPr="008077BE" w:rsidRDefault="00E02187" w:rsidP="00E02187">
      <w:pPr>
        <w:pStyle w:val="NormalWeb"/>
        <w:shd w:val="clear" w:color="auto" w:fill="FFFFFF"/>
        <w:jc w:val="both"/>
        <w:rPr>
          <w:rFonts w:ascii="Georgia" w:hAnsi="Georgia"/>
          <w:color w:val="111111"/>
          <w:sz w:val="21"/>
          <w:szCs w:val="21"/>
          <w:u w:val="single"/>
        </w:rPr>
      </w:pPr>
      <w:r w:rsidRPr="008077BE">
        <w:rPr>
          <w:color w:val="111111"/>
          <w:u w:val="single"/>
        </w:rPr>
        <w:t>Otro tema de debate: horas de clase (cantidad) vs desempeño educativo (calidad)</w:t>
      </w:r>
    </w:p>
    <w:p w:rsidR="00E02187" w:rsidRPr="0089779F" w:rsidRDefault="00E02187" w:rsidP="00E02187">
      <w:pPr>
        <w:jc w:val="both"/>
        <w:rPr>
          <w:rFonts w:ascii="Times New Roman" w:hAnsi="Times New Roman" w:cs="Times New Roman"/>
          <w:sz w:val="24"/>
          <w:szCs w:val="24"/>
        </w:rPr>
      </w:pPr>
      <w:r>
        <w:rPr>
          <w:rFonts w:ascii="Times New Roman" w:hAnsi="Times New Roman" w:cs="Times New Roman"/>
          <w:sz w:val="24"/>
          <w:szCs w:val="24"/>
        </w:rPr>
        <w:t xml:space="preserve">- </w:t>
      </w:r>
      <w:r w:rsidRPr="0089779F">
        <w:rPr>
          <w:rFonts w:ascii="Times New Roman" w:hAnsi="Times New Roman" w:cs="Times New Roman"/>
          <w:sz w:val="24"/>
          <w:szCs w:val="24"/>
          <w:u w:val="single"/>
        </w:rPr>
        <w:t>Horas en Clase y Desempeño Educativo</w:t>
      </w:r>
      <w:r>
        <w:rPr>
          <w:rFonts w:ascii="Times New Roman" w:hAnsi="Times New Roman" w:cs="Times New Roman"/>
          <w:sz w:val="24"/>
          <w:szCs w:val="24"/>
        </w:rPr>
        <w:t xml:space="preserve"> (Fedea - </w:t>
      </w:r>
      <w:r w:rsidRPr="0089779F">
        <w:rPr>
          <w:rFonts w:ascii="Times New Roman" w:hAnsi="Times New Roman" w:cs="Times New Roman"/>
          <w:b/>
          <w:sz w:val="24"/>
          <w:szCs w:val="24"/>
        </w:rPr>
        <w:t>22/4/13</w:t>
      </w:r>
      <w:r>
        <w:rPr>
          <w:rFonts w:ascii="Times New Roman" w:hAnsi="Times New Roman" w:cs="Times New Roman"/>
          <w:sz w:val="24"/>
          <w:szCs w:val="24"/>
        </w:rPr>
        <w:t>)           Lectura recomendada</w:t>
      </w:r>
    </w:p>
    <w:p w:rsidR="00E02187" w:rsidRDefault="00E02187" w:rsidP="00E02187">
      <w:pPr>
        <w:jc w:val="both"/>
        <w:rPr>
          <w:rFonts w:ascii="Times New Roman" w:hAnsi="Times New Roman" w:cs="Times New Roman"/>
          <w:sz w:val="24"/>
          <w:szCs w:val="24"/>
        </w:rPr>
      </w:pPr>
      <w:r>
        <w:rPr>
          <w:rFonts w:ascii="Times New Roman" w:hAnsi="Times New Roman" w:cs="Times New Roman"/>
          <w:sz w:val="24"/>
          <w:szCs w:val="24"/>
        </w:rPr>
        <w:t>(</w:t>
      </w:r>
      <w:r w:rsidRPr="0089779F">
        <w:rPr>
          <w:rFonts w:ascii="Times New Roman" w:hAnsi="Times New Roman" w:cs="Times New Roman"/>
          <w:sz w:val="24"/>
          <w:szCs w:val="24"/>
        </w:rPr>
        <w:t>Por Lucas Gortazar y Daniel Kutner (Disclaimer)</w:t>
      </w:r>
    </w:p>
    <w:p w:rsidR="00E02187" w:rsidRPr="0089779F" w:rsidRDefault="00E02187" w:rsidP="00E02187">
      <w:pPr>
        <w:spacing w:line="240" w:lineRule="auto"/>
        <w:jc w:val="both"/>
        <w:rPr>
          <w:rFonts w:ascii="Times New Roman" w:hAnsi="Times New Roman" w:cs="Times New Roman"/>
          <w:sz w:val="24"/>
          <w:szCs w:val="24"/>
        </w:rPr>
      </w:pPr>
      <w:r w:rsidRPr="0089779F">
        <w:rPr>
          <w:rFonts w:ascii="Times New Roman" w:hAnsi="Times New Roman" w:cs="Times New Roman"/>
          <w:sz w:val="24"/>
          <w:szCs w:val="24"/>
        </w:rPr>
        <w:lastRenderedPageBreak/>
        <w:t xml:space="preserve">Una de las cuestiones que se debaten permanentemente en el ámbito educativo es el número de horas de clase que se deben impartir a los alumnos en cada curso escolar. En muchos lugares muchos se preguntan acerca del tiempo óptimo al día y al año que debe un alumno pasar en el aula. Como ejemplo, el presidente de Estados Unidos Barack Obama, nada más ser elegido en 2009 hizo un llamamiento a los expertos para “repensar la jornada escolar” con el objetivo de añadir más horas de clase. “No podemos permitirnos un calendario académico que fue diseñado cuando EEUU era una nación de granjeros que necesitaban a sus hijos en casa trabajando las tierras al final de cada día. El calendario tal vez tuvo sentido alguna vez, pero hoy, nos posiciona en desventaja a la hora de competir. Nuestros hijos pasan un mes menos en la escuela que los niños en Corea del Sur”. </w:t>
      </w:r>
    </w:p>
    <w:p w:rsidR="00E02187" w:rsidRPr="00582970" w:rsidRDefault="00E02187" w:rsidP="00E02187">
      <w:pPr>
        <w:spacing w:line="240" w:lineRule="auto"/>
        <w:jc w:val="both"/>
        <w:rPr>
          <w:rFonts w:ascii="Times New Roman" w:hAnsi="Times New Roman" w:cs="Times New Roman"/>
          <w:sz w:val="24"/>
          <w:szCs w:val="24"/>
          <w:u w:val="single"/>
        </w:rPr>
      </w:pPr>
      <w:r w:rsidRPr="0089779F">
        <w:rPr>
          <w:rFonts w:ascii="Times New Roman" w:hAnsi="Times New Roman" w:cs="Times New Roman"/>
          <w:sz w:val="24"/>
          <w:szCs w:val="24"/>
        </w:rPr>
        <w:t>¿Tiene Obama razón? ¿Se trata de una intervención que va a dar frutos a los estudiantes o puede ser que demasiadas horas aburran a los alumnos? En el caso de que sea una medida positiva, cabe preguntarse, ¿afectará a todos por igual? En este artículo resumiremos los aspectos más importantes de un análisis de la literatura existente que hemos re</w:t>
      </w:r>
      <w:r>
        <w:rPr>
          <w:rFonts w:ascii="Times New Roman" w:hAnsi="Times New Roman" w:cs="Times New Roman"/>
          <w:sz w:val="24"/>
          <w:szCs w:val="24"/>
        </w:rPr>
        <w:t>alizado recientemente</w:t>
      </w:r>
      <w:r w:rsidRPr="0089779F">
        <w:rPr>
          <w:rFonts w:ascii="Times New Roman" w:hAnsi="Times New Roman" w:cs="Times New Roman"/>
          <w:sz w:val="24"/>
          <w:szCs w:val="24"/>
        </w:rPr>
        <w:t xml:space="preserve">. </w:t>
      </w:r>
      <w:r w:rsidRPr="00582970">
        <w:rPr>
          <w:rFonts w:ascii="Times New Roman" w:hAnsi="Times New Roman" w:cs="Times New Roman"/>
          <w:sz w:val="24"/>
          <w:szCs w:val="24"/>
          <w:u w:val="single"/>
        </w:rPr>
        <w:t>En la economía de la educación, es frecuente escuchar discusiones sobre inputs de una escuela, como infraestructuras, ratio alumno-profesor, calidad del profesor o autonomía de las escuelas. Sin embargo, existen pocos estudios empíricos que evalúen cuanto importa el tiempo en la escuela tanto en resultados académicos como en otras variables como el abandono escolar o la tasa de repetición.</w:t>
      </w:r>
    </w:p>
    <w:p w:rsidR="00E02187" w:rsidRPr="0089779F" w:rsidRDefault="00E02187" w:rsidP="00E02187">
      <w:pPr>
        <w:spacing w:line="240" w:lineRule="auto"/>
        <w:jc w:val="both"/>
        <w:rPr>
          <w:rFonts w:ascii="Times New Roman" w:hAnsi="Times New Roman" w:cs="Times New Roman"/>
          <w:sz w:val="24"/>
          <w:szCs w:val="24"/>
        </w:rPr>
      </w:pPr>
      <w:r w:rsidRPr="0089779F">
        <w:rPr>
          <w:rFonts w:ascii="Times New Roman" w:hAnsi="Times New Roman" w:cs="Times New Roman"/>
          <w:sz w:val="24"/>
          <w:szCs w:val="24"/>
        </w:rPr>
        <w:t xml:space="preserve">Una de las grandes dificultades metodológicas para evaluar este tipo de intervención es que hay poca variabilidad y pocas reformas que afecten el tiempo en el aula dentro de un país o región. </w:t>
      </w:r>
      <w:r w:rsidRPr="00582970">
        <w:rPr>
          <w:rFonts w:ascii="Times New Roman" w:hAnsi="Times New Roman" w:cs="Times New Roman"/>
          <w:sz w:val="24"/>
          <w:szCs w:val="24"/>
          <w:u w:val="single"/>
        </w:rPr>
        <w:t>Por otro lado, si comparamos distintos países, nos encontramos que no hay correlación entre las horas en clase y los resultados académicos</w:t>
      </w:r>
      <w:r w:rsidRPr="0089779F">
        <w:rPr>
          <w:rFonts w:ascii="Times New Roman" w:hAnsi="Times New Roman" w:cs="Times New Roman"/>
          <w:sz w:val="24"/>
          <w:szCs w:val="24"/>
        </w:rPr>
        <w:t xml:space="preserve"> (ver figura 1). </w:t>
      </w:r>
      <w:r w:rsidRPr="00582970">
        <w:rPr>
          <w:rFonts w:ascii="Times New Roman" w:hAnsi="Times New Roman" w:cs="Times New Roman"/>
          <w:sz w:val="24"/>
          <w:szCs w:val="24"/>
          <w:u w:val="single"/>
        </w:rPr>
        <w:t>Esto ocurre porque existen infinidad de factores que influyen a la hora de explicar el éxito de algunos países en sus sistemas educativos y por tanto es difícil separar el efecto del tiempo en el aula de otras variables.</w:t>
      </w:r>
      <w:r w:rsidRPr="0089779F">
        <w:rPr>
          <w:rFonts w:ascii="Times New Roman" w:hAnsi="Times New Roman" w:cs="Times New Roman"/>
          <w:sz w:val="24"/>
          <w:szCs w:val="24"/>
        </w:rPr>
        <w:t xml:space="preserve"> Pero en otras ocasiones, una reforma institucional nos permite analizar la causalidad de una manera más sofisticada.</w:t>
      </w:r>
    </w:p>
    <w:p w:rsidR="00E02187" w:rsidRDefault="00E02187" w:rsidP="00E02187">
      <w:pPr>
        <w:spacing w:line="240" w:lineRule="auto"/>
      </w:pPr>
      <w:r>
        <w:rPr>
          <w:noProof/>
          <w:color w:val="0000FF"/>
          <w:lang w:eastAsia="es-ES"/>
        </w:rPr>
        <w:drawing>
          <wp:inline distT="0" distB="0" distL="0" distR="0" wp14:anchorId="7B78C297" wp14:editId="62CE2432">
            <wp:extent cx="5420563" cy="3006547"/>
            <wp:effectExtent l="0" t="0" r="8890" b="3810"/>
            <wp:docPr id="471" name="Imagen 10" descr="Fuente: Elaboración de los autores basada en los datos del informe Education at a Glance (OECD, 2012) y los resultados de PISA 2009.">
              <a:hlinkClick xmlns:a="http://schemas.openxmlformats.org/drawingml/2006/main" r:id="rId2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uente: Elaboración de los autores basada en los datos del informe Education at a Glance (OECD, 2012) y los resultados de PISA 2009.">
                      <a:hlinkClick r:id="rId207"/>
                    </pic:cNvPr>
                    <pic:cNvPicPr>
                      <a:picLocks noChangeAspect="1" noChangeArrowheads="1"/>
                    </pic:cNvPicPr>
                  </pic:nvPicPr>
                  <pic:blipFill>
                    <a:blip r:embed="rId208" cstate="print"/>
                    <a:srcRect/>
                    <a:stretch>
                      <a:fillRect/>
                    </a:stretch>
                  </pic:blipFill>
                  <pic:spPr bwMode="auto">
                    <a:xfrm>
                      <a:off x="0" y="0"/>
                      <a:ext cx="5420857" cy="3006710"/>
                    </a:xfrm>
                    <a:prstGeom prst="rect">
                      <a:avLst/>
                    </a:prstGeom>
                    <a:noFill/>
                    <a:ln w="9525">
                      <a:noFill/>
                      <a:miter lim="800000"/>
                      <a:headEnd/>
                      <a:tailEnd/>
                    </a:ln>
                  </pic:spPr>
                </pic:pic>
              </a:graphicData>
            </a:graphic>
          </wp:inline>
        </w:drawing>
      </w:r>
    </w:p>
    <w:p w:rsidR="00E02187" w:rsidRPr="00D762BF" w:rsidRDefault="00E02187" w:rsidP="00E02187">
      <w:pPr>
        <w:pStyle w:val="wp-caption-text"/>
      </w:pPr>
      <w:r>
        <w:t xml:space="preserve">Fuente: Elaboración de los autores basada en los datos del informe </w:t>
      </w:r>
      <w:hyperlink r:id="rId209" w:history="1">
        <w:r w:rsidRPr="00D762BF">
          <w:rPr>
            <w:rStyle w:val="Hipervnculo"/>
            <w:rFonts w:eastAsiaTheme="majorEastAsia"/>
            <w:color w:val="auto"/>
          </w:rPr>
          <w:t>Education at a Glance</w:t>
        </w:r>
      </w:hyperlink>
      <w:r w:rsidRPr="00D762BF">
        <w:t xml:space="preserve"> (OECD, 2012) y los resultados de PISA 2009.</w:t>
      </w:r>
    </w:p>
    <w:p w:rsidR="00E02187" w:rsidRPr="0089779F" w:rsidRDefault="00E02187" w:rsidP="00E02187">
      <w:pPr>
        <w:pStyle w:val="wp-caption-text"/>
        <w:jc w:val="both"/>
      </w:pPr>
      <w:r w:rsidRPr="0089779F">
        <w:lastRenderedPageBreak/>
        <w:t>Nuestro primer ejemplo de evidencia empírica toma nota de la reforma que tuvo lugar en 2003 en Dinamarca, país que cambió su planificación de horas en el aula a través de dos canales: un incremento de horas anuales (de un 4%, de 6540 a 6810) en el aula y la descentralización de la administración de esas horas recae sobre los colegios. Las escuelas podían por tanto elegir entre aumentar el número de días al año en la escuela (margen extensivo) o aumentar el número de horas diarias (margen intensivo) en el aula. El análisis de Jensen (2009) muestra un impacto positivo en los resultados académicos, en especial en matemáticas. Además, las ganancias son aún mayores para el grupo de las niñas y los alumnos cuyos padres solo tenían estudios de secundaria.</w:t>
      </w:r>
    </w:p>
    <w:p w:rsidR="00E02187" w:rsidRPr="0089779F" w:rsidRDefault="00E02187" w:rsidP="00E02187">
      <w:pPr>
        <w:spacing w:line="240" w:lineRule="auto"/>
        <w:jc w:val="both"/>
        <w:rPr>
          <w:rFonts w:ascii="Times New Roman" w:hAnsi="Times New Roman" w:cs="Times New Roman"/>
          <w:sz w:val="24"/>
          <w:szCs w:val="24"/>
        </w:rPr>
      </w:pPr>
      <w:r w:rsidRPr="0089779F">
        <w:rPr>
          <w:rFonts w:ascii="Times New Roman" w:hAnsi="Times New Roman" w:cs="Times New Roman"/>
          <w:sz w:val="24"/>
          <w:szCs w:val="24"/>
        </w:rPr>
        <w:t>En el caso de Chile, Pires y Urzua (2011) analizan los cambios educativos de 1997, en la cual el gobierno de Chile implementó una nueva reforma para mejorar la calidad de la educación aumentando la duración de la jornada escolar. El estudio se centra en cómo afecta la reforma a las habilidades cognitivas y no cognitivas, a la probabilidad de acudir a la escuela, a la probabilidad de embarazos adolescentes, a la probabilidad de abandono escolar y al impacto en el mercado laboral. Los resultados muestran cómo el aumento de horas de la jornada en la escuela tiene un impacto positivo en todas las variables mencionadas. Al igual que en el caso anterior, los resultados son mayores para estudiantes cuyos padres con un nivel educativo más bajo.</w:t>
      </w:r>
    </w:p>
    <w:p w:rsidR="00E02187" w:rsidRPr="0089779F" w:rsidRDefault="00E02187" w:rsidP="00E02187">
      <w:pPr>
        <w:spacing w:line="240" w:lineRule="auto"/>
        <w:jc w:val="both"/>
        <w:rPr>
          <w:rFonts w:ascii="Times New Roman" w:hAnsi="Times New Roman" w:cs="Times New Roman"/>
          <w:sz w:val="24"/>
          <w:szCs w:val="24"/>
        </w:rPr>
      </w:pPr>
      <w:r w:rsidRPr="0089779F">
        <w:rPr>
          <w:rFonts w:ascii="Times New Roman" w:hAnsi="Times New Roman" w:cs="Times New Roman"/>
          <w:sz w:val="24"/>
          <w:szCs w:val="24"/>
        </w:rPr>
        <w:t xml:space="preserve">Lavy (2010) realiza un análisis empírico comparando a nivel internacional los resultados de los exámenes de PISA 2006, con el objetivo de identificar la causalidad entre las horas en clase y el desempeño en dicho examen. Obtiene tres resultados fundamentales: </w:t>
      </w:r>
    </w:p>
    <w:p w:rsidR="00E02187" w:rsidRPr="00582970" w:rsidRDefault="00E02187" w:rsidP="00E02187">
      <w:pPr>
        <w:spacing w:line="240" w:lineRule="auto"/>
        <w:jc w:val="both"/>
        <w:rPr>
          <w:rFonts w:ascii="Times New Roman" w:hAnsi="Times New Roman" w:cs="Times New Roman"/>
          <w:sz w:val="24"/>
          <w:szCs w:val="24"/>
          <w:u w:val="single"/>
        </w:rPr>
      </w:pPr>
      <w:r w:rsidRPr="00582970">
        <w:rPr>
          <w:rFonts w:ascii="Times New Roman" w:hAnsi="Times New Roman" w:cs="Times New Roman"/>
          <w:sz w:val="24"/>
          <w:szCs w:val="24"/>
          <w:u w:val="single"/>
        </w:rPr>
        <w:t xml:space="preserve">El efecto causal de las horas de instrucción es positivo y significativo sobre los resultados de los alumnos. El aumento de una hora adicional de clase implica una mejora media de 0.15 desviaciones estándar en los resultados académicos. Se repite también el hecho de que quienes más se benefician de este tipo de intervención son las niñas y en general los estudiantes con un nivel socioeconómico más bajo. </w:t>
      </w:r>
    </w:p>
    <w:p w:rsidR="00E02187" w:rsidRPr="00582970" w:rsidRDefault="00E02187" w:rsidP="00E02187">
      <w:pPr>
        <w:spacing w:line="240" w:lineRule="auto"/>
        <w:jc w:val="both"/>
        <w:rPr>
          <w:rFonts w:ascii="Times New Roman" w:hAnsi="Times New Roman" w:cs="Times New Roman"/>
          <w:sz w:val="24"/>
          <w:szCs w:val="24"/>
          <w:u w:val="single"/>
        </w:rPr>
      </w:pPr>
      <w:r w:rsidRPr="00582970">
        <w:rPr>
          <w:rFonts w:ascii="Times New Roman" w:hAnsi="Times New Roman" w:cs="Times New Roman"/>
          <w:sz w:val="24"/>
          <w:szCs w:val="24"/>
          <w:u w:val="single"/>
        </w:rPr>
        <w:t xml:space="preserve">Cuando en la muestra se incluyen países en desarrollo, el efecto disminuye a la mitad, lo cual sugiere que la productividad de una hora adicional en un país en desarrollo es menor. </w:t>
      </w:r>
    </w:p>
    <w:p w:rsidR="00E02187" w:rsidRPr="00582970" w:rsidRDefault="00E02187" w:rsidP="00E02187">
      <w:pPr>
        <w:spacing w:line="240" w:lineRule="auto"/>
        <w:jc w:val="both"/>
        <w:rPr>
          <w:rFonts w:ascii="Times New Roman" w:hAnsi="Times New Roman" w:cs="Times New Roman"/>
          <w:color w:val="FF0000"/>
          <w:sz w:val="24"/>
          <w:szCs w:val="24"/>
          <w:u w:val="single"/>
        </w:rPr>
      </w:pPr>
      <w:r w:rsidRPr="00582970">
        <w:rPr>
          <w:rFonts w:ascii="Times New Roman" w:hAnsi="Times New Roman" w:cs="Times New Roman"/>
          <w:color w:val="FF0000"/>
          <w:sz w:val="24"/>
          <w:szCs w:val="24"/>
          <w:u w:val="single"/>
        </w:rPr>
        <w:t xml:space="preserve">Por último, la productividad de las horas de clase es más alta en escuelas que ponen en marcha medidas de rendición de cuentas y promueven una mayor autonomía de los centros, tanto para seleccionar a los docentes como para administrar los recursos disponibles. </w:t>
      </w:r>
    </w:p>
    <w:p w:rsidR="00E02187" w:rsidRPr="00DA4F7C" w:rsidRDefault="00E02187" w:rsidP="00E02187">
      <w:pPr>
        <w:spacing w:line="240" w:lineRule="auto"/>
        <w:jc w:val="both"/>
        <w:rPr>
          <w:rFonts w:ascii="Times New Roman" w:hAnsi="Times New Roman" w:cs="Times New Roman"/>
          <w:sz w:val="24"/>
          <w:szCs w:val="24"/>
          <w:u w:val="single"/>
        </w:rPr>
      </w:pPr>
      <w:r w:rsidRPr="0089779F">
        <w:rPr>
          <w:rFonts w:ascii="Times New Roman" w:hAnsi="Times New Roman" w:cs="Times New Roman"/>
          <w:sz w:val="24"/>
          <w:szCs w:val="24"/>
        </w:rPr>
        <w:t xml:space="preserve">Lo que también se puede observar, y con esto no os vamos a descubrir América, es que </w:t>
      </w:r>
      <w:r w:rsidRPr="00DA4F7C">
        <w:rPr>
          <w:rFonts w:ascii="Times New Roman" w:hAnsi="Times New Roman" w:cs="Times New Roman"/>
          <w:color w:val="FF0000"/>
          <w:sz w:val="24"/>
          <w:szCs w:val="24"/>
          <w:u w:val="single"/>
        </w:rPr>
        <w:t>la forma en que los profesores usan las horas en clase es fundamental</w:t>
      </w:r>
      <w:r w:rsidRPr="0089779F">
        <w:rPr>
          <w:rFonts w:ascii="Times New Roman" w:hAnsi="Times New Roman" w:cs="Times New Roman"/>
          <w:sz w:val="24"/>
          <w:szCs w:val="24"/>
        </w:rPr>
        <w:t xml:space="preserve">. El aumento de las horas proporciona el tiempo suficiente para cubrir más materia del currículo y con una mayor profundidad (Checkoway et al, 2009, ver aquí). Por su parte, </w:t>
      </w:r>
      <w:r w:rsidRPr="00DA4F7C">
        <w:rPr>
          <w:rFonts w:ascii="Times New Roman" w:hAnsi="Times New Roman" w:cs="Times New Roman"/>
          <w:sz w:val="24"/>
          <w:szCs w:val="24"/>
          <w:u w:val="single"/>
        </w:rPr>
        <w:t xml:space="preserve">el modelo de escuela No Excuses (ya comentado en este blog aquí), incluye el tiempo en clase como uno de sus cinco pilares fundamentales (los demás son feedback frecuente del profesor, uso de datos para guiar al profesor, numerosas tutorías y altas expectativas): el trabajo de Dobbie y Fryer (2011) concluye la importancia de cuatro de las cinco variables a la hora de explicar los resultados, incluyendo el tiempo en clase. </w:t>
      </w:r>
    </w:p>
    <w:p w:rsidR="00E02187" w:rsidRPr="00DA4F7C" w:rsidRDefault="00E02187" w:rsidP="00E02187">
      <w:pPr>
        <w:spacing w:line="240" w:lineRule="auto"/>
        <w:jc w:val="both"/>
        <w:rPr>
          <w:rFonts w:ascii="Times New Roman" w:hAnsi="Times New Roman" w:cs="Times New Roman"/>
          <w:color w:val="FF0000"/>
          <w:sz w:val="24"/>
          <w:szCs w:val="24"/>
          <w:u w:val="single"/>
        </w:rPr>
      </w:pPr>
      <w:r w:rsidRPr="00DA4F7C">
        <w:rPr>
          <w:rFonts w:ascii="Times New Roman" w:hAnsi="Times New Roman" w:cs="Times New Roman"/>
          <w:color w:val="FF0000"/>
          <w:sz w:val="24"/>
          <w:szCs w:val="24"/>
          <w:u w:val="single"/>
        </w:rPr>
        <w:t xml:space="preserve">En general, podemos concluir que aumentar el tiempo en clase es positivo para el desempeño de los estudiantes. En cualquier caso, faltan estudios rigurosos que se </w:t>
      </w:r>
      <w:r w:rsidRPr="00DA4F7C">
        <w:rPr>
          <w:rFonts w:ascii="Times New Roman" w:hAnsi="Times New Roman" w:cs="Times New Roman"/>
          <w:color w:val="FF0000"/>
          <w:sz w:val="24"/>
          <w:szCs w:val="24"/>
          <w:u w:val="single"/>
        </w:rPr>
        <w:lastRenderedPageBreak/>
        <w:t xml:space="preserve">centren en los costes y beneficios de este tipo de intervención, ya que estamos hablando de medidas que pueden encarecer el gasto de manera sustancial. </w:t>
      </w:r>
    </w:p>
    <w:p w:rsidR="00E02187" w:rsidRPr="00DA4F7C" w:rsidRDefault="00E02187" w:rsidP="00E02187">
      <w:pPr>
        <w:spacing w:line="240" w:lineRule="auto"/>
        <w:jc w:val="both"/>
        <w:rPr>
          <w:rFonts w:ascii="Times New Roman" w:hAnsi="Times New Roman" w:cs="Times New Roman"/>
          <w:color w:val="FF0000"/>
          <w:sz w:val="24"/>
          <w:szCs w:val="24"/>
          <w:u w:val="single"/>
        </w:rPr>
      </w:pPr>
      <w:r w:rsidRPr="0089779F">
        <w:rPr>
          <w:rFonts w:ascii="Times New Roman" w:hAnsi="Times New Roman" w:cs="Times New Roman"/>
          <w:sz w:val="24"/>
          <w:szCs w:val="24"/>
        </w:rPr>
        <w:t xml:space="preserve">Estos análisis coste-beneficio deberán tener en cuenta en todo momento el resultado fundamental de nuestro estudio: </w:t>
      </w:r>
      <w:r w:rsidRPr="00DA4F7C">
        <w:rPr>
          <w:rFonts w:ascii="Times New Roman" w:hAnsi="Times New Roman" w:cs="Times New Roman"/>
          <w:color w:val="FF0000"/>
          <w:sz w:val="24"/>
          <w:szCs w:val="24"/>
          <w:u w:val="single"/>
        </w:rPr>
        <w:t>quienes más se benefician del aumento de horas en clase son los grupos más vulnerables. Los problemas a los cuales se enfrentan los grupos más desfavorecidos pueden ser mitigados muy bien aumentando el tiempo que pasan en la escuela. No sólo les da la oportunidad de aumentar su aprendizaje, sino que reduce su exposición a problemas a los cuales se enfrentan en sus casas y barrios en el día a día. No se debe obviar este resultado a la hora de tomar decisiones de políticas públicas, pues esta medida promueve una mayor justicia hacia los que provienen de entornos socioeconómicos más desfavorecidos.</w:t>
      </w:r>
    </w:p>
    <w:p w:rsidR="00E02187" w:rsidRPr="0089779F" w:rsidRDefault="00E02187" w:rsidP="00E02187">
      <w:pPr>
        <w:spacing w:line="240" w:lineRule="auto"/>
        <w:jc w:val="both"/>
        <w:rPr>
          <w:rFonts w:ascii="Times New Roman" w:hAnsi="Times New Roman" w:cs="Times New Roman"/>
          <w:sz w:val="24"/>
          <w:szCs w:val="24"/>
        </w:rPr>
      </w:pPr>
      <w:r w:rsidRPr="0089779F">
        <w:rPr>
          <w:rFonts w:ascii="Times New Roman" w:hAnsi="Times New Roman" w:cs="Times New Roman"/>
          <w:sz w:val="24"/>
          <w:szCs w:val="24"/>
        </w:rPr>
        <w:t>Disclaimer:</w:t>
      </w:r>
    </w:p>
    <w:p w:rsidR="00E02187" w:rsidRDefault="00E02187" w:rsidP="00E02187">
      <w:pPr>
        <w:spacing w:line="240" w:lineRule="auto"/>
        <w:jc w:val="both"/>
        <w:rPr>
          <w:rFonts w:ascii="Times New Roman" w:hAnsi="Times New Roman" w:cs="Times New Roman"/>
          <w:sz w:val="24"/>
          <w:szCs w:val="24"/>
        </w:rPr>
      </w:pPr>
      <w:r w:rsidRPr="0089779F">
        <w:rPr>
          <w:rFonts w:ascii="Times New Roman" w:hAnsi="Times New Roman" w:cs="Times New Roman"/>
          <w:sz w:val="24"/>
          <w:szCs w:val="24"/>
        </w:rPr>
        <w:t>Este artículo está basado en un informe realizado como parte de nuestro trabajo en el Departamento de Educación de Europa y Asia Central del Banco Mundial. En ningún caso, los resultados del mismo deben ser considerados como la postura oficial del Banco Mundial en este tema.</w:t>
      </w:r>
    </w:p>
    <w:p w:rsidR="00E02187" w:rsidRPr="008077BE" w:rsidRDefault="00E02187" w:rsidP="00E02187">
      <w:pPr>
        <w:spacing w:before="100" w:beforeAutospacing="1" w:after="100" w:afterAutospacing="1" w:line="240" w:lineRule="auto"/>
        <w:jc w:val="both"/>
        <w:rPr>
          <w:rFonts w:ascii="Times New Roman" w:hAnsi="Times New Roman" w:cs="Times New Roman"/>
          <w:sz w:val="24"/>
          <w:szCs w:val="24"/>
          <w:u w:val="single"/>
        </w:rPr>
      </w:pPr>
      <w:r w:rsidRPr="008077BE">
        <w:rPr>
          <w:rFonts w:ascii="Times New Roman" w:hAnsi="Times New Roman" w:cs="Times New Roman"/>
          <w:sz w:val="24"/>
          <w:szCs w:val="24"/>
          <w:u w:val="single"/>
        </w:rPr>
        <w:t xml:space="preserve">Licenciados de EEUU denuncian a sus campus porque la promesa laboral no se cumplió </w:t>
      </w:r>
    </w:p>
    <w:p w:rsidR="00E02187" w:rsidRPr="006717AB" w:rsidRDefault="00E02187" w:rsidP="00E02187">
      <w:pPr>
        <w:spacing w:before="100" w:beforeAutospacing="1" w:after="100" w:afterAutospacing="1" w:line="240" w:lineRule="auto"/>
        <w:jc w:val="both"/>
        <w:rPr>
          <w:rFonts w:ascii="Times New Roman" w:hAnsi="Times New Roman" w:cs="Times New Roman"/>
          <w:sz w:val="24"/>
          <w:szCs w:val="24"/>
        </w:rPr>
      </w:pPr>
      <w:r>
        <w:rPr>
          <w:rFonts w:ascii="Times New Roman" w:eastAsia="Times New Roman" w:hAnsi="Times New Roman" w:cs="Times New Roman"/>
          <w:i/>
          <w:sz w:val="24"/>
          <w:szCs w:val="24"/>
        </w:rPr>
        <w:t>“</w:t>
      </w:r>
      <w:r w:rsidRPr="008077BE">
        <w:rPr>
          <w:rFonts w:ascii="Times New Roman" w:eastAsia="Times New Roman" w:hAnsi="Times New Roman" w:cs="Times New Roman"/>
          <w:i/>
          <w:sz w:val="24"/>
          <w:szCs w:val="24"/>
        </w:rPr>
        <w:t>Cuanta más educación, menos paro y mejores salarios. Al menos, eso es lo que dicen las estadísticas. Por ejemplo, en España, en lo más duro de la crisis económica, la tasa de desempleo es la mitad entre los titulados superiores (17%) que entre los que tienen estudios obligatorios (34,4%); y entre los que tienen un doctorado es del 4,6%. Además, los licenciados españoles ganan un 49% más que la media, según cifras de la OCDE de 2010. En Estados Unidos, esa diferencia alcanza el 92%. Por eso, no es extraño que muchos jóvenes hagan el esfuerzo de estudiar una carrera, algo que en el país norteamericano supone también un importante desembolso económico (en la pública cuesta casi 6.000 euros al año de media). Pero ¿y si al final no da el resultado prometido? ¿Qué pasa si caes en el lado malo de la estadística? ¿Y si el trabajo es de dependiente en una tienda?</w:t>
      </w:r>
      <w:r>
        <w:rPr>
          <w:rFonts w:ascii="Times New Roman" w:eastAsia="Times New Roman" w:hAnsi="Times New Roman" w:cs="Times New Roman"/>
          <w:i/>
          <w:sz w:val="24"/>
          <w:szCs w:val="24"/>
        </w:rPr>
        <w:t xml:space="preserve">”… </w:t>
      </w:r>
      <w:r w:rsidRPr="00C44E05">
        <w:rPr>
          <w:rFonts w:ascii="Times New Roman" w:hAnsi="Times New Roman" w:cs="Times New Roman"/>
          <w:sz w:val="24"/>
          <w:szCs w:val="24"/>
          <w:u w:val="single"/>
        </w:rPr>
        <w:t>Pagar una carrera para terminar de camarero</w:t>
      </w:r>
      <w:r>
        <w:rPr>
          <w:rFonts w:ascii="Times New Roman" w:hAnsi="Times New Roman" w:cs="Times New Roman"/>
          <w:sz w:val="24"/>
          <w:szCs w:val="24"/>
        </w:rPr>
        <w:t xml:space="preserve"> (El País - </w:t>
      </w:r>
      <w:r w:rsidRPr="00C44E05">
        <w:rPr>
          <w:rFonts w:ascii="Times New Roman" w:hAnsi="Times New Roman" w:cs="Times New Roman"/>
          <w:b/>
          <w:sz w:val="24"/>
          <w:szCs w:val="24"/>
        </w:rPr>
        <w:t>20/5/13</w:t>
      </w:r>
      <w:r>
        <w:rPr>
          <w:rFonts w:ascii="Times New Roman" w:hAnsi="Times New Roman" w:cs="Times New Roman"/>
          <w:sz w:val="24"/>
          <w:szCs w:val="24"/>
        </w:rPr>
        <w:t>)</w:t>
      </w: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Graduados de una veintena de universidades de Estados Unidos han demandado a sus campus por publicidad engañosa. Sostienen que las instituciones -todas escuelas privadas de Derecho- facilitaron a sabiendas cifras de colocación laboral de sus titulados que no se corresponden con la realidad. Y cinco de esas demandas han sido admitidas a trámite en California, las presentadas contra San Francisco’s Golden Gate University, Southwestern, San Diego’s Thomas Jefferson, University of San Francisco y California Western School of Law, donde estudiar cuesta de media 40.000 dólares al año (algo más de 30.000 euros).</w:t>
      </w: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“Si eso es cierto, es lamentable que una universidad pueda utilizar mentiras o estadísticas engañosas de esa manera. No se puede justificar en lo más mínimo, pero creo que muestra la desesperación de unas universidades que han construido una operación de un cierto tamaño que necesita mucho dinero mantener (edificios, salarios, mantenimiento, etcétera)”, señala la profesora de la Universidad de York, en Toronto (Canadá), Sheila Embleton.</w:t>
      </w: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lastRenderedPageBreak/>
        <w:t>Pero en un país, Estados Unidos, donde los precios de las universidades no han dejado de crecer y crecer en las últimas décadas y los graduados acumulan una deuda de 786.163 millones de euros (el presidente Obama tuvo que lanzar un plan hace dos años para rescatar a muchos de ellos), esta demanda puede ser otro síntoma de algo más grande que la pura publicidad engañosa.</w:t>
      </w: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Hace unos años, el profesor de Derecho de la Universidad de Tennessee Glenn Reynolds popularizó el término “burbuja universitaria”, a semejanza de la inmobiliaria que infló los precios de las viviendas, gracias, entre otras cosas, a la facilidad para obtener créditos. Los precios alcanzaron unas cifras que no se correspondían con su valor real. Algo parecido, sostenía Reynolds, estaba sucediendo con las matrículas universitarias. ¿Y si los estudiantes estaban pagando una cantidad de dinero por algo que en realidad vale mucho menos? “¿Cuál es el valor de una carrera? Obviamente, eso depende de muchas cosas, y la cantidad que se pagó por los estudios y la deuda con la que sale el graduado no es la menor de ellas. Lo ideal sería que no se midiera su valor solo en términos de colocación en el mercado de trabajo y los salarios, pero, siendo realista, es así”, opina Embleton.</w:t>
      </w: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En España, en torno al 70% de las personas que estudian una carrera universitaria lo hacen, en primer lugar, para encontrar un buen trabajo, recuerda el catedrático de Economía de la Universidad Pompeu Fabra José García-Montalvo. Pero en todo sistema educativo, una de las mayores dificultades, si no la mayor, para quien lo administra es buscar el equilibrio entre las esperanzas, deseos, capacidades, gustos y expectativas de millones de individuos, y las necesidades de una sociedad en general y de un mercado laboral en particular.</w:t>
      </w: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Hace unas semanas, se formó una gran polvareda porque el ministro de Educación, José Ignacio Wert, planteó esa idea del siguiente modo: se debería “inculcar a los alumnos universitarios a que no piensen solo en estudiar lo que les apetece o a seguir las tradiciones familiares a la hora de escoger itinerario académico, sino a que piensen en términos de necesidades y de su posible empleabilidad”.</w:t>
      </w: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Lo cierto es que muchísimos ya lo hacen, pero les falta información. El experto de la Unesco Francesc Pedró hablaba hace unos años (entonces, desde la OCDE) de un “sistema ciego” que obliga a los estudiantes a guiarse únicamente “por sus preferencias o intuiciones”, pero sin “contar también con criterios racionales”. De hecho, un informe del anterior Gobierno socialista reclamaba a las universidades más instrumentos de transparencia para poder poner en común y comparar los resultados de las universidades para que todos los actores puedan tomar decisiones “con las máximas garantías de acierto”. En el caso de los alumnos, podrían ser comparativas sobre la tasa de abandono de una carrera o la tasa de inserción laboral una vez titulados.</w:t>
      </w: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 xml:space="preserve">“La solución en España sería que una entidad pública se encargue de publicar los resultados en el mercado de trabajo de los graduados por titulaciones y universidades para que no entren engañados en las carreras (tasas de desempleo, salarios medios, niveles de sobrecualificación). Hay quien quiere ir a la universidad a hacerse un ciudadano y no le interesan las salidas del mercado laboral, pero la gran mayoría lo hacen para mejorar su empleabilidad. Estos deberían conocer con rigor y precisión qué les espera cuando salgan dependiendo de la carrera elegida. Aun así, podrían elegir lo </w:t>
      </w:r>
      <w:r w:rsidRPr="00E83A87">
        <w:rPr>
          <w:rFonts w:ascii="Times New Roman" w:eastAsia="Times New Roman" w:hAnsi="Times New Roman" w:cs="Times New Roman"/>
          <w:sz w:val="24"/>
          <w:szCs w:val="24"/>
        </w:rPr>
        <w:lastRenderedPageBreak/>
        <w:t>que creen que les gusta frente a lo que tiene salidas profesionales, pero al menos la decisión sería informada”, señala García-Montalvo.</w:t>
      </w: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A pesar de todo, la situación en general en Europa, en cuanto a una posible burbuja universitaria, no es comparable a la estadounidense, pues los precios de las carreras son en general mucho menores, exceptuando algunas escuelas de negocio muy caras, recuerda el experto en educación superior de la Universidad de Ámsterdam J. W. M. de Wit. “En Estados Unidos, el problema es que los estudiantes combinan estudio y trabajo para cubrir sus costes, lo que hace que los alumnos tarden más tiempo en hacer la carrera y que descienda la calidad y la excelencia. Además, como hay menos empleos disponibles por la crisis, los préstamos estudiantiles aumentan y también las deudas”, dice De Wit.</w:t>
      </w: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bookmarkStart w:id="1" w:name="sumario_1"/>
      <w:bookmarkEnd w:id="1"/>
      <w:r w:rsidRPr="00E83A87">
        <w:rPr>
          <w:rFonts w:ascii="Times New Roman" w:eastAsia="Times New Roman" w:hAnsi="Times New Roman" w:cs="Times New Roman"/>
          <w:noProof/>
          <w:sz w:val="24"/>
          <w:szCs w:val="24"/>
          <w:lang w:eastAsia="es-ES"/>
        </w:rPr>
        <w:drawing>
          <wp:inline distT="0" distB="0" distL="0" distR="0" wp14:anchorId="0C81DEFE" wp14:editId="6D545E35">
            <wp:extent cx="5332655" cy="5084064"/>
            <wp:effectExtent l="0" t="0" r="1905" b="2540"/>
            <wp:docPr id="95" name="Imagen 95" descr="http://ep01.epimg.net/sociedad/imagenes/2013/05/20/actualidad/1369076543_237797_1369076681_sumario_norm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p01.epimg.net/sociedad/imagenes/2013/05/20/actualidad/1369076543_237797_1369076681_sumario_normal.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332730" cy="5084135"/>
                    </a:xfrm>
                    <a:prstGeom prst="rect">
                      <a:avLst/>
                    </a:prstGeom>
                    <a:noFill/>
                    <a:ln>
                      <a:noFill/>
                    </a:ln>
                  </pic:spPr>
                </pic:pic>
              </a:graphicData>
            </a:graphic>
          </wp:inline>
        </w:drawing>
      </w:r>
    </w:p>
    <w:p w:rsidR="00E02187" w:rsidRPr="00E83A87" w:rsidRDefault="00E02187" w:rsidP="00E02187">
      <w:pPr>
        <w:shd w:val="clear" w:color="auto" w:fill="FFFFFF"/>
        <w:spacing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Fuente: Observatorio del Sistema Universitario y elaboración propia. / EL PAÍS</w:t>
      </w: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 xml:space="preserve">Sin embargo, hay desde hace años una fuerte presión desde algunos sectores y algunos especialistas por elevar el precio de las matrículas universitarias, y así ha ocurrido en países como Austria, Hungría o Irlanda (donde se ha duplicado en los últimos años hasta los 2.000 euros anuales), aunque el mayor aumento se ha dado en Inglaterra. Allí, las carreras costaban unos 1.250 euros anuales en 1998; hasta 3.000 en 2003 y hasta </w:t>
      </w:r>
      <w:r w:rsidRPr="00E83A87">
        <w:rPr>
          <w:rFonts w:ascii="Times New Roman" w:eastAsia="Times New Roman" w:hAnsi="Times New Roman" w:cs="Times New Roman"/>
          <w:sz w:val="24"/>
          <w:szCs w:val="24"/>
        </w:rPr>
        <w:lastRenderedPageBreak/>
        <w:t>11.250 euros en 2010. Esta última subida se compensa con un sistema de préstamos públicos.</w:t>
      </w: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En España, el precio de las carreras ha aumentado este curso un 16% de media, hasta alcanzar un promedio de 1.074 euros, desde los 714 euros en Galicia hasta los más de 1.500 en Madrid y Cataluña. En el caso de los repetidores, el coste se multiplica. Y con los másteres, el aumento medio en buena parte de los títulos ha llegado a los 1.000 euros, con precios que van desde entre los 1.590 euros por curso en Galicia hasta los 4.290 en Canarias.</w:t>
      </w: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“Privatizar la universidad pública y hacer pagar a los estudiantes lo que se llama el “coste real” de los estudios son, desde luego, propósitos que se expresarán cada vez con menos disimulo y que acabarán cumpliéndose, pero mucho más paulatinamente de lo que gustaría”, opina el catedrático de Filosofía de la Universidad Carlos III de Madrid Antonio Valdecantos. “Tendrá que pasar un par de generaciones, porque la capacidad de resistencia de las universidades públicas españolas es muy superior a la de otros sectores de la sociedad. Por otra parte, las universidades privadas (salvo las eclesiásticas, que son muy tradicionales, y en eso se asemejan, curiosamente, a las públicas de toda la vida) han cosechado un prestigio académico muy escaso, de modo que solo son competitivas como escuelas profesionales y dentro de sectores sociales reducidos”, añade. “Lo anterior es compatible, sin embargo, con operaciones muy agresivas, como la tocante a los estudios de máster”.</w:t>
      </w: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De Wit, por su parte, insiste en que e</w:t>
      </w:r>
      <w:r>
        <w:rPr>
          <w:rFonts w:ascii="Times New Roman" w:eastAsia="Times New Roman" w:hAnsi="Times New Roman" w:cs="Times New Roman"/>
          <w:sz w:val="24"/>
          <w:szCs w:val="24"/>
        </w:rPr>
        <w:t>l del precio de las matriculas -</w:t>
      </w:r>
      <w:r w:rsidRPr="00E83A87">
        <w:rPr>
          <w:rFonts w:ascii="Times New Roman" w:eastAsia="Times New Roman" w:hAnsi="Times New Roman" w:cs="Times New Roman"/>
          <w:sz w:val="24"/>
          <w:szCs w:val="24"/>
        </w:rPr>
        <w:t xml:space="preserve">y, por </w:t>
      </w:r>
      <w:r>
        <w:rPr>
          <w:rFonts w:ascii="Times New Roman" w:eastAsia="Times New Roman" w:hAnsi="Times New Roman" w:cs="Times New Roman"/>
          <w:sz w:val="24"/>
          <w:szCs w:val="24"/>
        </w:rPr>
        <w:t>tanto, el de la posible burbuja-</w:t>
      </w:r>
      <w:r w:rsidRPr="00E83A87">
        <w:rPr>
          <w:rFonts w:ascii="Times New Roman" w:eastAsia="Times New Roman" w:hAnsi="Times New Roman" w:cs="Times New Roman"/>
          <w:sz w:val="24"/>
          <w:szCs w:val="24"/>
        </w:rPr>
        <w:t xml:space="preserve"> no es el problema de Europa. Recuerda, por ejemplo, que la mayor parte de Estados de Alemania está eliminando las tasas universitarias para volver a las matrículas gratuitas. “En Europa, la mayor preocupación es la masificación en las carreras de humanidades y Ciencias Sociales, la escasez de ingenieros y Ciencias Exactas o el aumento del desempleo entre los graduados. Todo ello, combinado con los recortes en educación pueden disminuir la calidad, lo que requeriría más selección para entrar en un grado o en un máster y más movilidad de los titulados”, dice el profesor.</w:t>
      </w:r>
    </w:p>
    <w:p w:rsidR="00393CD5" w:rsidRDefault="00393CD5" w:rsidP="00E02187">
      <w:pPr>
        <w:shd w:val="clear" w:color="auto" w:fill="FFFFFF"/>
        <w:spacing w:after="0" w:line="240" w:lineRule="auto"/>
        <w:jc w:val="both"/>
        <w:rPr>
          <w:rFonts w:ascii="Times New Roman" w:eastAsia="Times New Roman" w:hAnsi="Times New Roman" w:cs="Times New Roman"/>
          <w:sz w:val="24"/>
          <w:szCs w:val="24"/>
        </w:rPr>
      </w:pP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 xml:space="preserve">García-Montalvo, no obstante, opina que el bajo precio que pagan los alumnos en Europa (al menos en comparación con Estados Unidos) no elimina en absoluto el peligro de burbuja. “Es cierto que el coste que paga el estudiante es bajo, pero el coste total es bastante alto. Una carrera de cuatro años no experimental sale por 32.000 euros. Y si a eso le añadimos el coste de oportunidad del alumno se eleva todavía </w:t>
      </w:r>
      <w:r>
        <w:rPr>
          <w:rFonts w:ascii="Times New Roman" w:eastAsia="Times New Roman" w:hAnsi="Times New Roman" w:cs="Times New Roman"/>
          <w:sz w:val="24"/>
          <w:szCs w:val="24"/>
        </w:rPr>
        <w:t>más (en las demandas de EE</w:t>
      </w:r>
      <w:r w:rsidRPr="00E83A87">
        <w:rPr>
          <w:rFonts w:ascii="Times New Roman" w:eastAsia="Times New Roman" w:hAnsi="Times New Roman" w:cs="Times New Roman"/>
          <w:sz w:val="24"/>
          <w:szCs w:val="24"/>
        </w:rPr>
        <w:t>UU un componente fundamental para el cálculo de la indemnización que piden es el coste de oportunidad). Aquí en España el problema es que el contribuyente, que es el que paga la mayor parte de la factura, no pondrá una demanda en los juzgados”.</w:t>
      </w: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Así, vuelve a insistir en la necesidad de transparencia para que los universitarios tomen decisiones informadas. “La información no garantiza que se pinche la burbuja universitaria (a veces la presión social por realizar estudios universitarios es mayor que la lógica económica), pero sí que facilitaría un ajuste más rápido entre oferta y demanda. El ajuste al final acaba produciéndose (pensemos en la espectacular caída de las Humanidades en los últimos 15 años), pero la transición es demasiado larga y deja en la cuenta a demasiados estudiantes que, buscando mejorar su empleabilidad, equivocaron la carrera o incluso iniciaron estudios universitarios”.</w:t>
      </w:r>
    </w:p>
    <w:p w:rsidR="00E02187" w:rsidRPr="00E83A87" w:rsidRDefault="00E02187" w:rsidP="00E02187">
      <w:pPr>
        <w:shd w:val="clear" w:color="auto" w:fill="FFFFFF"/>
        <w:spacing w:after="0" w:line="240" w:lineRule="auto"/>
        <w:jc w:val="both"/>
        <w:rPr>
          <w:rFonts w:ascii="Times New Roman" w:eastAsia="Times New Roman" w:hAnsi="Times New Roman" w:cs="Times New Roman"/>
          <w:sz w:val="24"/>
          <w:szCs w:val="24"/>
        </w:rPr>
      </w:pPr>
    </w:p>
    <w:p w:rsidR="00E02187" w:rsidRDefault="00E02187" w:rsidP="00E02187">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García-Montalvo, el catedrático de la Pompeu Fabra, se refiere al exceso de oferta de titulaciones con muy pocos alumnos de la que se han quejado multitud de expertos desde hace años. Pero la idea de una posible burbuja universitaria en España se ha asociado también desde muchos ámbitos a un “excesivo” número de universidades.</w:t>
      </w:r>
    </w:p>
    <w:p w:rsidR="00393CD5" w:rsidRPr="00E83A87" w:rsidRDefault="00393CD5" w:rsidP="00E02187">
      <w:pPr>
        <w:shd w:val="clear" w:color="auto" w:fill="FFFFFF"/>
        <w:spacing w:after="0" w:line="240" w:lineRule="auto"/>
        <w:jc w:val="both"/>
        <w:rPr>
          <w:rFonts w:ascii="Times New Roman" w:eastAsia="Times New Roman" w:hAnsi="Times New Roman" w:cs="Times New Roman"/>
          <w:sz w:val="24"/>
          <w:szCs w:val="24"/>
        </w:rPr>
      </w:pPr>
    </w:p>
    <w:p w:rsidR="00E02187" w:rsidRPr="00E83A87" w:rsidRDefault="00E02187" w:rsidP="00E02187">
      <w:pPr>
        <w:shd w:val="clear" w:color="auto" w:fill="FFFFFF"/>
        <w:spacing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Un lugar común que Valdecantos rechaza completamente. “En cualquier país culto hay más universidades que en España y nadie considera esto un despilfarro. No parece que sea lo mismo que los aeropuertos, por ejemplo”. Para el catedrático de Filosofía, el problema es que “la mayor parte de las universidades públicas nuevas se han concebido con un notorio mimetismo respecto de las privadas, como si una universidad fuese un centro de preparación para profesiones de éxito. El resultado ha sido en muchos casos una enseñanza académicamente pobre e inspirada solo en criterios de rentabilidad. Pero la Universidad solo es tal (y solo puede triunfar) cuando no intenta ser rentable”.</w:t>
      </w:r>
    </w:p>
    <w:p w:rsidR="00E02187" w:rsidRPr="00D97CC1" w:rsidRDefault="00E02187" w:rsidP="00E02187">
      <w:pPr>
        <w:pStyle w:val="NormalWeb"/>
        <w:jc w:val="both"/>
        <w:rPr>
          <w:u w:val="single"/>
        </w:rPr>
      </w:pPr>
      <w:r w:rsidRPr="00D97CC1">
        <w:rPr>
          <w:u w:val="single"/>
        </w:rPr>
        <w:t>¿Deberíamos inyectarle dinero a las universidades y apoyar a las escuelas y colegios, tal co</w:t>
      </w:r>
      <w:r>
        <w:rPr>
          <w:u w:val="single"/>
        </w:rPr>
        <w:t>mo lo hacemos con los bancos?</w:t>
      </w:r>
    </w:p>
    <w:p w:rsidR="00E02187" w:rsidRPr="00D97CC1" w:rsidRDefault="00E02187" w:rsidP="00E02187">
      <w:pPr>
        <w:pStyle w:val="NormalWeb"/>
        <w:jc w:val="both"/>
      </w:pPr>
      <w:r w:rsidRPr="00D97CC1">
        <w:rPr>
          <w:i/>
        </w:rPr>
        <w:t>¿Será hora de replantearnos qué es lo que ayuda a crear nuevas industrias y puestos de trabajo? ¿Debería reconocerse que la educación es la clave para la innovación, en lugar de considerarse una fuga de los recursos públicos?</w:t>
      </w:r>
      <w:r>
        <w:rPr>
          <w:i/>
        </w:rPr>
        <w:t xml:space="preserve">”… </w:t>
      </w:r>
      <w:r w:rsidRPr="0084211D">
        <w:rPr>
          <w:u w:val="single"/>
        </w:rPr>
        <w:t>¿Debe el Estado rescatar a las universidades en vez de a los bancos?</w:t>
      </w:r>
      <w:r>
        <w:t xml:space="preserve"> (BBCMundo - </w:t>
      </w:r>
      <w:r w:rsidRPr="0084211D">
        <w:rPr>
          <w:b/>
        </w:rPr>
        <w:t>12/6/13</w:t>
      </w:r>
      <w:r>
        <w:t xml:space="preserve">) </w:t>
      </w:r>
    </w:p>
    <w:p w:rsidR="00E02187" w:rsidRDefault="00E02187" w:rsidP="00E02187">
      <w:pPr>
        <w:pStyle w:val="NormalWeb"/>
        <w:jc w:val="both"/>
      </w:pPr>
      <w:r w:rsidRPr="00D97CC1">
        <w:t>El especialista en educación internacional e influyente pensador de la Organización para la Cooperación y el Desarrollo Económico (OCDE), Andreas Schleicher, cree que las economías occidentales han llegado a un momento decisivo: o mejoran sus habilidad</w:t>
      </w:r>
      <w:r>
        <w:t>es o deberán reducir su tamaño. “</w:t>
      </w:r>
      <w:r w:rsidRPr="00D97CC1">
        <w:t xml:space="preserve">Hay dos opciones. Competir por lo bajo con China, reduciendo los salarios de los empleos de baja calificación, o tratar de ganar en cuanto </w:t>
      </w:r>
      <w:r>
        <w:t>a innovación y competitividad”</w:t>
      </w:r>
      <w:r w:rsidRPr="00D97CC1">
        <w:t>.</w:t>
      </w:r>
      <w:r>
        <w:t xml:space="preserve"> </w:t>
      </w:r>
    </w:p>
    <w:p w:rsidR="00E02187" w:rsidRPr="00D97CC1" w:rsidRDefault="00E02187" w:rsidP="00E02187">
      <w:pPr>
        <w:pStyle w:val="NormalWeb"/>
        <w:jc w:val="both"/>
      </w:pPr>
      <w:r>
        <w:t>“</w:t>
      </w:r>
      <w:r w:rsidRPr="00D97CC1">
        <w:t>A largo plazo, si no se tienen recursos naturales para vender, las habilidades s</w:t>
      </w:r>
      <w:r>
        <w:t>erán la única forma de competir”. “</w:t>
      </w:r>
      <w:r w:rsidRPr="00D97CC1">
        <w:t>En el pasado, las políticas monetarias y fiscales podían ser vistas como una forma de crecimiento, pero hoy en día, lo que queda es el capital humano. Ya no es posible salir de una crisis con rescates, la única manera de hacerlo es</w:t>
      </w:r>
      <w:r>
        <w:t xml:space="preserve"> ofreciendo mejores habilidades”</w:t>
      </w:r>
      <w:r w:rsidRPr="00D97CC1">
        <w:t>.</w:t>
      </w:r>
    </w:p>
    <w:p w:rsidR="00E02187" w:rsidRPr="00D97CC1" w:rsidRDefault="00E02187" w:rsidP="00E02187">
      <w:pPr>
        <w:pStyle w:val="NormalWeb"/>
        <w:jc w:val="both"/>
      </w:pPr>
      <w:r w:rsidRPr="00D97CC1">
        <w:t xml:space="preserve">Esto también significaría llevar a cabo cambios fundamentales en los colegios y sistemas universitarios, dice el experto en educación de </w:t>
      </w:r>
      <w:r>
        <w:t xml:space="preserve">la OCDE. </w:t>
      </w:r>
      <w:r w:rsidRPr="00D97CC1">
        <w:t>Las escuelas tendrán que dar a todos los alumnos la oportunidad de ser exitosos y tratar de acabar con el nexo entre el ingreso familiar y el rendimiento académico, q</w:t>
      </w:r>
      <w:r>
        <w:t>ue suele restringir el talento. “</w:t>
      </w:r>
      <w:r w:rsidRPr="00D97CC1">
        <w:t>Europa no puede permitir que el éxito educativo sea tan dependiente de la p</w:t>
      </w:r>
      <w:r>
        <w:t>rocedencia social del individuo”, asegura Schleicher. “</w:t>
      </w:r>
      <w:r w:rsidRPr="00D97CC1">
        <w:t>Ahí es donde se corta el suministro. No se conseguirá que más gente entre en la universi</w:t>
      </w:r>
      <w:r>
        <w:t>dad, si no se mejoran las bases”. “</w:t>
      </w:r>
      <w:r w:rsidRPr="00D97CC1">
        <w:t>Las universidades están trabajando al límite, la fue</w:t>
      </w:r>
      <w:r>
        <w:t>nte de dinero ahora es limitada”</w:t>
      </w:r>
      <w:r w:rsidRPr="00D97CC1">
        <w:t>, dice.</w:t>
      </w:r>
    </w:p>
    <w:p w:rsidR="00E02187" w:rsidRDefault="00E02187" w:rsidP="00E02187">
      <w:pPr>
        <w:pStyle w:val="NormalWeb"/>
        <w:jc w:val="both"/>
      </w:pPr>
      <w:r w:rsidRPr="00D97CC1">
        <w:t>Según él, el panorama de la educación superior tiene que reinventarse. La universidad debe dejar de ser tradicional y ofrecer una variedad de carreras más rápidas, especializadas y avanzadas, a las que se pueda acceder de una manera mucho más flexible.</w:t>
      </w:r>
      <w:r>
        <w:t xml:space="preserve"> </w:t>
      </w:r>
      <w:r w:rsidRPr="00D97CC1">
        <w:t xml:space="preserve">Una vez que el sistema educativo se reconfigure, dice, los políticos tendrán que alentar a las empresas a que apuesten por una mano de obra más calificada y </w:t>
      </w:r>
      <w:r w:rsidRPr="00D97CC1">
        <w:lastRenderedPageBreak/>
        <w:t>desincentivar a las que opten por trabajadores de baja calificación.</w:t>
      </w:r>
      <w:r>
        <w:t xml:space="preserve"> </w:t>
      </w:r>
      <w:r w:rsidRPr="00D97CC1">
        <w:t>A modo de ejemplo, el experto apunta que en Singapur, los empleadores tienen un incentivo fiscal para c</w:t>
      </w:r>
      <w:r>
        <w:t xml:space="preserve">ontratar a personal calificado. </w:t>
      </w:r>
    </w:p>
    <w:p w:rsidR="00E02187" w:rsidRPr="00D97CC1" w:rsidRDefault="00E02187" w:rsidP="00E02187">
      <w:pPr>
        <w:pStyle w:val="NormalWeb"/>
        <w:jc w:val="both"/>
      </w:pPr>
      <w:r w:rsidRPr="00D97CC1">
        <w:t>En Hong Kong se ha creado un plan para acabar con la producción de baja calificación y sustituirla po</w:t>
      </w:r>
      <w:r>
        <w:t>r industrias de más alto valor. “</w:t>
      </w:r>
      <w:r w:rsidRPr="00D97CC1">
        <w:t xml:space="preserve">Quieren ascender en la cadena de valor. En Europa, hacemos lo contrario. Estamos tratando de aferrarnos a los puestos </w:t>
      </w:r>
      <w:r>
        <w:t xml:space="preserve">de trabajo de baja calificación”. </w:t>
      </w:r>
      <w:r w:rsidRPr="00D97CC1">
        <w:t>Los costos de hundirse en una economía de baja calificación son peligrosamente altos, argumenta.</w:t>
      </w:r>
    </w:p>
    <w:p w:rsidR="00E02187" w:rsidRPr="00D97CC1" w:rsidRDefault="00E02187" w:rsidP="00E02187">
      <w:pPr>
        <w:pStyle w:val="NormalWeb"/>
        <w:jc w:val="both"/>
      </w:pPr>
      <w:r w:rsidRPr="00D97CC1">
        <w:t>La investigación realizada por la OCDE muestra que las personas con las habilidades más bajas son empujadas a los márgenes políticos, y terminan desvinculándose y desconfiando en la sociedad. Se trata de un</w:t>
      </w:r>
      <w:r>
        <w:t>a mezcla explosiva.</w:t>
      </w:r>
    </w:p>
    <w:p w:rsidR="00E02187" w:rsidRPr="00D97CC1" w:rsidRDefault="00E02187" w:rsidP="00E02187">
      <w:pPr>
        <w:pStyle w:val="NormalWeb"/>
        <w:jc w:val="both"/>
      </w:pPr>
      <w:r w:rsidRPr="00D97CC1">
        <w:t>Nemat Shafik, subgerente del Fondo Monetario Internacional (FMI), dic</w:t>
      </w:r>
      <w:r>
        <w:t>e que los gobiernos tienen que “ser más creativos”</w:t>
      </w:r>
      <w:r w:rsidRPr="00D97CC1">
        <w:t xml:space="preserve"> en lo que se refiere al aprovechamiento de la educación para la recuperación económic</w:t>
      </w:r>
      <w:r>
        <w:t xml:space="preserve">a. </w:t>
      </w:r>
      <w:r w:rsidRPr="00D97CC1">
        <w:t>A ella le preocupa -en particular- el alto nivel de desempleo entre los jóvenes, que se observa de manera más aguda en el sur de Europa, el norte de África y el Medio Oriente.</w:t>
      </w:r>
    </w:p>
    <w:p w:rsidR="00E02187" w:rsidRPr="00D97CC1" w:rsidRDefault="00E02187" w:rsidP="00E02187">
      <w:pPr>
        <w:pStyle w:val="NormalWeb"/>
        <w:jc w:val="both"/>
      </w:pPr>
      <w:r>
        <w:t>“</w:t>
      </w:r>
      <w:r w:rsidRPr="00D97CC1">
        <w:t>Ese es el fenómeno más preocupante. Y no sólo porque se esté frustrando a la gente joven y desperdiciando su potencial. También se trata de un asunto político y social muy peligroso. Sabemos que las altas tasas de desempleo entre los jóvenes tienen un enorme costo fiscal para los países, también tienen consecuencia en la delincuencia, en tasas más altas de mortalidad, su</w:t>
      </w:r>
      <w:r>
        <w:t>icidio, inestabilidad social...”</w:t>
      </w:r>
      <w:r w:rsidRPr="00D97CC1">
        <w:t>, dice la subgerente del FMI.</w:t>
      </w:r>
    </w:p>
    <w:p w:rsidR="00E02187" w:rsidRPr="00D97CC1" w:rsidRDefault="00E02187" w:rsidP="00E02187">
      <w:pPr>
        <w:pStyle w:val="NormalWeb"/>
        <w:jc w:val="both"/>
      </w:pPr>
      <w:r w:rsidRPr="00D97CC1">
        <w:t>Incluso siendo muy optimistas, dice, harán falta años para res</w:t>
      </w:r>
      <w:r>
        <w:t>olver los niveles de desempleo. “</w:t>
      </w:r>
      <w:r w:rsidRPr="00D97CC1">
        <w:t>Y ello nos lleva a discutir el papel de la educación. Nos parece que algunas ideas creativas sobre el futuro de la educación podrían empezar a co</w:t>
      </w:r>
      <w:r>
        <w:t>mbatir los índices de desempleo”</w:t>
      </w:r>
      <w:r w:rsidRPr="00D97CC1">
        <w:t>, señala Shafik, quien es de origen egipcio y se desempeñó como vicepresidenta del Banco Mundial.</w:t>
      </w:r>
    </w:p>
    <w:p w:rsidR="00E02187" w:rsidRPr="00D97CC1" w:rsidRDefault="00E02187" w:rsidP="00E02187">
      <w:pPr>
        <w:pStyle w:val="NormalWeb"/>
        <w:jc w:val="both"/>
      </w:pPr>
      <w:r w:rsidRPr="00D97CC1">
        <w:t>No sólo se trata de graduar a más gente</w:t>
      </w:r>
      <w:r>
        <w:t>, dice, sino de proporcionar “habilidades de supervivencia”</w:t>
      </w:r>
      <w:r w:rsidRPr="00D97CC1">
        <w:t xml:space="preserve"> que resulten útiles en un mercado laboral impredecible. La relación entre la educación y el mercado </w:t>
      </w:r>
      <w:r>
        <w:t xml:space="preserve">laboral puede ser muy compleja. </w:t>
      </w:r>
      <w:r w:rsidRPr="00D97CC1">
        <w:t xml:space="preserve">En Europa y América del Norte, tener un título reduce las posibilidades de quedar desempleado. Sin embargo, en el norte de África, es todo lo contrario: los graduados tienen más probabilidades de estar desempleados que los no graduados, debido a que las oportunidades de </w:t>
      </w:r>
      <w:r>
        <w:t xml:space="preserve">empleo no están ahí para ellos. </w:t>
      </w:r>
      <w:r w:rsidRPr="00D97CC1">
        <w:t>En la África subsahariana, el problema es aún más esencial: la falta de acceso a la educación básica c</w:t>
      </w:r>
      <w:r>
        <w:t>rea una barrera para el empleo.</w:t>
      </w:r>
    </w:p>
    <w:p w:rsidR="00E02187" w:rsidRPr="00D97CC1" w:rsidRDefault="00E02187" w:rsidP="00E02187">
      <w:pPr>
        <w:pStyle w:val="NormalWeb"/>
        <w:jc w:val="both"/>
      </w:pPr>
      <w:r w:rsidRPr="00D97CC1">
        <w:t>Shafik también quiere que el sistema educativo represente la vanguardia ante los grandes cambios sociales y económi</w:t>
      </w:r>
      <w:r>
        <w:t xml:space="preserve">cos </w:t>
      </w:r>
      <w:r w:rsidRPr="00D97CC1">
        <w:t>En los países desarrollados, la gente va a tener que trabajar más tiempo, pero muchos puestos de trabajo desaparecerán antes de que sus ocupantes pued</w:t>
      </w:r>
      <w:r>
        <w:t>an darse el lujo de retirarse. “</w:t>
      </w:r>
      <w:r w:rsidRPr="00D97CC1">
        <w:t>Tenemos que pensa</w:t>
      </w:r>
      <w:r>
        <w:t xml:space="preserve">r en lo que van a hacer después”, dice. </w:t>
      </w:r>
      <w:r w:rsidRPr="00D97CC1">
        <w:t>Muchos puestos de trabajo de cuello blanco en las capas medias del mercado se van a perder debido a la externalización y los cambios tecnológicos. Las universidades deberían volver a entrenar a estas personas que se encuentran en la mitad de su carrera.</w:t>
      </w:r>
      <w:r>
        <w:t xml:space="preserve"> “</w:t>
      </w:r>
      <w:r w:rsidRPr="00D97CC1">
        <w:t xml:space="preserve">Las universidades tienen que ser lugares en los que las personas entran y </w:t>
      </w:r>
      <w:r w:rsidRPr="00D97CC1">
        <w:lastRenderedPageBreak/>
        <w:t>salen durante toda su vida. La idea de entrenarse durante tres o cuatro años y pensar que es</w:t>
      </w:r>
      <w:r>
        <w:t>o es suficiente, no es realista”</w:t>
      </w:r>
      <w:r w:rsidRPr="00D97CC1">
        <w:t>.</w:t>
      </w:r>
    </w:p>
    <w:p w:rsidR="00E02187" w:rsidRPr="00D97CC1" w:rsidRDefault="00E02187" w:rsidP="00E02187">
      <w:pPr>
        <w:pStyle w:val="NormalWeb"/>
        <w:jc w:val="both"/>
      </w:pPr>
      <w:r w:rsidRPr="00D97CC1">
        <w:t xml:space="preserve">Pero durante una recesión, es posible que la marea vaya en dirección opuesta. En el momento en que más se necesitan oportunidades de educación, existe presión para gastar menos. El problema de </w:t>
      </w:r>
      <w:r>
        <w:t xml:space="preserve">liquidez es un círculo vicioso. </w:t>
      </w:r>
      <w:r w:rsidRPr="00D97CC1">
        <w:t>En Inglaterra, el aumento en el costo de las matrículas ha ido acompañado de una caída en el número de estudiantes de pregrado a medio tiempo. El descenso total ha sido de un 40% en dos años. Y estos son exactamente el tipo de personas que son buscados para el reentrenamiento.</w:t>
      </w:r>
    </w:p>
    <w:p w:rsidR="00E02187" w:rsidRPr="00D97CC1" w:rsidRDefault="00E02187" w:rsidP="00E02187">
      <w:pPr>
        <w:pStyle w:val="NormalWeb"/>
        <w:jc w:val="both"/>
      </w:pPr>
      <w:r>
        <w:t>“</w:t>
      </w:r>
      <w:r w:rsidRPr="00D97CC1">
        <w:t>Somos firmes partidarios de una mayor inversión en educación e infraestructur</w:t>
      </w:r>
      <w:r>
        <w:t>a”, dice. “</w:t>
      </w:r>
      <w:r w:rsidRPr="00D97CC1">
        <w:t>Pero parte del problema de esta crisis ha sido que muchos países han reducido la inversión en educación, infraestructura, investigación y desarrollo e innovación, que son todas las cosas que se van a g</w:t>
      </w:r>
      <w:r>
        <w:t>enerar crecimiento en el futuro”.</w:t>
      </w:r>
    </w:p>
    <w:p w:rsidR="00E02187" w:rsidRPr="00D97CC1" w:rsidRDefault="00E02187" w:rsidP="00E02187">
      <w:pPr>
        <w:pStyle w:val="NormalWeb"/>
        <w:jc w:val="both"/>
      </w:pPr>
      <w:r w:rsidRPr="00D97CC1">
        <w:t>La educación también es considerada parte del equipo de recuperación de la crisis económica a través de sus vínculo</w:t>
      </w:r>
      <w:r>
        <w:t xml:space="preserve">s con la tecnología innovadora. </w:t>
      </w:r>
      <w:r w:rsidRPr="00D97CC1">
        <w:t>Las universidades se han convertido en la gallina de los huevos de oro para las industrias digitales. Google fue un proyecto de tesis doctoral, Facebook se inventó para los estudiantes universitarios. Las industrias de alta tecnología se agrupan alrededor de las universidades y muchos países están tratando de copiar el proyecto de Silicon Valley.</w:t>
      </w:r>
    </w:p>
    <w:p w:rsidR="00E02187" w:rsidRPr="00D97CC1" w:rsidRDefault="00E02187" w:rsidP="00E02187">
      <w:pPr>
        <w:pStyle w:val="NormalWeb"/>
        <w:jc w:val="both"/>
      </w:pPr>
      <w:r w:rsidRPr="00D97CC1">
        <w:t>El vínculo entre las universidades y el crecimiento industrial será aún más importante, dice Andy Haldane, director ejecutivo de estabilidad financ</w:t>
      </w:r>
      <w:r>
        <w:t xml:space="preserve">iera en el Banco de Inglaterra. </w:t>
      </w:r>
      <w:r w:rsidRPr="00D97CC1">
        <w:t>Ellas proporcionan el entorno estable necesario para una inversión a largo plazo, dijo Haldane en la Cumbre Global Universitaria, un evento anual que se realizó a finales de mayo</w:t>
      </w:r>
      <w:r>
        <w:t xml:space="preserve"> (2013)</w:t>
      </w:r>
      <w:r w:rsidRPr="00D97CC1">
        <w:t>.</w:t>
      </w:r>
    </w:p>
    <w:p w:rsidR="00E02187" w:rsidRPr="00D97CC1" w:rsidRDefault="00E02187" w:rsidP="00E02187">
      <w:pPr>
        <w:pStyle w:val="NormalWeb"/>
        <w:jc w:val="both"/>
      </w:pPr>
      <w:r>
        <w:t>“</w:t>
      </w:r>
      <w:r w:rsidRPr="00D97CC1">
        <w:t>¿Qué se necesita para invertir, para que la innovación florezca? Se necesita paciencia, la voluntad de posponer la gratificación, de experimentar, de fracasar con la misma frecu</w:t>
      </w:r>
      <w:r>
        <w:t xml:space="preserve">encia con la que se tiene éxito”. </w:t>
      </w:r>
      <w:r w:rsidRPr="00D97CC1">
        <w:t xml:space="preserve">Sin embargo, los mercados modernos de </w:t>
      </w:r>
      <w:r>
        <w:t>capitales se engancharon en la “gratificación instantánea”</w:t>
      </w:r>
      <w:r w:rsidRPr="00D97CC1">
        <w:t>, dijo Haldane a los líderes empresariales y universitarios internacionales presentes en la cumbre, organizada</w:t>
      </w:r>
      <w:r>
        <w:t xml:space="preserve"> por la Universidad de Warwick. “</w:t>
      </w:r>
      <w:r w:rsidRPr="00D97CC1">
        <w:t>Los mercados de capitales modernos, al igual que los equipos de fútbol de hoy, son intolerantes ante la experimentación y el fracaso. Son cortoplacistas y tales horizontes son hostiles a la investigación y el desarrollo, y a la vez contraproducentes pa</w:t>
      </w:r>
      <w:r>
        <w:t>ra la inversión y la innovación”</w:t>
      </w:r>
      <w:r w:rsidRPr="00D97CC1">
        <w:t>.</w:t>
      </w:r>
    </w:p>
    <w:p w:rsidR="00E02187" w:rsidRDefault="00E02187" w:rsidP="00E02187">
      <w:pPr>
        <w:pStyle w:val="NormalWeb"/>
        <w:jc w:val="both"/>
      </w:pPr>
      <w:r w:rsidRPr="00D97CC1">
        <w:t>Las universidades, por el contrario, operan en escalas de tiempo más largas, nec</w:t>
      </w:r>
      <w:r>
        <w:t xml:space="preserve">esarias para la investigación. “Pueden darse el lujo de esperar”, dice. </w:t>
      </w:r>
      <w:r w:rsidRPr="00D97CC1">
        <w:t>Haldane también señaló que hay mucho en juego alrededor de</w:t>
      </w:r>
      <w:r>
        <w:t xml:space="preserve"> estas decisiones de inversión. “</w:t>
      </w:r>
      <w:r w:rsidRPr="00D97CC1">
        <w:t>Los economistas solo saben una cosa. Si alguna vez encuentra a un economista y le dice que sa</w:t>
      </w:r>
      <w:r>
        <w:t>be dos cosas, estará exagerando”. “</w:t>
      </w:r>
      <w:r w:rsidRPr="00D97CC1">
        <w:t xml:space="preserve">La única cosa es esta: la inversión de </w:t>
      </w:r>
      <w:r>
        <w:t>hoy es el crecimiento de mañana”</w:t>
      </w:r>
      <w:r w:rsidRPr="00D97CC1">
        <w:t>.</w:t>
      </w:r>
    </w:p>
    <w:p w:rsidR="00E02187" w:rsidRPr="005750FD" w:rsidRDefault="00E02187" w:rsidP="00E02187">
      <w:pPr>
        <w:pStyle w:val="NormalWeb"/>
        <w:jc w:val="both"/>
        <w:rPr>
          <w:u w:val="single"/>
        </w:rPr>
      </w:pPr>
      <w:r>
        <w:rPr>
          <w:u w:val="single"/>
        </w:rPr>
        <w:t>Más sobre el modelo finlandés: e</w:t>
      </w:r>
      <w:r w:rsidRPr="005750FD">
        <w:rPr>
          <w:u w:val="single"/>
        </w:rPr>
        <w:t>l orgullo de ser maestro (tu vales lo que sabes)</w:t>
      </w:r>
    </w:p>
    <w:p w:rsidR="00E02187" w:rsidRPr="005750FD" w:rsidRDefault="00E02187" w:rsidP="00E02187">
      <w:pPr>
        <w:pStyle w:val="NormalWeb"/>
        <w:jc w:val="both"/>
      </w:pPr>
      <w:r>
        <w:rPr>
          <w:i/>
        </w:rPr>
        <w:t>“</w:t>
      </w:r>
      <w:r w:rsidRPr="005750FD">
        <w:rPr>
          <w:i/>
        </w:rPr>
        <w:t xml:space="preserve">No son los que más invierten en educación (menos del 7% del PIB), ni los que imponen la mayor carga horaria a los niños en las escuelas (608 horas lectivas en </w:t>
      </w:r>
      <w:r w:rsidRPr="005750FD">
        <w:rPr>
          <w:i/>
        </w:rPr>
        <w:lastRenderedPageBreak/>
        <w:t>primaria en comparación con 875 de España, por ejemplo). Tampoco se inclinan por dar cantidades excesivas de tarea para la casa; y, a la hora de evaluar formalmente el éxito del proceso de aprendizaje, un par de exámenes nacionales cuando los jóvenes dejan la escuela, a los 18 años, les basta. Entonces, ¿cómo es posible que los alumnos finlandeses siempre ocupen los primeros puestos en las listas internacionales que evalúan los niveles educativos?...</w:t>
      </w:r>
      <w:r w:rsidR="00393CD5">
        <w:t xml:space="preserve"> </w:t>
      </w:r>
      <w:r w:rsidRPr="00BA6037">
        <w:rPr>
          <w:u w:val="single"/>
        </w:rPr>
        <w:t>El secreto de uno de los mejores sistemas educativos del mundo</w:t>
      </w:r>
      <w:r>
        <w:t xml:space="preserve"> (BBCMundo - </w:t>
      </w:r>
      <w:r w:rsidRPr="00BA6037">
        <w:rPr>
          <w:b/>
        </w:rPr>
        <w:t>13/6/13</w:t>
      </w:r>
      <w:r>
        <w:t>)</w:t>
      </w:r>
    </w:p>
    <w:p w:rsidR="00E02187" w:rsidRPr="001D2478" w:rsidRDefault="00E02187" w:rsidP="00E02187">
      <w:pPr>
        <w:pStyle w:val="NormalWeb"/>
        <w:jc w:val="both"/>
      </w:pPr>
      <w:r w:rsidRPr="001D2478">
        <w:t>Mientras en América Latina las protestas estudiantiles -más recientemente las de Chile y Colombia- ocurren con frecuencia, Finlandia parece haber encontrado un modelo -de educación gratuita de principio a fin y donde las escuelas privadas casi no existen- que tiene a los maestros y a los estudiantes contentos por igual.</w:t>
      </w:r>
    </w:p>
    <w:p w:rsidR="00E02187" w:rsidRPr="001D2478" w:rsidRDefault="00E02187" w:rsidP="00E02187">
      <w:pPr>
        <w:pStyle w:val="NormalWeb"/>
        <w:jc w:val="both"/>
      </w:pPr>
      <w:r w:rsidRPr="001D2478">
        <w:t>Son muchos los factores que hacen que la educación en Finlandia sea una de las mejores del mundo, pero uno de los temas clave, según varios expertos consultados por BBC Mundo, es la calidad de los profesores.</w:t>
      </w:r>
    </w:p>
    <w:p w:rsidR="00E02187" w:rsidRPr="001D2478" w:rsidRDefault="00E02187" w:rsidP="00E02187">
      <w:pPr>
        <w:pStyle w:val="NormalWeb"/>
        <w:jc w:val="both"/>
      </w:pPr>
      <w:r w:rsidRPr="001D2478">
        <w:t>“El profesorado tiene un nivel de formación extraordinaria, con una selección previa tan exigente que no se compara con ninguna otra en el mundo”, le explica a BBC Mundo Xavier Melgarejo, un psicólogo y psicopedagogo español que empezó a estudiar el sistema educativo en Finlandia hace más de una década. “Sólo entra en las facultades de educación gente con notas por encima de nueve, nueve y medio sobre diez. Son muy exigentes. Se les hacen pruebas de lectura, sensibilidad artística, de dominio de algún instrumento, de comunicación”... Como resultado, las universidades sólo reclutan a un 10% de los estudiantes que se presentan. Y para ejercer la docencia todos los maestros necesitan hacer una maestría.</w:t>
      </w:r>
    </w:p>
    <w:p w:rsidR="00E02187" w:rsidRPr="001D2478" w:rsidRDefault="00E02187" w:rsidP="00E02187">
      <w:pPr>
        <w:pStyle w:val="NormalWeb"/>
        <w:jc w:val="both"/>
      </w:pPr>
      <w:r w:rsidRPr="001D2478">
        <w:t>La contraparte de esta exigencia es el reconocimiento. No necesariamente en términos económicos, ya que los sueldos de los educadores no presentan grandes diferencias con el resto de Europa (según la Organización para la Cooperación y el Desarrollo Económico, OECD, el salario básico de una maestro de primaria es de entre US$ 29.000 y US$ 39.000 anuales), sino sociales.</w:t>
      </w:r>
    </w:p>
    <w:p w:rsidR="00E02187" w:rsidRPr="001D2478" w:rsidRDefault="00E02187" w:rsidP="00E02187">
      <w:pPr>
        <w:pStyle w:val="NormalWeb"/>
        <w:jc w:val="both"/>
      </w:pPr>
      <w:r w:rsidRPr="001D2478">
        <w:t>“Los maestros son considerados profesionales académicos y tienen la responsabilidad de desarrollar su trabajo, por eso no se ejerce sobre ellos un control excesivo”, le explica a BBC Mundo Anita Lehikoinen, Secretaria Permanente del Ministerio de Educación y Cultura de Finlandia.</w:t>
      </w:r>
    </w:p>
    <w:p w:rsidR="00E02187" w:rsidRPr="001D2478" w:rsidRDefault="00E02187" w:rsidP="00E02187">
      <w:pPr>
        <w:pStyle w:val="NormalWeb"/>
        <w:jc w:val="both"/>
      </w:pPr>
      <w:r w:rsidRPr="001D2478">
        <w:t>“Esta profesión atrae a tanta gente porque ser maestro es un honor en Finlandia. Probablemente sea la profesión más valorada”, acota Melgarejo.</w:t>
      </w:r>
    </w:p>
    <w:p w:rsidR="00E02187" w:rsidRPr="001D2478" w:rsidRDefault="00E02187" w:rsidP="00E02187">
      <w:pPr>
        <w:pStyle w:val="NormalWeb"/>
        <w:jc w:val="both"/>
      </w:pPr>
      <w:r w:rsidRPr="001D2478">
        <w:t>“Yo no soñaba con ser profesora, pero ahora me dedico a esta profesión y me gusta mucho”, explica Hilkka-Roosa Nurmi, una profesora de español e inglés que tiene experiencia como docente de estas lenguas en su país y en España. “Aquí no es como en otros sitios, no tenemos tantas normas. Podemos elegir cómo enseñamos. Tenemos más libertad. Pero esto significa también más responsabilidad”, dice.</w:t>
      </w:r>
    </w:p>
    <w:p w:rsidR="00E02187" w:rsidRPr="001D2478" w:rsidRDefault="00E02187" w:rsidP="00E02187">
      <w:pPr>
        <w:pStyle w:val="NormalWeb"/>
        <w:jc w:val="both"/>
      </w:pPr>
      <w:r w:rsidRPr="001D2478">
        <w:t xml:space="preserve">Otra de las razones por las que el sistema finlandés funciona es, en gran medida, porque la escuela es sólo uno de los engranajes del proceso educativo. Las otras variables de peso son la familia y la sociedad -de tradición luterana- donde hay un elevado sentido </w:t>
      </w:r>
      <w:r w:rsidRPr="001D2478">
        <w:lastRenderedPageBreak/>
        <w:t xml:space="preserve">de la responsabilidad y </w:t>
      </w:r>
      <w:r>
        <w:t>donde se valora a las personas “</w:t>
      </w:r>
      <w:r w:rsidRPr="001D2478">
        <w:t xml:space="preserve">por su formación y no </w:t>
      </w:r>
      <w:r>
        <w:t>por su situación socioeconómica”</w:t>
      </w:r>
      <w:r w:rsidRPr="001D2478">
        <w:t>, dice Melgarejo.</w:t>
      </w:r>
    </w:p>
    <w:p w:rsidR="00E02187" w:rsidRPr="001D2478" w:rsidRDefault="00E02187" w:rsidP="00E02187">
      <w:pPr>
        <w:pStyle w:val="NormalWeb"/>
        <w:jc w:val="both"/>
      </w:pPr>
      <w:r w:rsidRPr="001D2478">
        <w:t>Para darnos una idea, “en la cultura luterana uno se salva cuando lee la Biblia, se llega a Dios a través de la palabra escrita”. Y aunque hoy día las iglesias no estén muy llenas, el valor de aprender a leer y escribir ha quedado profundamente arraigado en la cultura finlandesa, agrega Melgarejo.</w:t>
      </w:r>
    </w:p>
    <w:p w:rsidR="00E02187" w:rsidRPr="001D2478" w:rsidRDefault="00E02187" w:rsidP="00E02187">
      <w:pPr>
        <w:pStyle w:val="NormalWeb"/>
        <w:jc w:val="both"/>
      </w:pPr>
      <w:r w:rsidRPr="001D2478">
        <w:t>En esto coincide Lehikoinen: “la mayoría de los hogares están suscritos a uno o varios periódicos y ésta es una tradición que luego se pasa a los niños”, señala.</w:t>
      </w:r>
    </w:p>
    <w:p w:rsidR="00E02187" w:rsidRPr="001D2478" w:rsidRDefault="00E02187" w:rsidP="00E02187">
      <w:pPr>
        <w:pStyle w:val="NormalWeb"/>
        <w:jc w:val="both"/>
      </w:pPr>
      <w:r w:rsidRPr="001D2478">
        <w:t>Los medios indirectamente también ayudan al aprendizaje de la lectura. “Todos los programas de televisión en lengua original, la mayoría en inglés, están subtitulados y eso impulsa a los niños a aprender a leer y a aumentar la velocidad lectora”, señala Melgarejo.</w:t>
      </w:r>
    </w:p>
    <w:p w:rsidR="00E02187" w:rsidRPr="001D2478" w:rsidRDefault="00E02187" w:rsidP="00E02187">
      <w:pPr>
        <w:pStyle w:val="NormalWeb"/>
        <w:jc w:val="both"/>
      </w:pPr>
      <w:r w:rsidRPr="001D2478">
        <w:t>Pero también los finlandeses apuestan por la educación porque saben que como país pequeño, rodeado de vecinos poderosos como Rusia o Suecia y sin un arsenal de recursos naturales a su disposición, la cultura -su dominio en el ámbito del conocimiento- es lo que lo que les da la posibilidad de competir en una economía global.</w:t>
      </w:r>
    </w:p>
    <w:p w:rsidR="00E02187" w:rsidRPr="001D2478" w:rsidRDefault="00E02187" w:rsidP="00E02187">
      <w:pPr>
        <w:pStyle w:val="NormalWeb"/>
        <w:jc w:val="both"/>
      </w:pPr>
      <w:r w:rsidRPr="001D2478">
        <w:t>Y puertas adentro, la excelencia en el nivel educativo se traduce “en un grado importante de cohesión social, que les permite a los finlandeses sentir que son parte de la sociedad, incluso en tiempos de crisis”, explica Lehikoinen.</w:t>
      </w:r>
    </w:p>
    <w:p w:rsidR="00E02187" w:rsidRPr="001D2478" w:rsidRDefault="00E02187" w:rsidP="00E02187">
      <w:pPr>
        <w:pStyle w:val="NormalWeb"/>
        <w:jc w:val="both"/>
      </w:pPr>
      <w:r w:rsidRPr="001D2478">
        <w:t>Cuando se dieron a conocer los resultados de la primera evaluación PISA (siglas en inglés del Programa Internacional para la Evaluación de Estudiantes de la OECD) en el año 2000, el gobierno se vio inundado de visitas de delegaciones extranjeras que acudían a Finlandia para descubrir los secretos de la maravilla nórdica e implementarlos en sus propios países. Alemania por ejemplo, azorada por sus resultados mediocres en la prueba, tomó nota del programa finlandés e introdujo reformas en su sistema.</w:t>
      </w:r>
    </w:p>
    <w:p w:rsidR="00E02187" w:rsidRPr="001D2478" w:rsidRDefault="00E02187" w:rsidP="00E02187">
      <w:pPr>
        <w:pStyle w:val="NormalWeb"/>
        <w:jc w:val="both"/>
      </w:pPr>
      <w:r w:rsidRPr="001D2478">
        <w:t>¿Pero qué posibilidad tienen otros países europeos, donde la educación pública está lejos de ser un orgullo, donde el sueldo de los maestros no está a la altura de sus responsabilidades y donde no existe un estado de bienestar como en algunos países europeos, de implementar un sistema educativo como el de Finlandia?</w:t>
      </w:r>
    </w:p>
    <w:p w:rsidR="00E02187" w:rsidRPr="001D2478" w:rsidRDefault="00E02187" w:rsidP="00E02187">
      <w:pPr>
        <w:pStyle w:val="NormalWeb"/>
        <w:jc w:val="both"/>
      </w:pPr>
      <w:r w:rsidRPr="001D2478">
        <w:t>“No puedes copiar y pegar el sistema entero”, le dice a BBC Mundo Andreas Schleicher, responsable de las evaluaciones PISA, “pero puedes ver cómo los finlandeses saben quién es un buen maestro, cómo los reclutan, cómo les asignan las clases o cómo se aseguran de que cada niño se beneficie de lo que le enseñan”.</w:t>
      </w:r>
    </w:p>
    <w:p w:rsidR="00E02187" w:rsidRPr="001D2478" w:rsidRDefault="00E02187" w:rsidP="00E02187">
      <w:pPr>
        <w:pStyle w:val="NormalWeb"/>
        <w:jc w:val="both"/>
      </w:pPr>
      <w:r w:rsidRPr="001D2478">
        <w:t>Melgarejo también cree que se pueden importar ciertos elementos, como mejorar la selección de buenos maestros, fomentar las bibliotecas públicas -ampliamente concurridas en Finlandia- y hacer que las familias contribuyan al proceso de escolarización.</w:t>
      </w:r>
    </w:p>
    <w:p w:rsidR="00E02187" w:rsidRPr="001D2478" w:rsidRDefault="00E02187" w:rsidP="00E02187">
      <w:pPr>
        <w:pStyle w:val="NormalWeb"/>
        <w:jc w:val="both"/>
      </w:pPr>
      <w:r w:rsidRPr="001D2478">
        <w:t xml:space="preserve">Y quizá una lección útil para otros países sea aprender cómo Finlandia afronta los cambios en el ámbito de la educación. “Todo se basa en la confianza mutua y en la </w:t>
      </w:r>
      <w:r w:rsidRPr="001D2478">
        <w:lastRenderedPageBreak/>
        <w:t>construcción de un consenso. Cuando planteamos grandes reformas educativas, por ejemplo, siempre involucramos a los maestros y a los alumnos, no se trata de órdenes del gobierno que los educadores tienen que acatar, son reformas que hemos preparado juntos”, afirma Lehikoinen.</w:t>
      </w:r>
    </w:p>
    <w:p w:rsidR="00E02187" w:rsidRPr="001D2478" w:rsidRDefault="00E02187" w:rsidP="00E02187">
      <w:pPr>
        <w:pStyle w:val="NormalWeb"/>
        <w:jc w:val="both"/>
      </w:pPr>
      <w:r w:rsidRPr="001D2478">
        <w:t>Después esta descripción de Lehikoinen, Melgarejo y Schleicher, uno podría tender a imaginarse una clase en Finlandia como una situación idílica: un grupo de niños obedientes escuchando embelesados una clase magistral que interrumpen de tanto en tanto con una pregunta inteligente.</w:t>
      </w:r>
    </w:p>
    <w:p w:rsidR="00E02187" w:rsidRPr="001D2478" w:rsidRDefault="00E02187" w:rsidP="00E02187">
      <w:pPr>
        <w:pStyle w:val="NormalWeb"/>
        <w:jc w:val="both"/>
      </w:pPr>
      <w:r w:rsidRPr="001D2478">
        <w:t>Nada más lejos de la realidad. Los niños hacen las mismas travesuras que en cualquier parte del mundo. Incluso, a veces, “cuando hacen las mediciones de educación es una paradoja porque aunque les va muy bien, cuando les preguntan si les gusta la escuela, siempre dicen que no. Quizá eso se deba al espíritu independiente de nuestros niños”, concluye Lehikoinen.</w:t>
      </w:r>
    </w:p>
    <w:p w:rsidR="00E02187" w:rsidRDefault="00E02187" w:rsidP="00E02187">
      <w:pPr>
        <w:pStyle w:val="NormalWeb"/>
        <w:jc w:val="both"/>
      </w:pPr>
      <w:r>
        <w:t>La educación a grandes rasgos</w:t>
      </w:r>
    </w:p>
    <w:p w:rsidR="00E02187" w:rsidRPr="00185C34" w:rsidRDefault="00E02187" w:rsidP="00E02187">
      <w:pPr>
        <w:pStyle w:val="NormalWeb"/>
        <w:jc w:val="both"/>
        <w:rPr>
          <w:color w:val="FF0000"/>
        </w:rPr>
      </w:pPr>
      <w:r>
        <w:t>•</w:t>
      </w:r>
      <w:r w:rsidRPr="00185C34">
        <w:rPr>
          <w:color w:val="FF0000"/>
        </w:rPr>
        <w:t xml:space="preserve">Idea básica: igualdad de oportunidades. </w:t>
      </w:r>
    </w:p>
    <w:p w:rsidR="00E02187" w:rsidRPr="00185C34" w:rsidRDefault="00E02187" w:rsidP="00E02187">
      <w:pPr>
        <w:pStyle w:val="NormalWeb"/>
        <w:jc w:val="both"/>
        <w:rPr>
          <w:color w:val="FF0000"/>
        </w:rPr>
      </w:pPr>
      <w:r>
        <w:t>•</w:t>
      </w:r>
      <w:r w:rsidRPr="00185C34">
        <w:rPr>
          <w:color w:val="FF0000"/>
        </w:rPr>
        <w:t>Los niños empiezan la escuela a los 7 años.</w:t>
      </w:r>
    </w:p>
    <w:p w:rsidR="00E02187" w:rsidRPr="00185C34" w:rsidRDefault="00E02187" w:rsidP="00E02187">
      <w:pPr>
        <w:pStyle w:val="NormalWeb"/>
        <w:jc w:val="both"/>
        <w:rPr>
          <w:color w:val="FF0000"/>
        </w:rPr>
      </w:pPr>
      <w:r>
        <w:t>•</w:t>
      </w:r>
      <w:r w:rsidRPr="00185C34">
        <w:rPr>
          <w:color w:val="FF0000"/>
        </w:rPr>
        <w:t xml:space="preserve">Casi todas las escuelas son públicas (el número de escuelas privadas es ínfimo). </w:t>
      </w:r>
    </w:p>
    <w:p w:rsidR="00E02187" w:rsidRPr="00185C34" w:rsidRDefault="00E02187" w:rsidP="00E02187">
      <w:pPr>
        <w:pStyle w:val="NormalWeb"/>
        <w:jc w:val="both"/>
        <w:rPr>
          <w:color w:val="FF0000"/>
        </w:rPr>
      </w:pPr>
      <w:r>
        <w:t>•</w:t>
      </w:r>
      <w:r w:rsidRPr="00185C34">
        <w:rPr>
          <w:color w:val="FF0000"/>
        </w:rPr>
        <w:t xml:space="preserve">Toda la educación es gratuita (desde el preescolar hasta la universidad) </w:t>
      </w:r>
    </w:p>
    <w:p w:rsidR="00E02187" w:rsidRPr="00185C34" w:rsidRDefault="00E02187" w:rsidP="00E02187">
      <w:pPr>
        <w:pStyle w:val="NormalWeb"/>
        <w:jc w:val="both"/>
        <w:rPr>
          <w:color w:val="FF0000"/>
        </w:rPr>
      </w:pPr>
      <w:r>
        <w:t>•</w:t>
      </w:r>
      <w:r w:rsidRPr="00185C34">
        <w:rPr>
          <w:color w:val="FF0000"/>
        </w:rPr>
        <w:t>La comida y los materiales de estudio también son gratuitos.</w:t>
      </w:r>
    </w:p>
    <w:p w:rsidR="00E02187" w:rsidRPr="00185C34" w:rsidRDefault="00E02187" w:rsidP="00E02187">
      <w:pPr>
        <w:pStyle w:val="NormalWeb"/>
        <w:jc w:val="both"/>
        <w:rPr>
          <w:color w:val="FF0000"/>
        </w:rPr>
      </w:pPr>
      <w:r>
        <w:t>•</w:t>
      </w:r>
      <w:r w:rsidRPr="00185C34">
        <w:rPr>
          <w:color w:val="FF0000"/>
        </w:rPr>
        <w:t xml:space="preserve">Durante los primeros seis años de primaria es el mismo maestro para casi todas las asignaturas. </w:t>
      </w:r>
    </w:p>
    <w:p w:rsidR="00E02187" w:rsidRPr="00185C34" w:rsidRDefault="00E02187" w:rsidP="00E02187">
      <w:pPr>
        <w:pStyle w:val="NormalWeb"/>
        <w:jc w:val="both"/>
        <w:rPr>
          <w:color w:val="FF0000"/>
        </w:rPr>
      </w:pPr>
      <w:r>
        <w:t>•</w:t>
      </w:r>
      <w:r w:rsidRPr="00185C34">
        <w:rPr>
          <w:color w:val="FF0000"/>
        </w:rPr>
        <w:t xml:space="preserve">Jornada escolar: de 8.30 - 9 a 15 hs., con media hora de almuerzo. </w:t>
      </w:r>
    </w:p>
    <w:p w:rsidR="00E02187" w:rsidRPr="00185C34" w:rsidRDefault="00E02187" w:rsidP="00E02187">
      <w:pPr>
        <w:pStyle w:val="NormalWeb"/>
        <w:jc w:val="both"/>
        <w:rPr>
          <w:color w:val="FF0000"/>
        </w:rPr>
      </w:pPr>
      <w:r>
        <w:t>•</w:t>
      </w:r>
      <w:r w:rsidRPr="00185C34">
        <w:rPr>
          <w:color w:val="FF0000"/>
        </w:rPr>
        <w:t>Exámenes nacionales cuando los alumnos tienen 18 años</w:t>
      </w:r>
    </w:p>
    <w:p w:rsidR="00E02187" w:rsidRPr="00185C34" w:rsidRDefault="00E02187" w:rsidP="00E02187">
      <w:pPr>
        <w:pStyle w:val="NormalWeb"/>
        <w:jc w:val="both"/>
        <w:rPr>
          <w:color w:val="FF0000"/>
        </w:rPr>
      </w:pPr>
      <w:r>
        <w:t>•</w:t>
      </w:r>
      <w:r w:rsidRPr="00185C34">
        <w:rPr>
          <w:color w:val="FF0000"/>
        </w:rPr>
        <w:t>Promedio de alumnos por clase: 23.</w:t>
      </w:r>
    </w:p>
    <w:p w:rsidR="00E02187" w:rsidRPr="00185C34" w:rsidRDefault="00E02187" w:rsidP="00E02187">
      <w:pPr>
        <w:pStyle w:val="NormalWeb"/>
        <w:jc w:val="both"/>
        <w:rPr>
          <w:color w:val="FF0000"/>
        </w:rPr>
      </w:pPr>
      <w:r>
        <w:t>•</w:t>
      </w:r>
      <w:r w:rsidRPr="00185C34">
        <w:rPr>
          <w:color w:val="FF0000"/>
        </w:rPr>
        <w:t xml:space="preserve">Clases mixtas (mujeres y varones, y diferentes grados de capacidad). </w:t>
      </w:r>
    </w:p>
    <w:p w:rsidR="00E02187" w:rsidRPr="00185C34" w:rsidRDefault="00E02187" w:rsidP="00E02187">
      <w:pPr>
        <w:pStyle w:val="NormalWeb"/>
        <w:jc w:val="both"/>
        <w:rPr>
          <w:color w:val="FF0000"/>
        </w:rPr>
      </w:pPr>
      <w:r>
        <w:t>•</w:t>
      </w:r>
      <w:r w:rsidRPr="00185C34">
        <w:rPr>
          <w:color w:val="FF0000"/>
        </w:rPr>
        <w:t xml:space="preserve">Maestros debe tener una maestría para ejercer la docencia. </w:t>
      </w:r>
    </w:p>
    <w:p w:rsidR="00E02187" w:rsidRDefault="00E02187" w:rsidP="00E02187">
      <w:pPr>
        <w:pStyle w:val="NormalWeb"/>
        <w:jc w:val="both"/>
      </w:pPr>
      <w:r>
        <w:t>Gasto público en educación, total (% del PIB)</w:t>
      </w:r>
    </w:p>
    <w:p w:rsidR="00E02187" w:rsidRDefault="00E02187" w:rsidP="00E02187">
      <w:pPr>
        <w:pStyle w:val="NormalWeb"/>
        <w:jc w:val="both"/>
      </w:pPr>
      <w:r>
        <w:t xml:space="preserve">•Finlandia: 6,8% </w:t>
      </w:r>
    </w:p>
    <w:p w:rsidR="00E02187" w:rsidRDefault="00E02187" w:rsidP="00E02187">
      <w:pPr>
        <w:pStyle w:val="NormalWeb"/>
        <w:jc w:val="both"/>
      </w:pPr>
      <w:r>
        <w:t>•Suecia: 7,3%</w:t>
      </w:r>
    </w:p>
    <w:p w:rsidR="00E02187" w:rsidRDefault="00E02187" w:rsidP="00E02187">
      <w:pPr>
        <w:pStyle w:val="NormalWeb"/>
        <w:jc w:val="both"/>
      </w:pPr>
      <w:r>
        <w:t>•Dinamarca: 8,7%</w:t>
      </w:r>
    </w:p>
    <w:p w:rsidR="00E02187" w:rsidRDefault="00E02187" w:rsidP="00E02187">
      <w:pPr>
        <w:pStyle w:val="NormalWeb"/>
        <w:jc w:val="both"/>
      </w:pPr>
      <w:r>
        <w:t>•Argentina: 6%</w:t>
      </w:r>
    </w:p>
    <w:p w:rsidR="00E02187" w:rsidRDefault="00E02187" w:rsidP="00E02187">
      <w:pPr>
        <w:pStyle w:val="NormalWeb"/>
        <w:jc w:val="both"/>
      </w:pPr>
      <w:r>
        <w:lastRenderedPageBreak/>
        <w:t>•Cuba: 13,1%</w:t>
      </w:r>
    </w:p>
    <w:p w:rsidR="00E02187" w:rsidRDefault="00E02187" w:rsidP="00E02187">
      <w:pPr>
        <w:pStyle w:val="NormalWeb"/>
        <w:jc w:val="both"/>
      </w:pPr>
      <w:r>
        <w:t>•Chile: 4,2%</w:t>
      </w:r>
    </w:p>
    <w:p w:rsidR="00E02187" w:rsidRDefault="00E02187" w:rsidP="00E02187">
      <w:pPr>
        <w:pStyle w:val="NormalWeb"/>
        <w:jc w:val="both"/>
      </w:pPr>
      <w:r>
        <w:t>•México: 5,3%</w:t>
      </w:r>
    </w:p>
    <w:p w:rsidR="00E02187" w:rsidRDefault="00E02187" w:rsidP="00E02187">
      <w:pPr>
        <w:pStyle w:val="NormalWeb"/>
        <w:jc w:val="both"/>
      </w:pPr>
      <w:r>
        <w:t>•Estados Unidos: 5,4%</w:t>
      </w:r>
    </w:p>
    <w:p w:rsidR="00E02187" w:rsidRDefault="00E02187" w:rsidP="00E02187">
      <w:pPr>
        <w:pStyle w:val="NormalWeb"/>
        <w:jc w:val="both"/>
      </w:pPr>
      <w:r>
        <w:t>Fuente: Banco Mundial 2009</w:t>
      </w:r>
    </w:p>
    <w:p w:rsidR="00E02187" w:rsidRPr="001D2478" w:rsidRDefault="00E02187" w:rsidP="00E02187">
      <w:pPr>
        <w:pStyle w:val="NormalWeb"/>
        <w:jc w:val="both"/>
        <w:rPr>
          <w:u w:val="single"/>
        </w:rPr>
      </w:pPr>
      <w:r w:rsidRPr="001D2478">
        <w:rPr>
          <w:u w:val="single"/>
        </w:rPr>
        <w:t>Panorama de la Educación 2013 de la OCDE</w:t>
      </w:r>
      <w:r>
        <w:rPr>
          <w:u w:val="single"/>
        </w:rPr>
        <w:t xml:space="preserve"> (sobre gastos y resultados)</w:t>
      </w:r>
    </w:p>
    <w:p w:rsidR="00E02187" w:rsidRPr="00D762BF" w:rsidRDefault="00E02187" w:rsidP="00E02187">
      <w:pPr>
        <w:pStyle w:val="NormalWeb"/>
        <w:jc w:val="both"/>
        <w:rPr>
          <w:i/>
        </w:rPr>
      </w:pPr>
      <w:r w:rsidRPr="00D762BF">
        <w:rPr>
          <w:rStyle w:val="Textoennegrita"/>
          <w:b w:val="0"/>
          <w:i/>
        </w:rPr>
        <w:t>“Bastante cara, no muy eficiente y más bien injusta</w:t>
      </w:r>
      <w:r w:rsidRPr="00D762BF">
        <w:rPr>
          <w:i/>
        </w:rPr>
        <w:t xml:space="preserve">. Así podría definirse la </w:t>
      </w:r>
      <w:hyperlink r:id="rId211" w:history="1">
        <w:r w:rsidRPr="00D762BF">
          <w:rPr>
            <w:rStyle w:val="Hipervnculo"/>
            <w:rFonts w:eastAsiaTheme="majorEastAsia"/>
            <w:i/>
            <w:color w:val="auto"/>
          </w:rPr>
          <w:t>educación española</w:t>
        </w:r>
      </w:hyperlink>
      <w:r w:rsidRPr="00D762BF">
        <w:rPr>
          <w:i/>
        </w:rPr>
        <w:t xml:space="preserve"> si hacemos caso a los datos incluidos en el informe </w:t>
      </w:r>
      <w:hyperlink r:id="rId212" w:history="1">
        <w:r w:rsidRPr="00D762BF">
          <w:rPr>
            <w:rStyle w:val="Hipervnculo"/>
            <w:rFonts w:eastAsiaTheme="majorEastAsia"/>
            <w:i/>
            <w:iCs/>
            <w:color w:val="auto"/>
          </w:rPr>
          <w:t>Panorama de la Educación 2013</w:t>
        </w:r>
      </w:hyperlink>
      <w:r w:rsidRPr="00D762BF">
        <w:rPr>
          <w:i/>
        </w:rPr>
        <w:t xml:space="preserve"> de la OCDE que este martes se ha presentado en Madrid”... </w:t>
      </w:r>
      <w:r w:rsidRPr="00D762BF">
        <w:rPr>
          <w:u w:val="single"/>
        </w:rPr>
        <w:t>La OCDE desmonta los grandes mitos sobre la educación española</w:t>
      </w:r>
      <w:r w:rsidRPr="00D762BF">
        <w:t xml:space="preserve"> (Libertad Digital - </w:t>
      </w:r>
      <w:r w:rsidRPr="00D762BF">
        <w:rPr>
          <w:b/>
        </w:rPr>
        <w:t>25/6/13</w:t>
      </w:r>
      <w:r w:rsidRPr="00D762BF">
        <w:t>)</w:t>
      </w:r>
    </w:p>
    <w:p w:rsidR="00E02187" w:rsidRPr="00D762BF" w:rsidRDefault="00E02187" w:rsidP="00E02187">
      <w:pPr>
        <w:pStyle w:val="NormalWeb"/>
        <w:jc w:val="both"/>
      </w:pPr>
      <w:r w:rsidRPr="00D762BF">
        <w:t xml:space="preserve">Desde siempre, la principal queja es que España gasta poco en educación. Eso explicaría sus malos resultados en las </w:t>
      </w:r>
      <w:hyperlink r:id="rId213" w:history="1">
        <w:r w:rsidRPr="00D762BF">
          <w:rPr>
            <w:rStyle w:val="Hipervnculo"/>
            <w:rFonts w:eastAsiaTheme="majorEastAsia"/>
            <w:color w:val="auto"/>
          </w:rPr>
          <w:t>pruebas internacionales como el informe PISA</w:t>
        </w:r>
      </w:hyperlink>
      <w:r w:rsidRPr="00D762BF">
        <w:t>, en el que tradicionalmente los estudiantes españoles obtienen calificaciones muy por debajo de los alumnos de los países de nuestro entorno.</w:t>
      </w:r>
    </w:p>
    <w:p w:rsidR="00E02187" w:rsidRPr="00D762BF" w:rsidRDefault="00E02187" w:rsidP="00E02187">
      <w:pPr>
        <w:pStyle w:val="NormalWeb"/>
        <w:jc w:val="both"/>
      </w:pPr>
      <w:r w:rsidRPr="00D762BF">
        <w:t xml:space="preserve">Pues bien, habrá que buscarse otra excusa, porque el </w:t>
      </w:r>
      <w:hyperlink r:id="rId214" w:history="1">
        <w:r w:rsidRPr="00D762BF">
          <w:rPr>
            <w:rStyle w:val="Hipervnculo"/>
            <w:rFonts w:eastAsiaTheme="majorEastAsia"/>
            <w:color w:val="auto"/>
          </w:rPr>
          <w:t>problema no es de dinero</w:t>
        </w:r>
      </w:hyperlink>
      <w:r w:rsidRPr="00D762BF">
        <w:t xml:space="preserve">, </w:t>
      </w:r>
      <w:r w:rsidRPr="00D762BF">
        <w:rPr>
          <w:rStyle w:val="Textoennegrita"/>
          <w:b w:val="0"/>
        </w:rPr>
        <w:t>sino de cómo se gasta</w:t>
      </w:r>
      <w:r w:rsidRPr="00D762BF">
        <w:rPr>
          <w:b/>
        </w:rPr>
        <w:t xml:space="preserve">. </w:t>
      </w:r>
      <w:r w:rsidRPr="00D762BF">
        <w:t xml:space="preserve">Según los datos de la </w:t>
      </w:r>
      <w:r w:rsidRPr="00D762BF">
        <w:rPr>
          <w:rStyle w:val="Textoennegrita"/>
          <w:b w:val="0"/>
        </w:rPr>
        <w:t>OCDE</w:t>
      </w:r>
      <w:r w:rsidRPr="00D762BF">
        <w:t>, las administraciones públicas españolas dedican</w:t>
      </w:r>
      <w:r w:rsidRPr="00D762BF">
        <w:rPr>
          <w:rStyle w:val="Textoennegrita"/>
        </w:rPr>
        <w:t xml:space="preserve"> </w:t>
      </w:r>
      <w:r w:rsidRPr="00D762BF">
        <w:rPr>
          <w:rStyle w:val="Textoennegrita"/>
          <w:b w:val="0"/>
        </w:rPr>
        <w:t>7.293 dólares al año por alumno</w:t>
      </w:r>
      <w:r w:rsidRPr="00D762BF">
        <w:rPr>
          <w:b/>
        </w:rPr>
        <w:t xml:space="preserve"> </w:t>
      </w:r>
      <w:r w:rsidRPr="00D762BF">
        <w:t>de</w:t>
      </w:r>
      <w:r w:rsidRPr="00D762BF">
        <w:rPr>
          <w:rStyle w:val="Textoennegrita"/>
          <w:b w:val="0"/>
        </w:rPr>
        <w:t xml:space="preserve"> Educación Infantil</w:t>
      </w:r>
      <w:r w:rsidRPr="00D762BF">
        <w:rPr>
          <w:b/>
        </w:rPr>
        <w:t xml:space="preserve">, </w:t>
      </w:r>
      <w:r w:rsidRPr="00D762BF">
        <w:rPr>
          <w:rStyle w:val="Textoennegrita"/>
          <w:b w:val="0"/>
        </w:rPr>
        <w:t xml:space="preserve">9.559 </w:t>
      </w:r>
      <w:r w:rsidRPr="00D762BF">
        <w:t>dólares en</w:t>
      </w:r>
      <w:r w:rsidRPr="00D762BF">
        <w:rPr>
          <w:rStyle w:val="Textoennegrita"/>
        </w:rPr>
        <w:t xml:space="preserve"> </w:t>
      </w:r>
      <w:r w:rsidRPr="00D762BF">
        <w:rPr>
          <w:rStyle w:val="Textoennegrita"/>
          <w:b w:val="0"/>
        </w:rPr>
        <w:t>Educación Secundaria</w:t>
      </w:r>
      <w:r w:rsidRPr="00D762BF">
        <w:t xml:space="preserve"> (FP y bachillerato) y </w:t>
      </w:r>
      <w:r w:rsidRPr="00D762BF">
        <w:rPr>
          <w:rStyle w:val="Textoennegrita"/>
          <w:b w:val="0"/>
        </w:rPr>
        <w:t xml:space="preserve">11.925 dólares </w:t>
      </w:r>
      <w:r w:rsidRPr="00D762BF">
        <w:t>en</w:t>
      </w:r>
      <w:r w:rsidRPr="00D762BF">
        <w:rPr>
          <w:b/>
        </w:rPr>
        <w:t xml:space="preserve"> </w:t>
      </w:r>
      <w:r w:rsidRPr="00D762BF">
        <w:rPr>
          <w:rStyle w:val="Textoennegrita"/>
          <w:b w:val="0"/>
        </w:rPr>
        <w:t>Terciaria</w:t>
      </w:r>
      <w:r w:rsidRPr="00D762BF">
        <w:rPr>
          <w:rStyle w:val="Textoennegrita"/>
        </w:rPr>
        <w:t xml:space="preserve"> </w:t>
      </w:r>
      <w:r w:rsidRPr="00D762BF">
        <w:t>(FP superior y universidad). De media, cada estudiante le cuesta al Estado 9.608 dólares al año (</w:t>
      </w:r>
      <w:r w:rsidRPr="00D762BF">
        <w:rPr>
          <w:rStyle w:val="Textoennegrita"/>
          <w:b w:val="0"/>
        </w:rPr>
        <w:t>7.390 euros al año</w:t>
      </w:r>
      <w:r w:rsidRPr="00D762BF">
        <w:t>).</w:t>
      </w:r>
    </w:p>
    <w:p w:rsidR="00E02187" w:rsidRPr="001D2478" w:rsidRDefault="00E02187" w:rsidP="00E02187">
      <w:pPr>
        <w:pStyle w:val="NormalWeb"/>
        <w:jc w:val="both"/>
      </w:pPr>
      <w:r w:rsidRPr="00D762BF">
        <w:t xml:space="preserve">Pues bien, todas estas cifras son superiores tanto a la media de la OCDE (una </w:t>
      </w:r>
      <w:r w:rsidRPr="001D2478">
        <w:t xml:space="preserve">organización que agrupa a los 34 países más desarrollados) como a la media de la UE-21 (los estados comunitarios que también forman parte de la OCDE). Así, el gasto medio en </w:t>
      </w:r>
      <w:r w:rsidRPr="00E83A87">
        <w:rPr>
          <w:rStyle w:val="Textoennegrita"/>
          <w:b w:val="0"/>
        </w:rPr>
        <w:t>primaria en la OCDE es de 6.725 dólares</w:t>
      </w:r>
      <w:r w:rsidRPr="00E83A87">
        <w:rPr>
          <w:b/>
        </w:rPr>
        <w:t xml:space="preserve">, </w:t>
      </w:r>
      <w:r w:rsidRPr="00E83A87">
        <w:t>de</w:t>
      </w:r>
      <w:r w:rsidRPr="00E83A87">
        <w:rPr>
          <w:rStyle w:val="Textoennegrita"/>
        </w:rPr>
        <w:t xml:space="preserve"> </w:t>
      </w:r>
      <w:r w:rsidRPr="00E83A87">
        <w:rPr>
          <w:rStyle w:val="Textoennegrita"/>
          <w:b w:val="0"/>
        </w:rPr>
        <w:t xml:space="preserve">8.412 dólares en secundaria </w:t>
      </w:r>
      <w:r w:rsidRPr="00E83A87">
        <w:rPr>
          <w:b/>
        </w:rPr>
        <w:t xml:space="preserve">y </w:t>
      </w:r>
      <w:r w:rsidRPr="00E83A87">
        <w:rPr>
          <w:rStyle w:val="Textoennegrita"/>
          <w:b w:val="0"/>
        </w:rPr>
        <w:t>11.382 dólares en terciaria</w:t>
      </w:r>
      <w:r w:rsidRPr="001D2478">
        <w:t>.</w:t>
      </w:r>
    </w:p>
    <w:p w:rsidR="00E02187" w:rsidRDefault="00E02187" w:rsidP="00E02187">
      <w:pPr>
        <w:pStyle w:val="NormalWeb"/>
        <w:jc w:val="both"/>
      </w:pPr>
      <w:r>
        <w:rPr>
          <w:noProof/>
          <w:color w:val="0000FF"/>
        </w:rPr>
        <w:drawing>
          <wp:inline distT="0" distB="0" distL="0" distR="0" wp14:anchorId="3CF22A2B" wp14:editId="3148891E">
            <wp:extent cx="5376672" cy="2253082"/>
            <wp:effectExtent l="0" t="0" r="0" b="0"/>
            <wp:docPr id="123" name="Imagen 123" descr="http://s.libertaddigital.com/fotos/noticias/ocde_educacion_graf_1.jpg">
              <a:hlinkClick xmlns:a="http://schemas.openxmlformats.org/drawingml/2006/main" r:id="rId2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libertaddigital.com/fotos/noticias/ocde_educacion_graf_1.jpg">
                      <a:hlinkClick r:id="rId215"/>
                    </pic:cNvPr>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376770" cy="2253123"/>
                    </a:xfrm>
                    <a:prstGeom prst="rect">
                      <a:avLst/>
                    </a:prstGeom>
                    <a:noFill/>
                    <a:ln>
                      <a:noFill/>
                    </a:ln>
                  </pic:spPr>
                </pic:pic>
              </a:graphicData>
            </a:graphic>
          </wp:inline>
        </w:drawing>
      </w:r>
    </w:p>
    <w:p w:rsidR="00E02187" w:rsidRPr="00E83A87" w:rsidRDefault="00E02187" w:rsidP="00E02187">
      <w:pPr>
        <w:pStyle w:val="NormalWeb"/>
        <w:jc w:val="both"/>
      </w:pPr>
      <w:r w:rsidRPr="00E83A87">
        <w:lastRenderedPageBreak/>
        <w:t xml:space="preserve">En ocasiones, se ofrece el gasto en educación en España en función del </w:t>
      </w:r>
      <w:r w:rsidRPr="00E83A87">
        <w:rPr>
          <w:rStyle w:val="Textoennegrita"/>
          <w:b w:val="0"/>
        </w:rPr>
        <w:t>PIB</w:t>
      </w:r>
      <w:r w:rsidRPr="00E83A87">
        <w:rPr>
          <w:b/>
        </w:rPr>
        <w:t>.</w:t>
      </w:r>
      <w:r w:rsidRPr="00E83A87">
        <w:t xml:space="preserve"> Y es cierto que esta ratio es algo inferior en nuestro país a la media de la OCDE (5,6% frente al 6,3%). Pero no es por los recortes, sino simplemente porque hay menos alumnos, ya que en las últimas dos décadas, la tasa de natalidad se ha hundido. Pero el gasto por estudiante (que es lo importante) sí está en niveles comparables a los de los países europeos. De hecho, como hemos visto, está por encima.</w:t>
      </w:r>
    </w:p>
    <w:p w:rsidR="00E02187" w:rsidRPr="00E83A87" w:rsidRDefault="00E02187" w:rsidP="00E02187">
      <w:pPr>
        <w:pStyle w:val="NormalWeb"/>
        <w:jc w:val="both"/>
      </w:pPr>
      <w:r w:rsidRPr="00E83A87">
        <w:t xml:space="preserve">Si se compara el gasto por alumno en función del PIB per cápita las conclusiones son similares. </w:t>
      </w:r>
      <w:r w:rsidRPr="00E83A87">
        <w:rPr>
          <w:rStyle w:val="Textoennegrita"/>
          <w:b w:val="0"/>
        </w:rPr>
        <w:t>España está por encima de la media de la UE-21</w:t>
      </w:r>
      <w:r w:rsidRPr="00E83A87">
        <w:rPr>
          <w:b/>
        </w:rPr>
        <w:t xml:space="preserve"> </w:t>
      </w:r>
      <w:r w:rsidRPr="00E83A87">
        <w:t xml:space="preserve">y la </w:t>
      </w:r>
      <w:r w:rsidRPr="00E83A87">
        <w:rPr>
          <w:rStyle w:val="Textoennegrita"/>
          <w:b w:val="0"/>
        </w:rPr>
        <w:t>OCDE</w:t>
      </w:r>
      <w:r w:rsidRPr="00E83A87">
        <w:t xml:space="preserve">, con un </w:t>
      </w:r>
      <w:r w:rsidRPr="00E83A87">
        <w:rPr>
          <w:rStyle w:val="Textoennegrita"/>
          <w:b w:val="0"/>
        </w:rPr>
        <w:t>30%</w:t>
      </w:r>
      <w:r w:rsidRPr="00E83A87">
        <w:t xml:space="preserve">, en este apartado, nos encontramos entre dos países tradicionalmente bien clasificados en los ránking educativos como </w:t>
      </w:r>
      <w:r w:rsidRPr="00E83A87">
        <w:rPr>
          <w:rStyle w:val="Textoennegrita"/>
          <w:b w:val="0"/>
        </w:rPr>
        <w:t>Suecia y Japón</w:t>
      </w:r>
      <w:r w:rsidRPr="00E83A87">
        <w:t>.</w:t>
      </w:r>
    </w:p>
    <w:p w:rsidR="00E02187" w:rsidRPr="00E83A87" w:rsidRDefault="00E02187" w:rsidP="00E02187">
      <w:pPr>
        <w:pStyle w:val="NormalWeb"/>
        <w:jc w:val="both"/>
      </w:pPr>
      <w:r w:rsidRPr="00E83A87">
        <w:t xml:space="preserve">Habrá quien diga que los </w:t>
      </w:r>
      <w:r w:rsidRPr="00E83A87">
        <w:rPr>
          <w:rStyle w:val="Textoennegrita"/>
          <w:b w:val="0"/>
        </w:rPr>
        <w:t>datos del informe son de 2011, antes de los recortes</w:t>
      </w:r>
      <w:r w:rsidRPr="00E83A87">
        <w:t xml:space="preserve">. Y es cierto. Pero los últimos resultados de PISA también lo son. Es decir, </w:t>
      </w:r>
      <w:r w:rsidRPr="00E83A87">
        <w:rPr>
          <w:rStyle w:val="Textoennegrita"/>
          <w:b w:val="0"/>
        </w:rPr>
        <w:t>el incremento en el gasto público en la época de bonanza no sirvió para acercar a España a los países de su entorno</w:t>
      </w:r>
      <w:r w:rsidRPr="00E83A87">
        <w:rPr>
          <w:b/>
        </w:rPr>
        <w:t>.</w:t>
      </w:r>
      <w:r w:rsidRPr="00E83A87">
        <w:t xml:space="preserve"> Tomando un índice de 100 para el año 2005, España gastaba en educación obligatoria (primaria y secundaria) 87 en el año 2000 y 113 en el 2010: 26 puntos de incremento. En realidad, desde 1990 hasta 2010, el gasto por alumno se dobló y no parece que la calidad del sistema se doblase en consonancia.</w:t>
      </w:r>
    </w:p>
    <w:p w:rsidR="00E02187" w:rsidRPr="00E83A87" w:rsidRDefault="00E02187" w:rsidP="00E02187">
      <w:pPr>
        <w:pStyle w:val="NormalWeb"/>
        <w:jc w:val="both"/>
        <w:rPr>
          <w:b/>
        </w:rPr>
      </w:pPr>
      <w:r w:rsidRPr="00E83A87">
        <w:t xml:space="preserve">Estos resultados son consistentes con lo apuntado en PISA. Los autores de este estudio dejaron claro en su última edición que una vez alcanzado un nivel de gasto mínimo (que todos los grandes países occidentales cumplen) el rendimiento de un sistema educativo no depende de cuánto más se gaste, sino de cómo se haga. Es decir, </w:t>
      </w:r>
      <w:r w:rsidRPr="00E83A87">
        <w:rPr>
          <w:rStyle w:val="Textoennegrita"/>
          <w:b w:val="0"/>
        </w:rPr>
        <w:t>el problema de España no es de coste, es de diseño del modelo</w:t>
      </w:r>
      <w:r w:rsidRPr="00E83A87">
        <w:rPr>
          <w:b/>
        </w:rPr>
        <w:t>.</w:t>
      </w:r>
    </w:p>
    <w:p w:rsidR="00E02187" w:rsidRPr="00E83A87" w:rsidRDefault="00E02187" w:rsidP="00E02187">
      <w:pPr>
        <w:pStyle w:val="NormalWeb"/>
        <w:jc w:val="both"/>
      </w:pPr>
      <w:r w:rsidRPr="00E83A87">
        <w:t xml:space="preserve">Todos los sistemas educativos que funcionan se basan en un gran cuerpo de </w:t>
      </w:r>
      <w:r w:rsidRPr="004D2B19">
        <w:rPr>
          <w:rStyle w:val="Textoennegrita"/>
          <w:b w:val="0"/>
        </w:rPr>
        <w:t>profesores</w:t>
      </w:r>
      <w:r w:rsidRPr="004D2B19">
        <w:rPr>
          <w:b/>
        </w:rPr>
        <w:t>.</w:t>
      </w:r>
      <w:r w:rsidRPr="00E83A87">
        <w:t xml:space="preserve"> En esto coinciden los principales estudios: si quieres tener una buena escuela, tienes que contratar, formar e incentivar a sus maestros. El mito no es ése. El mito en España es que se trate mal a los profesores o que trabajen en peores condiciones que en otros países.</w:t>
      </w:r>
    </w:p>
    <w:p w:rsidR="00E02187" w:rsidRPr="00E83A87" w:rsidRDefault="00E02187" w:rsidP="00E02187">
      <w:pPr>
        <w:pStyle w:val="NormalWeb"/>
        <w:jc w:val="both"/>
      </w:pPr>
      <w:r w:rsidRPr="00E83A87">
        <w:t xml:space="preserve">En lo que más importa a los profesionales del ramo, su </w:t>
      </w:r>
      <w:r w:rsidRPr="00E83A87">
        <w:rPr>
          <w:rStyle w:val="Textoennegrita"/>
          <w:b w:val="0"/>
        </w:rPr>
        <w:t>sueldo</w:t>
      </w:r>
      <w:r w:rsidRPr="00E83A87">
        <w:t xml:space="preserve">, no parece haber muchos motivos de queja. La retribución inicial media (siempre en paridad de poder adquisitivo) es de </w:t>
      </w:r>
      <w:r w:rsidRPr="00E83A87">
        <w:rPr>
          <w:rStyle w:val="Textoennegrita"/>
          <w:b w:val="0"/>
        </w:rPr>
        <w:t>35.881 dólares</w:t>
      </w:r>
      <w:r w:rsidRPr="00E83A87">
        <w:rPr>
          <w:b/>
        </w:rPr>
        <w:t xml:space="preserve"> </w:t>
      </w:r>
      <w:r w:rsidRPr="00E83A87">
        <w:t>(unos</w:t>
      </w:r>
      <w:r w:rsidRPr="00E83A87">
        <w:rPr>
          <w:b/>
        </w:rPr>
        <w:t xml:space="preserve"> </w:t>
      </w:r>
      <w:r w:rsidRPr="00E83A87">
        <w:rPr>
          <w:rStyle w:val="Textoennegrita"/>
          <w:b w:val="0"/>
        </w:rPr>
        <w:t>27.600 euros</w:t>
      </w:r>
      <w:r w:rsidRPr="00E83A87">
        <w:t>), por</w:t>
      </w:r>
      <w:r w:rsidRPr="00E83A87">
        <w:rPr>
          <w:b/>
        </w:rPr>
        <w:t xml:space="preserve"> </w:t>
      </w:r>
      <w:r w:rsidRPr="00E83A87">
        <w:rPr>
          <w:rStyle w:val="Textoennegrita"/>
          <w:b w:val="0"/>
        </w:rPr>
        <w:t>28.854 dólares de media en la OCDE</w:t>
      </w:r>
      <w:r w:rsidRPr="00E83A87">
        <w:rPr>
          <w:b/>
        </w:rPr>
        <w:t xml:space="preserve"> y </w:t>
      </w:r>
      <w:r w:rsidRPr="00E83A87">
        <w:rPr>
          <w:rStyle w:val="Textoennegrita"/>
          <w:b w:val="0"/>
        </w:rPr>
        <w:t>29.123 dólares en la UE-21</w:t>
      </w:r>
      <w:r w:rsidRPr="00E83A87">
        <w:rPr>
          <w:b/>
        </w:rPr>
        <w:t xml:space="preserve">. </w:t>
      </w:r>
      <w:r w:rsidRPr="00E83A87">
        <w:t>Sólo en</w:t>
      </w:r>
      <w:r w:rsidRPr="00E83A87">
        <w:rPr>
          <w:b/>
        </w:rPr>
        <w:t xml:space="preserve"> </w:t>
      </w:r>
      <w:r w:rsidRPr="00E83A87">
        <w:rPr>
          <w:rStyle w:val="Textoennegrita"/>
          <w:b w:val="0"/>
        </w:rPr>
        <w:t>EEUU, Alemania y Holanda cobran los nuevos maestros más que en España</w:t>
      </w:r>
      <w:r w:rsidRPr="00E83A87">
        <w:t>. Y la misma tendencia se puede observar en los profesores con 15 años de experiencia y los que cobran el máximo nivel de la escala.</w:t>
      </w:r>
    </w:p>
    <w:p w:rsidR="00E02187" w:rsidRPr="00E83A87" w:rsidRDefault="00E02187" w:rsidP="00E02187">
      <w:pPr>
        <w:pStyle w:val="NormalWeb"/>
        <w:jc w:val="both"/>
      </w:pPr>
      <w:r w:rsidRPr="00E83A87">
        <w:t xml:space="preserve">De hecho, España sí ocupa el primer puesto en una lista dentro de este informe. Como puede verse en el siguiente gráfico, </w:t>
      </w:r>
      <w:r w:rsidRPr="00E83A87">
        <w:rPr>
          <w:b/>
        </w:rPr>
        <w:t>el</w:t>
      </w:r>
      <w:r w:rsidRPr="00E83A87">
        <w:rPr>
          <w:rStyle w:val="Textoennegrita"/>
          <w:b w:val="0"/>
        </w:rPr>
        <w:t xml:space="preserve"> ratio de retribución entre el profesorado y el licenciado universitario medio</w:t>
      </w:r>
      <w:r w:rsidRPr="00E83A87">
        <w:t xml:space="preserve"> es la más alta de los países analizados. Así, </w:t>
      </w:r>
      <w:r w:rsidRPr="00E83A87">
        <w:rPr>
          <w:rStyle w:val="Textoennegrita"/>
          <w:b w:val="0"/>
        </w:rPr>
        <w:t xml:space="preserve">un maestro de secundaria español cobra un 40% más </w:t>
      </w:r>
      <w:r w:rsidRPr="00E83A87">
        <w:t xml:space="preserve">que sus compatriotas con otra titulación terciaria y </w:t>
      </w:r>
      <w:r w:rsidRPr="00E83A87">
        <w:rPr>
          <w:rStyle w:val="Textoennegrita"/>
          <w:b w:val="0"/>
        </w:rPr>
        <w:t>un maestro de primaria un 23% más</w:t>
      </w:r>
      <w:r w:rsidRPr="00E83A87">
        <w:t xml:space="preserve">. Mientras, en la OCDE, lo normal es que los profesores de secundaria cobren un </w:t>
      </w:r>
      <w:r w:rsidRPr="00E83A87">
        <w:rPr>
          <w:rStyle w:val="Textoennegrita"/>
          <w:b w:val="0"/>
        </w:rPr>
        <w:t>11% menos</w:t>
      </w:r>
      <w:r w:rsidRPr="00E83A87">
        <w:t xml:space="preserve"> que los licenciados de su país y los de primaria un</w:t>
      </w:r>
      <w:r w:rsidRPr="00E83A87">
        <w:rPr>
          <w:rStyle w:val="Textoennegrita"/>
        </w:rPr>
        <w:t xml:space="preserve"> </w:t>
      </w:r>
      <w:r w:rsidRPr="00E83A87">
        <w:rPr>
          <w:rStyle w:val="Textoennegrita"/>
          <w:b w:val="0"/>
        </w:rPr>
        <w:t>18% menos</w:t>
      </w:r>
      <w:r w:rsidRPr="00E83A87">
        <w:rPr>
          <w:b/>
        </w:rPr>
        <w:t>.</w:t>
      </w:r>
    </w:p>
    <w:p w:rsidR="00E02187" w:rsidRDefault="00E02187" w:rsidP="00E02187">
      <w:pPr>
        <w:pStyle w:val="NormalWeb"/>
        <w:jc w:val="both"/>
      </w:pPr>
      <w:r>
        <w:rPr>
          <w:noProof/>
          <w:color w:val="0000FF"/>
        </w:rPr>
        <w:lastRenderedPageBreak/>
        <w:drawing>
          <wp:inline distT="0" distB="0" distL="0" distR="0" wp14:anchorId="2464F35F" wp14:editId="4FD94227">
            <wp:extent cx="5617653" cy="2384755"/>
            <wp:effectExtent l="0" t="0" r="2540" b="0"/>
            <wp:docPr id="14" name="Imagen 14" descr="http://s.libertaddigital.com/fotos/noticias/ocde_educacion_graf_2.jpg">
              <a:hlinkClick xmlns:a="http://schemas.openxmlformats.org/drawingml/2006/main" r:id="rId2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ibertaddigital.com/fotos/noticias/ocde_educacion_graf_2.jpg">
                      <a:hlinkClick r:id="rId217"/>
                    </pic:cNvPr>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617852" cy="2384840"/>
                    </a:xfrm>
                    <a:prstGeom prst="rect">
                      <a:avLst/>
                    </a:prstGeom>
                    <a:noFill/>
                    <a:ln>
                      <a:noFill/>
                    </a:ln>
                  </pic:spPr>
                </pic:pic>
              </a:graphicData>
            </a:graphic>
          </wp:inline>
        </w:drawing>
      </w:r>
    </w:p>
    <w:p w:rsidR="00E02187" w:rsidRPr="004D2B19" w:rsidRDefault="00E02187" w:rsidP="00E02187">
      <w:pPr>
        <w:pStyle w:val="NormalWeb"/>
        <w:jc w:val="both"/>
      </w:pPr>
      <w:r w:rsidRPr="004D2B19">
        <w:t xml:space="preserve">Del mismo modo, el </w:t>
      </w:r>
      <w:r w:rsidRPr="004D2B19">
        <w:rPr>
          <w:rStyle w:val="Textoennegrita"/>
          <w:b w:val="0"/>
        </w:rPr>
        <w:t>tamaño de la clase</w:t>
      </w:r>
      <w:r w:rsidRPr="004D2B19">
        <w:t xml:space="preserve"> tampoco parece un factor determinante. En España, el</w:t>
      </w:r>
      <w:r w:rsidRPr="004D2B19">
        <w:rPr>
          <w:rStyle w:val="Textoennegrita"/>
        </w:rPr>
        <w:t xml:space="preserve"> </w:t>
      </w:r>
      <w:r w:rsidRPr="004D2B19">
        <w:rPr>
          <w:rStyle w:val="Textoennegrita"/>
          <w:b w:val="0"/>
        </w:rPr>
        <w:t>número de alumnos por aula en primaria</w:t>
      </w:r>
      <w:r w:rsidRPr="004D2B19">
        <w:t xml:space="preserve"> es de 20,1, por debajo de la media de la OCDE (21,3) y casi al mismo nivel que la UE-21 (19,9).</w:t>
      </w:r>
    </w:p>
    <w:p w:rsidR="00E02187" w:rsidRPr="004D2B19" w:rsidRDefault="00E02187" w:rsidP="00E02187">
      <w:pPr>
        <w:pStyle w:val="NormalWeb"/>
        <w:jc w:val="both"/>
      </w:pPr>
      <w:r w:rsidRPr="004D2B19">
        <w:t xml:space="preserve">Y en la clasificación del tamaño estimado (tiene en cuenta el número de materias a las que asiste cada alumno) la proporción es incluso mejor. En primaria, por ejemplo, </w:t>
      </w:r>
      <w:r w:rsidRPr="004D2B19">
        <w:rPr>
          <w:rStyle w:val="Textoennegrita"/>
          <w:b w:val="0"/>
        </w:rPr>
        <w:t>el número de alumnos por profesor</w:t>
      </w:r>
      <w:r w:rsidRPr="004D2B19">
        <w:rPr>
          <w:b/>
        </w:rPr>
        <w:t xml:space="preserve"> </w:t>
      </w:r>
      <w:r w:rsidRPr="004D2B19">
        <w:t>es de 13,1 frente al 16,1 de media en la OCDE y la UE-21.</w:t>
      </w:r>
    </w:p>
    <w:p w:rsidR="00E02187" w:rsidRPr="004D2B19" w:rsidRDefault="00E02187" w:rsidP="00E02187">
      <w:pPr>
        <w:pStyle w:val="NormalWeb"/>
        <w:jc w:val="both"/>
      </w:pPr>
      <w:r w:rsidRPr="004D2B19">
        <w:t>La pregunta que hay que hacerse es por qué entonces los colegios españoles no acaban de funcionar. Y la respuesta habrá que buscarla en los incentivos que ofrece a sus maestros, su forma de organización o el modelo educativo general, pero no en los sueldos que les pague o en el número total de profesores.</w:t>
      </w:r>
    </w:p>
    <w:p w:rsidR="00E02187" w:rsidRPr="004D2B19" w:rsidRDefault="00E02187" w:rsidP="00E02187">
      <w:pPr>
        <w:pStyle w:val="NormalWeb"/>
        <w:jc w:val="both"/>
      </w:pPr>
      <w:r w:rsidRPr="004D2B19">
        <w:t xml:space="preserve">Otra de las afirmaciones más o menos recurrentes que se realizan es que España necesita más licenciados para impulsar la economía. Falso. </w:t>
      </w:r>
      <w:hyperlink r:id="rId219" w:history="1">
        <w:r w:rsidRPr="00D762BF">
          <w:rPr>
            <w:rStyle w:val="Hipervnculo"/>
            <w:rFonts w:eastAsiaTheme="majorEastAsia"/>
            <w:color w:val="auto"/>
          </w:rPr>
          <w:t>Según este estudio</w:t>
        </w:r>
      </w:hyperlink>
      <w:r w:rsidRPr="00D762BF">
        <w:t xml:space="preserve">, la realidad es que estamos entre los países de Europa con </w:t>
      </w:r>
      <w:r w:rsidRPr="00D762BF">
        <w:rPr>
          <w:rStyle w:val="Textoennegrita"/>
          <w:b w:val="0"/>
        </w:rPr>
        <w:t>más universitarios</w:t>
      </w:r>
      <w:r w:rsidRPr="00D762BF">
        <w:t xml:space="preserve">, una situación habitual en las últimas décadas. En el informe se puede ver cómo entre todos sus habitantes de entre </w:t>
      </w:r>
      <w:r w:rsidRPr="00D762BF">
        <w:rPr>
          <w:rStyle w:val="Textoennegrita"/>
          <w:b w:val="0"/>
        </w:rPr>
        <w:t>25 y 64 años</w:t>
      </w:r>
      <w:r w:rsidRPr="00D762BF">
        <w:rPr>
          <w:b/>
        </w:rPr>
        <w:t xml:space="preserve">, </w:t>
      </w:r>
      <w:r w:rsidRPr="00D762BF">
        <w:t>un</w:t>
      </w:r>
      <w:r w:rsidRPr="00D762BF">
        <w:rPr>
          <w:b/>
        </w:rPr>
        <w:t xml:space="preserve"> </w:t>
      </w:r>
      <w:r w:rsidRPr="00D762BF">
        <w:rPr>
          <w:rStyle w:val="Textoennegrita"/>
          <w:b w:val="0"/>
        </w:rPr>
        <w:t>32% tienen Educación Terciaria</w:t>
      </w:r>
      <w:r w:rsidRPr="00D762BF">
        <w:rPr>
          <w:b/>
        </w:rPr>
        <w:t xml:space="preserve">, la </w:t>
      </w:r>
      <w:r w:rsidRPr="00D762BF">
        <w:rPr>
          <w:rStyle w:val="Textoennegrita"/>
          <w:b w:val="0"/>
        </w:rPr>
        <w:t xml:space="preserve">misma media </w:t>
      </w:r>
      <w:r w:rsidRPr="004D2B19">
        <w:rPr>
          <w:rStyle w:val="Textoennegrita"/>
          <w:b w:val="0"/>
        </w:rPr>
        <w:t xml:space="preserve">que en la OCDE </w:t>
      </w:r>
      <w:r w:rsidRPr="004D2B19">
        <w:t>y un poco superior a la de la UE-21, que baja al 29%.</w:t>
      </w:r>
    </w:p>
    <w:p w:rsidR="00E02187" w:rsidRPr="004D2B19" w:rsidRDefault="00E02187" w:rsidP="00E02187">
      <w:pPr>
        <w:pStyle w:val="NormalWeb"/>
        <w:jc w:val="both"/>
        <w:rPr>
          <w:b/>
        </w:rPr>
      </w:pPr>
      <w:r w:rsidRPr="004D2B19">
        <w:t>Mientras, esta situación cambia exponencialmente cuando hablamos de Educación Secundaria no obligatoria (</w:t>
      </w:r>
      <w:r w:rsidRPr="004D2B19">
        <w:rPr>
          <w:rStyle w:val="Textoennegrita"/>
          <w:b w:val="0"/>
        </w:rPr>
        <w:t>Bachillerato-FP de grado medio</w:t>
      </w:r>
      <w:r w:rsidRPr="004D2B19">
        <w:t xml:space="preserve">). </w:t>
      </w:r>
      <w:r w:rsidRPr="004D2B19">
        <w:rPr>
          <w:rStyle w:val="Textoennegrita"/>
          <w:b w:val="0"/>
        </w:rPr>
        <w:t>Tan sólo un 22% de los españoles</w:t>
      </w:r>
      <w:r w:rsidRPr="004D2B19">
        <w:t xml:space="preserve"> tienen alguna de estas titulaciones</w:t>
      </w:r>
      <w:r w:rsidRPr="004D2B19">
        <w:rPr>
          <w:rStyle w:val="Textoennegrita"/>
        </w:rPr>
        <w:t xml:space="preserve"> </w:t>
      </w:r>
      <w:r w:rsidRPr="004D2B19">
        <w:rPr>
          <w:rStyle w:val="Textoennegrita"/>
          <w:b w:val="0"/>
        </w:rPr>
        <w:t>frente a un 48% de media</w:t>
      </w:r>
      <w:r w:rsidRPr="004D2B19">
        <w:t xml:space="preserve"> que sí la poseen entre los países de nuestro entorno (UE-21) y un 44% de la OCDE. Pero quizá el mayor drama de España es que </w:t>
      </w:r>
      <w:r w:rsidRPr="004D2B19">
        <w:rPr>
          <w:rStyle w:val="Textoennegrita"/>
          <w:b w:val="0"/>
        </w:rPr>
        <w:t>en 2010 alrededor del 46% de sus habitantes en edad de trabajar tiene únicamente la titulación de la ESO o ni siquiera</w:t>
      </w:r>
      <w:r w:rsidRPr="004D2B19">
        <w:t>. Esta última cifra baja al</w:t>
      </w:r>
      <w:r w:rsidRPr="004D2B19">
        <w:rPr>
          <w:rStyle w:val="Textoennegrita"/>
        </w:rPr>
        <w:t xml:space="preserve"> </w:t>
      </w:r>
      <w:r w:rsidRPr="004D2B19">
        <w:rPr>
          <w:rStyle w:val="Textoennegrita"/>
          <w:b w:val="0"/>
        </w:rPr>
        <w:t>25% de la OCDE</w:t>
      </w:r>
      <w:r w:rsidRPr="004D2B19">
        <w:rPr>
          <w:rStyle w:val="Textoennegrita"/>
        </w:rPr>
        <w:t xml:space="preserve"> </w:t>
      </w:r>
      <w:r w:rsidRPr="004D2B19">
        <w:t>y a un</w:t>
      </w:r>
      <w:r w:rsidRPr="004D2B19">
        <w:rPr>
          <w:rStyle w:val="Textoennegrita"/>
        </w:rPr>
        <w:t xml:space="preserve"> </w:t>
      </w:r>
      <w:r w:rsidRPr="004D2B19">
        <w:rPr>
          <w:rStyle w:val="Textoennegrita"/>
          <w:b w:val="0"/>
        </w:rPr>
        <w:t>24% de la UE-21</w:t>
      </w:r>
      <w:r w:rsidRPr="004D2B19">
        <w:rPr>
          <w:b/>
        </w:rPr>
        <w:t>.</w:t>
      </w:r>
    </w:p>
    <w:p w:rsidR="00E02187" w:rsidRPr="004D2B19" w:rsidRDefault="00E02187" w:rsidP="00E02187">
      <w:pPr>
        <w:pStyle w:val="NormalWeb"/>
        <w:jc w:val="both"/>
      </w:pPr>
      <w:r w:rsidRPr="004D2B19">
        <w:t xml:space="preserve">Es decir, España tiene muchos licenciados, muy pocos técnicos y cuadros medios y muchísimas personas con una titulación muy baja o, directamente, sin ninguna clase de titulación. Mientras, países como </w:t>
      </w:r>
      <w:r w:rsidRPr="004D2B19">
        <w:rPr>
          <w:rStyle w:val="Textoennegrita"/>
          <w:b w:val="0"/>
        </w:rPr>
        <w:t>Alemania, Suecia, Finlandia o EEUU</w:t>
      </w:r>
      <w:r w:rsidRPr="004D2B19">
        <w:rPr>
          <w:rStyle w:val="Textoennegrita"/>
        </w:rPr>
        <w:t xml:space="preserve"> </w:t>
      </w:r>
      <w:r w:rsidRPr="004D2B19">
        <w:t>tienen un enorme ejército de titulados medios.</w:t>
      </w:r>
    </w:p>
    <w:p w:rsidR="00E02187" w:rsidRPr="004D2B19" w:rsidRDefault="00E02187" w:rsidP="00E02187">
      <w:pPr>
        <w:pStyle w:val="NormalWeb"/>
        <w:jc w:val="both"/>
        <w:rPr>
          <w:b/>
        </w:rPr>
      </w:pPr>
      <w:r w:rsidRPr="004D2B19">
        <w:t xml:space="preserve">Las </w:t>
      </w:r>
      <w:r w:rsidRPr="004D2B19">
        <w:rPr>
          <w:rStyle w:val="Textoennegrita"/>
          <w:b w:val="0"/>
        </w:rPr>
        <w:t>tasas universitarias</w:t>
      </w:r>
      <w:r w:rsidRPr="004D2B19">
        <w:rPr>
          <w:rStyle w:val="Textoennegrita"/>
        </w:rPr>
        <w:t xml:space="preserve"> </w:t>
      </w:r>
      <w:r w:rsidRPr="004D2B19">
        <w:t xml:space="preserve">son otro de los asuntos polémicos en los últimos días. De hecho, la primera </w:t>
      </w:r>
      <w:r w:rsidRPr="004D2B19">
        <w:rPr>
          <w:rStyle w:val="Textoennegrita"/>
          <w:b w:val="0"/>
        </w:rPr>
        <w:t>gran rebelión contra el Gobierno del PP</w:t>
      </w:r>
      <w:r w:rsidRPr="004D2B19">
        <w:rPr>
          <w:rStyle w:val="Textoennegrita"/>
        </w:rPr>
        <w:t xml:space="preserve"> </w:t>
      </w:r>
      <w:r w:rsidRPr="004D2B19">
        <w:t xml:space="preserve">llegó el año 2012, cuando se decretó </w:t>
      </w:r>
      <w:r w:rsidRPr="004D2B19">
        <w:lastRenderedPageBreak/>
        <w:t xml:space="preserve">su subida. Uno de los puntos más llamativos sobre universidades, financiación y gasto por alumno es aquél que destaca que </w:t>
      </w:r>
      <w:r w:rsidRPr="004D2B19">
        <w:rPr>
          <w:rStyle w:val="Textoennegrita"/>
          <w:b w:val="0"/>
        </w:rPr>
        <w:t>en general las tasas</w:t>
      </w:r>
      <w:r w:rsidRPr="004D2B19">
        <w:rPr>
          <w:rStyle w:val="Textoennegrita"/>
        </w:rPr>
        <w:t xml:space="preserve"> </w:t>
      </w:r>
      <w:r w:rsidRPr="004D2B19">
        <w:t xml:space="preserve">que tienen que pagar los estudiantes universitarios españoles </w:t>
      </w:r>
      <w:r w:rsidRPr="004D2B19">
        <w:rPr>
          <w:rStyle w:val="Textoennegrita"/>
          <w:b w:val="0"/>
        </w:rPr>
        <w:t>son bajas en comparación a otros países de la OCDE</w:t>
      </w:r>
      <w:r w:rsidRPr="004D2B19">
        <w:t>. En cambio, el número de matriculados es menor que en países como EEUU o Holanda donde los estudiantes han de pagar más. La experiencia en estos países demuestra que</w:t>
      </w:r>
      <w:r w:rsidRPr="004D2B19">
        <w:rPr>
          <w:rStyle w:val="Textoennegrita"/>
        </w:rPr>
        <w:t xml:space="preserve"> </w:t>
      </w:r>
      <w:r w:rsidRPr="004D2B19">
        <w:rPr>
          <w:rStyle w:val="Textoennegrita"/>
          <w:b w:val="0"/>
        </w:rPr>
        <w:t>las tasas no son una barrera infranqueable para entrar en la Universidad</w:t>
      </w:r>
      <w:r w:rsidRPr="004D2B19">
        <w:rPr>
          <w:b/>
        </w:rPr>
        <w:t>.</w:t>
      </w:r>
    </w:p>
    <w:p w:rsidR="00E02187" w:rsidRPr="004D2B19" w:rsidRDefault="00E02187" w:rsidP="00E02187">
      <w:pPr>
        <w:pStyle w:val="NormalWeb"/>
        <w:jc w:val="both"/>
      </w:pPr>
      <w:r w:rsidRPr="004D2B19">
        <w:t xml:space="preserve">Y eso sin tener en cuenta que las tasas están subvencionadas. En el informe </w:t>
      </w:r>
      <w:r w:rsidRPr="004D2B19">
        <w:rPr>
          <w:rStyle w:val="nfasis"/>
        </w:rPr>
        <w:t>La Universidad Española en Cifras</w:t>
      </w:r>
      <w:r w:rsidRPr="004D2B19">
        <w:t xml:space="preserve">, publicado por la </w:t>
      </w:r>
      <w:hyperlink r:id="rId220" w:history="1">
        <w:r w:rsidRPr="00D762BF">
          <w:rPr>
            <w:rStyle w:val="Hipervnculo"/>
            <w:rFonts w:eastAsiaTheme="majorEastAsia"/>
            <w:color w:val="auto"/>
          </w:rPr>
          <w:t>Conferencia de Rectores de las Universidades Españolas (CRUE</w:t>
        </w:r>
      </w:hyperlink>
      <w:r w:rsidRPr="00D762BF">
        <w:t xml:space="preserve">), </w:t>
      </w:r>
      <w:r w:rsidRPr="004D2B19">
        <w:t xml:space="preserve">se cogen datos del curso académico </w:t>
      </w:r>
      <w:r w:rsidRPr="004D2B19">
        <w:rPr>
          <w:rStyle w:val="Textoennegrita"/>
        </w:rPr>
        <w:t xml:space="preserve">2008/09 </w:t>
      </w:r>
      <w:r w:rsidRPr="004D2B19">
        <w:t>(antes de la última subida de las tasas):</w:t>
      </w:r>
    </w:p>
    <w:p w:rsidR="00E02187" w:rsidRPr="004D2B19" w:rsidRDefault="00E02187" w:rsidP="00E02187">
      <w:pPr>
        <w:numPr>
          <w:ilvl w:val="0"/>
          <w:numId w:val="16"/>
        </w:numPr>
        <w:spacing w:before="100" w:beforeAutospacing="1" w:after="100" w:afterAutospacing="1" w:line="240" w:lineRule="auto"/>
        <w:jc w:val="both"/>
        <w:rPr>
          <w:rFonts w:ascii="Times New Roman" w:hAnsi="Times New Roman" w:cs="Times New Roman"/>
          <w:sz w:val="24"/>
          <w:szCs w:val="24"/>
        </w:rPr>
      </w:pPr>
      <w:r w:rsidRPr="004D2B19">
        <w:rPr>
          <w:rStyle w:val="Textoennegrita"/>
          <w:rFonts w:ascii="Times New Roman" w:hAnsi="Times New Roman" w:cs="Times New Roman"/>
          <w:b w:val="0"/>
          <w:sz w:val="24"/>
          <w:szCs w:val="24"/>
        </w:rPr>
        <w:t>Coste medio primera matrícula</w:t>
      </w:r>
      <w:r w:rsidRPr="004D2B19">
        <w:rPr>
          <w:rFonts w:ascii="Times New Roman" w:hAnsi="Times New Roman" w:cs="Times New Roman"/>
          <w:sz w:val="24"/>
          <w:szCs w:val="24"/>
        </w:rPr>
        <w:t>: 11,48 euros por crédito</w:t>
      </w:r>
    </w:p>
    <w:p w:rsidR="00E02187" w:rsidRPr="004D2B19" w:rsidRDefault="00E02187" w:rsidP="00E02187">
      <w:pPr>
        <w:numPr>
          <w:ilvl w:val="0"/>
          <w:numId w:val="16"/>
        </w:numPr>
        <w:spacing w:before="100" w:beforeAutospacing="1" w:after="100" w:afterAutospacing="1" w:line="240" w:lineRule="auto"/>
        <w:jc w:val="both"/>
        <w:rPr>
          <w:rFonts w:ascii="Times New Roman" w:hAnsi="Times New Roman" w:cs="Times New Roman"/>
          <w:sz w:val="24"/>
          <w:szCs w:val="24"/>
        </w:rPr>
      </w:pPr>
      <w:r w:rsidRPr="004D2B19">
        <w:rPr>
          <w:rStyle w:val="Textoennegrita"/>
          <w:rFonts w:ascii="Times New Roman" w:hAnsi="Times New Roman" w:cs="Times New Roman"/>
          <w:b w:val="0"/>
          <w:sz w:val="24"/>
          <w:szCs w:val="24"/>
        </w:rPr>
        <w:t>Gasto real</w:t>
      </w:r>
      <w:r w:rsidRPr="004D2B19">
        <w:rPr>
          <w:rFonts w:ascii="Times New Roman" w:hAnsi="Times New Roman" w:cs="Times New Roman"/>
          <w:sz w:val="24"/>
          <w:szCs w:val="24"/>
        </w:rPr>
        <w:t>: 115 euros por crédito</w:t>
      </w:r>
    </w:p>
    <w:p w:rsidR="00E02187" w:rsidRPr="004D2B19" w:rsidRDefault="00E02187" w:rsidP="00E02187">
      <w:pPr>
        <w:numPr>
          <w:ilvl w:val="0"/>
          <w:numId w:val="16"/>
        </w:numPr>
        <w:spacing w:before="100" w:beforeAutospacing="1" w:after="100" w:afterAutospacing="1" w:line="240" w:lineRule="auto"/>
        <w:jc w:val="both"/>
        <w:rPr>
          <w:rFonts w:ascii="Times New Roman" w:hAnsi="Times New Roman" w:cs="Times New Roman"/>
          <w:sz w:val="24"/>
          <w:szCs w:val="24"/>
        </w:rPr>
      </w:pPr>
      <w:r w:rsidRPr="004D2B19">
        <w:rPr>
          <w:rFonts w:ascii="Times New Roman" w:hAnsi="Times New Roman" w:cs="Times New Roman"/>
          <w:sz w:val="24"/>
          <w:szCs w:val="24"/>
        </w:rPr>
        <w:t>Contando con 60 euros por curso, cada universitario pagaba 689 euros en tasas a cambio de una formación que costaba 6.901 euros.</w:t>
      </w:r>
    </w:p>
    <w:p w:rsidR="00E02187" w:rsidRPr="004D2B19" w:rsidRDefault="00E02187" w:rsidP="00E02187">
      <w:pPr>
        <w:pStyle w:val="NormalWeb"/>
        <w:jc w:val="both"/>
      </w:pPr>
      <w:r w:rsidRPr="004D2B19">
        <w:t xml:space="preserve">Es decir, </w:t>
      </w:r>
      <w:r w:rsidRPr="004D2B19">
        <w:rPr>
          <w:rStyle w:val="Textoennegrita"/>
          <w:b w:val="0"/>
        </w:rPr>
        <w:t>apenas el 10% del coste de la primera matrícula lo sufragaba el alumno</w:t>
      </w:r>
      <w:r w:rsidRPr="004D2B19">
        <w:rPr>
          <w:b/>
        </w:rPr>
        <w:t>.</w:t>
      </w:r>
      <w:r w:rsidRPr="004D2B19">
        <w:t xml:space="preserve"> El resto era abonado, de una u otra forma, por el contribuyente.</w:t>
      </w:r>
    </w:p>
    <w:p w:rsidR="00E02187" w:rsidRPr="004D2B19" w:rsidRDefault="00E02187" w:rsidP="00E02187">
      <w:pPr>
        <w:pStyle w:val="NormalWeb"/>
        <w:jc w:val="both"/>
      </w:pPr>
      <w:r w:rsidRPr="004D2B19">
        <w:t xml:space="preserve">Según resalta el estudio de la OCDE, </w:t>
      </w:r>
      <w:r w:rsidRPr="004D2B19">
        <w:rPr>
          <w:rStyle w:val="Textoennegrita"/>
          <w:b w:val="0"/>
        </w:rPr>
        <w:t>unas mayores tasas</w:t>
      </w:r>
      <w:r w:rsidRPr="004D2B19">
        <w:t xml:space="preserve"> aumentan los recursos en las universidades lo que ayuda a mantener la calidad académica y el desarrollo de nuevos programas. Aunque por otro lado, unas menores tasas de matrícula pueden ayudar a promover el acceso y la equidad a esta Universidad Terciaria, pero dificulta el mantenimiento de la calidad educativa.</w:t>
      </w:r>
    </w:p>
    <w:p w:rsidR="00E02187" w:rsidRPr="004D2B19" w:rsidRDefault="00E02187" w:rsidP="00E02187">
      <w:pPr>
        <w:pStyle w:val="NormalWeb"/>
        <w:jc w:val="both"/>
      </w:pPr>
      <w:r w:rsidRPr="004D2B19">
        <w:t>Además, tal y como hemos comentado, llama la atención cómo España es uno de los países que</w:t>
      </w:r>
      <w:r w:rsidRPr="004D2B19">
        <w:rPr>
          <w:rStyle w:val="Textoennegrita"/>
        </w:rPr>
        <w:t xml:space="preserve"> </w:t>
      </w:r>
      <w:r w:rsidRPr="004D2B19">
        <w:rPr>
          <w:rStyle w:val="Textoennegrita"/>
          <w:b w:val="0"/>
        </w:rPr>
        <w:t>más gasto público por alumno</w:t>
      </w:r>
      <w:r w:rsidRPr="004D2B19">
        <w:t xml:space="preserve"> destina en todos los niveles educativos. En concreto, en la </w:t>
      </w:r>
      <w:r w:rsidRPr="004D2B19">
        <w:rPr>
          <w:rStyle w:val="Textoennegrita"/>
          <w:b w:val="0"/>
        </w:rPr>
        <w:t>Educación Terciaria</w:t>
      </w:r>
      <w:r w:rsidRPr="004D2B19">
        <w:rPr>
          <w:rStyle w:val="Textoennegrita"/>
        </w:rPr>
        <w:t xml:space="preserve"> </w:t>
      </w:r>
      <w:r w:rsidRPr="004D2B19">
        <w:t>(Universidad y FP de grado superior) se alcanza en España un gasto de</w:t>
      </w:r>
      <w:r w:rsidRPr="004D2B19">
        <w:rPr>
          <w:rStyle w:val="Textoennegrita"/>
        </w:rPr>
        <w:t xml:space="preserve"> </w:t>
      </w:r>
      <w:r w:rsidRPr="004D2B19">
        <w:rPr>
          <w:rStyle w:val="Textoennegrita"/>
          <w:b w:val="0"/>
        </w:rPr>
        <w:t>11.925 dólares</w:t>
      </w:r>
      <w:r w:rsidRPr="004D2B19">
        <w:t>, mientras que la media de la OCDE es ligeramente inferior (11.382 dólares) mientras que la de la UE-21 disminuye a 9.608 dólares.</w:t>
      </w:r>
    </w:p>
    <w:p w:rsidR="00E02187" w:rsidRPr="004D2B19" w:rsidRDefault="00E02187" w:rsidP="00E02187">
      <w:pPr>
        <w:pStyle w:val="NormalWeb"/>
        <w:jc w:val="both"/>
      </w:pPr>
      <w:r w:rsidRPr="004D2B19">
        <w:t xml:space="preserve">Las protestas por los recortes en la educación </w:t>
      </w:r>
      <w:r w:rsidRPr="004D2B19">
        <w:rPr>
          <w:rStyle w:val="Textoennegrita"/>
          <w:b w:val="0"/>
        </w:rPr>
        <w:t>tienen un color, el verde, y un lema: “Por una escuela pública de tod@s, para tod@s</w:t>
      </w:r>
      <w:r w:rsidRPr="004D2B19">
        <w:rPr>
          <w:b/>
        </w:rPr>
        <w:t>”.</w:t>
      </w:r>
      <w:r w:rsidRPr="004D2B19">
        <w:t xml:space="preserve"> Cualquiera que lo lea podría pensar que los colegios españoles habían sido, hasta la llegada del Partido Popular, los cimientos para conseguir una sociedad equitativa, con oportunidades para que los que tienen menos recursos salgan adelante por sí mismos. Pero es sólo otro mito. Los datos apuntan a una realidad muy diferente.</w:t>
      </w:r>
    </w:p>
    <w:p w:rsidR="00E02187" w:rsidRPr="004D2B19" w:rsidRDefault="00E02187" w:rsidP="00E02187">
      <w:pPr>
        <w:pStyle w:val="NormalWeb"/>
        <w:jc w:val="both"/>
      </w:pPr>
      <w:r w:rsidRPr="004D2B19">
        <w:t xml:space="preserve">Para empezar, habría que recordar que España tiene un </w:t>
      </w:r>
      <w:r w:rsidRPr="004D2B19">
        <w:rPr>
          <w:rStyle w:val="Textoennegrita"/>
          <w:b w:val="0"/>
        </w:rPr>
        <w:t>fracaso escolar que ronda el 30%</w:t>
      </w:r>
      <w:r w:rsidRPr="004D2B19">
        <w:rPr>
          <w:b/>
        </w:rPr>
        <w:t>.</w:t>
      </w:r>
      <w:r w:rsidRPr="004D2B19">
        <w:t xml:space="preserve"> Esta cifra ha caído desde el inicio de la crisis (ahora está alrededor del 25%), pero no por la mejora en la calidad de las clases, sino porque los alumnos no tienen ninguna alternativa en el mercado laboral. Por ejemplo, en </w:t>
      </w:r>
      <w:r w:rsidRPr="004D2B19">
        <w:rPr>
          <w:rStyle w:val="Textoennegrita"/>
          <w:b w:val="0"/>
        </w:rPr>
        <w:t>2007</w:t>
      </w:r>
      <w:r w:rsidRPr="004D2B19">
        <w:t xml:space="preserve">, mucho antes de los recortes, </w:t>
      </w:r>
      <w:hyperlink r:id="rId221" w:history="1">
        <w:r w:rsidRPr="00D762BF">
          <w:rPr>
            <w:rStyle w:val="Hipervnculo"/>
            <w:rFonts w:eastAsiaTheme="majorEastAsia"/>
            <w:color w:val="auto"/>
          </w:rPr>
          <w:t>sólo obtenían el título de secundaria</w:t>
        </w:r>
      </w:hyperlink>
      <w:r w:rsidRPr="00D762BF">
        <w:t xml:space="preserve"> (en teoría el mínimo obligatorio por ley) </w:t>
      </w:r>
      <w:r w:rsidRPr="00D762BF">
        <w:rPr>
          <w:rStyle w:val="Textoennegrita"/>
          <w:b w:val="0"/>
        </w:rPr>
        <w:t>el 65% de los alumnos de las escuelas públicas</w:t>
      </w:r>
      <w:r w:rsidRPr="00D762BF">
        <w:t xml:space="preserve">. Entre los </w:t>
      </w:r>
      <w:r w:rsidRPr="00D762BF">
        <w:rPr>
          <w:rStyle w:val="Textoennegrita"/>
          <w:b w:val="0"/>
        </w:rPr>
        <w:t>varones</w:t>
      </w:r>
      <w:r w:rsidRPr="00D762BF">
        <w:t xml:space="preserve">, este porcentaje </w:t>
      </w:r>
      <w:r w:rsidRPr="00D762BF">
        <w:rPr>
          <w:rStyle w:val="Textoennegrita"/>
          <w:b w:val="0"/>
        </w:rPr>
        <w:t>caía al 57%</w:t>
      </w:r>
      <w:r w:rsidRPr="00D762BF">
        <w:rPr>
          <w:b/>
        </w:rPr>
        <w:t>.</w:t>
      </w:r>
      <w:r w:rsidRPr="00D762BF">
        <w:t xml:space="preserve"> </w:t>
      </w:r>
      <w:r w:rsidRPr="004D2B19">
        <w:t>Casi la mitad de los chicos salía del colegio sin un título válido para el mercado laboral.</w:t>
      </w:r>
    </w:p>
    <w:p w:rsidR="00E02187" w:rsidRPr="004D2B19" w:rsidRDefault="00E02187" w:rsidP="00E02187">
      <w:pPr>
        <w:pStyle w:val="NormalWeb"/>
        <w:jc w:val="both"/>
      </w:pPr>
      <w:r w:rsidRPr="004D2B19">
        <w:t xml:space="preserve">Claro, luego esto tiene consecuencias. Sólo el 65% de los españoles de entre 25 y 34 años tiene al menos una titulación secundaria, ya sea bachillerato o FP. El resto, un </w:t>
      </w:r>
      <w:r w:rsidRPr="004D2B19">
        <w:lastRenderedPageBreak/>
        <w:t>35%, no tiene nada o apenas el título de la ESO. Por comparar, en la OCDE el porcentaje es del 82% y en la UE-21 del 84%.</w:t>
      </w:r>
    </w:p>
    <w:p w:rsidR="00E02187" w:rsidRDefault="00E02187" w:rsidP="00E02187">
      <w:pPr>
        <w:pStyle w:val="NormalWeb"/>
        <w:jc w:val="both"/>
      </w:pPr>
      <w:r>
        <w:rPr>
          <w:noProof/>
        </w:rPr>
        <w:drawing>
          <wp:inline distT="0" distB="0" distL="0" distR="0" wp14:anchorId="7D5B62E8" wp14:editId="35EE6BE6">
            <wp:extent cx="5398617" cy="3145536"/>
            <wp:effectExtent l="0" t="0" r="0" b="0"/>
            <wp:docPr id="15" name="Imagen 15" descr="http://s.libertaddigital.com/fotos/noticias/ocde_educacion_graf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libertaddigital.com/fotos/noticias/ocde_educacion_graf_4.jpg"/>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400040" cy="3146365"/>
                    </a:xfrm>
                    <a:prstGeom prst="rect">
                      <a:avLst/>
                    </a:prstGeom>
                    <a:noFill/>
                    <a:ln>
                      <a:noFill/>
                    </a:ln>
                  </pic:spPr>
                </pic:pic>
              </a:graphicData>
            </a:graphic>
          </wp:inline>
        </w:drawing>
      </w:r>
    </w:p>
    <w:p w:rsidR="00E02187" w:rsidRPr="004D2B19" w:rsidRDefault="00E02187" w:rsidP="00E02187">
      <w:pPr>
        <w:pStyle w:val="NormalWeb"/>
        <w:jc w:val="both"/>
      </w:pPr>
      <w:r w:rsidRPr="004D2B19">
        <w:t>Evidentemente, la gran mayoría de esos que abandonan la escuela o sólo consiguen el título mínimo pertenecen a las clases bajas. Y luego, estos resultados tienen su reflejo no sólo mientras están estudiando sino a lo largo de toda la</w:t>
      </w:r>
      <w:r w:rsidRPr="004D2B19">
        <w:rPr>
          <w:rStyle w:val="Textoennegrita"/>
        </w:rPr>
        <w:t xml:space="preserve"> </w:t>
      </w:r>
      <w:r w:rsidRPr="004D2B19">
        <w:rPr>
          <w:rStyle w:val="Textoennegrita"/>
          <w:b w:val="0"/>
        </w:rPr>
        <w:t>vida laboral</w:t>
      </w:r>
      <w:r w:rsidRPr="004D2B19">
        <w:rPr>
          <w:b/>
        </w:rPr>
        <w:t>.</w:t>
      </w:r>
      <w:r w:rsidRPr="004D2B19">
        <w:t xml:space="preserve"> La</w:t>
      </w:r>
      <w:r w:rsidRPr="004D2B19">
        <w:rPr>
          <w:b/>
        </w:rPr>
        <w:t xml:space="preserve"> </w:t>
      </w:r>
      <w:r w:rsidRPr="004D2B19">
        <w:rPr>
          <w:rStyle w:val="Textoennegrita"/>
          <w:b w:val="0"/>
        </w:rPr>
        <w:t>tasa de paro</w:t>
      </w:r>
      <w:r w:rsidRPr="004D2B19">
        <w:rPr>
          <w:rStyle w:val="Textoennegrita"/>
        </w:rPr>
        <w:t xml:space="preserve"> </w:t>
      </w:r>
      <w:r w:rsidRPr="004D2B19">
        <w:t xml:space="preserve">entre las personas con una titulación menor a la secundaria es del </w:t>
      </w:r>
      <w:r w:rsidRPr="004D2B19">
        <w:rPr>
          <w:rStyle w:val="Textoennegrita"/>
          <w:b w:val="0"/>
        </w:rPr>
        <w:t>26%</w:t>
      </w:r>
      <w:r w:rsidRPr="004D2B19">
        <w:rPr>
          <w:b/>
        </w:rPr>
        <w:t xml:space="preserve">, </w:t>
      </w:r>
      <w:r w:rsidRPr="004D2B19">
        <w:t>la</w:t>
      </w:r>
      <w:r w:rsidRPr="004D2B19">
        <w:rPr>
          <w:b/>
        </w:rPr>
        <w:t xml:space="preserve"> </w:t>
      </w:r>
      <w:r w:rsidRPr="004D2B19">
        <w:rPr>
          <w:rStyle w:val="Textoennegrita"/>
          <w:b w:val="0"/>
        </w:rPr>
        <w:t>mayor de ningún país de la OCDE</w:t>
      </w:r>
      <w:r w:rsidRPr="004D2B19">
        <w:rPr>
          <w:b/>
        </w:rPr>
        <w:t>.</w:t>
      </w:r>
      <w:r w:rsidRPr="004D2B19">
        <w:t xml:space="preserve"> El fracaso escolar provoca que el sistema educativo no sólo no sirva como nivel de igualación social o como centro para asegurar una oportunidad para todos, sino que en muchos casos provoca que se acentúen las diferencias.</w:t>
      </w:r>
    </w:p>
    <w:p w:rsidR="00E02187" w:rsidRPr="004D2B19" w:rsidRDefault="00E02187" w:rsidP="00E02187">
      <w:pPr>
        <w:pStyle w:val="NormalWeb"/>
        <w:jc w:val="both"/>
      </w:pPr>
      <w:r w:rsidRPr="004D2B19">
        <w:t xml:space="preserve">El reflejo más duro de esta situación se encuentra en el </w:t>
      </w:r>
      <w:r w:rsidRPr="004D2B19">
        <w:rPr>
          <w:rStyle w:val="Textoennegrita"/>
          <w:b w:val="0"/>
        </w:rPr>
        <w:t>número de</w:t>
      </w:r>
      <w:r w:rsidRPr="004D2B19">
        <w:rPr>
          <w:rStyle w:val="Textoennegrita"/>
        </w:rPr>
        <w:t xml:space="preserve"> </w:t>
      </w:r>
      <w:r w:rsidRPr="004D2B19">
        <w:rPr>
          <w:rStyle w:val="nfasis"/>
        </w:rPr>
        <w:t>ni-nis</w:t>
      </w:r>
      <w:r w:rsidRPr="004D2B19">
        <w:t xml:space="preserve"> (personas que ni estudian ni trabajan). Entre los </w:t>
      </w:r>
      <w:r w:rsidRPr="004D2B19">
        <w:rPr>
          <w:rStyle w:val="Textoennegrita"/>
          <w:b w:val="0"/>
        </w:rPr>
        <w:t>20 y los 24 años, el 29% de los españoles</w:t>
      </w:r>
      <w:r w:rsidRPr="004D2B19">
        <w:t xml:space="preserve"> sufre esta situación. Y entre los </w:t>
      </w:r>
      <w:r w:rsidRPr="004D2B19">
        <w:rPr>
          <w:rStyle w:val="Textoennegrita"/>
          <w:b w:val="0"/>
        </w:rPr>
        <w:t>25 y los 29 años</w:t>
      </w:r>
      <w:r w:rsidRPr="004D2B19">
        <w:rPr>
          <w:rStyle w:val="Textoennegrita"/>
        </w:rPr>
        <w:t>,</w:t>
      </w:r>
      <w:r w:rsidRPr="004D2B19">
        <w:t xml:space="preserve"> este porcentaje alcanza el</w:t>
      </w:r>
      <w:r w:rsidRPr="004D2B19">
        <w:rPr>
          <w:rStyle w:val="Textoennegrita"/>
        </w:rPr>
        <w:t xml:space="preserve"> </w:t>
      </w:r>
      <w:r w:rsidRPr="004D2B19">
        <w:rPr>
          <w:rStyle w:val="Textoennegrita"/>
          <w:b w:val="0"/>
        </w:rPr>
        <w:t>30%</w:t>
      </w:r>
      <w:r w:rsidRPr="004D2B19">
        <w:rPr>
          <w:b/>
        </w:rPr>
        <w:t>.</w:t>
      </w:r>
      <w:r w:rsidRPr="004D2B19">
        <w:t xml:space="preserve"> Mientras la </w:t>
      </w:r>
      <w:r w:rsidRPr="004D2B19">
        <w:rPr>
          <w:rStyle w:val="Textoennegrita"/>
          <w:b w:val="0"/>
        </w:rPr>
        <w:t>media de la OCDE es del 18% y el 20%</w:t>
      </w:r>
      <w:r w:rsidRPr="004D2B19">
        <w:rPr>
          <w:rStyle w:val="Textoennegrita"/>
        </w:rPr>
        <w:t xml:space="preserve"> </w:t>
      </w:r>
      <w:r w:rsidRPr="004D2B19">
        <w:t>en los dos grupos de edad.</w:t>
      </w:r>
    </w:p>
    <w:p w:rsidR="00E02187" w:rsidRPr="00FD0D9C" w:rsidRDefault="00E02187" w:rsidP="00E02187">
      <w:pPr>
        <w:shd w:val="clear" w:color="auto" w:fill="FFFFFF"/>
        <w:jc w:val="both"/>
        <w:rPr>
          <w:rFonts w:ascii="Times New Roman" w:hAnsi="Times New Roman" w:cs="Times New Roman"/>
          <w:sz w:val="24"/>
          <w:szCs w:val="24"/>
        </w:rPr>
      </w:pPr>
      <w:r w:rsidRPr="004D2B19">
        <w:rPr>
          <w:rFonts w:ascii="Times New Roman" w:hAnsi="Times New Roman" w:cs="Times New Roman"/>
          <w:sz w:val="24"/>
          <w:szCs w:val="24"/>
          <w:u w:val="single"/>
        </w:rPr>
        <w:t>Una carrera sin incentivos: los profesores</w:t>
      </w:r>
      <w:r w:rsidRPr="00FD0D9C">
        <w:rPr>
          <w:rFonts w:ascii="Times New Roman" w:hAnsi="Times New Roman" w:cs="Times New Roman"/>
          <w:sz w:val="24"/>
          <w:szCs w:val="24"/>
          <w:u w:val="single"/>
        </w:rPr>
        <w:t xml:space="preserve"> españoles: bien pagados, mal tratados</w:t>
      </w:r>
      <w:r>
        <w:rPr>
          <w:rFonts w:ascii="Times New Roman" w:hAnsi="Times New Roman" w:cs="Times New Roman"/>
          <w:sz w:val="24"/>
          <w:szCs w:val="24"/>
          <w:u w:val="single"/>
        </w:rPr>
        <w:t xml:space="preserve"> </w:t>
      </w:r>
    </w:p>
    <w:p w:rsidR="00E02187" w:rsidRPr="005362C0" w:rsidRDefault="00E02187" w:rsidP="00E02187">
      <w:pPr>
        <w:shd w:val="clear" w:color="auto" w:fill="FFFFFF"/>
        <w:jc w:val="both"/>
        <w:rPr>
          <w:rFonts w:ascii="Times New Roman" w:hAnsi="Times New Roman" w:cs="Times New Roman"/>
          <w:sz w:val="24"/>
          <w:szCs w:val="24"/>
        </w:rPr>
      </w:pPr>
      <w:r w:rsidRPr="005362C0">
        <w:rPr>
          <w:rFonts w:ascii="Times New Roman" w:hAnsi="Times New Roman" w:cs="Times New Roman"/>
          <w:sz w:val="24"/>
          <w:szCs w:val="24"/>
        </w:rPr>
        <w:t>Los maestros españoles cobran más que sus colegas en otros países; pero, sin estímulos correctos, no se logra una mejora sustancial en los resultados.</w:t>
      </w:r>
    </w:p>
    <w:p w:rsidR="00E02187" w:rsidRPr="005362C0" w:rsidRDefault="00E02187" w:rsidP="00E02187">
      <w:pPr>
        <w:pStyle w:val="NormalWeb"/>
        <w:jc w:val="both"/>
      </w:pPr>
      <w:r w:rsidRPr="005362C0">
        <w:t xml:space="preserve">Si un país quiere tener un sistema educativo de calidad, lo mejor es que cuide a sus maestros. Ésa es la clave, así lo dicen los principales estudios internacionales, como el de la OCDE. Ni ordenadores, ni pistas de baloncesto, ni más gasto en bruto. </w:t>
      </w:r>
      <w:r w:rsidRPr="005362C0">
        <w:rPr>
          <w:rStyle w:val="Textoennegrita"/>
          <w:b w:val="0"/>
        </w:rPr>
        <w:t>El profesor es lo más importante para conseguir buenos resultados</w:t>
      </w:r>
      <w:r w:rsidRPr="005362C0">
        <w:rPr>
          <w:b/>
        </w:rPr>
        <w:t>.</w:t>
      </w:r>
    </w:p>
    <w:p w:rsidR="00E02187" w:rsidRPr="005362C0" w:rsidRDefault="00E02187" w:rsidP="00E02187">
      <w:pPr>
        <w:pStyle w:val="NormalWeb"/>
        <w:jc w:val="both"/>
        <w:rPr>
          <w:b/>
        </w:rPr>
      </w:pPr>
      <w:r w:rsidRPr="005362C0">
        <w:t xml:space="preserve">En este sentido, hay que decir que los datos del informe de la OCDE </w:t>
      </w:r>
      <w:hyperlink r:id="rId223" w:history="1">
        <w:r w:rsidRPr="00D762BF">
          <w:rPr>
            <w:rStyle w:val="Hipervnculo"/>
            <w:rFonts w:eastAsiaTheme="majorEastAsia"/>
            <w:i/>
            <w:iCs/>
            <w:color w:val="auto"/>
          </w:rPr>
          <w:t>Panorama de la educación 2013</w:t>
        </w:r>
      </w:hyperlink>
      <w:r w:rsidRPr="00D762BF">
        <w:t xml:space="preserve"> apuntan una cierta contradicción. Por un lado, los profesores españoles están bien pagados. De hecho, en algunos indicadores son los más privilegiados de la </w:t>
      </w:r>
      <w:hyperlink r:id="rId224" w:history="1">
        <w:r w:rsidRPr="00D762BF">
          <w:rPr>
            <w:rStyle w:val="Hipervnculo"/>
            <w:rFonts w:eastAsiaTheme="majorEastAsia"/>
            <w:color w:val="auto"/>
          </w:rPr>
          <w:t xml:space="preserve">OCDE </w:t>
        </w:r>
      </w:hyperlink>
      <w:r w:rsidRPr="00D762BF">
        <w:t>(el grupo que engloba a los 34 países más desarrollados</w:t>
      </w:r>
      <w:r w:rsidRPr="005362C0">
        <w:t xml:space="preserve">). Pero eso no ha conseguido los resultados buscados: en fracaso escolar, nivel académico y resultados </w:t>
      </w:r>
      <w:r w:rsidRPr="005362C0">
        <w:lastRenderedPageBreak/>
        <w:t xml:space="preserve">laborales, el sistema educativo no funciona. ¿Qué está pasando? Hay muchas respuestas, pero viendo los datos parece claro que a </w:t>
      </w:r>
      <w:r w:rsidRPr="005362C0">
        <w:rPr>
          <w:rStyle w:val="Textoennegrita"/>
          <w:b w:val="0"/>
        </w:rPr>
        <w:t>los maestros españoles les pagamos relativamente bien, pero les tratamos bastante mal</w:t>
      </w:r>
      <w:r w:rsidRPr="005362C0">
        <w:rPr>
          <w:b/>
        </w:rPr>
        <w:t>.</w:t>
      </w:r>
    </w:p>
    <w:p w:rsidR="00E02187" w:rsidRPr="005362C0" w:rsidRDefault="00E02187" w:rsidP="00E02187">
      <w:pPr>
        <w:pStyle w:val="NormalWeb"/>
        <w:jc w:val="both"/>
      </w:pPr>
      <w:r w:rsidRPr="005362C0">
        <w:t xml:space="preserve">Uno de los aspectos que destaca el estudio presentado es el relativo al </w:t>
      </w:r>
      <w:r w:rsidRPr="005362C0">
        <w:rPr>
          <w:rStyle w:val="Textoennegrita"/>
          <w:b w:val="0"/>
        </w:rPr>
        <w:t>sueldo del profesorado</w:t>
      </w:r>
      <w:r w:rsidRPr="005362C0">
        <w:t xml:space="preserve">. Si se compara el salario de los profesores en España con el salario medio en el conjunto de los países de la OCDE y de la UE-21, se observa que en nuestro país </w:t>
      </w:r>
      <w:r w:rsidRPr="005362C0">
        <w:rPr>
          <w:rStyle w:val="Textoennegrita"/>
          <w:b w:val="0"/>
        </w:rPr>
        <w:t>el salario inicial es más alto</w:t>
      </w:r>
      <w:r w:rsidRPr="005362C0">
        <w:t xml:space="preserve"> tanto en Educación Primaria, como en Educación Secundaria. Incluso </w:t>
      </w:r>
      <w:r w:rsidRPr="005362C0">
        <w:rPr>
          <w:rStyle w:val="Textoennegrita"/>
          <w:b w:val="0"/>
        </w:rPr>
        <w:t>después de 15 años de carrera</w:t>
      </w:r>
      <w:r w:rsidRPr="005362C0">
        <w:t>, los salarios están por encima de la media en ambos casos.</w:t>
      </w:r>
    </w:p>
    <w:p w:rsidR="00E02187" w:rsidRPr="005362C0" w:rsidRDefault="00E02187" w:rsidP="00E02187">
      <w:pPr>
        <w:pStyle w:val="NormalWeb"/>
        <w:jc w:val="both"/>
      </w:pPr>
      <w:r w:rsidRPr="005362C0">
        <w:t xml:space="preserve">La retribución inicial media en 2010 (siempre en paridad de poder adquisitivo) era de 35.881 dólares (unos </w:t>
      </w:r>
      <w:r w:rsidRPr="005362C0">
        <w:rPr>
          <w:rStyle w:val="Textoennegrita"/>
          <w:b w:val="0"/>
        </w:rPr>
        <w:t>27.600 euros</w:t>
      </w:r>
      <w:r w:rsidRPr="005362C0">
        <w:t xml:space="preserve">), por 28.854 dólares de media en la OCDE (unos </w:t>
      </w:r>
      <w:r w:rsidRPr="005362C0">
        <w:rPr>
          <w:rStyle w:val="Textoennegrita"/>
          <w:b w:val="0"/>
        </w:rPr>
        <w:t>22.000 euros</w:t>
      </w:r>
      <w:r w:rsidRPr="005362C0">
        <w:t xml:space="preserve">) y 29.123 dólares en la UE-21 (unos </w:t>
      </w:r>
      <w:r w:rsidRPr="005362C0">
        <w:rPr>
          <w:rStyle w:val="Textoennegrita"/>
          <w:b w:val="0"/>
        </w:rPr>
        <w:t>22.400 euros</w:t>
      </w:r>
      <w:r w:rsidRPr="005362C0">
        <w:t xml:space="preserve">). Sólo en </w:t>
      </w:r>
      <w:r w:rsidRPr="005362C0">
        <w:rPr>
          <w:rStyle w:val="Textoennegrita"/>
          <w:b w:val="0"/>
        </w:rPr>
        <w:t>EEUU, Alemania y Holanda cobran</w:t>
      </w:r>
      <w:r w:rsidRPr="005362C0">
        <w:t xml:space="preserve"> los nuevos maestros más que en España. Y la misma tendencia se puede observar en los profesores con 15 años de experiencia y los que cobran el máximo nivel de escala.</w:t>
      </w:r>
    </w:p>
    <w:p w:rsidR="00E02187" w:rsidRPr="00FD0D9C" w:rsidRDefault="00E02187" w:rsidP="00E02187">
      <w:pPr>
        <w:pStyle w:val="NormalWeb"/>
        <w:jc w:val="both"/>
      </w:pPr>
      <w:r w:rsidRPr="00FD0D9C">
        <w:rPr>
          <w:noProof/>
          <w:color w:val="0000FF"/>
        </w:rPr>
        <w:drawing>
          <wp:inline distT="0" distB="0" distL="0" distR="0" wp14:anchorId="2D5694D3" wp14:editId="6D981CF2">
            <wp:extent cx="5522976" cy="2435962"/>
            <wp:effectExtent l="0" t="0" r="1905" b="2540"/>
            <wp:docPr id="132" name="Imagen 132" descr="http://s.libertaddigital.com/fotos/noticias/grafica-sueldos-1.jpg">
              <a:hlinkClick xmlns:a="http://schemas.openxmlformats.org/drawingml/2006/main" r:id="rId2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ibertaddigital.com/fotos/noticias/grafica-sueldos-1.jpg">
                      <a:hlinkClick r:id="rId225"/>
                    </pic:cNvPr>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523191" cy="2436057"/>
                    </a:xfrm>
                    <a:prstGeom prst="rect">
                      <a:avLst/>
                    </a:prstGeom>
                    <a:noFill/>
                    <a:ln>
                      <a:noFill/>
                    </a:ln>
                  </pic:spPr>
                </pic:pic>
              </a:graphicData>
            </a:graphic>
          </wp:inline>
        </w:drawing>
      </w:r>
    </w:p>
    <w:p w:rsidR="00E02187" w:rsidRPr="005362C0" w:rsidRDefault="00E02187" w:rsidP="00E02187">
      <w:pPr>
        <w:pStyle w:val="NormalWeb"/>
        <w:jc w:val="both"/>
        <w:rPr>
          <w:b/>
        </w:rPr>
      </w:pPr>
      <w:r w:rsidRPr="005362C0">
        <w:t xml:space="preserve">Eso sí, también hay que tener en cuenta que en España los profesores de Educación Secundaria alcanzan la retribución máxima en la escala después de </w:t>
      </w:r>
      <w:r w:rsidRPr="005362C0">
        <w:rPr>
          <w:rStyle w:val="Textoennegrita"/>
          <w:b w:val="0"/>
        </w:rPr>
        <w:t>al menos 35 años de carrera</w:t>
      </w:r>
      <w:r w:rsidRPr="005362C0">
        <w:t xml:space="preserve">, al igual que ocurre en países como Hungría, Israel, Italia o Corea. En cambio, en </w:t>
      </w:r>
      <w:r w:rsidRPr="005362C0">
        <w:rPr>
          <w:rStyle w:val="Textoennegrita"/>
          <w:b w:val="0"/>
        </w:rPr>
        <w:t>Australia, Dinamarca, Estonia, Nueva Zelanda o Escocia</w:t>
      </w:r>
      <w:r w:rsidRPr="005362C0">
        <w:t xml:space="preserve">, los profesores pueden lograr el salario máximo en la escala </w:t>
      </w:r>
      <w:r w:rsidRPr="005362C0">
        <w:rPr>
          <w:rStyle w:val="Textoennegrita"/>
          <w:b w:val="0"/>
        </w:rPr>
        <w:t>después de 6-9 años</w:t>
      </w:r>
      <w:r w:rsidRPr="005362C0">
        <w:rPr>
          <w:b/>
        </w:rPr>
        <w:t>.</w:t>
      </w:r>
    </w:p>
    <w:p w:rsidR="00E02187" w:rsidRPr="005362C0" w:rsidRDefault="00E02187" w:rsidP="00E02187">
      <w:pPr>
        <w:pStyle w:val="NormalWeb"/>
        <w:jc w:val="both"/>
      </w:pPr>
      <w:r w:rsidRPr="005362C0">
        <w:t xml:space="preserve">Sin embargo, </w:t>
      </w:r>
      <w:r w:rsidRPr="005362C0">
        <w:rPr>
          <w:rStyle w:val="Textoennegrita"/>
          <w:b w:val="0"/>
        </w:rPr>
        <w:t>España no premia con bonos o incentivos</w:t>
      </w:r>
      <w:r w:rsidRPr="005362C0">
        <w:rPr>
          <w:rStyle w:val="Textoennegrita"/>
        </w:rPr>
        <w:t xml:space="preserve"> </w:t>
      </w:r>
      <w:r w:rsidRPr="005362C0">
        <w:t>por distintas características o actividades o a los profesores que lo hagan mejor. La OCDE divide los criterios para determinar los sueldos de los maestros en 16 apartados: alumnado con características especiales, desempeño, realización de cursos de formación, notas de sus alumnos en exámenes externos...</w:t>
      </w:r>
    </w:p>
    <w:p w:rsidR="00E02187" w:rsidRPr="005362C0" w:rsidRDefault="00E02187" w:rsidP="00E02187">
      <w:pPr>
        <w:pStyle w:val="NormalWeb"/>
        <w:jc w:val="both"/>
      </w:pPr>
      <w:r w:rsidRPr="005362C0">
        <w:t xml:space="preserve">Pues bien, España es uno de los países en los que menos de esos criterios se utilizan. De hecho, </w:t>
      </w:r>
      <w:r w:rsidRPr="005362C0">
        <w:rPr>
          <w:rStyle w:val="Textoennegrita"/>
          <w:b w:val="0"/>
        </w:rPr>
        <w:t>sólo hay cuatro condicionantes</w:t>
      </w:r>
      <w:r w:rsidRPr="005362C0">
        <w:t xml:space="preserve"> que influyan en el sueldo de un maestro: tiempo en el cargo, responsabilidades de gestión (vamos, ser director o jefe de estudios u otro cargo interno), dar clases extras y demostrar una titulación superior. Nada más.</w:t>
      </w:r>
    </w:p>
    <w:p w:rsidR="00E02187" w:rsidRPr="00FD0D9C" w:rsidRDefault="00E02187" w:rsidP="00E02187">
      <w:pPr>
        <w:pStyle w:val="NormalWeb"/>
        <w:jc w:val="both"/>
      </w:pPr>
      <w:r w:rsidRPr="00FD0D9C">
        <w:rPr>
          <w:noProof/>
          <w:color w:val="0000FF"/>
        </w:rPr>
        <w:lastRenderedPageBreak/>
        <w:drawing>
          <wp:inline distT="0" distB="0" distL="0" distR="0" wp14:anchorId="1CC33023" wp14:editId="071A771A">
            <wp:extent cx="5961888" cy="1872691"/>
            <wp:effectExtent l="0" t="0" r="1270" b="0"/>
            <wp:docPr id="133" name="Imagen 133" descr="http://s.libertaddigital.com/fotos/noticias/grafico-sueldos-2.jpg">
              <a:hlinkClick xmlns:a="http://schemas.openxmlformats.org/drawingml/2006/main" r:id="rId2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ibertaddigital.com/fotos/noticias/grafico-sueldos-2.jpg">
                      <a:hlinkClick r:id="rId227"/>
                    </pic:cNvPr>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962105" cy="1872759"/>
                    </a:xfrm>
                    <a:prstGeom prst="rect">
                      <a:avLst/>
                    </a:prstGeom>
                    <a:noFill/>
                    <a:ln>
                      <a:noFill/>
                    </a:ln>
                  </pic:spPr>
                </pic:pic>
              </a:graphicData>
            </a:graphic>
          </wp:inline>
        </w:drawing>
      </w:r>
    </w:p>
    <w:p w:rsidR="00E02187" w:rsidRPr="005362C0" w:rsidRDefault="00E02187" w:rsidP="00E02187">
      <w:pPr>
        <w:pStyle w:val="NormalWeb"/>
        <w:jc w:val="both"/>
      </w:pPr>
      <w:r w:rsidRPr="005362C0">
        <w:t>Como puede verse en el cuadro superior,</w:t>
      </w:r>
      <w:r w:rsidRPr="005362C0">
        <w:rPr>
          <w:rStyle w:val="Textoennegrita"/>
        </w:rPr>
        <w:t xml:space="preserve"> </w:t>
      </w:r>
      <w:r w:rsidRPr="005362C0">
        <w:rPr>
          <w:rStyle w:val="Textoennegrita"/>
          <w:b w:val="0"/>
        </w:rPr>
        <w:t>los salarios de los profesores españoles son altos en comparación con otras profesiones</w:t>
      </w:r>
      <w:r w:rsidRPr="005362C0">
        <w:t xml:space="preserve"> que requieren un nivel de cualificación similar, tanto en Educación Primaria como en Educación Secundaria. Según este informe, son un </w:t>
      </w:r>
      <w:r>
        <w:rPr>
          <w:rStyle w:val="Textoennegrita"/>
          <w:b w:val="0"/>
        </w:rPr>
        <w:t>23% y un 40%</w:t>
      </w:r>
      <w:r w:rsidRPr="005362C0">
        <w:rPr>
          <w:rStyle w:val="Textoennegrita"/>
          <w:b w:val="0"/>
        </w:rPr>
        <w:t xml:space="preserve"> respectivamente</w:t>
      </w:r>
      <w:r>
        <w:rPr>
          <w:rStyle w:val="Textoennegrita"/>
          <w:b w:val="0"/>
        </w:rPr>
        <w:t>,</w:t>
      </w:r>
      <w:r w:rsidRPr="005362C0">
        <w:t xml:space="preserve"> más altos que los salarios medios de los titulados universitarios que se dedican a otras ocupaciones. Es cierto que en los últimos años, todos los funcionarios han sufrido recortes en sus pagas, pero aun así, él maestro español sigue por encima, en este aspecto, de sus colegas de otros países.</w:t>
      </w:r>
    </w:p>
    <w:p w:rsidR="00E02187" w:rsidRPr="005362C0" w:rsidRDefault="00E02187" w:rsidP="00E02187">
      <w:pPr>
        <w:pStyle w:val="NormalWeb"/>
        <w:jc w:val="both"/>
      </w:pPr>
      <w:r w:rsidRPr="005362C0">
        <w:t xml:space="preserve">Por ejemplo, en la </w:t>
      </w:r>
      <w:r w:rsidRPr="005362C0">
        <w:rPr>
          <w:rStyle w:val="Textoennegrita"/>
          <w:b w:val="0"/>
        </w:rPr>
        <w:t>OCDE y la UE-21, los sueldos de los profesores casi siempre están por debajo</w:t>
      </w:r>
      <w:r w:rsidRPr="005362C0">
        <w:rPr>
          <w:rStyle w:val="Textoennegrita"/>
        </w:rPr>
        <w:t xml:space="preserve"> </w:t>
      </w:r>
      <w:r w:rsidRPr="005362C0">
        <w:t xml:space="preserve">de los que cobran sus vecinos con estudios universitarios. En la OCDE, la media nos dice que los </w:t>
      </w:r>
      <w:r w:rsidRPr="005362C0">
        <w:rPr>
          <w:rStyle w:val="Textoennegrita"/>
          <w:b w:val="0"/>
        </w:rPr>
        <w:t>profesores de Secundaria cobran un 11% menos</w:t>
      </w:r>
      <w:r w:rsidRPr="005362C0">
        <w:t xml:space="preserve"> que los licenciados de su país y los de </w:t>
      </w:r>
      <w:r w:rsidRPr="005362C0">
        <w:rPr>
          <w:rStyle w:val="Textoennegrita"/>
          <w:b w:val="0"/>
        </w:rPr>
        <w:t>Primaria un 18% menos</w:t>
      </w:r>
      <w:r w:rsidRPr="005362C0">
        <w:t>.</w:t>
      </w:r>
    </w:p>
    <w:p w:rsidR="00E02187" w:rsidRPr="005362C0" w:rsidRDefault="00E02187" w:rsidP="00E02187">
      <w:pPr>
        <w:pStyle w:val="NormalWeb"/>
        <w:jc w:val="both"/>
      </w:pPr>
      <w:r w:rsidRPr="005362C0">
        <w:t>Quizás alguno podría pensar en que las condiciones de trabajo son mucho peores. Pero en las ratios más clásicas tampoco hay mucha diferencia. Por ejemplo, en España, el número de estudiantes por aula en Primaria es de 20,1, por debajo de la media de la OCDE (21,3) y casi al mismo nivel que la UE-21 (19,9).</w:t>
      </w:r>
    </w:p>
    <w:p w:rsidR="00E02187" w:rsidRPr="00FD0D9C" w:rsidRDefault="00E02187" w:rsidP="00E02187">
      <w:pPr>
        <w:pStyle w:val="NormalWeb"/>
        <w:jc w:val="both"/>
      </w:pPr>
      <w:r w:rsidRPr="00FD0D9C">
        <w:rPr>
          <w:noProof/>
          <w:color w:val="0000FF"/>
        </w:rPr>
        <w:drawing>
          <wp:inline distT="0" distB="0" distL="0" distR="0" wp14:anchorId="60185657" wp14:editId="20B52D49">
            <wp:extent cx="5501030" cy="2867559"/>
            <wp:effectExtent l="0" t="0" r="4445" b="9525"/>
            <wp:docPr id="134" name="Imagen 134" descr="http://s.libertaddigital.com/fotos/noticias/grafico-alumnos-profesor.jpg">
              <a:hlinkClick xmlns:a="http://schemas.openxmlformats.org/drawingml/2006/main" r:id="rId2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ibertaddigital.com/fotos/noticias/grafico-alumnos-profesor.jpg">
                      <a:hlinkClick r:id="rId229"/>
                    </pic:cNvPr>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501231" cy="2867664"/>
                    </a:xfrm>
                    <a:prstGeom prst="rect">
                      <a:avLst/>
                    </a:prstGeom>
                    <a:noFill/>
                    <a:ln>
                      <a:noFill/>
                    </a:ln>
                  </pic:spPr>
                </pic:pic>
              </a:graphicData>
            </a:graphic>
          </wp:inline>
        </w:drawing>
      </w:r>
    </w:p>
    <w:p w:rsidR="00E02187" w:rsidRPr="005362C0" w:rsidRDefault="00E02187" w:rsidP="00E02187">
      <w:pPr>
        <w:pStyle w:val="NormalWeb"/>
        <w:jc w:val="both"/>
      </w:pPr>
      <w:r w:rsidRPr="005362C0">
        <w:t xml:space="preserve">Y en la clasificación del tamaño estimado (tiene en cuenta el número de materias a las que asiste cada alumno) la proporción es incluso mejor. En Primaria, por ejemplo, el número de alumnos por profesor es de </w:t>
      </w:r>
      <w:r w:rsidRPr="005362C0">
        <w:rPr>
          <w:rStyle w:val="Textoennegrita"/>
        </w:rPr>
        <w:t xml:space="preserve">13,1 </w:t>
      </w:r>
      <w:r w:rsidRPr="005362C0">
        <w:rPr>
          <w:rStyle w:val="Textoennegrita"/>
          <w:b w:val="0"/>
        </w:rPr>
        <w:t xml:space="preserve">frente al 16,1 de media en la OCDE y la </w:t>
      </w:r>
      <w:r w:rsidRPr="005362C0">
        <w:rPr>
          <w:rStyle w:val="Textoennegrita"/>
          <w:b w:val="0"/>
        </w:rPr>
        <w:lastRenderedPageBreak/>
        <w:t>UE-21</w:t>
      </w:r>
      <w:r w:rsidRPr="005362C0">
        <w:rPr>
          <w:b/>
        </w:rPr>
        <w:t>.</w:t>
      </w:r>
      <w:r w:rsidRPr="005362C0">
        <w:t xml:space="preserve"> De hecho, sobre el tamaño de la clase y la ratio alumnos/profesor hay distintos estudios que coinciden en señalar que el argumento a favor de suministrar más recursos o reducir el tamaño de las clases para mejorar el rendimiento educativo no parece muy sólido. El tamaño</w:t>
      </w:r>
      <w:r w:rsidRPr="005362C0">
        <w:rPr>
          <w:rStyle w:val="Textoennegrita"/>
        </w:rPr>
        <w:t xml:space="preserve"> </w:t>
      </w:r>
      <w:r w:rsidRPr="005362C0">
        <w:rPr>
          <w:rStyle w:val="Textoennegrita"/>
          <w:b w:val="0"/>
        </w:rPr>
        <w:t xml:space="preserve">de la clase influye negativamente </w:t>
      </w:r>
      <w:r w:rsidRPr="005362C0">
        <w:t>cuando es considerable</w:t>
      </w:r>
      <w:r w:rsidRPr="005362C0">
        <w:rPr>
          <w:b/>
        </w:rPr>
        <w:t xml:space="preserve">, </w:t>
      </w:r>
      <w:r w:rsidRPr="005362C0">
        <w:rPr>
          <w:rStyle w:val="Textoennegrita"/>
          <w:b w:val="0"/>
        </w:rPr>
        <w:t>a partir de unos 40 alumnos</w:t>
      </w:r>
      <w:r w:rsidRPr="005362C0">
        <w:t>, pero es un factor menos significativo cuando el tamaño de partida es reducido.</w:t>
      </w:r>
    </w:p>
    <w:p w:rsidR="00E02187" w:rsidRPr="005362C0" w:rsidRDefault="00E02187" w:rsidP="00E02187">
      <w:pPr>
        <w:pStyle w:val="NormalWeb"/>
        <w:jc w:val="both"/>
      </w:pPr>
      <w:r w:rsidRPr="005362C0">
        <w:t xml:space="preserve">Por otro lado, el informe de la OCDE indica que nuestros profesores destacan en el </w:t>
      </w:r>
      <w:r w:rsidRPr="005362C0">
        <w:rPr>
          <w:rStyle w:val="Textoennegrita"/>
          <w:b w:val="0"/>
        </w:rPr>
        <w:t>número de horas que dedican a impartir clase</w:t>
      </w:r>
      <w:r w:rsidRPr="005362C0">
        <w:t>. Este número es más alto que el promedio de la OCDE o de la UE-21, tanto en Primaria como en Secundaria.</w:t>
      </w:r>
    </w:p>
    <w:p w:rsidR="00E02187" w:rsidRPr="005362C0" w:rsidRDefault="00E02187" w:rsidP="00E02187">
      <w:pPr>
        <w:pStyle w:val="NormalWeb"/>
        <w:jc w:val="both"/>
      </w:pPr>
      <w:r w:rsidRPr="005362C0">
        <w:t xml:space="preserve">En otros países, con sistemas educativos con mejores calificaciones en los exámenes internacionales, el acceso a la carrera docente es muy exigente y también lo son las condiciones para permanecer y mejorar en la misma. Es decir, </w:t>
      </w:r>
      <w:r w:rsidRPr="005362C0">
        <w:rPr>
          <w:rStyle w:val="Textoennegrita"/>
          <w:b w:val="0"/>
        </w:rPr>
        <w:t>se busca a los mejores y luego se les paga de acuerdo a su desempeño</w:t>
      </w:r>
      <w:r w:rsidRPr="005362C0">
        <w:t>, incluyendo bonos e incentivos a los que mejor lo hacen.</w:t>
      </w:r>
    </w:p>
    <w:p w:rsidR="00E02187" w:rsidRPr="005362C0" w:rsidRDefault="00E02187" w:rsidP="00E02187">
      <w:pPr>
        <w:pStyle w:val="NormalWeb"/>
        <w:jc w:val="both"/>
        <w:rPr>
          <w:b/>
        </w:rPr>
      </w:pPr>
      <w:r w:rsidRPr="005362C0">
        <w:t xml:space="preserve">Además, en una profesión como la de maestro, no sólo importa el sueldo. Éste es un trabajo </w:t>
      </w:r>
      <w:r w:rsidRPr="005362C0">
        <w:rPr>
          <w:rStyle w:val="Textoennegrita"/>
          <w:b w:val="0"/>
        </w:rPr>
        <w:t>muy vocacional</w:t>
      </w:r>
      <w:r w:rsidRPr="005362C0">
        <w:t xml:space="preserve">. La evidencia de los estudios sobre este tema apunta a que los profesores también buscan </w:t>
      </w:r>
      <w:r w:rsidRPr="005362C0">
        <w:rPr>
          <w:rStyle w:val="Textoennegrita"/>
          <w:b w:val="0"/>
        </w:rPr>
        <w:t>otro tipo de incentivos</w:t>
      </w:r>
      <w:r w:rsidRPr="005362C0">
        <w:rPr>
          <w:b/>
        </w:rPr>
        <w:t>.</w:t>
      </w:r>
    </w:p>
    <w:p w:rsidR="00E02187" w:rsidRPr="005362C0" w:rsidRDefault="00E02187" w:rsidP="00E02187">
      <w:pPr>
        <w:pStyle w:val="NormalWeb"/>
        <w:jc w:val="both"/>
        <w:rPr>
          <w:b/>
        </w:rPr>
      </w:pPr>
      <w:r w:rsidRPr="005362C0">
        <w:t xml:space="preserve">En </w:t>
      </w:r>
      <w:r w:rsidRPr="005362C0">
        <w:rPr>
          <w:rStyle w:val="Textoennegrita"/>
          <w:b w:val="0"/>
        </w:rPr>
        <w:t>PISA</w:t>
      </w:r>
      <w:r w:rsidRPr="005362C0">
        <w:rPr>
          <w:rStyle w:val="Textoennegrita"/>
        </w:rPr>
        <w:t xml:space="preserve"> </w:t>
      </w:r>
      <w:r w:rsidRPr="005362C0">
        <w:t xml:space="preserve">se repite una y otra vez que los países que mejor lo hace son aquellos que otorgan </w:t>
      </w:r>
      <w:r w:rsidRPr="005362C0">
        <w:rPr>
          <w:rStyle w:val="Textoennegrita"/>
          <w:b w:val="0"/>
        </w:rPr>
        <w:t>autonomía a sus escuelas y que luego controlan sus resultados</w:t>
      </w:r>
      <w:r w:rsidRPr="005362C0">
        <w:t xml:space="preserve">. Es decir, por un lado, se permite a los maestros y a los claustros que se organicen, tanto en lo que hace referencia a cuestiones académicas como disciplinarias. Por otro lado, se mide su rendimiento (normalmente con exámenes externos a escala nacional o regional). Y luego se premia a aquellos que lo están haciendo mejor. El </w:t>
      </w:r>
      <w:r w:rsidRPr="005362C0">
        <w:rPr>
          <w:rStyle w:val="Textoennegrita"/>
          <w:b w:val="0"/>
        </w:rPr>
        <w:t>resultado es un maestro feliz</w:t>
      </w:r>
      <w:r w:rsidRPr="005362C0">
        <w:rPr>
          <w:b/>
        </w:rPr>
        <w:t>:</w:t>
      </w:r>
      <w:r w:rsidRPr="005362C0">
        <w:t xml:space="preserve"> reconocido por la sociedad, que tiene confianza en lo que hace porque ha diseñado su trabajo y al mismo tiempo sabe que los buenos resultados tendrán su premio. </w:t>
      </w:r>
      <w:r w:rsidRPr="005362C0">
        <w:rPr>
          <w:rStyle w:val="Textoennegrita"/>
          <w:b w:val="0"/>
        </w:rPr>
        <w:t>Autonomía y control estricto de resultados: ésa es la receta del éxito.</w:t>
      </w:r>
    </w:p>
    <w:p w:rsidR="00E02187" w:rsidRPr="005362C0" w:rsidRDefault="00E02187" w:rsidP="00E02187">
      <w:pPr>
        <w:pStyle w:val="NormalWeb"/>
        <w:jc w:val="both"/>
        <w:rPr>
          <w:b/>
        </w:rPr>
      </w:pPr>
      <w:r w:rsidRPr="005362C0">
        <w:t xml:space="preserve">Es evidente que en nuestro país no seguimos estos principios. Sí, no pagamos mal a los maestros, pero luego </w:t>
      </w:r>
      <w:r w:rsidRPr="005362C0">
        <w:rPr>
          <w:rStyle w:val="Textoennegrita"/>
          <w:b w:val="0"/>
        </w:rPr>
        <w:t>no les incentivamos correctamente</w:t>
      </w:r>
      <w:r w:rsidRPr="005362C0">
        <w:t xml:space="preserve">. Las decisiones se toman burocráticamente, en el Ministerio o la Consejería. Y el grado de autonomía es mínimo, tanto en cuestiones académicas como disciplinarias. En nuestro país, presentar a 10 alumnos con sobresaliente a la selectividad o conseguir que una clase de repetidores acabe aprobando y reenganchándose al sistema se recompensa con una cifra redonda: </w:t>
      </w:r>
      <w:r w:rsidRPr="005362C0">
        <w:rPr>
          <w:rStyle w:val="Textoennegrita"/>
          <w:b w:val="0"/>
        </w:rPr>
        <w:t>0 euros.</w:t>
      </w:r>
    </w:p>
    <w:p w:rsidR="00E02187" w:rsidRPr="005362C0" w:rsidRDefault="00E02187" w:rsidP="00E02187">
      <w:pPr>
        <w:pStyle w:val="NormalWeb"/>
        <w:jc w:val="both"/>
        <w:rPr>
          <w:b/>
        </w:rPr>
      </w:pPr>
      <w:r w:rsidRPr="005362C0">
        <w:t xml:space="preserve">Todo empieza mal con las oposiciones. Los colegios tienen muy poca capacidad de decisión sobre su fuerza laboral. Además, en muchos casos, cuenta más el número de años trabajando como interino y otras cuestiones similares que la nota del examen. Es decir, </w:t>
      </w:r>
      <w:r w:rsidRPr="005362C0">
        <w:rPr>
          <w:rStyle w:val="Textoennegrita"/>
          <w:b w:val="0"/>
        </w:rPr>
        <w:t>no se premia la capacidad sino otro tipo de criterios</w:t>
      </w:r>
      <w:r w:rsidRPr="005362C0">
        <w:t xml:space="preserve">. Para empezar, esto desincentiva a muchos jóvenes brillantes que podrían querer ser profesores, pero que sienten que tendrán que gastar mucho tiempo para tener una plaza, porque </w:t>
      </w:r>
      <w:r w:rsidRPr="005362C0">
        <w:rPr>
          <w:rStyle w:val="Textoennegrita"/>
          <w:b w:val="0"/>
        </w:rPr>
        <w:t>no tienen los famosos puntos</w:t>
      </w:r>
      <w:r w:rsidRPr="005362C0">
        <w:rPr>
          <w:b/>
        </w:rPr>
        <w:t>.</w:t>
      </w:r>
    </w:p>
    <w:p w:rsidR="00E02187" w:rsidRPr="005362C0" w:rsidRDefault="00E02187" w:rsidP="00E02187">
      <w:pPr>
        <w:pStyle w:val="NormalWeb"/>
        <w:jc w:val="both"/>
      </w:pPr>
      <w:r w:rsidRPr="005362C0">
        <w:t xml:space="preserve">Una vez que un profesor ha aprobado una oposición se encuentra con un </w:t>
      </w:r>
      <w:r w:rsidRPr="005362C0">
        <w:rPr>
          <w:rStyle w:val="Textoennegrita"/>
          <w:b w:val="0"/>
        </w:rPr>
        <w:t>sueldo inicial bastante elevado para su edad</w:t>
      </w:r>
      <w:r w:rsidRPr="005362C0">
        <w:t xml:space="preserve">. Pero ahí se acaban los estímulos. Desde el punto de vista económico, sabe que la mayor parte de su sueldo depende de la antigüedad, no de su </w:t>
      </w:r>
      <w:r w:rsidRPr="005362C0">
        <w:lastRenderedPageBreak/>
        <w:t>desempeño o de las notas de sus alumnos o del grado de mejora de los chicos con peores notas. Y además, verá cómo sus compañeros más desaprensivos se benefician de este mal diseño del sistema: habrá quien trabajando mal siga cobrando el mismo sueldo cada mes.</w:t>
      </w:r>
    </w:p>
    <w:p w:rsidR="00E02187" w:rsidRPr="005362C0" w:rsidRDefault="00E02187" w:rsidP="00E02187">
      <w:pPr>
        <w:pStyle w:val="NormalWeb"/>
        <w:jc w:val="both"/>
        <w:rPr>
          <w:b/>
        </w:rPr>
      </w:pPr>
      <w:r w:rsidRPr="005362C0">
        <w:t xml:space="preserve">En lo que hace referencia a </w:t>
      </w:r>
      <w:r w:rsidRPr="005362C0">
        <w:rPr>
          <w:rStyle w:val="Textoennegrita"/>
          <w:b w:val="0"/>
        </w:rPr>
        <w:t>cuestiones no económicas</w:t>
      </w:r>
      <w:r w:rsidRPr="005362C0">
        <w:t xml:space="preserve"> (realización personal, valoración del trabajo bien hecho, respaldo social) tampoco las cosas son mucho mejores. No tiene ninguna herramienta para cambiar las cosas. Ni puede decidir qué se estudia en su aula, ni cómo se estudia ni qué tipo de premios/castigos se merecen los que se porten bien/mal. </w:t>
      </w:r>
      <w:r w:rsidRPr="005362C0">
        <w:rPr>
          <w:rStyle w:val="Textoennegrita"/>
          <w:b w:val="0"/>
        </w:rPr>
        <w:t>Tiene las manos atadas ante el sistema</w:t>
      </w:r>
      <w:r w:rsidRPr="005362C0">
        <w:rPr>
          <w:b/>
        </w:rPr>
        <w:t>.</w:t>
      </w:r>
    </w:p>
    <w:p w:rsidR="00E02187" w:rsidRPr="005362C0" w:rsidRDefault="00E02187" w:rsidP="00E02187">
      <w:pPr>
        <w:pStyle w:val="NormalWeb"/>
        <w:jc w:val="both"/>
      </w:pPr>
      <w:r w:rsidRPr="005362C0">
        <w:t>Luego, habrá quien se extrañe que cunda el pesimismo, que sea una de las profesiones con más tasa de absentismo o que personas que llegaron a la profesión con una gran vocación acaben acomodándose. En realidad es la reacción lógica a los estímulos que reciben. Y de esta manera se va cerrando un círculo vicioso:</w:t>
      </w:r>
    </w:p>
    <w:p w:rsidR="00E02187" w:rsidRPr="00F221B3" w:rsidRDefault="00E02187" w:rsidP="00E02187">
      <w:pPr>
        <w:numPr>
          <w:ilvl w:val="0"/>
          <w:numId w:val="17"/>
        </w:numPr>
        <w:spacing w:before="100" w:beforeAutospacing="1" w:after="100" w:afterAutospacing="1" w:line="240" w:lineRule="auto"/>
        <w:jc w:val="both"/>
        <w:rPr>
          <w:rFonts w:ascii="Times New Roman" w:hAnsi="Times New Roman" w:cs="Times New Roman"/>
          <w:color w:val="FF0000"/>
          <w:sz w:val="24"/>
          <w:szCs w:val="24"/>
        </w:rPr>
      </w:pPr>
      <w:r w:rsidRPr="00F221B3">
        <w:rPr>
          <w:rFonts w:ascii="Times New Roman" w:hAnsi="Times New Roman" w:cs="Times New Roman"/>
          <w:color w:val="FF0000"/>
          <w:sz w:val="24"/>
          <w:szCs w:val="24"/>
        </w:rPr>
        <w:t>Los maestros no tienen incentivos para mejorar cada día,</w:t>
      </w:r>
    </w:p>
    <w:p w:rsidR="00E02187" w:rsidRPr="00F221B3" w:rsidRDefault="00E02187" w:rsidP="00E02187">
      <w:pPr>
        <w:numPr>
          <w:ilvl w:val="0"/>
          <w:numId w:val="17"/>
        </w:numPr>
        <w:spacing w:before="100" w:beforeAutospacing="1" w:after="100" w:afterAutospacing="1" w:line="240" w:lineRule="auto"/>
        <w:jc w:val="both"/>
        <w:rPr>
          <w:rFonts w:ascii="Times New Roman" w:hAnsi="Times New Roman" w:cs="Times New Roman"/>
          <w:color w:val="FF0000"/>
          <w:sz w:val="24"/>
          <w:szCs w:val="24"/>
        </w:rPr>
      </w:pPr>
      <w:r w:rsidRPr="00F221B3">
        <w:rPr>
          <w:rFonts w:ascii="Times New Roman" w:hAnsi="Times New Roman" w:cs="Times New Roman"/>
          <w:color w:val="FF0000"/>
          <w:sz w:val="24"/>
          <w:szCs w:val="24"/>
        </w:rPr>
        <w:t>tampoco tienen control sobre lo que hacen,</w:t>
      </w:r>
    </w:p>
    <w:p w:rsidR="00E02187" w:rsidRPr="00F221B3" w:rsidRDefault="00E02187" w:rsidP="00E02187">
      <w:pPr>
        <w:numPr>
          <w:ilvl w:val="0"/>
          <w:numId w:val="17"/>
        </w:numPr>
        <w:spacing w:before="100" w:beforeAutospacing="1" w:after="100" w:afterAutospacing="1" w:line="240" w:lineRule="auto"/>
        <w:jc w:val="both"/>
        <w:rPr>
          <w:rFonts w:ascii="Times New Roman" w:hAnsi="Times New Roman" w:cs="Times New Roman"/>
          <w:color w:val="FF0000"/>
          <w:sz w:val="24"/>
          <w:szCs w:val="24"/>
        </w:rPr>
      </w:pPr>
      <w:r w:rsidRPr="00F221B3">
        <w:rPr>
          <w:rFonts w:ascii="Times New Roman" w:hAnsi="Times New Roman" w:cs="Times New Roman"/>
          <w:color w:val="FF0000"/>
          <w:sz w:val="24"/>
          <w:szCs w:val="24"/>
        </w:rPr>
        <w:t>su rendimiento y el de sus alumnos se ven afectado por estas restricciones,</w:t>
      </w:r>
    </w:p>
    <w:p w:rsidR="00E02187" w:rsidRPr="00F221B3" w:rsidRDefault="00E02187" w:rsidP="00E02187">
      <w:pPr>
        <w:numPr>
          <w:ilvl w:val="0"/>
          <w:numId w:val="17"/>
        </w:numPr>
        <w:spacing w:before="100" w:beforeAutospacing="1" w:after="100" w:afterAutospacing="1" w:line="240" w:lineRule="auto"/>
        <w:jc w:val="both"/>
        <w:rPr>
          <w:rFonts w:ascii="Times New Roman" w:hAnsi="Times New Roman" w:cs="Times New Roman"/>
          <w:color w:val="FF0000"/>
          <w:sz w:val="24"/>
          <w:szCs w:val="24"/>
        </w:rPr>
      </w:pPr>
      <w:r w:rsidRPr="00F221B3">
        <w:rPr>
          <w:rFonts w:ascii="Times New Roman" w:hAnsi="Times New Roman" w:cs="Times New Roman"/>
          <w:color w:val="FF0000"/>
          <w:sz w:val="24"/>
          <w:szCs w:val="24"/>
        </w:rPr>
        <w:t>la sociedad recela de su trabajo porque no ve resultados,</w:t>
      </w:r>
    </w:p>
    <w:p w:rsidR="00E02187" w:rsidRPr="00F221B3" w:rsidRDefault="00E02187" w:rsidP="00E02187">
      <w:pPr>
        <w:numPr>
          <w:ilvl w:val="0"/>
          <w:numId w:val="17"/>
        </w:numPr>
        <w:spacing w:before="100" w:beforeAutospacing="1" w:after="100" w:afterAutospacing="1" w:line="240" w:lineRule="auto"/>
        <w:jc w:val="both"/>
        <w:rPr>
          <w:rFonts w:ascii="Times New Roman" w:hAnsi="Times New Roman" w:cs="Times New Roman"/>
          <w:color w:val="FF0000"/>
          <w:sz w:val="24"/>
          <w:szCs w:val="24"/>
        </w:rPr>
      </w:pPr>
      <w:r w:rsidRPr="00F221B3">
        <w:rPr>
          <w:rFonts w:ascii="Times New Roman" w:hAnsi="Times New Roman" w:cs="Times New Roman"/>
          <w:color w:val="FF0000"/>
          <w:sz w:val="24"/>
          <w:szCs w:val="24"/>
        </w:rPr>
        <w:t>la imagen del profesorado se hunde</w:t>
      </w:r>
    </w:p>
    <w:p w:rsidR="00E02187" w:rsidRDefault="00E02187" w:rsidP="00E02187">
      <w:pPr>
        <w:numPr>
          <w:ilvl w:val="0"/>
          <w:numId w:val="17"/>
        </w:numPr>
        <w:spacing w:before="100" w:beforeAutospacing="1" w:after="100" w:afterAutospacing="1" w:line="240" w:lineRule="auto"/>
        <w:jc w:val="both"/>
        <w:rPr>
          <w:rFonts w:ascii="Times New Roman" w:hAnsi="Times New Roman" w:cs="Times New Roman"/>
          <w:color w:val="FF0000"/>
          <w:sz w:val="24"/>
          <w:szCs w:val="24"/>
        </w:rPr>
      </w:pPr>
      <w:r w:rsidRPr="00F221B3">
        <w:rPr>
          <w:rFonts w:ascii="Times New Roman" w:hAnsi="Times New Roman" w:cs="Times New Roman"/>
          <w:color w:val="FF0000"/>
          <w:sz w:val="24"/>
          <w:szCs w:val="24"/>
        </w:rPr>
        <w:t>aún hay menos incentivos para tratar de cambiar la situación</w:t>
      </w:r>
    </w:p>
    <w:p w:rsidR="00E02187" w:rsidRPr="00EF66A1" w:rsidRDefault="00E02187" w:rsidP="00E02187">
      <w:pPr>
        <w:spacing w:before="100" w:beforeAutospacing="1" w:after="100" w:afterAutospacing="1" w:line="240" w:lineRule="auto"/>
        <w:jc w:val="both"/>
        <w:rPr>
          <w:rFonts w:ascii="Times New Roman" w:hAnsi="Times New Roman" w:cs="Times New Roman"/>
          <w:sz w:val="24"/>
          <w:szCs w:val="24"/>
          <w:u w:val="single"/>
        </w:rPr>
      </w:pPr>
      <w:r w:rsidRPr="00EF66A1">
        <w:rPr>
          <w:rFonts w:ascii="Times New Roman" w:hAnsi="Times New Roman" w:cs="Times New Roman"/>
          <w:sz w:val="24"/>
          <w:szCs w:val="24"/>
          <w:u w:val="single"/>
        </w:rPr>
        <w:t xml:space="preserve">Las consecuencias industriales de la “mala” educación </w:t>
      </w:r>
    </w:p>
    <w:p w:rsidR="00E02187" w:rsidRDefault="00E02187" w:rsidP="00E02187">
      <w:pPr>
        <w:pStyle w:val="NormalWeb"/>
        <w:jc w:val="both"/>
      </w:pPr>
      <w:r>
        <w:t xml:space="preserve">- </w:t>
      </w:r>
      <w:r w:rsidRPr="00DA1E64">
        <w:rPr>
          <w:u w:val="single"/>
        </w:rPr>
        <w:t>La industria española, a la cola en formación, competitividad, innovación y empleo</w:t>
      </w:r>
      <w:r>
        <w:t xml:space="preserve"> (Libertad Digital - </w:t>
      </w:r>
      <w:r w:rsidRPr="00DA1E64">
        <w:rPr>
          <w:b/>
        </w:rPr>
        <w:t>18/7/13</w:t>
      </w:r>
      <w:r>
        <w:t>)</w:t>
      </w:r>
    </w:p>
    <w:p w:rsidR="00E02187" w:rsidRDefault="00E02187" w:rsidP="00E02187">
      <w:pPr>
        <w:pStyle w:val="NormalWeb"/>
        <w:jc w:val="both"/>
      </w:pPr>
      <w:r>
        <w:t xml:space="preserve"> (Por D. Soriano / L. Quintero)                                                         Lectura recomendada</w:t>
      </w:r>
    </w:p>
    <w:p w:rsidR="00E02187" w:rsidRPr="00D762BF" w:rsidRDefault="00E02187" w:rsidP="00E02187">
      <w:pPr>
        <w:pStyle w:val="NormalWeb"/>
        <w:jc w:val="both"/>
      </w:pPr>
      <w:r>
        <w:t xml:space="preserve">La industria española se hunde. Como todo, dirán algunos. Quizás un poco más. Todos los sectores lo están pasando mal con la crisis, pero quizás el industrial sea el que más está sufriendo. Servicios y agricultura, mal que bien, están pasando estos años. Pero el sector secundario no reacciona. Así queda reflejado en diferentes estadísticas recogidas en el </w:t>
      </w:r>
      <w:r w:rsidRPr="00D762BF">
        <w:t xml:space="preserve">informe </w:t>
      </w:r>
      <w:hyperlink r:id="rId231" w:history="1">
        <w:r w:rsidRPr="00D762BF">
          <w:rPr>
            <w:rStyle w:val="Hipervnculo"/>
            <w:rFonts w:eastAsiaTheme="majorEastAsia"/>
            <w:i/>
            <w:iCs/>
            <w:color w:val="auto"/>
          </w:rPr>
          <w:t>Hacia una nueva Industrialización</w:t>
        </w:r>
      </w:hyperlink>
      <w:r w:rsidRPr="00D762BF">
        <w:t xml:space="preserve"> elaborado por la Comisión de Industria del </w:t>
      </w:r>
      <w:hyperlink r:id="rId232" w:history="1">
        <w:r w:rsidRPr="00D762BF">
          <w:rPr>
            <w:rStyle w:val="Hipervnculo"/>
            <w:rFonts w:eastAsiaTheme="majorEastAsia"/>
            <w:color w:val="auto"/>
          </w:rPr>
          <w:t>Colegio Oficial de Ingenieros Industriales de Madrid</w:t>
        </w:r>
      </w:hyperlink>
      <w:r w:rsidRPr="00D762BF">
        <w:t>.</w:t>
      </w:r>
    </w:p>
    <w:p w:rsidR="00E02187" w:rsidRPr="00D762BF" w:rsidRDefault="00E02187" w:rsidP="00E02187">
      <w:pPr>
        <w:pStyle w:val="NormalWeb"/>
        <w:jc w:val="both"/>
      </w:pPr>
      <w:r w:rsidRPr="00D762BF">
        <w:t>Por ejemplo, según datos de Contabilidad Nacional, en el primer trimestre de 2013, la tasa de variación interanual del sector primario (Agricultura, ganadería y pesca) era positiva (un 0,6%). Los servicios caían un 1,3%, sobre todo por el transporte. Mientras, la industria se hundía un 3,9%, con desplomes en algunos de los subsectores, como la construcción (-6,2%).</w:t>
      </w:r>
    </w:p>
    <w:p w:rsidR="00E02187" w:rsidRDefault="00E02187" w:rsidP="00E02187">
      <w:pPr>
        <w:pStyle w:val="NormalWeb"/>
        <w:jc w:val="both"/>
      </w:pPr>
      <w:r w:rsidRPr="00D762BF">
        <w:t xml:space="preserve">Los datos de la </w:t>
      </w:r>
      <w:hyperlink r:id="rId233" w:history="1">
        <w:r w:rsidRPr="00D762BF">
          <w:rPr>
            <w:rStyle w:val="Hipervnculo"/>
            <w:rFonts w:eastAsiaTheme="majorEastAsia"/>
            <w:color w:val="auto"/>
          </w:rPr>
          <w:t>Encuesta Industrial a las Empresas</w:t>
        </w:r>
      </w:hyperlink>
      <w:r w:rsidRPr="00D762BF">
        <w:t xml:space="preserve"> que publica el INE son significativos. A finales de 2011 (último año completo con estadísticas) había en España 2.049.200 personas trabajando en la industria, 600.000 menos que en </w:t>
      </w:r>
      <w:r>
        <w:t>2005. Esta fuerza laboral trabaja 3.500 millones de horas, mil millones menos que hace seis años. Y esto se ha notado. El importe neto de la cifra de negocio ha caído de 628.903 hasta 575.046 millones.</w:t>
      </w:r>
    </w:p>
    <w:p w:rsidR="00E02187" w:rsidRPr="00EF66A1" w:rsidRDefault="00E02187" w:rsidP="00E02187">
      <w:pPr>
        <w:pStyle w:val="Ttulo3"/>
        <w:jc w:val="both"/>
        <w:rPr>
          <w:rFonts w:ascii="Times New Roman" w:hAnsi="Times New Roman" w:cs="Times New Roman"/>
          <w:b w:val="0"/>
          <w:color w:val="auto"/>
          <w:sz w:val="24"/>
          <w:szCs w:val="24"/>
        </w:rPr>
      </w:pPr>
      <w:r w:rsidRPr="00EF66A1">
        <w:rPr>
          <w:rFonts w:ascii="Times New Roman" w:hAnsi="Times New Roman" w:cs="Times New Roman"/>
          <w:b w:val="0"/>
          <w:color w:val="auto"/>
          <w:sz w:val="24"/>
          <w:szCs w:val="24"/>
        </w:rPr>
        <w:lastRenderedPageBreak/>
        <w:t>Formación</w:t>
      </w:r>
    </w:p>
    <w:p w:rsidR="00E02187" w:rsidRDefault="00E02187" w:rsidP="00E02187">
      <w:pPr>
        <w:pStyle w:val="NormalWeb"/>
        <w:jc w:val="both"/>
      </w:pPr>
      <w:r>
        <w:t>Con estas cifras encima de la mesa, lo lógico es que la sociedad española se pregunte qué está pasando. Evidentemente, en un sector con tantos problemas, no hay una única respuesta. Pero sí hay datos que apuntan a carencias graves, estructurales, que inciden decisivamente en la evolución de la industria. Son imágenes parciales, pero si se ponen todas juntas, casi es posible atisbar la totalidad del cuadro.</w:t>
      </w:r>
    </w:p>
    <w:p w:rsidR="00E02187" w:rsidRDefault="00E02187" w:rsidP="00E02187">
      <w:pPr>
        <w:pStyle w:val="NormalWeb"/>
        <w:jc w:val="both"/>
      </w:pPr>
      <w:r>
        <w:t>Lo primero para tener una buena industria es tener buenos profesionales. Y ésta es nuestra primera carencia. No porque los que hay no sean competitivos, sino porque no hay suficientes.</w:t>
      </w:r>
    </w:p>
    <w:p w:rsidR="00E02187" w:rsidRPr="00071B3E" w:rsidRDefault="00E02187" w:rsidP="00E02187">
      <w:pPr>
        <w:numPr>
          <w:ilvl w:val="0"/>
          <w:numId w:val="19"/>
        </w:numPr>
        <w:spacing w:before="100" w:beforeAutospacing="1" w:after="100" w:afterAutospacing="1" w:line="240" w:lineRule="auto"/>
        <w:jc w:val="both"/>
        <w:rPr>
          <w:rFonts w:ascii="Times New Roman" w:hAnsi="Times New Roman" w:cs="Times New Roman"/>
          <w:color w:val="FF0000"/>
          <w:sz w:val="24"/>
          <w:szCs w:val="24"/>
        </w:rPr>
      </w:pPr>
      <w:r w:rsidRPr="00071B3E">
        <w:rPr>
          <w:rFonts w:ascii="Times New Roman" w:hAnsi="Times New Roman" w:cs="Times New Roman"/>
          <w:color w:val="FF0000"/>
          <w:sz w:val="24"/>
          <w:szCs w:val="24"/>
        </w:rPr>
        <w:t>Formación básica: en la UE-27, el 23,2% de la población ocupada tiene la formación básica (el equivalente a la ESO) o menos. Mientras, en España ese porcentaje sube al 42,2%.</w:t>
      </w:r>
    </w:p>
    <w:p w:rsidR="00E02187" w:rsidRPr="00071B3E" w:rsidRDefault="00E02187" w:rsidP="00E02187">
      <w:pPr>
        <w:numPr>
          <w:ilvl w:val="0"/>
          <w:numId w:val="19"/>
        </w:numPr>
        <w:spacing w:before="100" w:beforeAutospacing="1" w:after="100" w:afterAutospacing="1" w:line="240" w:lineRule="auto"/>
        <w:jc w:val="both"/>
        <w:rPr>
          <w:rFonts w:ascii="Times New Roman" w:hAnsi="Times New Roman" w:cs="Times New Roman"/>
          <w:color w:val="FF0000"/>
          <w:sz w:val="24"/>
          <w:szCs w:val="24"/>
        </w:rPr>
      </w:pPr>
      <w:r w:rsidRPr="00071B3E">
        <w:rPr>
          <w:rFonts w:ascii="Times New Roman" w:hAnsi="Times New Roman" w:cs="Times New Roman"/>
          <w:color w:val="FF0000"/>
          <w:sz w:val="24"/>
          <w:szCs w:val="24"/>
        </w:rPr>
        <w:t>Secundaria: por el contrario, el 48,9% de los ocupados de la UE tiene bachillerato o FP. En nuestro país el porcentaje es menos de la mitad: 23%.</w:t>
      </w:r>
    </w:p>
    <w:p w:rsidR="00E02187" w:rsidRPr="00071B3E" w:rsidRDefault="00E02187" w:rsidP="00E02187">
      <w:pPr>
        <w:numPr>
          <w:ilvl w:val="0"/>
          <w:numId w:val="19"/>
        </w:numPr>
        <w:spacing w:before="100" w:beforeAutospacing="1" w:after="100" w:afterAutospacing="1" w:line="240" w:lineRule="auto"/>
        <w:jc w:val="both"/>
        <w:rPr>
          <w:rFonts w:ascii="Times New Roman" w:hAnsi="Times New Roman" w:cs="Times New Roman"/>
          <w:color w:val="FF0000"/>
          <w:sz w:val="24"/>
          <w:szCs w:val="24"/>
        </w:rPr>
      </w:pPr>
      <w:r w:rsidRPr="00071B3E">
        <w:rPr>
          <w:rFonts w:ascii="Times New Roman" w:hAnsi="Times New Roman" w:cs="Times New Roman"/>
          <w:color w:val="FF0000"/>
          <w:sz w:val="24"/>
          <w:szCs w:val="24"/>
        </w:rPr>
        <w:t>Terciaria: curiosamente, el porcentaje de universitarios es mayor en España (34,5%) que en el resto de la UE (27,8%).</w:t>
      </w:r>
    </w:p>
    <w:p w:rsidR="00E02187" w:rsidRPr="00071B3E" w:rsidRDefault="00E02187" w:rsidP="00E02187">
      <w:pPr>
        <w:pStyle w:val="NormalWeb"/>
        <w:jc w:val="both"/>
        <w:rPr>
          <w:color w:val="FF0000"/>
          <w:u w:val="single"/>
        </w:rPr>
      </w:pPr>
      <w:r>
        <w:t>La foto muestra un país con muchas personas que no tienen la cualificación mínima que normalmente requiere el mercado laboral</w:t>
      </w:r>
      <w:r w:rsidRPr="00EF66A1">
        <w:t xml:space="preserve">: </w:t>
      </w:r>
      <w:hyperlink r:id="rId234" w:history="1">
        <w:r w:rsidRPr="00D762BF">
          <w:rPr>
            <w:rStyle w:val="Hipervnculo"/>
            <w:rFonts w:eastAsiaTheme="majorEastAsia"/>
            <w:color w:val="auto"/>
          </w:rPr>
          <w:t>educación secundaria superior</w:t>
        </w:r>
      </w:hyperlink>
      <w:r w:rsidRPr="00D762BF">
        <w:t>. Si</w:t>
      </w:r>
      <w:r>
        <w:t xml:space="preserve">n embargo, le </w:t>
      </w:r>
      <w:r>
        <w:rPr>
          <w:rStyle w:val="nfasis"/>
        </w:rPr>
        <w:t>sobran</w:t>
      </w:r>
      <w:r>
        <w:t xml:space="preserve"> infratitulados o universitarios. Y no sólo eso, en lo que hace referencia a la educación secundaria, </w:t>
      </w:r>
      <w:r w:rsidRPr="00071B3E">
        <w:rPr>
          <w:color w:val="FF0000"/>
          <w:u w:val="single"/>
        </w:rPr>
        <w:t>sólo el 35% de los alumnos españoles escoge FP (la rama más adecuada para luego trabajar en la industria), mientras que en la UE casi el 60% opta por este camino.</w:t>
      </w:r>
    </w:p>
    <w:p w:rsidR="00E02187" w:rsidRPr="00071B3E" w:rsidRDefault="00E02187" w:rsidP="00E02187">
      <w:pPr>
        <w:pStyle w:val="NormalWeb"/>
        <w:jc w:val="both"/>
        <w:rPr>
          <w:u w:val="single"/>
        </w:rPr>
      </w:pPr>
      <w:r>
        <w:t xml:space="preserve">Esto no está cambiando en los últimos años. En el último informe de la OCDE sobre educación se puede comprobar que </w:t>
      </w:r>
      <w:r w:rsidRPr="00071B3E">
        <w:rPr>
          <w:u w:val="single"/>
        </w:rPr>
        <w:t>entre los españoles de 25 y 34 años, sólo el 65% tiene educación secundaria superior, frente al 82% de media en los países ricos.</w:t>
      </w:r>
    </w:p>
    <w:p w:rsidR="00E02187" w:rsidRPr="00EF66A1" w:rsidRDefault="00E02187" w:rsidP="00E02187">
      <w:pPr>
        <w:pStyle w:val="Ttulo3"/>
        <w:jc w:val="both"/>
        <w:rPr>
          <w:rFonts w:ascii="Times New Roman" w:hAnsi="Times New Roman" w:cs="Times New Roman"/>
          <w:b w:val="0"/>
          <w:color w:val="auto"/>
          <w:sz w:val="24"/>
          <w:szCs w:val="24"/>
        </w:rPr>
      </w:pPr>
      <w:r w:rsidRPr="00EF66A1">
        <w:rPr>
          <w:rFonts w:ascii="Times New Roman" w:hAnsi="Times New Roman" w:cs="Times New Roman"/>
          <w:b w:val="0"/>
          <w:color w:val="auto"/>
          <w:sz w:val="24"/>
          <w:szCs w:val="24"/>
        </w:rPr>
        <w:t>Mercado laboral</w:t>
      </w:r>
    </w:p>
    <w:p w:rsidR="00E02187" w:rsidRPr="00071B3E" w:rsidRDefault="00E02187" w:rsidP="00E02187">
      <w:pPr>
        <w:pStyle w:val="NormalWeb"/>
        <w:jc w:val="both"/>
        <w:rPr>
          <w:u w:val="single"/>
        </w:rPr>
      </w:pPr>
      <w:r>
        <w:t xml:space="preserve">El problema es que las cosas no mejoran especialmente cuando los estudiantes dejan de serlo y pasan a formar parte del mercado laboral. </w:t>
      </w:r>
      <w:r w:rsidRPr="00071B3E">
        <w:rPr>
          <w:u w:val="single"/>
        </w:rPr>
        <w:t>Las empresas españolas, especialmente las del sector industrial, llevan décadas lamentándose de que no existe ningún tipo de relación entre las escuelas y las factorías.</w:t>
      </w:r>
    </w:p>
    <w:p w:rsidR="00E02187" w:rsidRPr="00D762BF" w:rsidRDefault="00E02187" w:rsidP="00E02187">
      <w:pPr>
        <w:pStyle w:val="NormalWeb"/>
        <w:jc w:val="both"/>
      </w:pPr>
      <w:r>
        <w:t xml:space="preserve">El Gobierno ha puesto en marcha un </w:t>
      </w:r>
      <w:hyperlink r:id="rId235" w:history="1">
        <w:r w:rsidRPr="00D762BF">
          <w:rPr>
            <w:rStyle w:val="Hipervnculo"/>
            <w:rFonts w:eastAsiaTheme="majorEastAsia"/>
            <w:color w:val="auto"/>
          </w:rPr>
          <w:t>proyecto de FP-Dual</w:t>
        </w:r>
      </w:hyperlink>
      <w:r w:rsidRPr="00D762BF">
        <w:t xml:space="preserve"> que en teoría está destinado a paliar esta carencia. La idea es que los chicos de entre 14 y 18 años que escojan FP combinen los estudios en el instituto con su primer empleo, ganándose incluso unos </w:t>
      </w:r>
      <w:r w:rsidRPr="00D762BF">
        <w:rPr>
          <w:rStyle w:val="nfasis"/>
        </w:rPr>
        <w:t>eurillos</w:t>
      </w:r>
      <w:r w:rsidRPr="00D762BF">
        <w:t>. Pero habrá que ver cuándo y cómo se pone en marcha, y cuántos alumnos se benefician.</w:t>
      </w:r>
    </w:p>
    <w:p w:rsidR="00E02187" w:rsidRPr="00071B3E" w:rsidRDefault="00E02187" w:rsidP="00E02187">
      <w:pPr>
        <w:pStyle w:val="NormalWeb"/>
        <w:jc w:val="both"/>
        <w:rPr>
          <w:u w:val="single"/>
        </w:rPr>
      </w:pPr>
      <w:r w:rsidRPr="00D762BF">
        <w:rPr>
          <w:u w:val="single"/>
        </w:rPr>
        <w:t xml:space="preserve">En cualquier caso, los problemas no se acaban ahí. El </w:t>
      </w:r>
      <w:hyperlink r:id="rId236" w:history="1">
        <w:r w:rsidRPr="00D762BF">
          <w:rPr>
            <w:rStyle w:val="Hipervnculo"/>
            <w:rFonts w:eastAsiaTheme="majorEastAsia"/>
            <w:color w:val="auto"/>
          </w:rPr>
          <w:t>mercado español de trabajo</w:t>
        </w:r>
      </w:hyperlink>
      <w:r w:rsidRPr="00D762BF">
        <w:rPr>
          <w:u w:val="single"/>
        </w:rPr>
        <w:t xml:space="preserve"> tiene sus propias carencias, de las que la alta temporalidad es una de las más preocupantes. La dualidad de la legislación divide en dos a los trabajadores: indefinidos y no indefinidos, tanto si las tareas que se les encomiendan son verdaderamente para empleaos eventuales (reforzar una campaña puntual) como si son para puestos fijos. Cuando llega una crisis, </w:t>
      </w:r>
      <w:hyperlink r:id="rId237" w:history="1">
        <w:r w:rsidRPr="00D762BF">
          <w:rPr>
            <w:rStyle w:val="Hipervnculo"/>
            <w:rFonts w:eastAsiaTheme="majorEastAsia"/>
            <w:color w:val="auto"/>
          </w:rPr>
          <w:t>son los temporales</w:t>
        </w:r>
      </w:hyperlink>
      <w:r w:rsidRPr="00D762BF">
        <w:rPr>
          <w:u w:val="single"/>
        </w:rPr>
        <w:t xml:space="preserve"> los que sufren las consecuenci</w:t>
      </w:r>
      <w:r w:rsidRPr="00071B3E">
        <w:rPr>
          <w:u w:val="single"/>
        </w:rPr>
        <w:t xml:space="preserve">as. De hecho, desde 2007, el número </w:t>
      </w:r>
      <w:r w:rsidRPr="00071B3E">
        <w:rPr>
          <w:u w:val="single"/>
        </w:rPr>
        <w:lastRenderedPageBreak/>
        <w:t xml:space="preserve">de empleos de estas características </w:t>
      </w:r>
      <w:hyperlink r:id="rId238" w:history="1">
        <w:r w:rsidRPr="00D762BF">
          <w:rPr>
            <w:rStyle w:val="Hipervnculo"/>
            <w:rFonts w:eastAsiaTheme="majorEastAsia"/>
            <w:color w:val="auto"/>
          </w:rPr>
          <w:t>ha caído en casi dos millones</w:t>
        </w:r>
      </w:hyperlink>
      <w:r w:rsidRPr="00D762BF">
        <w:rPr>
          <w:u w:val="single"/>
        </w:rPr>
        <w:t xml:space="preserve">, </w:t>
      </w:r>
      <w:r w:rsidRPr="00071B3E">
        <w:rPr>
          <w:u w:val="single"/>
        </w:rPr>
        <w:t>mientras que el número de indefinidos casi permanece constante.</w:t>
      </w:r>
    </w:p>
    <w:p w:rsidR="00E02187" w:rsidRDefault="00E02187" w:rsidP="00E02187">
      <w:pPr>
        <w:pStyle w:val="NormalWeb"/>
        <w:jc w:val="both"/>
      </w:pPr>
      <w:r>
        <w:t>En lo que tiene que ver con la industria, hay algunos datos muy significativos. Por ejemplo, España, en 2007, llegó a tener un nivel de empleo para los licenciados en secundaria cercano a la media de la UE: 71,2% frente al 71,5%. Pues bien, desde ese momento, mientras nuestros vecinos veían caer algo esta ratio (hasta el 69,9%), en España se desplomaba hasta el 61,9%. Son casi 10 puntos menos. El descenso es seis veces superior al que sufre el resto de Europa.</w:t>
      </w:r>
    </w:p>
    <w:p w:rsidR="00E02187" w:rsidRPr="00071B3E" w:rsidRDefault="00E02187" w:rsidP="00E02187">
      <w:pPr>
        <w:pStyle w:val="NormalWeb"/>
        <w:jc w:val="both"/>
        <w:rPr>
          <w:u w:val="single"/>
        </w:rPr>
      </w:pPr>
      <w:r>
        <w:t xml:space="preserve">Esto tiene unas implicaciones importantísimas para todos los sectores, pero especialmente para la industria. </w:t>
      </w:r>
      <w:r w:rsidRPr="00071B3E">
        <w:rPr>
          <w:u w:val="single"/>
        </w:rPr>
        <w:t xml:space="preserve">Para la productividad de un trabajador, mantener su empleo, tener formación en la empresa y dominar su puesto de trabajo es fundamental. Tomando una terminología en desuso, podríamos decir que lo lógico es que el empleado se esfuerce por pasar de </w:t>
      </w:r>
      <w:r w:rsidRPr="00071B3E">
        <w:rPr>
          <w:rStyle w:val="nfasis"/>
          <w:u w:val="single"/>
        </w:rPr>
        <w:t>aprendiz a oficial y luego a maestro</w:t>
      </w:r>
      <w:r w:rsidRPr="00071B3E">
        <w:rPr>
          <w:u w:val="single"/>
        </w:rPr>
        <w:t>. Y lo normal es que la empresa lo fomente. Pero la estructura dual del mercado laboral se carga esta evolución y eso tiene consecuencias.</w:t>
      </w:r>
    </w:p>
    <w:p w:rsidR="00E02187" w:rsidRPr="00EF66A1" w:rsidRDefault="00E02187" w:rsidP="00E02187">
      <w:pPr>
        <w:pStyle w:val="Ttulo3"/>
        <w:jc w:val="both"/>
        <w:rPr>
          <w:rFonts w:ascii="Times New Roman" w:hAnsi="Times New Roman" w:cs="Times New Roman"/>
          <w:b w:val="0"/>
          <w:color w:val="auto"/>
          <w:sz w:val="24"/>
          <w:szCs w:val="24"/>
        </w:rPr>
      </w:pPr>
      <w:r w:rsidRPr="00EF66A1">
        <w:rPr>
          <w:rFonts w:ascii="Times New Roman" w:hAnsi="Times New Roman" w:cs="Times New Roman"/>
          <w:b w:val="0"/>
          <w:color w:val="auto"/>
          <w:sz w:val="24"/>
          <w:szCs w:val="24"/>
        </w:rPr>
        <w:t>Peso de la industria</w:t>
      </w:r>
    </w:p>
    <w:p w:rsidR="00E02187" w:rsidRPr="00071B3E" w:rsidRDefault="00E02187" w:rsidP="00E02187">
      <w:pPr>
        <w:pStyle w:val="NormalWeb"/>
        <w:jc w:val="both"/>
        <w:rPr>
          <w:u w:val="single"/>
        </w:rPr>
      </w:pPr>
      <w:r w:rsidRPr="00071B3E">
        <w:rPr>
          <w:u w:val="single"/>
        </w:rPr>
        <w:t xml:space="preserve">Así pues, los problemas del sector industrial, buena parte de ellos derivados de los perversos sistemas educativo y laboral de España, queda reflejado las estadísticas. España ocupa los últimos puestos en diferentes ranking de </w:t>
      </w:r>
      <w:r w:rsidRPr="00071B3E">
        <w:rPr>
          <w:rStyle w:val="Textoennegrita"/>
        </w:rPr>
        <w:t>competitividad, innovación y tecnología</w:t>
      </w:r>
      <w:r w:rsidRPr="00071B3E">
        <w:rPr>
          <w:u w:val="single"/>
        </w:rPr>
        <w:t xml:space="preserve"> (según datos de 2009). Tanto que, según las tablas que maneja la Oficina de Estadística de la UE, </w:t>
      </w:r>
      <w:hyperlink r:id="rId239" w:history="1">
        <w:r w:rsidRPr="00D762BF">
          <w:rPr>
            <w:rStyle w:val="Hipervnculo"/>
            <w:rFonts w:eastAsiaTheme="majorEastAsia"/>
            <w:color w:val="auto"/>
          </w:rPr>
          <w:t>Eurostat</w:t>
        </w:r>
      </w:hyperlink>
      <w:r w:rsidRPr="00D762BF">
        <w:rPr>
          <w:u w:val="single"/>
        </w:rPr>
        <w:t>,</w:t>
      </w:r>
      <w:r w:rsidRPr="00071B3E">
        <w:rPr>
          <w:u w:val="single"/>
        </w:rPr>
        <w:t xml:space="preserve"> España ocupa el puesto número 22 de los 27 países de la UE en </w:t>
      </w:r>
      <w:r w:rsidRPr="00071B3E">
        <w:rPr>
          <w:rStyle w:val="Textoennegrita"/>
        </w:rPr>
        <w:t>participación del sector industrial</w:t>
      </w:r>
      <w:r w:rsidRPr="00071B3E">
        <w:rPr>
          <w:u w:val="single"/>
        </w:rPr>
        <w:t xml:space="preserve"> (manufactura, extracción, energía y agua) en el valor añadido del país con el 15,4%.</w:t>
      </w:r>
    </w:p>
    <w:p w:rsidR="00E02187" w:rsidRDefault="00E02187" w:rsidP="00E02187">
      <w:pPr>
        <w:pStyle w:val="NormalWeb"/>
        <w:jc w:val="both"/>
      </w:pPr>
      <w:r>
        <w:t xml:space="preserve">Esta posición nos coloca </w:t>
      </w:r>
      <w:r>
        <w:rPr>
          <w:rStyle w:val="Textoennegrita"/>
        </w:rPr>
        <w:t>lejos de la media de la UE-27</w:t>
      </w:r>
      <w:r>
        <w:t xml:space="preserve"> (18,1%) y muy lejos de los primeros puestos que ocupan países como República Checa con el 29,3% o Irlanda, con el 26%. Alemania ocupa el octavo lugar con una contribución del sector industrial al valor añadido del país germano del 22,4%. En este caso, Reino Unido y Francia reciben peores calificaciones que España.</w:t>
      </w:r>
    </w:p>
    <w:p w:rsidR="00E02187" w:rsidRPr="00EF66A1" w:rsidRDefault="00E02187" w:rsidP="00E02187">
      <w:pPr>
        <w:pStyle w:val="Ttulo3"/>
        <w:jc w:val="both"/>
        <w:rPr>
          <w:rFonts w:ascii="Times New Roman" w:hAnsi="Times New Roman" w:cs="Times New Roman"/>
          <w:b w:val="0"/>
          <w:color w:val="auto"/>
          <w:sz w:val="24"/>
          <w:szCs w:val="24"/>
        </w:rPr>
      </w:pPr>
      <w:r w:rsidRPr="00EF66A1">
        <w:rPr>
          <w:rFonts w:ascii="Times New Roman" w:hAnsi="Times New Roman" w:cs="Times New Roman"/>
          <w:b w:val="0"/>
          <w:color w:val="auto"/>
          <w:sz w:val="24"/>
          <w:szCs w:val="24"/>
        </w:rPr>
        <w:t>Patentes</w:t>
      </w:r>
    </w:p>
    <w:p w:rsidR="00E02187" w:rsidRDefault="00E02187" w:rsidP="00E02187">
      <w:pPr>
        <w:pStyle w:val="NormalWeb"/>
        <w:jc w:val="both"/>
      </w:pPr>
      <w:r w:rsidRPr="00071B3E">
        <w:rPr>
          <w:u w:val="single"/>
        </w:rPr>
        <w:t xml:space="preserve">Uno de los indicadores más significativos del nivel de industrialización y posicionamiento en desarrollo tecnológico y de innovación es el que se refiere al </w:t>
      </w:r>
      <w:r w:rsidRPr="00071B3E">
        <w:rPr>
          <w:rStyle w:val="Textoennegrita"/>
        </w:rPr>
        <w:t>número de patentes concedidas</w:t>
      </w:r>
      <w:r w:rsidRPr="00071B3E">
        <w:rPr>
          <w:u w:val="single"/>
        </w:rPr>
        <w:t xml:space="preserve">. </w:t>
      </w:r>
      <w:r>
        <w:t>Este indicador no habla solo de grandes genios o académicos brillantes que después de muchas horas de estudio e investigación y gracias a la mejor tecnología punta logran concebir una innovación tecnológica que patentar. En la mayoría de las ocasiones estas patentes surgen en las cadenas de montaje, donde los profesionales industriales conciben mecanismos, herramientas o métodos de desarrollar mejor, más rápidamente y de forma más segura su trabajo diario.</w:t>
      </w:r>
    </w:p>
    <w:p w:rsidR="00E02187" w:rsidRDefault="00E02187" w:rsidP="00E02187">
      <w:pPr>
        <w:pStyle w:val="NormalWeb"/>
        <w:jc w:val="both"/>
      </w:pPr>
      <w:r w:rsidRPr="00071B3E">
        <w:rPr>
          <w:u w:val="single"/>
        </w:rPr>
        <w:t xml:space="preserve">Según datos de la OCDE, España ocupa </w:t>
      </w:r>
      <w:r w:rsidRPr="00071B3E">
        <w:rPr>
          <w:rStyle w:val="Textoennegrita"/>
        </w:rPr>
        <w:t xml:space="preserve">los últimos puestos en el ranking de patentes triádicas </w:t>
      </w:r>
      <w:r w:rsidRPr="00071B3E">
        <w:rPr>
          <w:u w:val="single"/>
        </w:rPr>
        <w:t>concedidas en porcentaje sobre el total mundial</w:t>
      </w:r>
      <w:r>
        <w:t xml:space="preserve">. </w:t>
      </w:r>
      <w:r w:rsidRPr="00071B3E">
        <w:rPr>
          <w:color w:val="FF0000"/>
          <w:u w:val="single"/>
        </w:rPr>
        <w:t xml:space="preserve">Las patentes triádicas, definidas así por la OCDE, son las que se conceden con efectos conjuntos en la Oficina Europea de Patentes, la Oficina estadounidense de Patentes y Marcas y la Oficina Japonesa de Patentes. </w:t>
      </w:r>
      <w:r>
        <w:t xml:space="preserve">Son las consideradas de mayor valor comercial. Así, España </w:t>
      </w:r>
      <w:r>
        <w:lastRenderedPageBreak/>
        <w:t>representaba en 2009 un 0,5% de las patentes sobre el total mundial, frente a la número uno del ranking, Alemania, con el 12% de las patentes, seguida de Francia, Corea y Reino Unido.</w:t>
      </w:r>
    </w:p>
    <w:p w:rsidR="00E02187" w:rsidRPr="00071B3E" w:rsidRDefault="00E02187" w:rsidP="00E02187">
      <w:pPr>
        <w:pStyle w:val="NormalWeb"/>
        <w:jc w:val="both"/>
        <w:rPr>
          <w:u w:val="single"/>
        </w:rPr>
      </w:pPr>
      <w:r w:rsidRPr="00071B3E">
        <w:rPr>
          <w:u w:val="single"/>
        </w:rPr>
        <w:t>También estamos a la cola si la estadística es el número de patentes triádicas por millón de habitantes. En el mismo año, 2009, España presenta 5,1 patentes por cada millón de habitantes frente a Suiza con 112,5, Japón con 101,9 y Alemania con 68,2.</w:t>
      </w:r>
    </w:p>
    <w:p w:rsidR="00E02187" w:rsidRDefault="00E02187" w:rsidP="00E02187">
      <w:pPr>
        <w:pStyle w:val="NormalWeb"/>
        <w:jc w:val="both"/>
      </w:pPr>
      <w:r>
        <w:rPr>
          <w:noProof/>
        </w:rPr>
        <w:drawing>
          <wp:inline distT="0" distB="0" distL="0" distR="0" wp14:anchorId="25AED8F9" wp14:editId="3FC68A8B">
            <wp:extent cx="5362041" cy="2275028"/>
            <wp:effectExtent l="0" t="0" r="0" b="0"/>
            <wp:docPr id="149" name="Imagen 7" descr="http://s.libertaddigital.com/fotos/noticias/patentes-triadica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ibertaddigital.com/fotos/noticias/patentes-triadicas-1.jpg"/>
                    <pic:cNvPicPr>
                      <a:picLocks noChangeAspect="1" noChangeArrowheads="1"/>
                    </pic:cNvPicPr>
                  </pic:nvPicPr>
                  <pic:blipFill>
                    <a:blip r:embed="rId240" cstate="print"/>
                    <a:srcRect/>
                    <a:stretch>
                      <a:fillRect/>
                    </a:stretch>
                  </pic:blipFill>
                  <pic:spPr bwMode="auto">
                    <a:xfrm>
                      <a:off x="0" y="0"/>
                      <a:ext cx="5367178" cy="2277208"/>
                    </a:xfrm>
                    <a:prstGeom prst="rect">
                      <a:avLst/>
                    </a:prstGeom>
                    <a:noFill/>
                    <a:ln w="9525">
                      <a:noFill/>
                      <a:miter lim="800000"/>
                      <a:headEnd/>
                      <a:tailEnd/>
                    </a:ln>
                  </pic:spPr>
                </pic:pic>
              </a:graphicData>
            </a:graphic>
          </wp:inline>
        </w:drawing>
      </w:r>
    </w:p>
    <w:p w:rsidR="00E02187" w:rsidRPr="00071B3E" w:rsidRDefault="00E02187" w:rsidP="00E02187">
      <w:pPr>
        <w:pStyle w:val="NormalWeb"/>
        <w:jc w:val="both"/>
        <w:rPr>
          <w:u w:val="single"/>
        </w:rPr>
      </w:pPr>
      <w:r w:rsidRPr="00071B3E">
        <w:rPr>
          <w:u w:val="single"/>
        </w:rPr>
        <w:t xml:space="preserve">Pero si hay una estadística en la que España aparece </w:t>
      </w:r>
      <w:r w:rsidRPr="00071B3E">
        <w:rPr>
          <w:rStyle w:val="Textoennegrita"/>
        </w:rPr>
        <w:t xml:space="preserve">en último lugar es la de artículos científicos </w:t>
      </w:r>
      <w:r w:rsidRPr="00071B3E">
        <w:rPr>
          <w:u w:val="single"/>
        </w:rPr>
        <w:t>por millón de habitantes en los países del mundo más productores. En 2010, España sólo presentaba 1.446 artículos científicos por millón de habitantes, frente a los 4.005 de Suiza o los 2.954 de Dinamarca, que encabezan el ranking.</w:t>
      </w:r>
    </w:p>
    <w:p w:rsidR="00E02187" w:rsidRPr="00EF66A1" w:rsidRDefault="00E02187" w:rsidP="00E02187">
      <w:pPr>
        <w:pStyle w:val="Ttulo3"/>
        <w:jc w:val="both"/>
        <w:rPr>
          <w:rFonts w:ascii="Times New Roman" w:hAnsi="Times New Roman" w:cs="Times New Roman"/>
          <w:b w:val="0"/>
          <w:color w:val="auto"/>
          <w:sz w:val="24"/>
          <w:szCs w:val="24"/>
        </w:rPr>
      </w:pPr>
      <w:r w:rsidRPr="00EF66A1">
        <w:rPr>
          <w:rFonts w:ascii="Times New Roman" w:hAnsi="Times New Roman" w:cs="Times New Roman"/>
          <w:b w:val="0"/>
          <w:color w:val="auto"/>
          <w:sz w:val="24"/>
          <w:szCs w:val="24"/>
        </w:rPr>
        <w:t>Inversión en I+D</w:t>
      </w:r>
    </w:p>
    <w:p w:rsidR="00E02187" w:rsidRPr="00071B3E" w:rsidRDefault="00E02187" w:rsidP="00E02187">
      <w:pPr>
        <w:pStyle w:val="NormalWeb"/>
        <w:jc w:val="both"/>
        <w:rPr>
          <w:u w:val="single"/>
        </w:rPr>
      </w:pPr>
      <w:r w:rsidRPr="00071B3E">
        <w:rPr>
          <w:u w:val="single"/>
        </w:rPr>
        <w:t xml:space="preserve">Ante esta situación, la inversión en Innovación y Desarrollo tampoco destaca en nuestro país. Según los datos que maneja Eurostat, España es </w:t>
      </w:r>
      <w:r w:rsidRPr="00071B3E">
        <w:rPr>
          <w:rStyle w:val="Textoennegrita"/>
        </w:rPr>
        <w:t xml:space="preserve">de los países que menos invierte en I+D </w:t>
      </w:r>
      <w:r w:rsidRPr="00071B3E">
        <w:rPr>
          <w:u w:val="single"/>
        </w:rPr>
        <w:t>de los principales países de la UE-27. En 2010, mientras nuestro país estaba a la cola en esta estadística, EEUU encabezaba el ranking, seguido por la media de los países de la UE-27, Japón, China, Alemania, Francia, Reino Unido, Corea del sur e Italia.</w:t>
      </w:r>
    </w:p>
    <w:p w:rsidR="00E02187" w:rsidRDefault="00E02187" w:rsidP="00E02187">
      <w:pPr>
        <w:pStyle w:val="NormalWeb"/>
        <w:jc w:val="both"/>
      </w:pPr>
      <w:r>
        <w:rPr>
          <w:noProof/>
        </w:rPr>
        <w:drawing>
          <wp:inline distT="0" distB="0" distL="0" distR="0" wp14:anchorId="3C772C06" wp14:editId="42E0C7B5">
            <wp:extent cx="5572204" cy="2150669"/>
            <wp:effectExtent l="0" t="0" r="0" b="2540"/>
            <wp:docPr id="150" name="Imagen 8" descr="http://s.libertaddigital.com/fotos/noticias/gasto-en-imas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ibertaddigital.com/fotos/noticias/gasto-en-imasd-1.jpg"/>
                    <pic:cNvPicPr>
                      <a:picLocks noChangeAspect="1" noChangeArrowheads="1"/>
                    </pic:cNvPicPr>
                  </pic:nvPicPr>
                  <pic:blipFill>
                    <a:blip r:embed="rId241" cstate="print"/>
                    <a:srcRect/>
                    <a:stretch>
                      <a:fillRect/>
                    </a:stretch>
                  </pic:blipFill>
                  <pic:spPr bwMode="auto">
                    <a:xfrm>
                      <a:off x="0" y="0"/>
                      <a:ext cx="5571738" cy="2150489"/>
                    </a:xfrm>
                    <a:prstGeom prst="rect">
                      <a:avLst/>
                    </a:prstGeom>
                    <a:noFill/>
                    <a:ln w="9525">
                      <a:noFill/>
                      <a:miter lim="800000"/>
                      <a:headEnd/>
                      <a:tailEnd/>
                    </a:ln>
                  </pic:spPr>
                </pic:pic>
              </a:graphicData>
            </a:graphic>
          </wp:inline>
        </w:drawing>
      </w:r>
    </w:p>
    <w:p w:rsidR="00E02187" w:rsidRPr="00EF66A1" w:rsidRDefault="00E02187" w:rsidP="00E02187">
      <w:pPr>
        <w:pStyle w:val="Ttulo3"/>
        <w:jc w:val="both"/>
        <w:rPr>
          <w:rFonts w:ascii="Times New Roman" w:hAnsi="Times New Roman" w:cs="Times New Roman"/>
          <w:b w:val="0"/>
          <w:color w:val="auto"/>
          <w:sz w:val="24"/>
          <w:szCs w:val="24"/>
        </w:rPr>
      </w:pPr>
      <w:r w:rsidRPr="00EF66A1">
        <w:rPr>
          <w:rFonts w:ascii="Times New Roman" w:hAnsi="Times New Roman" w:cs="Times New Roman"/>
          <w:b w:val="0"/>
          <w:color w:val="auto"/>
          <w:sz w:val="24"/>
          <w:szCs w:val="24"/>
        </w:rPr>
        <w:lastRenderedPageBreak/>
        <w:t>Competitividad</w:t>
      </w:r>
    </w:p>
    <w:p w:rsidR="00E02187" w:rsidRPr="00071B3E" w:rsidRDefault="00E02187" w:rsidP="00E02187">
      <w:pPr>
        <w:pStyle w:val="NormalWeb"/>
        <w:jc w:val="both"/>
        <w:rPr>
          <w:u w:val="single"/>
        </w:rPr>
      </w:pPr>
      <w:r w:rsidRPr="00071B3E">
        <w:rPr>
          <w:u w:val="single"/>
        </w:rPr>
        <w:t xml:space="preserve">Todo esto hace que la competitividad de nuestra industria haya caído y se encuentre </w:t>
      </w:r>
      <w:r w:rsidRPr="00071B3E">
        <w:rPr>
          <w:rStyle w:val="Textoennegrita"/>
        </w:rPr>
        <w:t>en los últimos puestos de los ranking de competitividad</w:t>
      </w:r>
      <w:r w:rsidRPr="00071B3E">
        <w:rPr>
          <w:u w:val="single"/>
        </w:rPr>
        <w:t xml:space="preserve"> entre los países desarrollados. Según el índice de Competitividad Global 2012-2013 España ocupa el puesto número 36 por detrás de países como Puerto Rico, Estonia o Malasia. Suiza, Singapur y Finlandia encabezan este listado donde países de nuestro entorno como Alemania o Reino Unido ocupan los puestos 6 y 8 respectivamente. Estados Uni</w:t>
      </w:r>
      <w:r>
        <w:rPr>
          <w:u w:val="single"/>
        </w:rPr>
        <w:t>d</w:t>
      </w:r>
      <w:r w:rsidRPr="00071B3E">
        <w:rPr>
          <w:u w:val="single"/>
        </w:rPr>
        <w:t>os está en el 7. España, en esto sí, supera a Italia.</w:t>
      </w:r>
    </w:p>
    <w:p w:rsidR="00E02187" w:rsidRDefault="00E02187" w:rsidP="00E02187">
      <w:pPr>
        <w:pStyle w:val="NormalWeb"/>
        <w:jc w:val="both"/>
        <w:rPr>
          <w:u w:val="single"/>
        </w:rPr>
      </w:pPr>
      <w:r>
        <w:rPr>
          <w:u w:val="single"/>
        </w:rPr>
        <w:t xml:space="preserve">Reino Unido: </w:t>
      </w:r>
      <w:r w:rsidRPr="006B5048">
        <w:rPr>
          <w:u w:val="single"/>
        </w:rPr>
        <w:t>implicación del sector privado en las escuelas con financiación pública</w:t>
      </w:r>
    </w:p>
    <w:p w:rsidR="00E02187" w:rsidRPr="000D423F" w:rsidRDefault="00E02187" w:rsidP="00E02187">
      <w:pPr>
        <w:pStyle w:val="NormalWeb"/>
        <w:jc w:val="both"/>
        <w:rPr>
          <w:u w:val="single"/>
        </w:rPr>
      </w:pPr>
      <w:r w:rsidRPr="000D423F">
        <w:t xml:space="preserve">- </w:t>
      </w:r>
      <w:r w:rsidRPr="000D423F">
        <w:rPr>
          <w:u w:val="single"/>
        </w:rPr>
        <w:t xml:space="preserve">Innovación escolar: </w:t>
      </w:r>
      <w:r w:rsidRPr="000D423F">
        <w:rPr>
          <w:rStyle w:val="nfasis"/>
          <w:u w:val="single"/>
        </w:rPr>
        <w:t>academy schools</w:t>
      </w:r>
      <w:r w:rsidRPr="000D423F">
        <w:rPr>
          <w:rStyle w:val="nfasis"/>
        </w:rPr>
        <w:t xml:space="preserve"> </w:t>
      </w:r>
      <w:r w:rsidRPr="000D423F">
        <w:rPr>
          <w:rStyle w:val="nfasis"/>
          <w:i w:val="0"/>
        </w:rPr>
        <w:t xml:space="preserve">(Fedea - </w:t>
      </w:r>
      <w:r w:rsidRPr="000D423F">
        <w:rPr>
          <w:rStyle w:val="nfasis"/>
          <w:b/>
          <w:i w:val="0"/>
        </w:rPr>
        <w:t>9/9/13</w:t>
      </w:r>
      <w:r w:rsidRPr="000D423F">
        <w:rPr>
          <w:rStyle w:val="nfasis"/>
          <w:i w:val="0"/>
        </w:rPr>
        <w:t>)</w:t>
      </w:r>
      <w:r>
        <w:rPr>
          <w:rStyle w:val="nfasis"/>
          <w:i w:val="0"/>
        </w:rPr>
        <w:t xml:space="preserve">                 Lectura recomendada</w:t>
      </w:r>
    </w:p>
    <w:p w:rsidR="00E02187" w:rsidRPr="009C5465" w:rsidRDefault="00E02187" w:rsidP="00E02187">
      <w:pPr>
        <w:pStyle w:val="headlinemeta"/>
        <w:jc w:val="both"/>
      </w:pPr>
      <w:r>
        <w:t>(</w:t>
      </w:r>
      <w:r w:rsidRPr="009C5465">
        <w:t xml:space="preserve">Por </w:t>
      </w:r>
      <w:hyperlink r:id="rId242" w:history="1">
        <w:r w:rsidRPr="00D762BF">
          <w:rPr>
            <w:rStyle w:val="Hipervnculo"/>
            <w:rFonts w:eastAsiaTheme="majorEastAsia"/>
            <w:color w:val="auto"/>
            <w:u w:val="none"/>
          </w:rPr>
          <w:t>Antonio Cabrales</w:t>
        </w:r>
      </w:hyperlink>
      <w:r w:rsidRPr="00D762BF">
        <w:t>)</w:t>
      </w:r>
    </w:p>
    <w:p w:rsidR="00E02187" w:rsidRDefault="00E02187" w:rsidP="00E02187">
      <w:pPr>
        <w:pStyle w:val="NormalWeb"/>
        <w:jc w:val="both"/>
      </w:pPr>
      <w:r>
        <w:t xml:space="preserve">Como mi emigración a Inglaterra se decidió a final de curso no hubo tiempo material para organizar al resto de la familia, de manera que ahora me toca pensar en ellos. Y una de las prioridades, claro, es la escuela de los hijos. Así que he recuperado un artículo que me sugirió Luis hace tiempo que explica los efectos positivos de una innovación escolar importante, introducida por el gobierno laborista en 2002 para dotar de mayor autonomía a las escuelas financiadas con fondos públicos, las </w:t>
      </w:r>
      <w:r>
        <w:rPr>
          <w:rStyle w:val="nfasis"/>
        </w:rPr>
        <w:t>academy schools</w:t>
      </w:r>
      <w:r>
        <w:t xml:space="preserve">. Les adelanto la conclusión de los autores: “Nuestros resultados sugieren que el paso a una estructura escolar más autónoma a través de la conversión en </w:t>
      </w:r>
      <w:r>
        <w:rPr>
          <w:rStyle w:val="nfasis"/>
        </w:rPr>
        <w:t>academy schools</w:t>
      </w:r>
      <w:r>
        <w:t xml:space="preserve"> genera una mejora significativa en la calidad de los alumnos que entran en la escuela y una mejora significativa en el rendimiento de los alumnos”.</w:t>
      </w:r>
    </w:p>
    <w:p w:rsidR="00E02187" w:rsidRPr="00D762BF" w:rsidRDefault="00E02187" w:rsidP="00E02187">
      <w:pPr>
        <w:pStyle w:val="NormalWeb"/>
        <w:jc w:val="both"/>
      </w:pPr>
      <w:r>
        <w:t xml:space="preserve">El artículo es de </w:t>
      </w:r>
      <w:hyperlink r:id="rId243" w:history="1">
        <w:r w:rsidRPr="00D762BF">
          <w:rPr>
            <w:rStyle w:val="Hipervnculo"/>
            <w:rFonts w:eastAsiaTheme="majorEastAsia"/>
            <w:color w:val="auto"/>
          </w:rPr>
          <w:t>Steve Machin y James Vernoit</w:t>
        </w:r>
      </w:hyperlink>
      <w:r w:rsidRPr="00D762BF">
        <w:t>.</w:t>
      </w:r>
    </w:p>
    <w:p w:rsidR="00E02187" w:rsidRPr="006B5048" w:rsidRDefault="00E02187" w:rsidP="00E02187">
      <w:pPr>
        <w:pStyle w:val="NormalWeb"/>
        <w:jc w:val="both"/>
        <w:rPr>
          <w:u w:val="single"/>
        </w:rPr>
      </w:pPr>
      <w:r w:rsidRPr="006B5048">
        <w:rPr>
          <w:u w:val="single"/>
        </w:rPr>
        <w:t>Como les decía al principio una de las cosas más interesantes del artículo es que comienza describiendo los tipos de instituciones que operan en el Reino Unido. En el Reino Unido, el “sector voluntario” en su origen sobre todo religioso ha estado muy implicado en el mundo educativo. El estado fue ganando terreno con el paso del tiempo creando las escuelas públicas estándar (“community schools”), pero ese sector voluntario siempre conservó alguna implicación, con las escuelas que aún se llaman “voluntary aided schools” que tienen financiación pública pero alguna independencia y las escuelas privadas puras (“independent schools”). Pero la ley de educación de 1988 abrió la puerta a otro tipo de implicación del sector privado en las escuelas con financiación pública y es de donde nacen las “academy schools”.</w:t>
      </w:r>
    </w:p>
    <w:p w:rsidR="00E02187" w:rsidRDefault="00E02187" w:rsidP="00E02187">
      <w:pPr>
        <w:pStyle w:val="NormalWeb"/>
        <w:jc w:val="both"/>
      </w:pPr>
      <w:r>
        <w:t>En total hay 7 tipos de escuelas y la evolución y porcentajes de los tipos de escuelas que reciben financiación pública se puede ver en la siguiente tabla. Nótese que el número total de escuelas no ha cambiado mucho, y lo que habido es un gran crecimiento de las “foundation schools” y las “academy schools”.</w:t>
      </w:r>
    </w:p>
    <w:p w:rsidR="00E02187" w:rsidRDefault="00E02187" w:rsidP="00E02187">
      <w:pPr>
        <w:pStyle w:val="NormalWeb"/>
        <w:jc w:val="both"/>
      </w:pPr>
      <w:r>
        <w:rPr>
          <w:noProof/>
          <w:color w:val="0000FF"/>
        </w:rPr>
        <w:lastRenderedPageBreak/>
        <w:drawing>
          <wp:inline distT="0" distB="0" distL="0" distR="0" wp14:anchorId="1445D3DC" wp14:editId="55DD5372">
            <wp:extent cx="5530291" cy="2962656"/>
            <wp:effectExtent l="0" t="0" r="0" b="9525"/>
            <wp:docPr id="496" name="Imagen 496" descr="academy 1">
              <a:hlinkClick xmlns:a="http://schemas.openxmlformats.org/drawingml/2006/main" r:id="rId2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cademy 1">
                      <a:hlinkClick r:id="rId244"/>
                    </pic:cNvPr>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533806" cy="2964539"/>
                    </a:xfrm>
                    <a:prstGeom prst="rect">
                      <a:avLst/>
                    </a:prstGeom>
                    <a:noFill/>
                    <a:ln>
                      <a:noFill/>
                    </a:ln>
                  </pic:spPr>
                </pic:pic>
              </a:graphicData>
            </a:graphic>
          </wp:inline>
        </w:drawing>
      </w:r>
    </w:p>
    <w:p w:rsidR="00E02187" w:rsidRDefault="00E02187" w:rsidP="00E02187">
      <w:pPr>
        <w:pStyle w:val="NormalWeb"/>
        <w:jc w:val="both"/>
      </w:pPr>
      <w:r>
        <w:t>Veamos ahora en qué se diferencias los tipos principales de escuela:</w:t>
      </w:r>
    </w:p>
    <w:p w:rsidR="00E02187" w:rsidRPr="009C5465" w:rsidRDefault="00E02187" w:rsidP="00E02187">
      <w:pPr>
        <w:numPr>
          <w:ilvl w:val="0"/>
          <w:numId w:val="20"/>
        </w:numPr>
        <w:spacing w:before="100" w:beforeAutospacing="1" w:after="100" w:afterAutospacing="1" w:line="240" w:lineRule="auto"/>
        <w:jc w:val="both"/>
        <w:rPr>
          <w:rFonts w:ascii="Times New Roman" w:hAnsi="Times New Roman" w:cs="Times New Roman"/>
          <w:sz w:val="24"/>
          <w:szCs w:val="24"/>
        </w:rPr>
      </w:pPr>
      <w:r w:rsidRPr="006B5048">
        <w:rPr>
          <w:rStyle w:val="nfasis"/>
          <w:rFonts w:ascii="Times New Roman" w:hAnsi="Times New Roman" w:cs="Times New Roman"/>
          <w:color w:val="FF0000"/>
          <w:sz w:val="24"/>
          <w:szCs w:val="24"/>
        </w:rPr>
        <w:t>Independent schools</w:t>
      </w:r>
      <w:r w:rsidRPr="009C5465">
        <w:rPr>
          <w:rStyle w:val="nfasis"/>
          <w:rFonts w:ascii="Times New Roman" w:hAnsi="Times New Roman" w:cs="Times New Roman"/>
          <w:sz w:val="24"/>
          <w:szCs w:val="24"/>
        </w:rPr>
        <w:t>.</w:t>
      </w:r>
      <w:r w:rsidRPr="009C5465">
        <w:rPr>
          <w:rFonts w:ascii="Times New Roman" w:hAnsi="Times New Roman" w:cs="Times New Roman"/>
          <w:sz w:val="24"/>
          <w:szCs w:val="24"/>
        </w:rPr>
        <w:t xml:space="preserve"> </w:t>
      </w:r>
      <w:r w:rsidRPr="006B5048">
        <w:rPr>
          <w:rFonts w:ascii="Times New Roman" w:hAnsi="Times New Roman" w:cs="Times New Roman"/>
          <w:sz w:val="24"/>
          <w:szCs w:val="24"/>
          <w:u w:val="single"/>
        </w:rPr>
        <w:t>Estas escuelas privadas puras</w:t>
      </w:r>
      <w:r w:rsidRPr="009C5465">
        <w:rPr>
          <w:rFonts w:ascii="Times New Roman" w:hAnsi="Times New Roman" w:cs="Times New Roman"/>
          <w:sz w:val="24"/>
          <w:szCs w:val="24"/>
        </w:rPr>
        <w:t xml:space="preserve"> tienen libertad en la admisión de estudiantes, en la imposición de tasas, diseño del currículo (para controlar que los alumnos aprenden están los exámenes de fin de cada ciclo, donde un resultado desastroso puede llevar a revocar la licencia), duración y estructura de la jornada escolar y decisiones sobre el personal.</w:t>
      </w:r>
    </w:p>
    <w:p w:rsidR="00E02187" w:rsidRPr="009C5465" w:rsidRDefault="00E02187" w:rsidP="00E02187">
      <w:pPr>
        <w:numPr>
          <w:ilvl w:val="0"/>
          <w:numId w:val="20"/>
        </w:numPr>
        <w:spacing w:before="100" w:beforeAutospacing="1" w:after="100" w:afterAutospacing="1" w:line="240" w:lineRule="auto"/>
        <w:jc w:val="both"/>
        <w:rPr>
          <w:rFonts w:ascii="Times New Roman" w:hAnsi="Times New Roman" w:cs="Times New Roman"/>
          <w:sz w:val="24"/>
          <w:szCs w:val="24"/>
        </w:rPr>
      </w:pPr>
      <w:r w:rsidRPr="006B5048">
        <w:rPr>
          <w:rStyle w:val="nfasis"/>
          <w:rFonts w:ascii="Times New Roman" w:hAnsi="Times New Roman" w:cs="Times New Roman"/>
          <w:color w:val="FF0000"/>
          <w:sz w:val="24"/>
          <w:szCs w:val="24"/>
        </w:rPr>
        <w:t>Academy schools</w:t>
      </w:r>
      <w:r w:rsidRPr="009C5465">
        <w:rPr>
          <w:rStyle w:val="nfasis"/>
          <w:rFonts w:ascii="Times New Roman" w:hAnsi="Times New Roman" w:cs="Times New Roman"/>
          <w:sz w:val="24"/>
          <w:szCs w:val="24"/>
        </w:rPr>
        <w:t>.</w:t>
      </w:r>
      <w:r w:rsidRPr="009C5465">
        <w:rPr>
          <w:rFonts w:ascii="Times New Roman" w:hAnsi="Times New Roman" w:cs="Times New Roman"/>
          <w:sz w:val="24"/>
          <w:szCs w:val="24"/>
        </w:rPr>
        <w:t xml:space="preserve"> </w:t>
      </w:r>
      <w:r w:rsidRPr="006B5048">
        <w:rPr>
          <w:rFonts w:ascii="Times New Roman" w:hAnsi="Times New Roman" w:cs="Times New Roman"/>
          <w:sz w:val="24"/>
          <w:szCs w:val="24"/>
          <w:u w:val="single"/>
        </w:rPr>
        <w:t>Estas escuelas tienen financiación pública, pero bastante libertad</w:t>
      </w:r>
      <w:r w:rsidRPr="009C5465">
        <w:rPr>
          <w:rFonts w:ascii="Times New Roman" w:hAnsi="Times New Roman" w:cs="Times New Roman"/>
          <w:sz w:val="24"/>
          <w:szCs w:val="24"/>
        </w:rPr>
        <w:t>. Esta es grande, para mí crucialmente, en el diseño del currículo (con excepción de matemáticas, lengua inglesa, y ciencia), duración y estructura de la jornada escolar y decisiones sobre el personal. Pueden seleccionar hasta 10% de los estudiantes basado en su aptitud y entusiasmo por las especialidades de la escuela, pero para el resto siguen el esquema general de las escuelas con financiación pública, que prima básicamente la cercanía de residencia. No pueden cargar ningún tipo de tasas.</w:t>
      </w:r>
    </w:p>
    <w:p w:rsidR="00E02187" w:rsidRPr="006B5048" w:rsidRDefault="00E02187" w:rsidP="00E02187">
      <w:pPr>
        <w:numPr>
          <w:ilvl w:val="0"/>
          <w:numId w:val="20"/>
        </w:numPr>
        <w:spacing w:before="100" w:beforeAutospacing="1" w:after="100" w:afterAutospacing="1" w:line="240" w:lineRule="auto"/>
        <w:jc w:val="both"/>
        <w:rPr>
          <w:rFonts w:ascii="Times New Roman" w:hAnsi="Times New Roman" w:cs="Times New Roman"/>
          <w:sz w:val="24"/>
          <w:szCs w:val="24"/>
          <w:u w:val="single"/>
        </w:rPr>
      </w:pPr>
      <w:r w:rsidRPr="006B5048">
        <w:rPr>
          <w:rStyle w:val="nfasis"/>
          <w:rFonts w:ascii="Times New Roman" w:hAnsi="Times New Roman" w:cs="Times New Roman"/>
          <w:color w:val="FF0000"/>
          <w:sz w:val="24"/>
          <w:szCs w:val="24"/>
          <w:lang w:val="en-US"/>
        </w:rPr>
        <w:t>Voluntary-aided school, foundation school y voluntary controlled</w:t>
      </w:r>
      <w:r w:rsidRPr="006B5048">
        <w:rPr>
          <w:rFonts w:ascii="Times New Roman" w:hAnsi="Times New Roman" w:cs="Times New Roman"/>
          <w:i/>
          <w:iCs/>
          <w:color w:val="FF0000"/>
          <w:sz w:val="24"/>
          <w:szCs w:val="24"/>
          <w:lang w:val="en-US"/>
        </w:rPr>
        <w:br/>
      </w:r>
      <w:r w:rsidRPr="006B5048">
        <w:rPr>
          <w:rStyle w:val="nfasis"/>
          <w:rFonts w:ascii="Times New Roman" w:hAnsi="Times New Roman" w:cs="Times New Roman"/>
          <w:color w:val="FF0000"/>
          <w:sz w:val="24"/>
          <w:szCs w:val="24"/>
          <w:lang w:val="en-US"/>
        </w:rPr>
        <w:t>school</w:t>
      </w:r>
      <w:r w:rsidRPr="009C5465">
        <w:rPr>
          <w:rStyle w:val="nfasis"/>
          <w:rFonts w:ascii="Times New Roman" w:hAnsi="Times New Roman" w:cs="Times New Roman"/>
          <w:sz w:val="24"/>
          <w:szCs w:val="24"/>
          <w:lang w:val="en-US"/>
        </w:rPr>
        <w:t>.</w:t>
      </w:r>
      <w:r w:rsidRPr="009C5465">
        <w:rPr>
          <w:rFonts w:ascii="Times New Roman" w:hAnsi="Times New Roman" w:cs="Times New Roman"/>
          <w:sz w:val="24"/>
          <w:szCs w:val="24"/>
          <w:lang w:val="en-US"/>
        </w:rPr>
        <w:t xml:space="preserve"> </w:t>
      </w:r>
      <w:r w:rsidRPr="006B5048">
        <w:rPr>
          <w:rFonts w:ascii="Times New Roman" w:hAnsi="Times New Roman" w:cs="Times New Roman"/>
          <w:sz w:val="24"/>
          <w:szCs w:val="24"/>
          <w:u w:val="single"/>
        </w:rPr>
        <w:t>Estas escuelas deben seguir el currículo nacional en todas las asignaturas, y no tienen control sobre la estructura y duración de la jornada escolar y tampoco controlan la admisión. La mayor libertad se encuentra en las decisiones de personal.</w:t>
      </w:r>
    </w:p>
    <w:p w:rsidR="00E02187" w:rsidRPr="006B5048" w:rsidRDefault="00E02187" w:rsidP="00E02187">
      <w:pPr>
        <w:numPr>
          <w:ilvl w:val="0"/>
          <w:numId w:val="20"/>
        </w:numPr>
        <w:spacing w:before="100" w:beforeAutospacing="1" w:after="100" w:afterAutospacing="1" w:line="240" w:lineRule="auto"/>
        <w:jc w:val="both"/>
        <w:rPr>
          <w:rFonts w:ascii="Times New Roman" w:hAnsi="Times New Roman" w:cs="Times New Roman"/>
          <w:sz w:val="24"/>
          <w:szCs w:val="24"/>
          <w:u w:val="single"/>
        </w:rPr>
      </w:pPr>
      <w:r w:rsidRPr="006B5048">
        <w:rPr>
          <w:rStyle w:val="nfasis"/>
          <w:rFonts w:ascii="Times New Roman" w:hAnsi="Times New Roman" w:cs="Times New Roman"/>
          <w:color w:val="FF0000"/>
          <w:sz w:val="24"/>
          <w:szCs w:val="24"/>
        </w:rPr>
        <w:t>Local community school</w:t>
      </w:r>
      <w:r w:rsidRPr="009C5465">
        <w:rPr>
          <w:rStyle w:val="nfasis"/>
          <w:rFonts w:ascii="Times New Roman" w:hAnsi="Times New Roman" w:cs="Times New Roman"/>
          <w:sz w:val="24"/>
          <w:szCs w:val="24"/>
        </w:rPr>
        <w:t>.</w:t>
      </w:r>
      <w:r w:rsidRPr="009C5465">
        <w:rPr>
          <w:rFonts w:ascii="Times New Roman" w:hAnsi="Times New Roman" w:cs="Times New Roman"/>
          <w:sz w:val="24"/>
          <w:szCs w:val="24"/>
        </w:rPr>
        <w:t xml:space="preserve"> </w:t>
      </w:r>
      <w:r w:rsidRPr="006B5048">
        <w:rPr>
          <w:rFonts w:ascii="Times New Roman" w:hAnsi="Times New Roman" w:cs="Times New Roman"/>
          <w:sz w:val="24"/>
          <w:szCs w:val="24"/>
          <w:u w:val="single"/>
        </w:rPr>
        <w:t>Estas escuelas se rigen totalmente por lo que las autoridades escolares deciden, y no tienen autonomía en ninguna de las áreas mencionadas anteriormente.</w:t>
      </w:r>
    </w:p>
    <w:p w:rsidR="00E02187" w:rsidRDefault="00E02187" w:rsidP="00E02187">
      <w:pPr>
        <w:pStyle w:val="NormalWeb"/>
        <w:jc w:val="both"/>
      </w:pPr>
      <w:r>
        <w:t>El artículo analiza los efectos a partir de las bases de datos de características de las escuelas del departamento de educación (que incluyen porcentajes de alumnos con becas de comedor, con necesidades especiales, de diferentes grupos étnicos o ratios alumno/profesor) y las medidas de resultados de los exámenes estandarizados de final de primaria (Key Stage 2, o KS2, a los 11 años) y secundaria (Key Stage 4, o KS4, a los 16 años).</w:t>
      </w:r>
    </w:p>
    <w:p w:rsidR="00E02187" w:rsidRPr="006B5048" w:rsidRDefault="00E02187" w:rsidP="00E02187">
      <w:pPr>
        <w:pStyle w:val="NormalWeb"/>
        <w:jc w:val="both"/>
        <w:rPr>
          <w:u w:val="single"/>
        </w:rPr>
      </w:pPr>
      <w:r w:rsidRPr="006B5048">
        <w:rPr>
          <w:u w:val="single"/>
        </w:rPr>
        <w:lastRenderedPageBreak/>
        <w:t xml:space="preserve">Como vimos antes la mayor parte de las “academy schools” son conversiones desde otro tipo de escuela, por lo que el </w:t>
      </w:r>
      <w:r w:rsidRPr="006B5048">
        <w:rPr>
          <w:rStyle w:val="nfasis"/>
          <w:u w:val="single"/>
        </w:rPr>
        <w:t>tratamiento</w:t>
      </w:r>
      <w:r w:rsidRPr="006B5048">
        <w:rPr>
          <w:u w:val="single"/>
        </w:rPr>
        <w:t xml:space="preserve"> cuyo efecto se pretende elucidar es la conversión en “academy”. El año en que la autoridad educativa aprueba esta conversión lo consideran los autores el comienzo del tratamiento. El efecto que se pretende medir es sobre los resultados, principalmente en el porcentaje de alumnos con al menos 5 aprobados (notas A* a C incluyendo lengua inglesa y matemáticas) en el KS4, y sobre la demanda de la escuela por las notas medias de KS2 de los solicitantes. Los mismos resultados se miden en las escuelas “cercanas” definido como aquellas en un radio de 3 millas (unos 5 kilómetros) de la escuela convertida.</w:t>
      </w:r>
    </w:p>
    <w:p w:rsidR="00E02187" w:rsidRDefault="00E02187" w:rsidP="00E02187">
      <w:pPr>
        <w:pStyle w:val="NormalWeb"/>
        <w:jc w:val="both"/>
      </w:pPr>
      <w:r>
        <w:t>El método empleado para medir el efecto es del de diferencias-en-diferencias. Es decir, miden la diferencia en los resultados antes y después del tratamiento de las escuelas tratadas respecto a un grupo de control. Como siempre con este método hay un peligro serio de que el grupo tratado sea especial y el sesgo de selección anule el resultado. Para minimizar este riesgo, el grupo de control escogido es el de escuelas que se convertirían en “academy” en los años siguientes al finalizar el período de observación, 2008. En la tabla 4 del artículo se puede ver que al menos en las características observables el grupo tratado y el de control se parecen mucho, lo que da una cierta credibilidad a la estrategia, aunque como es natural siempre quedan dudas importantes en cualquier artículo no experimental.</w:t>
      </w:r>
    </w:p>
    <w:p w:rsidR="00E02187" w:rsidRDefault="00E02187" w:rsidP="00E02187">
      <w:pPr>
        <w:pStyle w:val="NormalWeb"/>
        <w:jc w:val="both"/>
      </w:pPr>
      <w:r>
        <w:t>Los resultados sobre la demanda de las escuelas se pueden ver en la siguiente tabla. La columna 1 refleja los resultados globales (en desviaciones estándar como es habitual) del tratamiento en los resultados de primaria (KS2) de los demandantes de las escuelas. La columna 2 añade controles, la 3 separa el efecto por el año en que fueron admitidas y la 4 separa las escuelas que llevan más tiempo como “academies” (las primeras cinco cohortes) de las que llevan poco tiempo.</w:t>
      </w:r>
    </w:p>
    <w:p w:rsidR="00E02187" w:rsidRDefault="00E02187" w:rsidP="00E02187">
      <w:pPr>
        <w:pStyle w:val="NormalWeb"/>
        <w:jc w:val="both"/>
      </w:pPr>
      <w:r>
        <w:rPr>
          <w:noProof/>
          <w:color w:val="0000FF"/>
        </w:rPr>
        <w:drawing>
          <wp:inline distT="0" distB="0" distL="0" distR="0" wp14:anchorId="0378EEEA" wp14:editId="5172478F">
            <wp:extent cx="5303520" cy="2304288"/>
            <wp:effectExtent l="0" t="0" r="0" b="1270"/>
            <wp:docPr id="497" name="Imagen 497" descr="academy 3-2">
              <a:hlinkClick xmlns:a="http://schemas.openxmlformats.org/drawingml/2006/main" r:id="rId2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cademy 3-2">
                      <a:hlinkClick r:id="rId246"/>
                    </pic:cNvPr>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309069" cy="2306699"/>
                    </a:xfrm>
                    <a:prstGeom prst="rect">
                      <a:avLst/>
                    </a:prstGeom>
                    <a:noFill/>
                    <a:ln>
                      <a:noFill/>
                    </a:ln>
                  </pic:spPr>
                </pic:pic>
              </a:graphicData>
            </a:graphic>
          </wp:inline>
        </w:drawing>
      </w:r>
    </w:p>
    <w:p w:rsidR="00E02187" w:rsidRPr="006B5048" w:rsidRDefault="00E02187" w:rsidP="00E02187">
      <w:pPr>
        <w:pStyle w:val="NormalWeb"/>
        <w:jc w:val="both"/>
        <w:rPr>
          <w:u w:val="single"/>
        </w:rPr>
      </w:pPr>
      <w:r w:rsidRPr="006B5048">
        <w:rPr>
          <w:u w:val="single"/>
        </w:rPr>
        <w:t>Como puede observarse el impacto es sustancial, los demandantes son 0.2 desviaciones estándar mejores (20 puntos de PISA, casi la mitad de la distancia entre el mejor y peor de la muestra por países), y además está concentrado en las escuelas que llevan más tiempo convertidas. Esto último es natural, no puede esperarse un efecto mágico inmediato.</w:t>
      </w:r>
    </w:p>
    <w:p w:rsidR="00E02187" w:rsidRDefault="00E02187" w:rsidP="00E02187">
      <w:pPr>
        <w:pStyle w:val="NormalWeb"/>
        <w:jc w:val="both"/>
      </w:pPr>
      <w:r>
        <w:t xml:space="preserve">El efecto sobre los estudiantes se puede ver en la siguiente tabla que tiene una estructura similar a la anterior. La diferencia es que ahora se mide los resultados finales, al acabar </w:t>
      </w:r>
      <w:r>
        <w:lastRenderedPageBreak/>
        <w:t>la secundaria (el KS4) y añade una columna, la 5, en la que, dado que sabemos que los estudiantes que demandan son mejores en media, controla por los resultados de KS2 (al entrar) de los alumnos.</w:t>
      </w:r>
    </w:p>
    <w:p w:rsidR="00E02187" w:rsidRDefault="00E02187" w:rsidP="00E02187">
      <w:pPr>
        <w:pStyle w:val="NormalWeb"/>
        <w:jc w:val="both"/>
      </w:pPr>
      <w:r>
        <w:rPr>
          <w:noProof/>
          <w:color w:val="0000FF"/>
        </w:rPr>
        <w:drawing>
          <wp:inline distT="0" distB="0" distL="0" distR="0" wp14:anchorId="7D63F4C4" wp14:editId="7EB1ED13">
            <wp:extent cx="5544921" cy="2713939"/>
            <wp:effectExtent l="0" t="0" r="0" b="0"/>
            <wp:docPr id="498" name="Imagen 498" descr="academy 4-4">
              <a:hlinkClick xmlns:a="http://schemas.openxmlformats.org/drawingml/2006/main" r:id="rId2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cademy 4-4">
                      <a:hlinkClick r:id="rId248"/>
                    </pic:cNvPr>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550722" cy="2716778"/>
                    </a:xfrm>
                    <a:prstGeom prst="rect">
                      <a:avLst/>
                    </a:prstGeom>
                    <a:noFill/>
                    <a:ln>
                      <a:noFill/>
                    </a:ln>
                  </pic:spPr>
                </pic:pic>
              </a:graphicData>
            </a:graphic>
          </wp:inline>
        </w:drawing>
      </w:r>
    </w:p>
    <w:p w:rsidR="00E02187" w:rsidRPr="006B5048" w:rsidRDefault="00E02187" w:rsidP="00E02187">
      <w:pPr>
        <w:pStyle w:val="NormalWeb"/>
        <w:jc w:val="both"/>
        <w:rPr>
          <w:u w:val="single"/>
        </w:rPr>
      </w:pPr>
      <w:r w:rsidRPr="006B5048">
        <w:rPr>
          <w:u w:val="single"/>
        </w:rPr>
        <w:t>Los resultados son también claros. El efecto en media es nulo, pero si vamos a las columnas 4 y 5 puede verse que esto es porque el efecto es claramente positivo en las “academies” que llevan más tiempo y no significativo en las que llevan menos tiempo. El orden de magnitud para las que llevan más tiempo es de 0.18 desviaciones estándar (18 puntos de PISA, algo bastante importante) y permanece incluso si controlamos por la mejora del nivel de los estudiantes cuando empiezan.</w:t>
      </w:r>
    </w:p>
    <w:p w:rsidR="00E02187" w:rsidRPr="006B5048" w:rsidRDefault="00E02187" w:rsidP="00E02187">
      <w:pPr>
        <w:pStyle w:val="NormalWeb"/>
        <w:jc w:val="both"/>
        <w:rPr>
          <w:u w:val="single"/>
        </w:rPr>
      </w:pPr>
      <w:r w:rsidRPr="006B5048">
        <w:rPr>
          <w:u w:val="single"/>
        </w:rPr>
        <w:t>El artículo tiene más resultados. Por ejemplo, se ve que las escuelas que más autonomía ganan al cambiar su estatus al de “academy” las “community schools” (o públicas puras) son las que más mejoran. Pero como los autores reconocen, hay muchas más de estas, lo que hace recomendar prudencia al interpretar el resultado.</w:t>
      </w:r>
    </w:p>
    <w:p w:rsidR="00E02187" w:rsidRPr="00393CD5" w:rsidRDefault="00E02187" w:rsidP="00E02187">
      <w:pPr>
        <w:pStyle w:val="NormalWeb"/>
        <w:jc w:val="both"/>
      </w:pPr>
      <w:r w:rsidRPr="006B5048">
        <w:rPr>
          <w:u w:val="single"/>
        </w:rPr>
        <w:t xml:space="preserve">Me he alargado un poco y solo quiero acabar con dos reflexiones. La primera es que nuestro </w:t>
      </w:r>
      <w:hyperlink r:id="rId250" w:history="1">
        <w:r w:rsidRPr="00D762BF">
          <w:rPr>
            <w:rStyle w:val="Hipervnculo"/>
            <w:rFonts w:eastAsiaTheme="majorEastAsia"/>
            <w:color w:val="auto"/>
          </w:rPr>
          <w:t>manifiesto sobre educación</w:t>
        </w:r>
      </w:hyperlink>
      <w:r w:rsidRPr="00D762BF">
        <w:rPr>
          <w:u w:val="single"/>
        </w:rPr>
        <w:t xml:space="preserve"> ya </w:t>
      </w:r>
      <w:r w:rsidRPr="006B5048">
        <w:rPr>
          <w:u w:val="single"/>
        </w:rPr>
        <w:t xml:space="preserve">incluía una petición de mayor autonomía de las escuelas, tanto sobre el currículo, como sobre las decisiones de personal y esta evidencia sugiere (pero no prueba de manera definitiva, es verdad) que es una buena idea y vale la pena innovar en esa línea. La segunda es que es una lástima que la LOMCE parezca empeñada en seguir el modelo dirigista de currículo cuando al mismo tiempo propone exámenes que se parecen mucho a los KS2 y KS4. </w:t>
      </w:r>
      <w:r w:rsidRPr="00393CD5">
        <w:t>Si vamos a controlar el resultado, ¿para qué insistir en vigilar los procesos? ¿No sería mejor dejar en paz, al menos a los que lo hagan bien?</w:t>
      </w:r>
    </w:p>
    <w:p w:rsidR="00E02187" w:rsidRPr="009829B3" w:rsidRDefault="00E02187" w:rsidP="00E02187">
      <w:pPr>
        <w:pStyle w:val="NormalWeb"/>
        <w:jc w:val="both"/>
        <w:rPr>
          <w:u w:val="single"/>
        </w:rPr>
      </w:pPr>
      <w:r>
        <w:rPr>
          <w:u w:val="single"/>
        </w:rPr>
        <w:t>C</w:t>
      </w:r>
      <w:r w:rsidRPr="009829B3">
        <w:rPr>
          <w:u w:val="single"/>
        </w:rPr>
        <w:t>rónica de una muerte anunciada: dos de las universidades más reconocidas de Grecia se han visto obligadas a cerrar sus puertas debido a l</w:t>
      </w:r>
      <w:r>
        <w:rPr>
          <w:u w:val="single"/>
        </w:rPr>
        <w:t>os recortes del Gobierno heleno</w:t>
      </w:r>
    </w:p>
    <w:p w:rsidR="00E02187" w:rsidRPr="009829B3" w:rsidRDefault="00E02187" w:rsidP="00E02187">
      <w:pPr>
        <w:pStyle w:val="NormalWeb"/>
        <w:jc w:val="both"/>
      </w:pPr>
      <w:r>
        <w:rPr>
          <w:i/>
        </w:rPr>
        <w:t>“</w:t>
      </w:r>
      <w:r w:rsidRPr="009829B3">
        <w:rPr>
          <w:i/>
        </w:rPr>
        <w:t xml:space="preserve">La Universidad Nacional y Capodistriana, ubicada en Atenas, es la más antigua de todo el Mediterráneo oriental -se fundó en 1837- y, en su comunicado oficial, ha argumentado que “cualquier actividad educativa, de investigación o administrativa es objetivamente imposible”, según informa el medio Greek Reporter. Como consecuencia, sus más de 125.000 estudiantes se encuentran a partir de ahora en una </w:t>
      </w:r>
      <w:r w:rsidRPr="009829B3">
        <w:rPr>
          <w:i/>
        </w:rPr>
        <w:lastRenderedPageBreak/>
        <w:t>complicada situación, puesto que se enfrentan a la imposibilidad de recibir diplomas o realizar más exámenes. La decisión también afecta a sus 2.000 profesores y a los 1.300 profesionales que se ocupan de la administración</w:t>
      </w:r>
      <w:r>
        <w:rPr>
          <w:i/>
        </w:rPr>
        <w:t xml:space="preserve">”... </w:t>
      </w:r>
      <w:r w:rsidRPr="004C2442">
        <w:rPr>
          <w:u w:val="single"/>
        </w:rPr>
        <w:t>Dos de las universidades griegas más antiguas cierran por la crisis</w:t>
      </w:r>
      <w:r>
        <w:t xml:space="preserve"> (Gaceta.es - </w:t>
      </w:r>
      <w:r w:rsidRPr="004C2442">
        <w:rPr>
          <w:b/>
        </w:rPr>
        <w:t>25/9/13</w:t>
      </w:r>
      <w:r>
        <w:t xml:space="preserve">) </w:t>
      </w:r>
    </w:p>
    <w:p w:rsidR="00E02187" w:rsidRPr="009829B3" w:rsidRDefault="00E02187" w:rsidP="00E02187">
      <w:pPr>
        <w:pStyle w:val="NormalWeb"/>
        <w:jc w:val="both"/>
      </w:pPr>
      <w:r w:rsidRPr="00A55FE1">
        <w:t xml:space="preserve">En una situación parecida se encuentra la Universidad Politécnica de Atenas, una institución histórica que fue clave en la resistencia a la dictadura militar griega, entre los años 1967 y 1973, y que también está considerada como la más antigua y prestigiosa de las politécnicas griegas. </w:t>
      </w:r>
      <w:r w:rsidRPr="009829B3">
        <w:t>En este caso, el cese de sus actividades perjudica a unos 10.000 estudiantes y a los 1.000 empleados que actualmente trabajan allí.</w:t>
      </w:r>
    </w:p>
    <w:p w:rsidR="00E02187" w:rsidRPr="009829B3" w:rsidRDefault="00E02187" w:rsidP="00E02187">
      <w:pPr>
        <w:pStyle w:val="NormalWeb"/>
        <w:jc w:val="both"/>
      </w:pPr>
      <w:r w:rsidRPr="009829B3">
        <w:t xml:space="preserve">Las críticas de ambas universidades van dirigidas al Ejecutivo heleno, que, en palabras de la Universidad Nacional y Capodistriana, “ha socavado incomprensiblemente” tanto la “educación superior” como a “los jóvenes”, la “única esperanza para salir de la crisis económica y social”. Por ello, subraya que la estrategia </w:t>
      </w:r>
      <w:r>
        <w:t>gubernamental es “inadmisible”.</w:t>
      </w:r>
    </w:p>
    <w:p w:rsidR="00E02187" w:rsidRPr="009829B3" w:rsidRDefault="00E02187" w:rsidP="00E02187">
      <w:pPr>
        <w:pStyle w:val="NormalWeb"/>
        <w:jc w:val="both"/>
      </w:pPr>
      <w:r w:rsidRPr="009829B3">
        <w:t>Varios diarios griegos explican que esta tragedia educativa ha estallado después de que se conociese que el Ministerio de Educación haya decidido que aproximadamente un tercio de los empleados públicos que se ocupan de la administración de las dos instituciones habrán de acogerse al conocido como Plan de Movilidad. Esta iniciativa establece que, mientras no encuentren un nuevo puesto, su salario se verá recortado en un 25%, hasta un límite de ocho meses. Cumplido ese plazo, podrán ser despedidos.</w:t>
      </w:r>
    </w:p>
    <w:p w:rsidR="00E02187" w:rsidRDefault="00E02187" w:rsidP="00E02187">
      <w:pPr>
        <w:pStyle w:val="NormalWeb"/>
        <w:jc w:val="both"/>
      </w:pPr>
      <w:r w:rsidRPr="009829B3">
        <w:t>La medida, que es producto del acuerdo entre el FMI, el BCE y la Comisión Europea, ha provocado las protestas de funcionarios públicos en toda Grecia, que se han manifestado mediante dos huelgas generales en los últimos siete días. La última, durante el martes y el miércoles.</w:t>
      </w:r>
    </w:p>
    <w:p w:rsidR="00E02187" w:rsidRPr="009829B3" w:rsidRDefault="00E02187" w:rsidP="00E02187">
      <w:pPr>
        <w:pStyle w:val="NormalWeb"/>
        <w:jc w:val="both"/>
        <w:rPr>
          <w:u w:val="single"/>
        </w:rPr>
      </w:pPr>
      <w:r w:rsidRPr="009829B3">
        <w:rPr>
          <w:u w:val="single"/>
        </w:rPr>
        <w:t>Y al fin</w:t>
      </w:r>
      <w:r>
        <w:rPr>
          <w:u w:val="single"/>
        </w:rPr>
        <w:t>, lo que hemos logrado: un</w:t>
      </w:r>
      <w:r w:rsidRPr="009829B3">
        <w:rPr>
          <w:u w:val="single"/>
        </w:rPr>
        <w:t>os adolescentes eternos</w:t>
      </w:r>
      <w:r>
        <w:rPr>
          <w:u w:val="single"/>
        </w:rPr>
        <w:t xml:space="preserve"> (viviendo con y de los padres)</w:t>
      </w:r>
    </w:p>
    <w:p w:rsidR="00E02187" w:rsidRPr="00B94D72" w:rsidRDefault="00E02187" w:rsidP="00E02187">
      <w:pPr>
        <w:pStyle w:val="NormalWeb"/>
        <w:jc w:val="both"/>
      </w:pPr>
      <w:r>
        <w:rPr>
          <w:i/>
        </w:rPr>
        <w:t>“</w:t>
      </w:r>
      <w:r w:rsidRPr="009829B3">
        <w:rPr>
          <w:i/>
        </w:rPr>
        <w:t>Según las nuevas indicaciones que reciben los psicólogos en el Reino Unido, la adolescencia ahora dura hasta los 25 años de edad, para efectos de determinar la manera de administrar tratamientos a los jóvenes</w:t>
      </w:r>
      <w:r>
        <w:rPr>
          <w:i/>
        </w:rPr>
        <w:t>”..</w:t>
      </w:r>
      <w:r w:rsidRPr="009829B3">
        <w:rPr>
          <w:i/>
        </w:rPr>
        <w:t xml:space="preserve">. </w:t>
      </w:r>
      <w:r w:rsidRPr="00182DFC">
        <w:rPr>
          <w:u w:val="single"/>
        </w:rPr>
        <w:t>¿Y si la adolescencia se prolonga hasta los 25 años?</w:t>
      </w:r>
      <w:r>
        <w:t xml:space="preserve"> (BBCMundo - </w:t>
      </w:r>
      <w:r w:rsidRPr="00182DFC">
        <w:rPr>
          <w:b/>
        </w:rPr>
        <w:t>25/9/13</w:t>
      </w:r>
      <w:r>
        <w:t>)</w:t>
      </w:r>
    </w:p>
    <w:p w:rsidR="00E02187" w:rsidRPr="00B94D72" w:rsidRDefault="00E02187" w:rsidP="00E02187">
      <w:pPr>
        <w:pStyle w:val="NormalWeb"/>
        <w:jc w:val="both"/>
      </w:pPr>
      <w:r w:rsidRPr="00B94D72">
        <w:t>“La idea de que de repente a los 18 años eres un adulto simplemente no acaba de cuadrar”, dice la psicóloga infantil Laverne Antrobus, que trabaja en l</w:t>
      </w:r>
      <w:r>
        <w:t xml:space="preserve">a Clínica Tavistock de Londres. </w:t>
      </w:r>
      <w:r w:rsidRPr="00B94D72">
        <w:t>“Mi experiencia con los jóvenes es que todavía necesitan una cantidad bastante considerable de apoyo y de ayuda más allá de esa edad”, argumenta.</w:t>
      </w:r>
    </w:p>
    <w:p w:rsidR="00E02187" w:rsidRPr="00B94D72" w:rsidRDefault="00E02187" w:rsidP="00E02187">
      <w:pPr>
        <w:pStyle w:val="NormalWeb"/>
        <w:jc w:val="both"/>
      </w:pPr>
      <w:r w:rsidRPr="00B94D72">
        <w:t>Antrobus cree que a menudo queremos que los jóvenes logren hitos muy rápidamente, pero que ahora “nos estamos volviendo mucho más conscientes y apreciamos el desarrollo más allá (de los 18 años) y creo que es una muy buena iniciativa”.</w:t>
      </w:r>
    </w:p>
    <w:p w:rsidR="00E02187" w:rsidRDefault="00E02187" w:rsidP="00E02187">
      <w:pPr>
        <w:pStyle w:val="NormalWeb"/>
        <w:jc w:val="both"/>
      </w:pPr>
      <w:r w:rsidRPr="00B94D72">
        <w:t>Las nuevas directrices buscan evitar que los jóvenes no queden desamparados por el sistema de salud y educación cuando cumplen 18 años. El cambio llega con la evolución de nuestra comprensión de la madurez emocional, el desarrollo hormonal y particularmente la actividad cerebral.</w:t>
      </w:r>
    </w:p>
    <w:p w:rsidR="00E02187" w:rsidRPr="00B94D72" w:rsidRDefault="00E02187" w:rsidP="00E02187">
      <w:pPr>
        <w:pStyle w:val="NormalWeb"/>
        <w:jc w:val="both"/>
      </w:pPr>
    </w:p>
    <w:p w:rsidR="00E02187" w:rsidRPr="00B94D72" w:rsidRDefault="00E02187" w:rsidP="00E02187">
      <w:pPr>
        <w:pStyle w:val="NormalWeb"/>
        <w:jc w:val="both"/>
      </w:pPr>
      <w:r w:rsidRPr="00B94D72">
        <w:lastRenderedPageBreak/>
        <w:t>Tres etapas</w:t>
      </w:r>
    </w:p>
    <w:p w:rsidR="00E02187" w:rsidRPr="00B94D72" w:rsidRDefault="00E02187" w:rsidP="00E02187">
      <w:pPr>
        <w:pStyle w:val="NormalWeb"/>
        <w:jc w:val="both"/>
      </w:pPr>
      <w:r w:rsidRPr="00B94D72">
        <w:t>Las tres etapas de la adolescencia son:</w:t>
      </w:r>
    </w:p>
    <w:p w:rsidR="00E02187" w:rsidRPr="00B94D72" w:rsidRDefault="00E02187" w:rsidP="00E02187">
      <w:pPr>
        <w:pStyle w:val="NormalWeb"/>
        <w:jc w:val="both"/>
      </w:pPr>
      <w:r w:rsidRPr="00B94D72">
        <w:t>•adolescencia temprana - de 12 a 14 años,</w:t>
      </w:r>
    </w:p>
    <w:p w:rsidR="00E02187" w:rsidRPr="00B94D72" w:rsidRDefault="00E02187" w:rsidP="00E02187">
      <w:pPr>
        <w:pStyle w:val="NormalWeb"/>
        <w:jc w:val="both"/>
      </w:pPr>
      <w:r w:rsidRPr="00B94D72">
        <w:t>•adolescencia media - de 15 a 17 años,</w:t>
      </w:r>
    </w:p>
    <w:p w:rsidR="00E02187" w:rsidRPr="00B94D72" w:rsidRDefault="00E02187" w:rsidP="00E02187">
      <w:pPr>
        <w:pStyle w:val="NormalWeb"/>
        <w:jc w:val="both"/>
      </w:pPr>
      <w:r w:rsidRPr="00B94D72">
        <w:t>•adolescencia tardía - a partir de los 18 años.</w:t>
      </w:r>
    </w:p>
    <w:p w:rsidR="00E02187" w:rsidRPr="00B94D72" w:rsidRDefault="00E02187" w:rsidP="00E02187">
      <w:pPr>
        <w:pStyle w:val="NormalWeb"/>
        <w:jc w:val="both"/>
      </w:pPr>
      <w:r w:rsidRPr="00B94D72">
        <w:t>La neurociencia ha demostrado que el desarrollo cognitivo de los jóvenes continúa más allá de los 18 años en esta etapa posterior y que su madurez emocional, imagen personal y el propio juicio se verán afectados hasta que la corteza prefrontal del cerebro se desarrolle completamente.</w:t>
      </w:r>
    </w:p>
    <w:p w:rsidR="00E02187" w:rsidRPr="00B94D72" w:rsidRDefault="00E02187" w:rsidP="00E02187">
      <w:pPr>
        <w:pStyle w:val="NormalWeb"/>
        <w:jc w:val="both"/>
      </w:pPr>
      <w:r w:rsidRPr="00B94D72">
        <w:t>Entonces, ¿son los 25 los nuevos 18?</w:t>
      </w:r>
    </w:p>
    <w:p w:rsidR="00E02187" w:rsidRPr="00B94D72" w:rsidRDefault="00E02187" w:rsidP="00E02187">
      <w:pPr>
        <w:pStyle w:val="NormalWeb"/>
        <w:jc w:val="both"/>
      </w:pPr>
      <w:r w:rsidRPr="00B94D72">
        <w:t>“Junto con el desarrollo del cerebro, la actividad hormonal también continúa hasta bien entrados los 20 años”</w:t>
      </w:r>
      <w:r>
        <w:t xml:space="preserve">, asegura Antrobus. </w:t>
      </w:r>
      <w:r w:rsidRPr="00B94D72">
        <w:t>Y añade: “Encuentro jóvenes de 16 a 18 años, en los cuales la actividad hormonal es tan grande que imaginar que se calmará al cumplir 18 es, realmente, un error”, sentencia Antrobus.</w:t>
      </w:r>
    </w:p>
    <w:p w:rsidR="00E02187" w:rsidRPr="00B94D72" w:rsidRDefault="00E02187" w:rsidP="00E02187">
      <w:pPr>
        <w:pStyle w:val="NormalWeb"/>
        <w:jc w:val="both"/>
      </w:pPr>
      <w:r w:rsidRPr="00B94D72">
        <w:t>Para Laverne Antrobus, algunos adolescentes pueden querer quedarse más tiempo con sus familias, ya que necesitan más apoyo durante estos años de formación, y que es importante que los padres se den cuenta de que no todos los jóvenes se desarrollan al mismo ritmo.</w:t>
      </w:r>
    </w:p>
    <w:p w:rsidR="00E02187" w:rsidRPr="00B94D72" w:rsidRDefault="00E02187" w:rsidP="00E02187">
      <w:pPr>
        <w:pStyle w:val="NormalWeb"/>
        <w:jc w:val="both"/>
      </w:pPr>
      <w:r w:rsidRPr="00B94D72">
        <w:t>Pero, ¿existe algún peligro de que pudiéramos estar criando a jóvenes que se resisten a dejar la adolescencia?</w:t>
      </w:r>
    </w:p>
    <w:p w:rsidR="00E02187" w:rsidRPr="00B94D72" w:rsidRDefault="00E02187" w:rsidP="00E02187">
      <w:pPr>
        <w:pStyle w:val="NormalWeb"/>
        <w:jc w:val="both"/>
      </w:pPr>
      <w:r w:rsidRPr="00B94D72">
        <w:t>Solíamos pensar que el cerebro estaba totalmente desarrollado en la adolescencia temprana y ahora nos damos cuenta de que el cerebro no detiene su desarrollo hasta mediados de los 20 años o incluso los 30. Hay mucha más información y pruebas de que en realidad el desarrollo del cerebro en varias formas continúa durante toda la vida.</w:t>
      </w:r>
    </w:p>
    <w:p w:rsidR="00E02187" w:rsidRPr="00B94D72" w:rsidRDefault="00E02187" w:rsidP="00E02187">
      <w:pPr>
        <w:pStyle w:val="NormalWeb"/>
        <w:jc w:val="both"/>
      </w:pPr>
      <w:r w:rsidRPr="00B94D72">
        <w:t>A lo largo de la adolescencia, la forma en que se procesa la información está cambiando drásticamente, y lo que han mostrado nuevas técnicas de exploración nos ha permitido demostrar lo que son los cambios neurológicos.</w:t>
      </w:r>
    </w:p>
    <w:p w:rsidR="00E02187" w:rsidRPr="00B94D72" w:rsidRDefault="00E02187" w:rsidP="00E02187">
      <w:pPr>
        <w:pStyle w:val="NormalWeb"/>
        <w:jc w:val="both"/>
      </w:pPr>
      <w:r w:rsidRPr="00B94D72">
        <w:t>Esto es particularmente importante en términos de razonamiento social, planificación, y comprensión de la solución de un problema. Así que el cerebro se reorganiza a sí mismo, lo que a su vez significa que las diferentes estrategias de pensamiento se utilizan según el cerebro se asemeja más a un cerebro adulto.</w:t>
      </w:r>
    </w:p>
    <w:p w:rsidR="00E02187" w:rsidRPr="00B94D72" w:rsidRDefault="00E02187" w:rsidP="00E02187">
      <w:pPr>
        <w:pStyle w:val="NormalWeb"/>
        <w:jc w:val="both"/>
      </w:pPr>
      <w:r w:rsidRPr="00B94D72">
        <w:t xml:space="preserve">La corteza prefrontal es el área clave que experimenta los cambios más interesantes en la adolescencia, así que si haces estudios de resonancia magnética funcional con niños, adolescentes y adultos, se aprecian diferencias en la forma en que procesan la información. </w:t>
      </w:r>
    </w:p>
    <w:p w:rsidR="00E02187" w:rsidRPr="00B94D72" w:rsidRDefault="00E02187" w:rsidP="00E02187">
      <w:pPr>
        <w:pStyle w:val="NormalWeb"/>
        <w:jc w:val="both"/>
      </w:pPr>
      <w:r w:rsidRPr="00B94D72">
        <w:lastRenderedPageBreak/>
        <w:t>Frank Furedi, profesor de sociología de la Universidad de Kent en Inglaterra, dice que hemos infantilizado a los jóvenes y esto ha dado lugar a un número creciente de hombres y mujeres jóvenes que se acercan a los 30 años y aún viven en el hogar familiar.</w:t>
      </w:r>
    </w:p>
    <w:p w:rsidR="00E02187" w:rsidRPr="00B94D72" w:rsidRDefault="00E02187" w:rsidP="00E02187">
      <w:pPr>
        <w:pStyle w:val="NormalWeb"/>
        <w:jc w:val="both"/>
      </w:pPr>
      <w:r w:rsidRPr="00B94D72">
        <w:t>“A menudo se ha reivindicado que es por razones económicas, pero en realidad ese no es el motivo”, dice Furedi. “Hay una pérdida de la aspiración a la independencia y salir adelante por propia cuenta. Cuando yo estaba en la universidad, habría sido una “muerte social” que se le viera a uno con sus padres, mientras que ahora es lo normal”, cuenta.</w:t>
      </w:r>
    </w:p>
    <w:p w:rsidR="00E02187" w:rsidRPr="00B94D72" w:rsidRDefault="00E02187" w:rsidP="00E02187">
      <w:pPr>
        <w:pStyle w:val="NormalWeb"/>
        <w:jc w:val="both"/>
      </w:pPr>
      <w:r w:rsidRPr="00B94D72">
        <w:t>“Este tipo de cambio cultural significa básicamente que la adolescencia se extiende hasta más allá de los 20 años y creo que la psicología, de forma inadvertida, refuerza ese tipo de pasividad, impotencia y falta de madurez y lo normaliza”.</w:t>
      </w:r>
    </w:p>
    <w:p w:rsidR="00E02187" w:rsidRPr="00B94D72" w:rsidRDefault="00E02187" w:rsidP="00E02187">
      <w:pPr>
        <w:pStyle w:val="NormalWeb"/>
        <w:jc w:val="both"/>
      </w:pPr>
      <w:r w:rsidRPr="00B94D72">
        <w:t>Furedi añade que esta cultura infantilizada ha intensificado la sensación de “dependencia pasiva”, que puede dar lugar a dificultades en las re</w:t>
      </w:r>
      <w:r>
        <w:t xml:space="preserve">laciones entre adultos maduros. </w:t>
      </w:r>
      <w:r w:rsidRPr="00B94D72">
        <w:t>“Hay un número creciente de adultos que ven películas infantiles en el cine”, dice Furedi. “Si nos fijamos en los canales de televisión dirigidos a menores en Estados Unidos, el 25% de los espectadores son adultos en lugar de niños”.</w:t>
      </w:r>
    </w:p>
    <w:p w:rsidR="00E02187" w:rsidRPr="00B94D72" w:rsidRDefault="00E02187" w:rsidP="00E02187">
      <w:pPr>
        <w:pStyle w:val="NormalWeb"/>
        <w:jc w:val="both"/>
      </w:pPr>
      <w:r w:rsidRPr="00B94D72">
        <w:t>Furedi no cree que el mundo moderno sea much</w:t>
      </w:r>
      <w:r>
        <w:t xml:space="preserve">o más difícil para los jóvenes. </w:t>
      </w:r>
      <w:r w:rsidRPr="00B94D72">
        <w:t>“Creo que, no es que el mundo se haya vuelto más cruel, sino que retenemos a nuestros hijos desde una edad muy temprana. Cuando tienen 11 o 12 años no los dejamos salir solos y cuando tienen 14 o 15 años los aislamos de las experiencias de la vida real. Además, tratamos a los estudiantes universitarios como solíamos tratar a los escolares, por lo que creo que es ese tipo de efecto acumulativo de infantilización el responsable de esto”.</w:t>
      </w:r>
    </w:p>
    <w:p w:rsidR="00E02187" w:rsidRPr="00B94D72" w:rsidRDefault="00E02187" w:rsidP="00E02187">
      <w:pPr>
        <w:pStyle w:val="NormalWeb"/>
        <w:jc w:val="both"/>
      </w:pPr>
      <w:r w:rsidRPr="00B94D72">
        <w:t>Pero, ¿deben los padres alentar a los adolescentes a construir su propio camino en el mundo?</w:t>
      </w:r>
    </w:p>
    <w:p w:rsidR="00E02187" w:rsidRPr="00B94D72" w:rsidRDefault="00E02187" w:rsidP="00E02187">
      <w:pPr>
        <w:pStyle w:val="NormalWeb"/>
        <w:jc w:val="both"/>
      </w:pPr>
      <w:r w:rsidRPr="00B94D72">
        <w:t>La serie de televisión “Girls” (chicas) cuyo personaje principal, Hannah Horvath, lucha cada día con las contradicciones de la edad adulta, ha cap</w:t>
      </w:r>
      <w:r>
        <w:t xml:space="preserve">turado el espíritu del momento. </w:t>
      </w:r>
      <w:r w:rsidRPr="00B94D72">
        <w:t xml:space="preserve">Los padres de Hannah cortaron su financiación y de repente debe vivir por su cuenta y lidiar con sus “20 años”, </w:t>
      </w:r>
      <w:r>
        <w:t>cometiendo sus propios errores.</w:t>
      </w:r>
    </w:p>
    <w:p w:rsidR="00E02187" w:rsidRPr="00B94D72" w:rsidRDefault="00E02187" w:rsidP="00E02187">
      <w:pPr>
        <w:pStyle w:val="NormalWeb"/>
        <w:jc w:val="both"/>
      </w:pPr>
      <w:r w:rsidRPr="00B94D72">
        <w:t>Uno de los tradicionales ritos de paso a la edad adulta siempre fue salir de casa, pero la experta en propiedad raíz Sarah Beeny dice que los adolescentes no tienen que salir de la casa de los padres con el fin de aprender a ser independientes y hay enormes ventajas de que varias generaciones convivan juntas.</w:t>
      </w:r>
    </w:p>
    <w:p w:rsidR="00E02187" w:rsidRPr="00B94D72" w:rsidRDefault="00E02187" w:rsidP="00E02187">
      <w:pPr>
        <w:pStyle w:val="NormalWeb"/>
        <w:jc w:val="both"/>
      </w:pPr>
      <w:r w:rsidRPr="00B94D72">
        <w:t>“La solución para no tener inútiles de 25 (e incluso) 30 años viviendo en casa no está en echarlos, sino en que ellos laven su propia ropa, ayuden a pagar la renta, las facturas, asuman la responsabilidad de la limpieza de su habitación...”, dice Beeny.</w:t>
      </w:r>
    </w:p>
    <w:p w:rsidR="00E02187" w:rsidRPr="00B94D72" w:rsidRDefault="00E02187" w:rsidP="00E02187">
      <w:pPr>
        <w:pStyle w:val="NormalWeb"/>
        <w:jc w:val="both"/>
      </w:pPr>
      <w:r>
        <w:t xml:space="preserve">Pero, ¿existen los adultos? </w:t>
      </w:r>
      <w:r w:rsidRPr="00B94D72">
        <w:t>Con la adolescencia tomando mucho más tiempo del que pensábamos, ¿cómo vamos a saber cuándo realmente llegamos a la edad adulta?</w:t>
      </w:r>
    </w:p>
    <w:p w:rsidR="00E02187" w:rsidRDefault="00E02187" w:rsidP="00E02187">
      <w:pPr>
        <w:pStyle w:val="NormalWeb"/>
        <w:jc w:val="both"/>
      </w:pPr>
      <w:r w:rsidRPr="00B94D72">
        <w:t xml:space="preserve">Para Antrobus ocurre cuando la independencia “se siente como algo que se quiere y se puede adquirir”. Pero para los adolescentes eternos, tal vez la definición de Beeny es la </w:t>
      </w:r>
      <w:r w:rsidRPr="00B94D72">
        <w:lastRenderedPageBreak/>
        <w:t>apropiada. “Para mí”, dice, “la edad adulta” se está dando cuenta de que no existen los adultos como tal y que todos los demás estamos improvisando”, dice Beeny.</w:t>
      </w:r>
    </w:p>
    <w:p w:rsidR="00E02187" w:rsidRPr="00393CD5" w:rsidRDefault="00E02187" w:rsidP="00E02187">
      <w:pPr>
        <w:pStyle w:val="NormalWeb"/>
        <w:jc w:val="both"/>
        <w:rPr>
          <w:rStyle w:val="Textoennegrita"/>
          <w:b w:val="0"/>
          <w:u w:val="single"/>
        </w:rPr>
      </w:pPr>
      <w:r w:rsidRPr="00393CD5">
        <w:rPr>
          <w:rStyle w:val="Textoennegrita"/>
          <w:b w:val="0"/>
          <w:u w:val="single"/>
        </w:rPr>
        <w:t>El país nórdico consigue, año tras año, los mejores resultados en los informes de PISA, ¿cómo lo hace?</w:t>
      </w:r>
    </w:p>
    <w:p w:rsidR="00E02187" w:rsidRDefault="00E02187" w:rsidP="00E02187">
      <w:pPr>
        <w:pStyle w:val="NormalWeb"/>
        <w:jc w:val="both"/>
        <w:rPr>
          <w:rStyle w:val="Textoennegrita"/>
          <w:b w:val="0"/>
        </w:rPr>
      </w:pPr>
      <w:r>
        <w:rPr>
          <w:rStyle w:val="Textoennegrita"/>
        </w:rPr>
        <w:t xml:space="preserve">- </w:t>
      </w:r>
      <w:r w:rsidRPr="00393CD5">
        <w:rPr>
          <w:rStyle w:val="Textoennegrita"/>
          <w:b w:val="0"/>
          <w:u w:val="single"/>
        </w:rPr>
        <w:t>Finlandia: las claves del sistema educativo más exitoso de Europa</w:t>
      </w:r>
      <w:r w:rsidRPr="00A55FE1">
        <w:rPr>
          <w:rStyle w:val="Textoennegrita"/>
          <w:b w:val="0"/>
        </w:rPr>
        <w:t xml:space="preserve"> (Libertad Digital</w:t>
      </w:r>
      <w:r>
        <w:rPr>
          <w:rStyle w:val="Textoennegrita"/>
        </w:rPr>
        <w:t xml:space="preserve"> - </w:t>
      </w:r>
      <w:r w:rsidRPr="00826F55">
        <w:rPr>
          <w:rStyle w:val="Textoennegrita"/>
        </w:rPr>
        <w:t>5/10/13</w:t>
      </w:r>
      <w:r>
        <w:rPr>
          <w:rStyle w:val="Textoennegrita"/>
        </w:rPr>
        <w:t>)</w:t>
      </w:r>
    </w:p>
    <w:p w:rsidR="00E02187" w:rsidRPr="00826F55" w:rsidRDefault="00E02187" w:rsidP="00E02187">
      <w:pPr>
        <w:jc w:val="both"/>
        <w:rPr>
          <w:rFonts w:ascii="Times New Roman" w:hAnsi="Times New Roman" w:cs="Times New Roman"/>
          <w:sz w:val="24"/>
          <w:szCs w:val="24"/>
        </w:rPr>
      </w:pPr>
      <w:r>
        <w:rPr>
          <w:rFonts w:ascii="Times New Roman" w:hAnsi="Times New Roman" w:cs="Times New Roman"/>
          <w:sz w:val="24"/>
          <w:szCs w:val="24"/>
        </w:rPr>
        <w:t xml:space="preserve">(Por </w:t>
      </w:r>
      <w:r w:rsidRPr="00826F55">
        <w:rPr>
          <w:rFonts w:ascii="Times New Roman" w:hAnsi="Times New Roman" w:cs="Times New Roman"/>
          <w:sz w:val="24"/>
          <w:szCs w:val="24"/>
        </w:rPr>
        <w:t>M. Muro</w:t>
      </w:r>
      <w:r>
        <w:rPr>
          <w:rFonts w:ascii="Times New Roman" w:hAnsi="Times New Roman" w:cs="Times New Roman"/>
          <w:sz w:val="24"/>
          <w:szCs w:val="24"/>
        </w:rPr>
        <w:t>)                                                                                   Lectura recomendada</w:t>
      </w:r>
    </w:p>
    <w:p w:rsidR="00E02187" w:rsidRPr="00D62972" w:rsidRDefault="00E02187" w:rsidP="00E02187">
      <w:pPr>
        <w:pStyle w:val="NormalWeb"/>
        <w:jc w:val="both"/>
        <w:rPr>
          <w:color w:val="FF0000"/>
          <w:u w:val="single"/>
        </w:rPr>
      </w:pPr>
      <w:r w:rsidRPr="00D62972">
        <w:rPr>
          <w:u w:val="single"/>
        </w:rPr>
        <w:t>Finlandia no siempre ha sido uno de los países más competitivos del mundo. De hecho, al término de la Segunda Guerra Mundial podría decirse que era más bien pobre. Sin embargo, sus ciudadanos han sabido superarse y en no muchos años han logrado construir una economía fuerte que les permite disfrutar de un elevado nivel de vida.</w:t>
      </w:r>
      <w:r>
        <w:t xml:space="preserve"> </w:t>
      </w:r>
      <w:r w:rsidRPr="00D62972">
        <w:rPr>
          <w:color w:val="FF0000"/>
          <w:u w:val="single"/>
        </w:rPr>
        <w:t xml:space="preserve">Para explicar por qué podríamos centrarnos en el buen funcionamiento de sus instituciones públicas, su capacidad de innovación o su buen sistema de salud. Pero, sin duda, una de las razones principales es su </w:t>
      </w:r>
      <w:r w:rsidRPr="00D62972">
        <w:rPr>
          <w:rStyle w:val="Textoennegrita"/>
          <w:color w:val="FF0000"/>
        </w:rPr>
        <w:t>sistema educativo</w:t>
      </w:r>
      <w:r w:rsidRPr="00D62972">
        <w:rPr>
          <w:color w:val="FF0000"/>
          <w:u w:val="single"/>
        </w:rPr>
        <w:t>.</w:t>
      </w:r>
    </w:p>
    <w:p w:rsidR="00E02187" w:rsidRPr="00D62972" w:rsidRDefault="00E02187" w:rsidP="00E02187">
      <w:pPr>
        <w:pStyle w:val="NormalWeb"/>
        <w:jc w:val="both"/>
        <w:rPr>
          <w:color w:val="FF0000"/>
          <w:u w:val="single"/>
        </w:rPr>
      </w:pPr>
      <w:r w:rsidRPr="00D62972">
        <w:rPr>
          <w:u w:val="single"/>
        </w:rPr>
        <w:t xml:space="preserve">Desde hace años, Finlandia se sitúa siempre en los primeros puestos en los resultados del </w:t>
      </w:r>
      <w:hyperlink r:id="rId251" w:history="1">
        <w:r w:rsidRPr="00D762BF">
          <w:rPr>
            <w:rStyle w:val="Hipervnculo"/>
            <w:rFonts w:eastAsiaTheme="majorEastAsia"/>
            <w:color w:val="auto"/>
          </w:rPr>
          <w:t>Programa Internacional para la Evaluación de Estudiantes (PISA)</w:t>
        </w:r>
      </w:hyperlink>
      <w:r w:rsidRPr="00D762BF">
        <w:t xml:space="preserve">. </w:t>
      </w:r>
      <w:r>
        <w:t xml:space="preserve">En la última edición, era el país europeo mejor clasificado con cierta diferencia y el único que tenía una puntuación equiparable a los asiáticos más exitosos, como Corea o Singapur. Pero, </w:t>
      </w:r>
      <w:r w:rsidRPr="00D62972">
        <w:rPr>
          <w:color w:val="FF0000"/>
          <w:u w:val="single"/>
        </w:rPr>
        <w:t>¿por qué tienen el mejor sistema educativo?, ¿</w:t>
      </w:r>
      <w:r w:rsidRPr="00D62972">
        <w:rPr>
          <w:rStyle w:val="Textoennegrita"/>
          <w:color w:val="FF0000"/>
        </w:rPr>
        <w:t>qué tiene el modelo finlandés</w:t>
      </w:r>
      <w:r w:rsidRPr="00D62972">
        <w:rPr>
          <w:color w:val="FF0000"/>
          <w:u w:val="single"/>
        </w:rPr>
        <w:t xml:space="preserve"> que no tenga el español ni ningún otro?</w:t>
      </w:r>
    </w:p>
    <w:p w:rsidR="00E02187" w:rsidRPr="00D62972" w:rsidRDefault="00E02187" w:rsidP="00E02187">
      <w:pPr>
        <w:pStyle w:val="NormalWeb"/>
        <w:jc w:val="both"/>
        <w:rPr>
          <w:u w:val="single"/>
        </w:rPr>
      </w:pPr>
      <w:r w:rsidRPr="00D62972">
        <w:rPr>
          <w:u w:val="single"/>
        </w:rPr>
        <w:t xml:space="preserve">La verdad es que no podríamos dar una sola razón. Lo primero que hay que apuntar es que no es un tema principalmente económico. Por ejemplo, según datos de la OCDE, en 2010, el país nórdico gastaba (en paridad de poder adquisitivo) </w:t>
      </w:r>
      <w:r w:rsidRPr="00D62972">
        <w:rPr>
          <w:rStyle w:val="Textoennegrita"/>
        </w:rPr>
        <w:t>9.162 dólares por estudiante de secundaria</w:t>
      </w:r>
      <w:r w:rsidRPr="00D62972">
        <w:rPr>
          <w:u w:val="single"/>
        </w:rPr>
        <w:t>; en el mismo año, España gastaba 9.608 dólares por alumno.</w:t>
      </w:r>
    </w:p>
    <w:p w:rsidR="00E02187" w:rsidRPr="00D62972" w:rsidRDefault="00E02187" w:rsidP="00E02187">
      <w:pPr>
        <w:pStyle w:val="NormalWeb"/>
        <w:jc w:val="both"/>
        <w:rPr>
          <w:u w:val="single"/>
        </w:rPr>
      </w:pPr>
      <w:r w:rsidRPr="00D62972">
        <w:rPr>
          <w:u w:val="single"/>
        </w:rPr>
        <w:t>Y no, tampoco es el frío ni la cultura de los países nórdicos lo que les lleva a la excelencia educativa. Sus vecinos, Noruega o Suecia, invierten mucho más dinero en educación y no tienen sus excelentes resultados.</w:t>
      </w:r>
    </w:p>
    <w:p w:rsidR="00E02187" w:rsidRPr="00D62972" w:rsidRDefault="00E02187" w:rsidP="00E02187">
      <w:pPr>
        <w:pStyle w:val="NormalWeb"/>
        <w:jc w:val="both"/>
        <w:rPr>
          <w:color w:val="FF0000"/>
          <w:u w:val="single"/>
        </w:rPr>
      </w:pPr>
      <w:r w:rsidRPr="00D62972">
        <w:rPr>
          <w:color w:val="FF0000"/>
          <w:u w:val="single"/>
        </w:rPr>
        <w:t xml:space="preserve">La realidad es que el país nórdico ha conseguido encajar todas las piezas del rompecabezas y ha creado un </w:t>
      </w:r>
      <w:r w:rsidRPr="00D62972">
        <w:rPr>
          <w:rStyle w:val="Textoennegrita"/>
          <w:color w:val="FF0000"/>
        </w:rPr>
        <w:t>sistema en el que ningún alumno queda excluido</w:t>
      </w:r>
      <w:r w:rsidRPr="00D62972">
        <w:rPr>
          <w:color w:val="FF0000"/>
          <w:u w:val="single"/>
        </w:rPr>
        <w:t>. No lo ha logrado con normas centralizadas, sino a través de un sistema que da una gran autonomía a los centros y en los que sus profesores son los que controlan los planes de estudios. Todo ello, enmarcado en una ley de educación estable, que no se cambia con el color del gobierno de turno.</w:t>
      </w:r>
    </w:p>
    <w:p w:rsidR="00E02187" w:rsidRPr="00A55FE1" w:rsidRDefault="00E02187" w:rsidP="00E02187">
      <w:pPr>
        <w:pStyle w:val="Ttulo3"/>
        <w:jc w:val="both"/>
        <w:rPr>
          <w:rFonts w:ascii="Times New Roman" w:hAnsi="Times New Roman" w:cs="Times New Roman"/>
          <w:color w:val="auto"/>
          <w:sz w:val="24"/>
          <w:szCs w:val="24"/>
        </w:rPr>
      </w:pPr>
      <w:r w:rsidRPr="00A55FE1">
        <w:rPr>
          <w:rStyle w:val="Textoennegrita"/>
          <w:rFonts w:ascii="Times New Roman" w:hAnsi="Times New Roman" w:cs="Times New Roman"/>
          <w:color w:val="auto"/>
          <w:sz w:val="24"/>
          <w:szCs w:val="24"/>
        </w:rPr>
        <w:t>Un año más tarde</w:t>
      </w:r>
    </w:p>
    <w:p w:rsidR="00E02187" w:rsidRPr="00D62972" w:rsidRDefault="00E02187" w:rsidP="00E02187">
      <w:pPr>
        <w:pStyle w:val="NormalWeb"/>
        <w:jc w:val="both"/>
        <w:rPr>
          <w:color w:val="FF0000"/>
          <w:u w:val="single"/>
        </w:rPr>
      </w:pPr>
      <w:r w:rsidRPr="00D62972">
        <w:rPr>
          <w:color w:val="FF0000"/>
          <w:u w:val="single"/>
        </w:rPr>
        <w:t>En Finlandia buscan la igualdad de oportunidades, lo que no quiere decir se les dé a todos lo mismo. Los profesores se esfuerzan desde los primeros años para que ningún niño se quede atrás; esto sucede en todos los colegios de Finlandia.</w:t>
      </w:r>
    </w:p>
    <w:p w:rsidR="00E02187" w:rsidRPr="00D62972" w:rsidRDefault="00E02187" w:rsidP="00E02187">
      <w:pPr>
        <w:pStyle w:val="NormalWeb"/>
        <w:jc w:val="both"/>
        <w:rPr>
          <w:color w:val="FF0000"/>
          <w:u w:val="single"/>
        </w:rPr>
      </w:pPr>
      <w:r w:rsidRPr="00D62972">
        <w:rPr>
          <w:color w:val="FF0000"/>
          <w:u w:val="single"/>
        </w:rPr>
        <w:t xml:space="preserve">El </w:t>
      </w:r>
      <w:r w:rsidRPr="00D62972">
        <w:rPr>
          <w:rStyle w:val="Textoennegrita"/>
          <w:color w:val="FF0000"/>
        </w:rPr>
        <w:t>95% de los centros son públicos</w:t>
      </w:r>
      <w:r w:rsidRPr="00D62972">
        <w:rPr>
          <w:color w:val="FF0000"/>
          <w:u w:val="single"/>
        </w:rPr>
        <w:t xml:space="preserve">. Y la enseñanza es gratuita, así como el material y el comedor. Eso sí, los padres pueden elegir el colegio que más les guste, no el que les </w:t>
      </w:r>
      <w:r w:rsidRPr="00D62972">
        <w:rPr>
          <w:color w:val="FF0000"/>
          <w:u w:val="single"/>
        </w:rPr>
        <w:lastRenderedPageBreak/>
        <w:t>toque por cercanía. Si está a más de cinco kilómetros de su domicilio, también se les paga el transporte. Al final, la realidad es que suelen elegir el colegio que está más cerca de su casa, porque saben que cualquiera ofrece un altísimo nivel.</w:t>
      </w:r>
    </w:p>
    <w:p w:rsidR="00E02187" w:rsidRPr="00D62972" w:rsidRDefault="00E02187" w:rsidP="00E02187">
      <w:pPr>
        <w:pStyle w:val="NormalWeb"/>
        <w:jc w:val="both"/>
        <w:rPr>
          <w:color w:val="FF0000"/>
          <w:u w:val="single"/>
        </w:rPr>
      </w:pPr>
      <w:r w:rsidRPr="00D62972">
        <w:rPr>
          <w:color w:val="FF0000"/>
          <w:u w:val="single"/>
        </w:rPr>
        <w:t xml:space="preserve">Para conseguir ser los mejores, los niños finlandeses no están más horas, ni empiezan antes. En este país la educación obligatoria comienza a los siete años, ya que se considera que es entonces cuando el niño comienza a tener una cierta madurez para poder asimilar los conocimientos explicados. Los </w:t>
      </w:r>
      <w:r w:rsidRPr="00D62972">
        <w:rPr>
          <w:rStyle w:val="Textoennegrita"/>
          <w:color w:val="FF0000"/>
        </w:rPr>
        <w:t>alumnos comienzan con las asignaturas más sencillas</w:t>
      </w:r>
      <w:r w:rsidRPr="00D62972">
        <w:rPr>
          <w:color w:val="FF0000"/>
          <w:u w:val="single"/>
        </w:rPr>
        <w:t xml:space="preserve"> como educación física y su lengua, el finés. Más tarde, llegarán las matemáticas, ciencia, historia y lenguas extranjeras. Y es a los diez u once años cuando comienzan a recibir calificaciones numéricas por estas materias. Las notas las pone, durante los primeros años de su educación, un único maestro, que vela por que ningún alumno quede excluido.</w:t>
      </w:r>
    </w:p>
    <w:p w:rsidR="00E02187" w:rsidRPr="00A55FE1" w:rsidRDefault="00E02187" w:rsidP="00E02187">
      <w:pPr>
        <w:pStyle w:val="Ttulo3"/>
        <w:jc w:val="both"/>
        <w:rPr>
          <w:rFonts w:ascii="Times New Roman" w:hAnsi="Times New Roman" w:cs="Times New Roman"/>
          <w:color w:val="auto"/>
          <w:sz w:val="24"/>
          <w:szCs w:val="24"/>
        </w:rPr>
      </w:pPr>
      <w:r w:rsidRPr="00A55FE1">
        <w:rPr>
          <w:rStyle w:val="Textoennegrita"/>
          <w:rFonts w:ascii="Times New Roman" w:hAnsi="Times New Roman" w:cs="Times New Roman"/>
          <w:color w:val="auto"/>
          <w:sz w:val="24"/>
          <w:szCs w:val="24"/>
        </w:rPr>
        <w:t>Autonomía en las aulas</w:t>
      </w:r>
    </w:p>
    <w:p w:rsidR="00E02187" w:rsidRPr="00D62972" w:rsidRDefault="00E02187" w:rsidP="00E02187">
      <w:pPr>
        <w:pStyle w:val="NormalWeb"/>
        <w:jc w:val="both"/>
        <w:rPr>
          <w:color w:val="FF0000"/>
          <w:u w:val="single"/>
        </w:rPr>
      </w:pPr>
      <w:r w:rsidRPr="00D62972">
        <w:rPr>
          <w:color w:val="FF0000"/>
          <w:u w:val="single"/>
        </w:rPr>
        <w:t>Una de las características más importantes del sistema finés es que cada colegio tiene su propia organización en función de sus necesidades. Aunque pueda parecer algo desorganizado que cada centro tenga autonomía para decidir acerca de su programa de estudios, no es así.</w:t>
      </w:r>
    </w:p>
    <w:p w:rsidR="00E02187" w:rsidRPr="00D62972" w:rsidRDefault="00E02187" w:rsidP="00E02187">
      <w:pPr>
        <w:pStyle w:val="NormalWeb"/>
        <w:jc w:val="both"/>
        <w:rPr>
          <w:color w:val="FF0000"/>
          <w:u w:val="single"/>
        </w:rPr>
      </w:pPr>
      <w:r>
        <w:t xml:space="preserve">En España los programas educativos los establece prácticamente en su totalidad el gobierno, sea central o autonómico. Pero </w:t>
      </w:r>
      <w:r w:rsidRPr="00D62972">
        <w:rPr>
          <w:color w:val="FF0000"/>
          <w:u w:val="single"/>
        </w:rPr>
        <w:t>en Finlandia, como nos indica Javier Melgarejo, licenciado en Psicología y doctorado en Pedagogía que lleva más de una década intentando descubrir las claves del éxit</w:t>
      </w:r>
      <w:r>
        <w:rPr>
          <w:color w:val="FF0000"/>
          <w:u w:val="single"/>
        </w:rPr>
        <w:t>o del sistema educativo finés: “</w:t>
      </w:r>
      <w:r w:rsidRPr="00D62972">
        <w:rPr>
          <w:color w:val="FF0000"/>
          <w:u w:val="single"/>
        </w:rPr>
        <w:t xml:space="preserve">El </w:t>
      </w:r>
      <w:r w:rsidRPr="00D62972">
        <w:rPr>
          <w:rStyle w:val="Textoennegrita"/>
          <w:color w:val="FF0000"/>
        </w:rPr>
        <w:t>gobierno central tiene un porcentaje bajo</w:t>
      </w:r>
      <w:r w:rsidRPr="00D62972">
        <w:rPr>
          <w:color w:val="FF0000"/>
          <w:u w:val="single"/>
        </w:rPr>
        <w:t xml:space="preserve"> en la organización del plan curricular. El que toma la decisión sobre lo que se va a hacer es el municipio, y luego el profesor. Por lo tanto, hay una autonomía en cada centro enorme, que permite que la educación se centre en las necesidades de los alumnos. </w:t>
      </w:r>
      <w:r>
        <w:t xml:space="preserve">En España tenemos la sensación de que si todos somos iguales y hacemos el mismo plan será mejor, pero puede que no. </w:t>
      </w:r>
      <w:r w:rsidRPr="00D62972">
        <w:rPr>
          <w:color w:val="FF0000"/>
          <w:u w:val="single"/>
        </w:rPr>
        <w:t>Aunque parezca mentira salen muy bien prepa</w:t>
      </w:r>
      <w:r>
        <w:rPr>
          <w:color w:val="FF0000"/>
          <w:u w:val="single"/>
        </w:rPr>
        <w:t>rados y de manera muy homogénea”</w:t>
      </w:r>
      <w:r w:rsidRPr="00D62972">
        <w:rPr>
          <w:color w:val="FF0000"/>
          <w:u w:val="single"/>
        </w:rPr>
        <w:t>.</w:t>
      </w:r>
    </w:p>
    <w:p w:rsidR="00E02187" w:rsidRPr="00D62972" w:rsidRDefault="00E02187" w:rsidP="00E02187">
      <w:pPr>
        <w:pStyle w:val="NormalWeb"/>
        <w:jc w:val="both"/>
        <w:rPr>
          <w:u w:val="single"/>
        </w:rPr>
      </w:pPr>
      <w:r w:rsidRPr="00D62972">
        <w:rPr>
          <w:u w:val="single"/>
        </w:rPr>
        <w:t>Al darle autonomía y confianza a cada centro el Gobierno no está pendiente de presentar planes de estudios que se adapten a su ideología o de cambiar los que ha impuesto el anterior Ejecutivo. Además, como</w:t>
      </w:r>
      <w:r>
        <w:rPr>
          <w:u w:val="single"/>
        </w:rPr>
        <w:t xml:space="preserve"> nos comenta Javier Melgarejo, “</w:t>
      </w:r>
      <w:r w:rsidRPr="00D62972">
        <w:rPr>
          <w:u w:val="single"/>
        </w:rPr>
        <w:t xml:space="preserve">el parlamento finlandés, al igual que el español, tiene muchos grupos políticos, pero se piden dos terceras partes para aprobar las leyes de educación, lo que obliga a los dos grandes grupos a pactar </w:t>
      </w:r>
      <w:r>
        <w:rPr>
          <w:u w:val="single"/>
        </w:rPr>
        <w:t>y eso da una estabilidad enorme”</w:t>
      </w:r>
      <w:r w:rsidRPr="00D62972">
        <w:rPr>
          <w:u w:val="single"/>
        </w:rPr>
        <w:t>.</w:t>
      </w:r>
    </w:p>
    <w:p w:rsidR="00E02187" w:rsidRPr="00D62972" w:rsidRDefault="00E02187" w:rsidP="00E02187">
      <w:pPr>
        <w:pStyle w:val="NormalWeb"/>
        <w:jc w:val="both"/>
        <w:rPr>
          <w:u w:val="single"/>
        </w:rPr>
      </w:pPr>
      <w:r w:rsidRPr="00D62972">
        <w:rPr>
          <w:u w:val="single"/>
        </w:rPr>
        <w:t>Como nos explica Petja Nyleänen del Institut</w:t>
      </w:r>
      <w:r>
        <w:rPr>
          <w:u w:val="single"/>
        </w:rPr>
        <w:t>o Iberoamericano de Finlandia: “</w:t>
      </w:r>
      <w:r w:rsidRPr="00D62972">
        <w:rPr>
          <w:u w:val="single"/>
        </w:rPr>
        <w:t xml:space="preserve">Tenemos </w:t>
      </w:r>
      <w:r w:rsidRPr="00D62972">
        <w:rPr>
          <w:rStyle w:val="Textoennegrita"/>
        </w:rPr>
        <w:t>una ley de educación que no se cambia</w:t>
      </w:r>
      <w:r w:rsidRPr="00D62972">
        <w:rPr>
          <w:u w:val="single"/>
        </w:rPr>
        <w:t xml:space="preserve"> comple</w:t>
      </w:r>
      <w:r>
        <w:rPr>
          <w:u w:val="single"/>
        </w:rPr>
        <w:t>tamente cada cuatro u ocho años”</w:t>
      </w:r>
      <w:r w:rsidRPr="00D62972">
        <w:rPr>
          <w:u w:val="single"/>
        </w:rPr>
        <w:t>.</w:t>
      </w:r>
    </w:p>
    <w:p w:rsidR="00E02187" w:rsidRPr="00A55FE1" w:rsidRDefault="00E02187" w:rsidP="00E02187">
      <w:pPr>
        <w:pStyle w:val="Ttulo3"/>
        <w:jc w:val="both"/>
        <w:rPr>
          <w:rFonts w:ascii="Times New Roman" w:hAnsi="Times New Roman" w:cs="Times New Roman"/>
          <w:color w:val="auto"/>
          <w:sz w:val="24"/>
          <w:szCs w:val="24"/>
        </w:rPr>
      </w:pPr>
      <w:r w:rsidRPr="00A55FE1">
        <w:rPr>
          <w:rStyle w:val="Textoennegrita"/>
          <w:rFonts w:ascii="Times New Roman" w:hAnsi="Times New Roman" w:cs="Times New Roman"/>
          <w:color w:val="auto"/>
          <w:sz w:val="24"/>
          <w:szCs w:val="24"/>
        </w:rPr>
        <w:t>La pieza clave</w:t>
      </w:r>
    </w:p>
    <w:p w:rsidR="00E02187" w:rsidRPr="00D62972" w:rsidRDefault="00E02187" w:rsidP="00E02187">
      <w:pPr>
        <w:pStyle w:val="NormalWeb"/>
        <w:jc w:val="both"/>
        <w:rPr>
          <w:color w:val="FF0000"/>
          <w:u w:val="single"/>
        </w:rPr>
      </w:pPr>
      <w:r w:rsidRPr="00D62972">
        <w:rPr>
          <w:color w:val="FF0000"/>
          <w:u w:val="single"/>
        </w:rPr>
        <w:t>Todos los sistemas educativos de éxito se organizan alrededor de los profesores. También en el país nórdico ésta es la pieza que le da sentido al modelo. La formación y la organización del profesorado</w:t>
      </w:r>
      <w:r>
        <w:rPr>
          <w:color w:val="FF0000"/>
          <w:u w:val="single"/>
        </w:rPr>
        <w:t xml:space="preserve"> es diferente. En primer lugar “</w:t>
      </w:r>
      <w:r w:rsidRPr="00D62972">
        <w:rPr>
          <w:rStyle w:val="Textoennegrita"/>
          <w:color w:val="FF0000"/>
        </w:rPr>
        <w:t>para ser maestro en Finlandia</w:t>
      </w:r>
      <w:r w:rsidRPr="00D62972">
        <w:rPr>
          <w:color w:val="FF0000"/>
          <w:u w:val="single"/>
        </w:rPr>
        <w:t xml:space="preserve"> la nota de corte en la Universidad es superior a 9 sobre 10, después tienen que realizar un máster</w:t>
      </w:r>
      <w:r>
        <w:rPr>
          <w:color w:val="FF0000"/>
          <w:u w:val="single"/>
        </w:rPr>
        <w:t xml:space="preserve"> para poder optar a la docencia”</w:t>
      </w:r>
      <w:r w:rsidRPr="00D62972">
        <w:rPr>
          <w:color w:val="FF0000"/>
          <w:u w:val="single"/>
        </w:rPr>
        <w:t xml:space="preserve"> explica Melgarejo.</w:t>
      </w:r>
    </w:p>
    <w:p w:rsidR="00E02187" w:rsidRPr="00D62972" w:rsidRDefault="00E02187" w:rsidP="00E02187">
      <w:pPr>
        <w:pStyle w:val="NormalWeb"/>
        <w:jc w:val="both"/>
        <w:rPr>
          <w:color w:val="FF0000"/>
          <w:u w:val="single"/>
        </w:rPr>
      </w:pPr>
      <w:r w:rsidRPr="00D62972">
        <w:rPr>
          <w:color w:val="FF0000"/>
          <w:u w:val="single"/>
        </w:rPr>
        <w:lastRenderedPageBreak/>
        <w:t>Y cuando acaban la carrera, ¿qué sucede? Para empezar, hay que explicar que no existe un sistema de oposiciones como el español. Allí cada municipio contrata al director del centro y éste contrata a los profesores. Cuando acaban su formación, los maestros se someten a procesos de formación abiertos, se anuncian vacantes y se seleccionan candidatos. Cada administración educativa es responsable de contratar a su profesor</w:t>
      </w:r>
      <w:r>
        <w:rPr>
          <w:color w:val="FF0000"/>
          <w:u w:val="single"/>
        </w:rPr>
        <w:t>ado. Melgarejo nos explica que “</w:t>
      </w:r>
      <w:r w:rsidRPr="00D62972">
        <w:rPr>
          <w:rStyle w:val="Textoennegrita"/>
          <w:color w:val="FF0000"/>
        </w:rPr>
        <w:t>allí no son funcionarios</w:t>
      </w:r>
      <w:r w:rsidRPr="00D62972">
        <w:rPr>
          <w:color w:val="FF0000"/>
          <w:u w:val="single"/>
        </w:rPr>
        <w:t xml:space="preserve"> como lo entendemos en España; se les puede despedi</w:t>
      </w:r>
      <w:r>
        <w:rPr>
          <w:color w:val="FF0000"/>
          <w:u w:val="single"/>
        </w:rPr>
        <w:t>r, aunque no sea algo muy común”</w:t>
      </w:r>
      <w:r w:rsidRPr="00D62972">
        <w:rPr>
          <w:color w:val="FF0000"/>
          <w:u w:val="single"/>
        </w:rPr>
        <w:t>.</w:t>
      </w:r>
    </w:p>
    <w:p w:rsidR="00E02187" w:rsidRPr="00D62972" w:rsidRDefault="00E02187" w:rsidP="00E02187">
      <w:pPr>
        <w:pStyle w:val="NormalWeb"/>
        <w:jc w:val="both"/>
        <w:rPr>
          <w:color w:val="FF0000"/>
          <w:u w:val="single"/>
        </w:rPr>
      </w:pPr>
      <w:r w:rsidRPr="00D62972">
        <w:rPr>
          <w:color w:val="FF0000"/>
          <w:u w:val="single"/>
        </w:rPr>
        <w:t>El objetivo de este procedimiento no es otro que seleccionar a aquellos profesores que estén mejor cualificados para cada puesto en particular. Y si un profesor no realiza su trabajo de forma satisfactor</w:t>
      </w:r>
      <w:r>
        <w:rPr>
          <w:color w:val="FF0000"/>
          <w:u w:val="single"/>
        </w:rPr>
        <w:t>ia, pueden cambiarlo por otro. “</w:t>
      </w:r>
      <w:r w:rsidRPr="00D62972">
        <w:rPr>
          <w:color w:val="FF0000"/>
          <w:u w:val="single"/>
        </w:rPr>
        <w:t xml:space="preserve">La escuela pública en Finlandia es diferente, </w:t>
      </w:r>
      <w:r w:rsidRPr="00D62972">
        <w:rPr>
          <w:rStyle w:val="Textoennegrita"/>
          <w:color w:val="FF0000"/>
        </w:rPr>
        <w:t>es como si cada una fuera de gestión privada</w:t>
      </w:r>
      <w:r>
        <w:rPr>
          <w:color w:val="FF0000"/>
          <w:u w:val="single"/>
        </w:rPr>
        <w:t>”</w:t>
      </w:r>
      <w:r w:rsidRPr="00D62972">
        <w:rPr>
          <w:color w:val="FF0000"/>
          <w:u w:val="single"/>
        </w:rPr>
        <w:t>.</w:t>
      </w:r>
    </w:p>
    <w:p w:rsidR="00E02187" w:rsidRPr="00D62972" w:rsidRDefault="00E02187" w:rsidP="00E02187">
      <w:pPr>
        <w:pStyle w:val="NormalWeb"/>
        <w:jc w:val="both"/>
        <w:rPr>
          <w:color w:val="FF0000"/>
          <w:u w:val="single"/>
        </w:rPr>
      </w:pPr>
      <w:r w:rsidRPr="00D62972">
        <w:rPr>
          <w:color w:val="FF0000"/>
          <w:u w:val="single"/>
        </w:rPr>
        <w:t>Los profesores son pagados con el dinero que el Estado destina a cada colegio, que depende del número de alumnos que es capaz de atraer. Luego, cada centro organiza su presupuesto como estime conveniente. Con los años, al igual que en España, el salario de los maestros aumenta, aunque no mucho.</w:t>
      </w:r>
    </w:p>
    <w:p w:rsidR="00E02187" w:rsidRPr="00D62972" w:rsidRDefault="00E02187" w:rsidP="00E02187">
      <w:pPr>
        <w:pStyle w:val="NormalWeb"/>
        <w:jc w:val="both"/>
        <w:rPr>
          <w:color w:val="FF0000"/>
          <w:u w:val="single"/>
        </w:rPr>
      </w:pPr>
      <w:r w:rsidRPr="00D62972">
        <w:rPr>
          <w:u w:val="single"/>
        </w:rPr>
        <w:t xml:space="preserve">En realidad, la diferencia con lo que cobran los maestros en nuestro país no es muy grande. De acuerdo a los datos de la OCDE, el sueldo medio anual en paridad de poder adquisitivo para un profesor español era en 2010 de </w:t>
      </w:r>
      <w:r w:rsidRPr="00D62972">
        <w:rPr>
          <w:rStyle w:val="Textoennegrita"/>
        </w:rPr>
        <w:t>41.339 dólares, frente a los 37,886 dólares de los finlandeses</w:t>
      </w:r>
      <w:r>
        <w:t xml:space="preserve">. </w:t>
      </w:r>
      <w:r w:rsidRPr="00D62972">
        <w:rPr>
          <w:color w:val="FF0000"/>
          <w:u w:val="single"/>
        </w:rPr>
        <w:t>Lo que sí cambia son los incentivos, tanto monetarios como de reconocimiento social y la forma en la que se premia a los buenos maestros.</w:t>
      </w:r>
    </w:p>
    <w:p w:rsidR="00E02187" w:rsidRPr="00CB3B06" w:rsidRDefault="00E02187" w:rsidP="00E02187">
      <w:pPr>
        <w:pStyle w:val="NormalWeb"/>
        <w:jc w:val="both"/>
        <w:rPr>
          <w:color w:val="FF0000"/>
          <w:u w:val="single"/>
        </w:rPr>
      </w:pPr>
      <w:r>
        <w:t xml:space="preserve">En este sentido, lo que también nos diferencia es el empeño por continuar formando a estos profesores. </w:t>
      </w:r>
      <w:r w:rsidRPr="00CB3B06">
        <w:rPr>
          <w:color w:val="FF0000"/>
          <w:u w:val="single"/>
        </w:rPr>
        <w:t xml:space="preserve">Los </w:t>
      </w:r>
      <w:r w:rsidRPr="00CB3B06">
        <w:rPr>
          <w:rStyle w:val="Textoennegrita"/>
          <w:color w:val="FF0000"/>
        </w:rPr>
        <w:t>colegios finlandeses buscan motivar a sus docentes</w:t>
      </w:r>
      <w:r w:rsidRPr="00CB3B06">
        <w:rPr>
          <w:color w:val="FF0000"/>
          <w:u w:val="single"/>
        </w:rPr>
        <w:t>, que están muy preocupados por mantenerse al día con los cambios de la sociedad y de su profesión. Los profe</w:t>
      </w:r>
      <w:r>
        <w:rPr>
          <w:color w:val="FF0000"/>
          <w:u w:val="single"/>
        </w:rPr>
        <w:t>sores tienen una “formación permanente”</w:t>
      </w:r>
      <w:r w:rsidRPr="00CB3B06">
        <w:rPr>
          <w:color w:val="FF0000"/>
          <w:u w:val="single"/>
        </w:rPr>
        <w:t>. Esto no se consigue en un régimen de obligación sino mediante la negociación, el diálogo y un correcto sistema de incentivos.</w:t>
      </w:r>
    </w:p>
    <w:p w:rsidR="00E02187" w:rsidRPr="00CB3B06" w:rsidRDefault="00E02187" w:rsidP="00E02187">
      <w:pPr>
        <w:pStyle w:val="NormalWeb"/>
        <w:jc w:val="both"/>
        <w:rPr>
          <w:color w:val="FF0000"/>
          <w:u w:val="single"/>
        </w:rPr>
      </w:pPr>
      <w:r w:rsidRPr="00CB3B06">
        <w:rPr>
          <w:color w:val="FF0000"/>
          <w:u w:val="single"/>
        </w:rPr>
        <w:t>Otra característica de este sistema es que la figura del profesor es muy respetada dentro de la sociedad finlandesa. Es una de las profesiones mejor consideradas del país y se preocupan de que continúe siendo así.</w:t>
      </w:r>
    </w:p>
    <w:p w:rsidR="00E02187" w:rsidRDefault="00E02187" w:rsidP="00E02187">
      <w:pPr>
        <w:pStyle w:val="NormalWeb"/>
        <w:jc w:val="both"/>
        <w:rPr>
          <w:color w:val="FF0000"/>
          <w:u w:val="single"/>
        </w:rPr>
      </w:pPr>
      <w:r w:rsidRPr="00CB3B06">
        <w:rPr>
          <w:u w:val="single"/>
        </w:rPr>
        <w:t>La relación con el profesor es fundamental y resulta muy cercana</w:t>
      </w:r>
      <w:r>
        <w:t xml:space="preserve">, como nos cuenta Petja Nyleänen del Instituto Iberoamericano de Finlandia </w:t>
      </w:r>
      <w:r>
        <w:rPr>
          <w:color w:val="FF0000"/>
          <w:u w:val="single"/>
        </w:rPr>
        <w:t>“</w:t>
      </w:r>
      <w:r w:rsidRPr="00CB3B06">
        <w:rPr>
          <w:color w:val="FF0000"/>
          <w:u w:val="single"/>
        </w:rPr>
        <w:t xml:space="preserve">Los </w:t>
      </w:r>
      <w:r w:rsidRPr="00CB3B06">
        <w:rPr>
          <w:rStyle w:val="Textoennegrita"/>
          <w:color w:val="FF0000"/>
        </w:rPr>
        <w:t>profesores te dan bastante libertad</w:t>
      </w:r>
      <w:r w:rsidRPr="00CB3B06">
        <w:rPr>
          <w:color w:val="FF0000"/>
          <w:u w:val="single"/>
        </w:rPr>
        <w:t>, pero desde pequeño te dejan muy claro que el es</w:t>
      </w:r>
      <w:r>
        <w:rPr>
          <w:color w:val="FF0000"/>
          <w:u w:val="single"/>
        </w:rPr>
        <w:t>tudio es para ti, no para ellos”</w:t>
      </w:r>
      <w:r w:rsidRPr="00CB3B06">
        <w:rPr>
          <w:color w:val="FF0000"/>
          <w:u w:val="single"/>
        </w:rPr>
        <w:t>.</w:t>
      </w:r>
    </w:p>
    <w:p w:rsidR="00E02187" w:rsidRPr="00A55FE1" w:rsidRDefault="00E02187" w:rsidP="00E02187">
      <w:pPr>
        <w:pStyle w:val="NormalWeb"/>
        <w:jc w:val="both"/>
        <w:rPr>
          <w:u w:val="single"/>
        </w:rPr>
      </w:pPr>
      <w:r w:rsidRPr="00A55FE1">
        <w:rPr>
          <w:u w:val="single"/>
        </w:rPr>
        <w:t>El sistema educativo del país nórdico echa por tierra muchas de las soluciones habituales para solucionar los malos res</w:t>
      </w:r>
      <w:r>
        <w:rPr>
          <w:u w:val="single"/>
        </w:rPr>
        <w:t>ultados de la escuela española.</w:t>
      </w:r>
    </w:p>
    <w:p w:rsidR="00E02187" w:rsidRPr="00B17518" w:rsidRDefault="00E02187" w:rsidP="00E02187">
      <w:pPr>
        <w:pStyle w:val="NormalWeb"/>
        <w:jc w:val="both"/>
      </w:pPr>
      <w:r>
        <w:t xml:space="preserve">- </w:t>
      </w:r>
      <w:r w:rsidRPr="00B17518">
        <w:rPr>
          <w:u w:val="single"/>
        </w:rPr>
        <w:t>Siete mitos</w:t>
      </w:r>
      <w:r>
        <w:rPr>
          <w:u w:val="single"/>
        </w:rPr>
        <w:t xml:space="preserve"> (son ocho)</w:t>
      </w:r>
      <w:r w:rsidRPr="00B17518">
        <w:rPr>
          <w:u w:val="single"/>
        </w:rPr>
        <w:t xml:space="preserve"> sobre el sistema educativo que Finlandia desmonta</w:t>
      </w:r>
      <w:r>
        <w:t xml:space="preserve"> (Libertad Digital - </w:t>
      </w:r>
      <w:r w:rsidRPr="00A55FE1">
        <w:rPr>
          <w:b/>
        </w:rPr>
        <w:t>6/10/13</w:t>
      </w:r>
      <w:r>
        <w:t>)</w:t>
      </w:r>
    </w:p>
    <w:p w:rsidR="00E02187" w:rsidRPr="002C64B3" w:rsidRDefault="00E02187" w:rsidP="00E02187">
      <w:pPr>
        <w:jc w:val="both"/>
        <w:rPr>
          <w:rFonts w:ascii="Times New Roman" w:hAnsi="Times New Roman" w:cs="Times New Roman"/>
          <w:sz w:val="24"/>
          <w:szCs w:val="24"/>
        </w:rPr>
      </w:pPr>
      <w:r>
        <w:rPr>
          <w:rFonts w:ascii="Times New Roman" w:hAnsi="Times New Roman" w:cs="Times New Roman"/>
          <w:sz w:val="24"/>
          <w:szCs w:val="24"/>
        </w:rPr>
        <w:t>(Por M. Muro)                                                                                   Lectura recomendada</w:t>
      </w:r>
    </w:p>
    <w:p w:rsidR="00E02187" w:rsidRPr="00B17518" w:rsidRDefault="00E02187" w:rsidP="00E02187">
      <w:pPr>
        <w:pStyle w:val="NormalWeb"/>
        <w:jc w:val="both"/>
        <w:rPr>
          <w:u w:val="single"/>
        </w:rPr>
      </w:pPr>
      <w:r w:rsidRPr="00B17518">
        <w:rPr>
          <w:u w:val="single"/>
        </w:rPr>
        <w:t>Cuando se conocen los resultados de los informes sobre educación</w:t>
      </w:r>
      <w:r>
        <w:t xml:space="preserve"> y vemos que </w:t>
      </w:r>
      <w:r>
        <w:rPr>
          <w:rStyle w:val="Textoennegrita"/>
        </w:rPr>
        <w:t>España no se encuentra en los primeros</w:t>
      </w:r>
      <w:r>
        <w:t xml:space="preserve"> puestos, </w:t>
      </w:r>
      <w:r w:rsidRPr="00B17518">
        <w:rPr>
          <w:u w:val="single"/>
        </w:rPr>
        <w:t xml:space="preserve">surgen las preguntas del porqué. Políticos, </w:t>
      </w:r>
      <w:r w:rsidRPr="00B17518">
        <w:rPr>
          <w:u w:val="single"/>
        </w:rPr>
        <w:lastRenderedPageBreak/>
        <w:t>medios de comunicación, comentaristas, padres, sindicatos... Todos ellos dan soluciones para remediar al enfermo crónico. El diagnóstico se repite año tras año: unos piden más horas de estudio, otros más deberes para lo</w:t>
      </w:r>
      <w:r>
        <w:rPr>
          <w:u w:val="single"/>
        </w:rPr>
        <w:t>s niños, volver a la educación “de antes”</w:t>
      </w:r>
      <w:r w:rsidRPr="00B17518">
        <w:rPr>
          <w:u w:val="single"/>
        </w:rPr>
        <w:t>, dedicar más fondos, hacer más exigente el paso de curso, más horas de inglés, comenzar la educación obligatoria a una edad más temprana, poner más profesores por alumno,…</w:t>
      </w:r>
    </w:p>
    <w:p w:rsidR="00E02187" w:rsidRPr="00B17518" w:rsidRDefault="00E02187" w:rsidP="00E02187">
      <w:pPr>
        <w:pStyle w:val="NormalWeb"/>
        <w:jc w:val="both"/>
        <w:rPr>
          <w:color w:val="FF0000"/>
          <w:u w:val="single"/>
        </w:rPr>
      </w:pPr>
      <w:r w:rsidRPr="00B17518">
        <w:rPr>
          <w:u w:val="single"/>
        </w:rPr>
        <w:t xml:space="preserve">Sin embargo, </w:t>
      </w:r>
      <w:r w:rsidRPr="00D762BF">
        <w:rPr>
          <w:u w:val="single"/>
        </w:rPr>
        <w:t xml:space="preserve">el </w:t>
      </w:r>
      <w:hyperlink r:id="rId252" w:history="1">
        <w:r w:rsidRPr="00D762BF">
          <w:rPr>
            <w:rStyle w:val="Hipervnculo"/>
            <w:rFonts w:eastAsiaTheme="majorEastAsia"/>
            <w:color w:val="auto"/>
          </w:rPr>
          <w:t>sistema educativo finlandés</w:t>
        </w:r>
      </w:hyperlink>
      <w:r w:rsidRPr="00D762BF">
        <w:rPr>
          <w:u w:val="single"/>
        </w:rPr>
        <w:t xml:space="preserve">, </w:t>
      </w:r>
      <w:r w:rsidRPr="00B17518">
        <w:rPr>
          <w:u w:val="single"/>
        </w:rPr>
        <w:t xml:space="preserve">el mejor de Europa según sus resultados en PISA, demuestra año a año que muchas de esas respuestas son erróneas. Son sólo mitos, que en España nos parecen incuestionables, pero a los que un análisis detallado hace </w:t>
      </w:r>
      <w:r w:rsidRPr="00B17518">
        <w:rPr>
          <w:rStyle w:val="Textoennegrita"/>
        </w:rPr>
        <w:t>caer por su propio peso</w:t>
      </w:r>
      <w:r>
        <w:t xml:space="preserve">. </w:t>
      </w:r>
      <w:r w:rsidRPr="00B17518">
        <w:rPr>
          <w:u w:val="single"/>
        </w:rPr>
        <w:t xml:space="preserve">Esto no quiere decir que su formato sea el único que garantice el éxito, pero sí desmonta algunas de esas verdades incuestionables que se repiten año tras año en tertulias y columnas de opinión. </w:t>
      </w:r>
      <w:r w:rsidRPr="00B17518">
        <w:rPr>
          <w:color w:val="FF0000"/>
          <w:u w:val="single"/>
        </w:rPr>
        <w:t>¿Qué hacemos diferente a ellos? ¿Cuál es la diferencia con la que ellos consiguen estar en el podio de la educación y nosotros no lo vemos ni de lejos?</w:t>
      </w:r>
    </w:p>
    <w:p w:rsidR="00E02187" w:rsidRDefault="00E02187" w:rsidP="00E02187">
      <w:pPr>
        <w:pStyle w:val="NormalWeb"/>
        <w:jc w:val="both"/>
      </w:pPr>
      <w:r>
        <w:rPr>
          <w:rStyle w:val="Textoennegrita"/>
        </w:rPr>
        <w:t xml:space="preserve">1. </w:t>
      </w:r>
      <w:r w:rsidRPr="00B17518">
        <w:rPr>
          <w:rStyle w:val="Textoennegrita"/>
          <w:color w:val="FF0000"/>
        </w:rPr>
        <w:t>A la escuela con siete años</w:t>
      </w:r>
      <w:r>
        <w:rPr>
          <w:rStyle w:val="Textoennegrita"/>
        </w:rPr>
        <w:t>:</w:t>
      </w:r>
      <w:r>
        <w:t xml:space="preserve"> </w:t>
      </w:r>
      <w:r w:rsidRPr="00B17518">
        <w:rPr>
          <w:u w:val="single"/>
        </w:rPr>
        <w:t>los niños comienzan su educación con siete años</w:t>
      </w:r>
      <w:r>
        <w:t xml:space="preserve">. Como nos contaba Hannu Arvio, finlandés profesor en Institut Nordic y padre de dos hijos que han estudiado en su país y en España "la enseñanza obligatoria empieza un año más tarde que aquí. Los alumnos aprenden contenidos parecidos, pero con un año más de edad. Por ejemplo, </w:t>
      </w:r>
      <w:r w:rsidRPr="00F31E89">
        <w:rPr>
          <w:u w:val="single"/>
        </w:rPr>
        <w:t>los niños finlandeses aprenden a leer generalmente a los siete años</w:t>
      </w:r>
      <w:r>
        <w:t xml:space="preserve">. </w:t>
      </w:r>
      <w:r w:rsidRPr="00F31E89">
        <w:rPr>
          <w:u w:val="single"/>
        </w:rPr>
        <w:t>Las asignaturas instrumentales tienen más peso en ciclo inicial, y luego, eso va disminuyendo dejando espacio a los asignaturas como lenguas</w:t>
      </w:r>
      <w:r>
        <w:t xml:space="preserve">. </w:t>
      </w:r>
      <w:r w:rsidRPr="00F31E89">
        <w:rPr>
          <w:u w:val="single"/>
        </w:rPr>
        <w:t>Resumiendo: empiezas con educación física, finés y matemáticas; y luego continúas con ciencia, historia y lenguas extranjeras.</w:t>
      </w:r>
      <w:r>
        <w:t xml:space="preserve"> </w:t>
      </w:r>
      <w:r w:rsidRPr="00F31E89">
        <w:rPr>
          <w:u w:val="single"/>
        </w:rPr>
        <w:t xml:space="preserve">Eso llega más tarde, </w:t>
      </w:r>
      <w:r w:rsidRPr="00F31E89">
        <w:rPr>
          <w:rStyle w:val="Textoennegrita"/>
        </w:rPr>
        <w:t>cuando el alumno tenga la madurez suficiente</w:t>
      </w:r>
      <w:r w:rsidRPr="00F31E89">
        <w:rPr>
          <w:u w:val="single"/>
        </w:rPr>
        <w:t>"</w:t>
      </w:r>
      <w:r>
        <w:t xml:space="preserve">. Está demostrado, entre otros por los informes PISA, que a pesar de empezar un año más tarde, </w:t>
      </w:r>
      <w:r>
        <w:rPr>
          <w:rStyle w:val="Textoennegrita"/>
        </w:rPr>
        <w:t xml:space="preserve">su nivel es superior </w:t>
      </w:r>
      <w:r>
        <w:t>al de prácticamente todos los países de la Unión Europea.</w:t>
      </w:r>
    </w:p>
    <w:p w:rsidR="00E02187" w:rsidRDefault="00E02187" w:rsidP="00E02187">
      <w:pPr>
        <w:pStyle w:val="NormalWeb"/>
        <w:jc w:val="both"/>
      </w:pPr>
      <w:r>
        <w:rPr>
          <w:rStyle w:val="Textoennegrita"/>
        </w:rPr>
        <w:t xml:space="preserve">2. </w:t>
      </w:r>
      <w:r w:rsidRPr="00F31E89">
        <w:rPr>
          <w:rStyle w:val="Textoennegrita"/>
          <w:color w:val="FF0000"/>
        </w:rPr>
        <w:t>Menos deberes</w:t>
      </w:r>
      <w:r>
        <w:rPr>
          <w:rStyle w:val="Textoennegrita"/>
        </w:rPr>
        <w:t>:</w:t>
      </w:r>
      <w:r>
        <w:t xml:space="preserve"> </w:t>
      </w:r>
      <w:r w:rsidRPr="00F31E89">
        <w:rPr>
          <w:u w:val="single"/>
        </w:rPr>
        <w:t>además durante la primaria los niños no tienen muchos deberes para casa, lo que les permite realizar otras actividades</w:t>
      </w:r>
      <w:r>
        <w:t>.</w:t>
      </w:r>
    </w:p>
    <w:p w:rsidR="00E02187" w:rsidRPr="00F31E89" w:rsidRDefault="00E02187" w:rsidP="00E02187">
      <w:pPr>
        <w:pStyle w:val="NormalWeb"/>
        <w:jc w:val="both"/>
        <w:rPr>
          <w:u w:val="single"/>
        </w:rPr>
      </w:pPr>
      <w:r>
        <w:rPr>
          <w:rStyle w:val="Textoennegrita"/>
        </w:rPr>
        <w:t xml:space="preserve">3. </w:t>
      </w:r>
      <w:r w:rsidRPr="00F31E89">
        <w:rPr>
          <w:rStyle w:val="Textoennegrita"/>
          <w:color w:val="FF0000"/>
        </w:rPr>
        <w:t>Inglés, con 9 años</w:t>
      </w:r>
      <w:r>
        <w:rPr>
          <w:rStyle w:val="Textoennegrita"/>
        </w:rPr>
        <w:t>:</w:t>
      </w:r>
      <w:r>
        <w:t xml:space="preserve"> </w:t>
      </w:r>
      <w:r w:rsidRPr="00F31E89">
        <w:rPr>
          <w:u w:val="single"/>
        </w:rPr>
        <w:t xml:space="preserve">en España, los niños comienzan a estudiar inglés desde muy pequeños. En Finlandia no es así. El primer idioma extranjero, normalmente </w:t>
      </w:r>
      <w:r w:rsidRPr="00F31E89">
        <w:rPr>
          <w:rStyle w:val="Textoennegrita"/>
        </w:rPr>
        <w:t>el inglés, se empieza a los 9 años</w:t>
      </w:r>
      <w:r w:rsidRPr="00F31E89">
        <w:rPr>
          <w:u w:val="single"/>
        </w:rPr>
        <w:t>.</w:t>
      </w:r>
      <w:r>
        <w:t xml:space="preserve"> </w:t>
      </w:r>
      <w:r w:rsidRPr="00F31E89">
        <w:rPr>
          <w:u w:val="single"/>
        </w:rPr>
        <w:t>Aun así, con 18 años los finlandeses suelen tener un nivel de inglés muy superior al de los jóvenes españoles</w:t>
      </w:r>
      <w:r>
        <w:t xml:space="preserve">. Petja Nyleänen, del </w:t>
      </w:r>
      <w:hyperlink r:id="rId253" w:history="1">
        <w:r w:rsidRPr="00D762BF">
          <w:rPr>
            <w:rStyle w:val="Hipervnculo"/>
            <w:rFonts w:eastAsiaTheme="majorEastAsia"/>
            <w:color w:val="auto"/>
          </w:rPr>
          <w:t>Instituto Iberoamericano de Finlandia</w:t>
        </w:r>
      </w:hyperlink>
      <w:r w:rsidRPr="00D762BF">
        <w:t>, nos cuenta que esta diferencia puede ser causada</w:t>
      </w:r>
      <w:r>
        <w:t xml:space="preserve"> por la diferente metodología que utilizan: </w:t>
      </w:r>
      <w:r>
        <w:rPr>
          <w:u w:val="single"/>
        </w:rPr>
        <w:t>“</w:t>
      </w:r>
      <w:r w:rsidRPr="00F31E89">
        <w:rPr>
          <w:u w:val="single"/>
        </w:rPr>
        <w:t>No nos preocupamos tanto por la gramática al principio</w:t>
      </w:r>
      <w:r w:rsidRPr="00F31E89">
        <w:rPr>
          <w:rStyle w:val="Textoennegrita"/>
        </w:rPr>
        <w:t xml:space="preserve"> sino por la conversación</w:t>
      </w:r>
      <w:r w:rsidRPr="00F31E89">
        <w:rPr>
          <w:u w:val="single"/>
        </w:rPr>
        <w:t xml:space="preserve">, los profesores son bilingües y todos han pasado varios años estudiando en países de habla inglesa. Además creo que al comenzar más tarde y tener algo más </w:t>
      </w:r>
      <w:r>
        <w:rPr>
          <w:u w:val="single"/>
        </w:rPr>
        <w:t>de madurez, lo asimilamos mejor”</w:t>
      </w:r>
      <w:r w:rsidRPr="00F31E89">
        <w:rPr>
          <w:u w:val="single"/>
        </w:rPr>
        <w:t>.</w:t>
      </w:r>
    </w:p>
    <w:p w:rsidR="00E02187" w:rsidRPr="00F31E89" w:rsidRDefault="00E02187" w:rsidP="00E02187">
      <w:pPr>
        <w:pStyle w:val="NormalWeb"/>
        <w:jc w:val="both"/>
        <w:rPr>
          <w:u w:val="single"/>
        </w:rPr>
      </w:pPr>
      <w:r>
        <w:rPr>
          <w:rStyle w:val="Textoennegrita"/>
        </w:rPr>
        <w:t xml:space="preserve">4. </w:t>
      </w:r>
      <w:r w:rsidRPr="00F31E89">
        <w:rPr>
          <w:rStyle w:val="Textoennegrita"/>
          <w:color w:val="FF0000"/>
        </w:rPr>
        <w:t>Menos horas en clase</w:t>
      </w:r>
      <w:r>
        <w:rPr>
          <w:rStyle w:val="Textoennegrita"/>
        </w:rPr>
        <w:t>:</w:t>
      </w:r>
      <w:r>
        <w:t xml:space="preserve"> aunque pueda parecer que para conseguir estos niveles de educación pasan muchas más horas en el colegio, no es así. </w:t>
      </w:r>
      <w:r w:rsidRPr="00F31E89">
        <w:rPr>
          <w:u w:val="single"/>
        </w:rPr>
        <w:t>Hay menos</w:t>
      </w:r>
      <w:r w:rsidRPr="00F31E89">
        <w:rPr>
          <w:rStyle w:val="Textoennegrita"/>
        </w:rPr>
        <w:t xml:space="preserve"> horas lectivas que en España.</w:t>
      </w:r>
      <w:r w:rsidRPr="00F31E89">
        <w:rPr>
          <w:u w:val="single"/>
        </w:rPr>
        <w:t xml:space="preserve"> Como n</w:t>
      </w:r>
      <w:r>
        <w:rPr>
          <w:u w:val="single"/>
        </w:rPr>
        <w:t>os cuenta Nyleänen, “</w:t>
      </w:r>
      <w:r w:rsidRPr="00F31E89">
        <w:rPr>
          <w:u w:val="single"/>
        </w:rPr>
        <w:t>los niños tienen menos horas lectivas que en otros países. En primaria había</w:t>
      </w:r>
      <w:r>
        <w:rPr>
          <w:u w:val="single"/>
        </w:rPr>
        <w:t xml:space="preserve"> días que sólo tenía tres horas”</w:t>
      </w:r>
      <w:r w:rsidRPr="00F31E89">
        <w:rPr>
          <w:u w:val="single"/>
        </w:rPr>
        <w:t>. En total, suman 608 horas lectivas en primaria, frente a las 875 horas de España.</w:t>
      </w:r>
    </w:p>
    <w:p w:rsidR="00E02187" w:rsidRPr="00F31E89" w:rsidRDefault="00E02187" w:rsidP="00E02187">
      <w:pPr>
        <w:pStyle w:val="NormalWeb"/>
        <w:jc w:val="both"/>
        <w:rPr>
          <w:u w:val="single"/>
        </w:rPr>
      </w:pPr>
      <w:r>
        <w:rPr>
          <w:rStyle w:val="Textoennegrita"/>
        </w:rPr>
        <w:t xml:space="preserve">5. </w:t>
      </w:r>
      <w:r w:rsidRPr="00F31E89">
        <w:rPr>
          <w:rStyle w:val="Textoennegrita"/>
          <w:color w:val="FF0000"/>
        </w:rPr>
        <w:t>Adiós a la memorización</w:t>
      </w:r>
      <w:r>
        <w:rPr>
          <w:rStyle w:val="Textoennegrita"/>
        </w:rPr>
        <w:t>:</w:t>
      </w:r>
      <w:r>
        <w:t xml:space="preserve"> </w:t>
      </w:r>
      <w:r w:rsidRPr="00F31E89">
        <w:rPr>
          <w:u w:val="single"/>
        </w:rPr>
        <w:t>la metodología finlandesa ha abandonado las memorizaciones típicas del sistema educativo de la Ilustración y hace énfasis en la discusión y en la reflexión.</w:t>
      </w:r>
      <w:r>
        <w:t xml:space="preserve"> No es una mera cuestión de memorizar y después transmitir </w:t>
      </w:r>
      <w:r>
        <w:lastRenderedPageBreak/>
        <w:t xml:space="preserve">información, sino que, como explica Nyleänen, </w:t>
      </w:r>
      <w:r>
        <w:rPr>
          <w:u w:val="single"/>
        </w:rPr>
        <w:t>“</w:t>
      </w:r>
      <w:r w:rsidRPr="00F31E89">
        <w:rPr>
          <w:u w:val="single"/>
        </w:rPr>
        <w:t xml:space="preserve">desde pequeño </w:t>
      </w:r>
      <w:r w:rsidRPr="00F31E89">
        <w:rPr>
          <w:rStyle w:val="Textoennegrita"/>
        </w:rPr>
        <w:t>te enseñan a aprender a pensar</w:t>
      </w:r>
      <w:r>
        <w:rPr>
          <w:u w:val="single"/>
        </w:rPr>
        <w:t>”. En las clases normales, “</w:t>
      </w:r>
      <w:r w:rsidRPr="00F31E89">
        <w:rPr>
          <w:u w:val="single"/>
        </w:rPr>
        <w:t>hay unos 20 alumnos, pero luego en las optativas y alg</w:t>
      </w:r>
      <w:r>
        <w:rPr>
          <w:u w:val="single"/>
        </w:rPr>
        <w:t>unas otras había 8 o 9 personas”</w:t>
      </w:r>
      <w:r w:rsidRPr="00F31E89">
        <w:rPr>
          <w:u w:val="single"/>
        </w:rPr>
        <w:t>.</w:t>
      </w:r>
    </w:p>
    <w:p w:rsidR="00E02187" w:rsidRPr="00F31E89" w:rsidRDefault="00E02187" w:rsidP="00E02187">
      <w:pPr>
        <w:pStyle w:val="NormalWeb"/>
        <w:jc w:val="both"/>
        <w:rPr>
          <w:u w:val="single"/>
        </w:rPr>
      </w:pPr>
      <w:r>
        <w:rPr>
          <w:rStyle w:val="Textoennegrita"/>
        </w:rPr>
        <w:t xml:space="preserve">6. </w:t>
      </w:r>
      <w:r w:rsidRPr="00F31E89">
        <w:rPr>
          <w:rStyle w:val="Textoennegrita"/>
          <w:color w:val="FF0000"/>
        </w:rPr>
        <w:t>A cada uno lo suyo</w:t>
      </w:r>
      <w:r>
        <w:rPr>
          <w:rStyle w:val="Textoennegrita"/>
        </w:rPr>
        <w:t xml:space="preserve">: </w:t>
      </w:r>
      <w:r>
        <w:t xml:space="preserve">por otro lado está su organización, como nos indica </w:t>
      </w:r>
      <w:r>
        <w:rPr>
          <w:rStyle w:val="Textoennegrita"/>
        </w:rPr>
        <w:t>Javier Melgarejo</w:t>
      </w:r>
      <w:r>
        <w:t xml:space="preserve">, licenciado en Psicología y doctorado en Pedagogía: </w:t>
      </w:r>
      <w:r>
        <w:rPr>
          <w:u w:val="single"/>
        </w:rPr>
        <w:t>“</w:t>
      </w:r>
      <w:r w:rsidRPr="00F31E89">
        <w:rPr>
          <w:u w:val="single"/>
        </w:rPr>
        <w:t xml:space="preserve">En Finlandia el que toma la decisión sobre lo que se va a hacer es el municipio, y luego el profesor, por lo tanto hay una autonomía enorme que permite que </w:t>
      </w:r>
      <w:r w:rsidRPr="00F31E89">
        <w:rPr>
          <w:rStyle w:val="Textoennegrita"/>
        </w:rPr>
        <w:t>la educación se centre en las necesidades de los alumnos.</w:t>
      </w:r>
      <w:r>
        <w:t xml:space="preserve"> En España tenemos la sensación de que si todos somos iguales y hacemos el mismo plan será mejor, pero puede que no, hay que adaptarse a las necesidades de cada uno” y es lo que hace Finlandia. </w:t>
      </w:r>
      <w:r>
        <w:rPr>
          <w:u w:val="single"/>
        </w:rPr>
        <w:t>“</w:t>
      </w:r>
      <w:r w:rsidRPr="00F31E89">
        <w:rPr>
          <w:u w:val="single"/>
        </w:rPr>
        <w:t>Aunque parezca mentira salen muy bien preparados y de manera muy</w:t>
      </w:r>
      <w:r>
        <w:rPr>
          <w:u w:val="single"/>
        </w:rPr>
        <w:t xml:space="preserve"> homogénea”</w:t>
      </w:r>
      <w:r w:rsidRPr="00F31E89">
        <w:rPr>
          <w:u w:val="single"/>
        </w:rPr>
        <w:t>.</w:t>
      </w:r>
    </w:p>
    <w:p w:rsidR="00E02187" w:rsidRPr="00F31E89" w:rsidRDefault="00E02187" w:rsidP="00E02187">
      <w:pPr>
        <w:pStyle w:val="NormalWeb"/>
        <w:jc w:val="both"/>
        <w:rPr>
          <w:u w:val="single"/>
        </w:rPr>
      </w:pPr>
      <w:r>
        <w:rPr>
          <w:rStyle w:val="Textoennegrita"/>
        </w:rPr>
        <w:t xml:space="preserve">7. </w:t>
      </w:r>
      <w:r w:rsidRPr="00F31E89">
        <w:rPr>
          <w:rStyle w:val="Textoennegrita"/>
          <w:color w:val="FF0000"/>
        </w:rPr>
        <w:t>¿Todos a la universidad?</w:t>
      </w:r>
      <w:r w:rsidRPr="00F31E89">
        <w:rPr>
          <w:color w:val="FF0000"/>
        </w:rPr>
        <w:t xml:space="preserve"> </w:t>
      </w:r>
      <w:r w:rsidRPr="00F31E89">
        <w:rPr>
          <w:u w:val="single"/>
        </w:rPr>
        <w:t>Otra de las características que nos diferencian de los finlandeses se encuentra al finalizar la educación primaria. Ellos tienen muy claro que cada persona es buena en lo suyo y por ello</w:t>
      </w:r>
      <w:r w:rsidRPr="00F31E89">
        <w:rPr>
          <w:rStyle w:val="Textoennegrita"/>
        </w:rPr>
        <w:t xml:space="preserve"> cada uno dirige su formación donde puede ser mejor.</w:t>
      </w:r>
      <w:r>
        <w:t xml:space="preserve"> </w:t>
      </w:r>
      <w:r w:rsidRPr="00F31E89">
        <w:rPr>
          <w:u w:val="single"/>
        </w:rPr>
        <w:t xml:space="preserve">Puedes comenzar la secundaria, que ellos los ven como una formación más teórica, o la formación profesional. Cuando optan por los estudios superiores, pueden escoger entre la universidad o la escuela politécnica. En Finlandia </w:t>
      </w:r>
      <w:r w:rsidRPr="00F31E89">
        <w:rPr>
          <w:rStyle w:val="Textoennegrita"/>
        </w:rPr>
        <w:t xml:space="preserve">no hay esa sensación </w:t>
      </w:r>
      <w:r w:rsidRPr="00F31E89">
        <w:rPr>
          <w:u w:val="single"/>
        </w:rPr>
        <w:t>de que todos tienen que ir a la universidad. Cada uno hace lo que mejor se le da.</w:t>
      </w:r>
    </w:p>
    <w:p w:rsidR="00E02187" w:rsidRPr="003713FE" w:rsidRDefault="00E02187" w:rsidP="00E02187">
      <w:pPr>
        <w:pStyle w:val="NormalWeb"/>
        <w:jc w:val="both"/>
      </w:pPr>
      <w:r>
        <w:rPr>
          <w:rStyle w:val="Textoennegrita"/>
        </w:rPr>
        <w:t xml:space="preserve">8. </w:t>
      </w:r>
      <w:r w:rsidRPr="00F31E89">
        <w:rPr>
          <w:rStyle w:val="Textoennegrita"/>
          <w:color w:val="FF0000"/>
        </w:rPr>
        <w:t>El gran mito: el dinero</w:t>
      </w:r>
      <w:r>
        <w:rPr>
          <w:rStyle w:val="Textoennegrita"/>
        </w:rPr>
        <w:t>:</w:t>
      </w:r>
      <w:r>
        <w:t xml:space="preserve"> éste es el último mito, quizás el que más se repite. El que lo resuelve todo según algunos. El problema de la educación española sería la falta de fondos, lo mal que se paga a los maestros o la cantidad de estudiantes por clases. Pues bien, con los datos en la mano, no se sostiene. Como explicamos en </w:t>
      </w:r>
      <w:hyperlink r:id="rId254" w:history="1">
        <w:r w:rsidRPr="00D762BF">
          <w:rPr>
            <w:rStyle w:val="Hipervnculo"/>
            <w:rFonts w:eastAsiaTheme="majorEastAsia"/>
            <w:color w:val="auto"/>
          </w:rPr>
          <w:t>nuestro artículo de este sábado</w:t>
        </w:r>
      </w:hyperlink>
      <w:r w:rsidRPr="00D762BF">
        <w:t xml:space="preserve">, de acuerdo a los datos de la OCDE, </w:t>
      </w:r>
      <w:r w:rsidRPr="00D762BF">
        <w:rPr>
          <w:u w:val="single"/>
        </w:rPr>
        <w:t>el sueldo medio anual en paridad de poder adquisitivo para un profesor español era en 2010 de </w:t>
      </w:r>
      <w:r w:rsidRPr="00D762BF">
        <w:rPr>
          <w:rStyle w:val="Textoennegrita"/>
        </w:rPr>
        <w:t>41.339 dólares, frente a los 37,886 dólares de los finlandeses</w:t>
      </w:r>
      <w:r w:rsidRPr="00D762BF">
        <w:rPr>
          <w:u w:val="single"/>
        </w:rPr>
        <w:t>. Y el gasto por alumno era de</w:t>
      </w:r>
      <w:hyperlink r:id="rId255" w:history="1">
        <w:r w:rsidRPr="00D762BF">
          <w:rPr>
            <w:rStyle w:val="Hipervnculo"/>
            <w:rFonts w:eastAsiaTheme="majorEastAsia"/>
            <w:color w:val="auto"/>
          </w:rPr>
          <w:t xml:space="preserve"> </w:t>
        </w:r>
      </w:hyperlink>
      <w:hyperlink r:id="rId256" w:history="1">
        <w:r w:rsidRPr="00D762BF">
          <w:rPr>
            <w:rStyle w:val="Hipervnculo"/>
            <w:rFonts w:eastAsiaTheme="majorEastAsia"/>
            <w:color w:val="auto"/>
          </w:rPr>
          <w:t>9.162 dólares por estudiante</w:t>
        </w:r>
      </w:hyperlink>
      <w:r w:rsidRPr="00D762BF">
        <w:rPr>
          <w:rStyle w:val="Textoennegrita"/>
        </w:rPr>
        <w:t xml:space="preserve"> de secundaria</w:t>
      </w:r>
      <w:r w:rsidRPr="00D762BF">
        <w:rPr>
          <w:u w:val="single"/>
        </w:rPr>
        <w:t xml:space="preserve"> mientras que en el mismo año, España gastaba 9.608 dólares por alumno</w:t>
      </w:r>
      <w:r w:rsidRPr="00D762BF">
        <w:t xml:space="preserve">. </w:t>
      </w:r>
      <w:r w:rsidRPr="00D762BF">
        <w:rPr>
          <w:u w:val="single"/>
        </w:rPr>
        <w:t>Y en cuanto a la</w:t>
      </w:r>
      <w:hyperlink r:id="rId257" w:history="1">
        <w:r w:rsidRPr="00D762BF">
          <w:rPr>
            <w:rStyle w:val="Hipervnculo"/>
            <w:rFonts w:eastAsiaTheme="majorEastAsia"/>
            <w:color w:val="auto"/>
          </w:rPr>
          <w:t xml:space="preserve"> ratio alumnos/profesor</w:t>
        </w:r>
      </w:hyperlink>
      <w:r w:rsidRPr="00D762BF">
        <w:rPr>
          <w:u w:val="single"/>
        </w:rPr>
        <w:t>, en enseñanza pri</w:t>
      </w:r>
      <w:r w:rsidRPr="003713FE">
        <w:rPr>
          <w:u w:val="single"/>
        </w:rPr>
        <w:t xml:space="preserve">maria es de 13,6 en Finlandia por 13,2 en España; en secundaria, nos ganan por un poco 9,3 a 10,3. </w:t>
      </w:r>
      <w:r w:rsidRPr="003713FE">
        <w:t>Pero no parecen diferencias significativas para explicar la diferencia de resultados.</w:t>
      </w:r>
    </w:p>
    <w:p w:rsidR="00E02187" w:rsidRPr="003713FE" w:rsidRDefault="00E02187" w:rsidP="00E02187">
      <w:pPr>
        <w:pStyle w:val="NormalWeb"/>
        <w:jc w:val="both"/>
        <w:rPr>
          <w:u w:val="single"/>
        </w:rPr>
      </w:pPr>
      <w:r>
        <w:rPr>
          <w:u w:val="single"/>
        </w:rPr>
        <w:t xml:space="preserve">Otra historia de éxito educativo muy sugerente </w:t>
      </w:r>
    </w:p>
    <w:p w:rsidR="00E02187" w:rsidRDefault="00E02187" w:rsidP="00E02187">
      <w:pPr>
        <w:jc w:val="both"/>
        <w:rPr>
          <w:rFonts w:ascii="Times New Roman" w:hAnsi="Times New Roman" w:cs="Times New Roman"/>
          <w:sz w:val="24"/>
          <w:szCs w:val="24"/>
        </w:rPr>
      </w:pPr>
      <w:r>
        <w:rPr>
          <w:rFonts w:ascii="Times New Roman" w:hAnsi="Times New Roman" w:cs="Times New Roman"/>
          <w:sz w:val="24"/>
          <w:szCs w:val="24"/>
        </w:rPr>
        <w:t xml:space="preserve">- </w:t>
      </w:r>
      <w:r w:rsidRPr="005D5E5C">
        <w:rPr>
          <w:rFonts w:ascii="Times New Roman" w:hAnsi="Times New Roman" w:cs="Times New Roman"/>
          <w:sz w:val="24"/>
          <w:szCs w:val="24"/>
          <w:u w:val="single"/>
        </w:rPr>
        <w:t>La clave del éxito de la escuela más sorprendente de Nueva York</w:t>
      </w:r>
      <w:r>
        <w:rPr>
          <w:rFonts w:ascii="Times New Roman" w:hAnsi="Times New Roman" w:cs="Times New Roman"/>
          <w:sz w:val="24"/>
          <w:szCs w:val="24"/>
        </w:rPr>
        <w:t xml:space="preserve"> (El Confidencial - </w:t>
      </w:r>
      <w:r w:rsidRPr="005D5E5C">
        <w:rPr>
          <w:rFonts w:ascii="Times New Roman" w:hAnsi="Times New Roman" w:cs="Times New Roman"/>
          <w:b/>
          <w:sz w:val="24"/>
          <w:szCs w:val="24"/>
        </w:rPr>
        <w:t>9/10/13</w:t>
      </w:r>
      <w:r>
        <w:rPr>
          <w:rFonts w:ascii="Times New Roman" w:hAnsi="Times New Roman" w:cs="Times New Roman"/>
          <w:sz w:val="24"/>
          <w:szCs w:val="24"/>
        </w:rPr>
        <w:t>)</w:t>
      </w:r>
    </w:p>
    <w:p w:rsidR="00E02187" w:rsidRDefault="00E02187" w:rsidP="00E02187">
      <w:pPr>
        <w:jc w:val="both"/>
        <w:rPr>
          <w:rFonts w:ascii="Times New Roman" w:hAnsi="Times New Roman" w:cs="Times New Roman"/>
          <w:sz w:val="24"/>
          <w:szCs w:val="24"/>
        </w:rPr>
      </w:pPr>
      <w:r>
        <w:rPr>
          <w:rFonts w:ascii="Times New Roman" w:hAnsi="Times New Roman" w:cs="Times New Roman"/>
          <w:sz w:val="24"/>
          <w:szCs w:val="24"/>
        </w:rPr>
        <w:t>(Por Héctor Barnés)                                                                          Lectura recomendada</w:t>
      </w:r>
    </w:p>
    <w:p w:rsidR="00E02187" w:rsidRPr="00D762BF" w:rsidRDefault="00E02187" w:rsidP="00E02187">
      <w:pPr>
        <w:pStyle w:val="NormalWeb"/>
        <w:jc w:val="both"/>
      </w:pPr>
      <w:r>
        <w:t xml:space="preserve">Los devastadores datos expuestos </w:t>
      </w:r>
      <w:r w:rsidRPr="00D762BF">
        <w:t xml:space="preserve">por </w:t>
      </w:r>
      <w:hyperlink r:id="rId258" w:history="1">
        <w:r w:rsidRPr="00D762BF">
          <w:rPr>
            <w:rStyle w:val="Hipervnculo"/>
            <w:rFonts w:eastAsiaTheme="majorEastAsia"/>
            <w:color w:val="auto"/>
          </w:rPr>
          <w:t>el informe Pisa de adultos realizado por la OCDE</w:t>
        </w:r>
      </w:hyperlink>
      <w:r w:rsidRPr="00D762BF">
        <w:t xml:space="preserve">, según los cuales sólo uno de cada tres españoles sabe leer un texto largo o comparar ofertas hacen aún más relevantes las </w:t>
      </w:r>
      <w:r w:rsidRPr="00D762BF">
        <w:rPr>
          <w:rStyle w:val="Textoennegrita"/>
        </w:rPr>
        <w:t>historias de éxito educativo</w:t>
      </w:r>
      <w:r w:rsidRPr="00D762BF">
        <w:t xml:space="preserve"> que afloran en cada uno de los </w:t>
      </w:r>
      <w:hyperlink r:id="rId259" w:history="1">
        <w:r w:rsidRPr="00D762BF">
          <w:rPr>
            <w:rStyle w:val="Hipervnculo"/>
            <w:rFonts w:eastAsiaTheme="majorEastAsia"/>
            <w:color w:val="auto"/>
          </w:rPr>
          <w:t>rincones del planeta</w:t>
        </w:r>
      </w:hyperlink>
      <w:r w:rsidRPr="00D762BF">
        <w:t>. </w:t>
      </w:r>
    </w:p>
    <w:p w:rsidR="00E02187" w:rsidRPr="00F50E89" w:rsidRDefault="00E02187" w:rsidP="00E02187">
      <w:pPr>
        <w:pStyle w:val="NormalWeb"/>
        <w:jc w:val="both"/>
        <w:rPr>
          <w:u w:val="single"/>
        </w:rPr>
      </w:pPr>
      <w:r w:rsidRPr="00F50E89">
        <w:rPr>
          <w:u w:val="single"/>
        </w:rPr>
        <w:t xml:space="preserve">Una  de ellas es la de la Young Women’s Leadership School (Escuela de Liderazgo Femenino) situada en el distrito neoyorquino de Brooklyn y dirigida por </w:t>
      </w:r>
      <w:r w:rsidRPr="00F50E89">
        <w:rPr>
          <w:rStyle w:val="Textoennegrita"/>
        </w:rPr>
        <w:t>Talana Bradley</w:t>
      </w:r>
      <w:r w:rsidRPr="00F50E89">
        <w:rPr>
          <w:u w:val="single"/>
        </w:rPr>
        <w:t xml:space="preserve"> desde 2008</w:t>
      </w:r>
      <w:r>
        <w:t xml:space="preserve">, que visitó ayer Madrid para explicar en una nueva edición de los Diálogos de Educación organizados por la COFAPA (Confederación de Padres de </w:t>
      </w:r>
      <w:r>
        <w:lastRenderedPageBreak/>
        <w:t xml:space="preserve">Alumnos) cómo </w:t>
      </w:r>
      <w:r w:rsidRPr="00F50E89">
        <w:rPr>
          <w:u w:val="single"/>
        </w:rPr>
        <w:t xml:space="preserve">ha conseguido que </w:t>
      </w:r>
      <w:r w:rsidRPr="00F50E89">
        <w:rPr>
          <w:rStyle w:val="Textoennegrita"/>
        </w:rPr>
        <w:t>el 56% de las alumnas de la YYWLS alcancen la máxima calificación</w:t>
      </w:r>
      <w:r w:rsidRPr="00F50E89">
        <w:rPr>
          <w:u w:val="single"/>
        </w:rPr>
        <w:t xml:space="preserve"> del Departamento de Educación de Nueva York</w:t>
      </w:r>
      <w:r>
        <w:t xml:space="preserve"> y que todas ellas accedan a la universidad, en </w:t>
      </w:r>
      <w:r w:rsidRPr="00F50E89">
        <w:rPr>
          <w:u w:val="single"/>
        </w:rPr>
        <w:t>un país en el que sólo el 24% de los nacidos en zonas pobres gozan de educación superior.</w:t>
      </w:r>
    </w:p>
    <w:p w:rsidR="00E02187" w:rsidRPr="00F50E89" w:rsidRDefault="00E02187" w:rsidP="00E02187">
      <w:pPr>
        <w:pStyle w:val="NormalWeb"/>
        <w:jc w:val="both"/>
        <w:rPr>
          <w:u w:val="single"/>
        </w:rPr>
      </w:pPr>
      <w:r>
        <w:t xml:space="preserve">Como explica Bradley a </w:t>
      </w:r>
      <w:r>
        <w:rPr>
          <w:rStyle w:val="nfasis"/>
          <w:rFonts w:eastAsiaTheme="majorEastAsia"/>
        </w:rPr>
        <w:t>El Confidencial</w:t>
      </w:r>
      <w:r>
        <w:t xml:space="preserve">, sus alumnas tienen que afrontar tanto los problemas que afectan a todas las jóvenes de Occidente, como es “la presión de los medios de  comunicación en su imagen, que las empuja a reforzar los mismos estereotipos”, como otros añadidos, como son </w:t>
      </w:r>
      <w:r w:rsidRPr="00F50E89">
        <w:rPr>
          <w:rStyle w:val="Textoennegrita"/>
        </w:rPr>
        <w:t>los problemas económicos de muchas de sus alumnas</w:t>
      </w:r>
      <w:r w:rsidRPr="00F50E89">
        <w:rPr>
          <w:u w:val="single"/>
        </w:rPr>
        <w:t>, que en algunos casos, “tienen que ser alimentadas en el colegio porque no tienen qué comer en casa”.</w:t>
      </w:r>
      <w:r>
        <w:t xml:space="preserve"> </w:t>
      </w:r>
      <w:r w:rsidRPr="00F50E89">
        <w:rPr>
          <w:u w:val="single"/>
        </w:rPr>
        <w:t>El centro forma para de la Young Women’s Leadership’s Network, una iniciativa surgida para apoyar a las chicas en situaciones más desfavorecidas.</w:t>
      </w:r>
    </w:p>
    <w:p w:rsidR="00E02187" w:rsidRPr="00F50E89" w:rsidRDefault="00E02187" w:rsidP="00E02187">
      <w:pPr>
        <w:pStyle w:val="NormalWeb"/>
        <w:jc w:val="both"/>
        <w:rPr>
          <w:color w:val="FF0000"/>
          <w:u w:val="single"/>
        </w:rPr>
      </w:pPr>
      <w:r w:rsidRPr="00F50E89">
        <w:rPr>
          <w:u w:val="single"/>
        </w:rPr>
        <w:t xml:space="preserve">El objetivo final es que todas las alumnas lleguen a la universidad y disfruten de “una educación excelente”. Con el hándicap de haber abierto sus puertas en un distrito como Brooklyn, donde el 11% de la población se encuentra por debajo del umbral de la pobreza, un porcentaje que se eleva al 34% en el caso de las menores de 16 años. Como indica la directora, </w:t>
      </w:r>
      <w:r w:rsidRPr="00F50E89">
        <w:rPr>
          <w:color w:val="FF0000"/>
          <w:u w:val="single"/>
        </w:rPr>
        <w:t>lo importante es “que tu código postal no determine tu futuro”.</w:t>
      </w:r>
    </w:p>
    <w:p w:rsidR="00E02187" w:rsidRPr="003713FE" w:rsidRDefault="00E02187" w:rsidP="00E02187">
      <w:pPr>
        <w:pStyle w:val="NormalWeb"/>
        <w:jc w:val="both"/>
        <w:rPr>
          <w:b/>
        </w:rPr>
      </w:pPr>
      <w:r w:rsidRPr="003713FE">
        <w:rPr>
          <w:rStyle w:val="Textoennegrita"/>
          <w:b w:val="0"/>
        </w:rPr>
        <w:t>La separación entre sexos, clave</w:t>
      </w:r>
    </w:p>
    <w:p w:rsidR="00E02187" w:rsidRPr="00F50E89" w:rsidRDefault="00E02187" w:rsidP="00E02187">
      <w:pPr>
        <w:pStyle w:val="NormalWeb"/>
        <w:jc w:val="both"/>
        <w:rPr>
          <w:color w:val="FF0000"/>
          <w:u w:val="single"/>
        </w:rPr>
      </w:pPr>
      <w:r w:rsidRPr="00F50E89">
        <w:rPr>
          <w:color w:val="FF0000"/>
          <w:u w:val="single"/>
        </w:rPr>
        <w:t>Un milagro que parece aún mayor dado que la YMLS es una escuela pública, en la que la mayor parte de la inversión proviene del gobierno federal, si bien algunos programas concretos gozan de otro tipo de financiación. No obstante, Bradley recuerda que “</w:t>
      </w:r>
      <w:r w:rsidRPr="00F50E89">
        <w:rPr>
          <w:rStyle w:val="Textoennegrita"/>
          <w:color w:val="FF0000"/>
        </w:rPr>
        <w:t>el dinero es importante, pero no es lo único</w:t>
      </w:r>
      <w:r w:rsidRPr="00F50E89">
        <w:rPr>
          <w:color w:val="FF0000"/>
          <w:u w:val="single"/>
        </w:rPr>
        <w:t>”. En ese sentido, el papel tanto de padres como docentes es vital; entre estos últimos, la mitad han accedido a su puesto tras estudiar magisterio, y la otra mitad son profesionales de otros ámbitos que acceden a la enseñanza a través de programas como el de Teachers of America.</w:t>
      </w:r>
    </w:p>
    <w:p w:rsidR="00E02187" w:rsidRPr="00F50E89" w:rsidRDefault="00E02187" w:rsidP="00E02187">
      <w:pPr>
        <w:pStyle w:val="NormalWeb"/>
        <w:jc w:val="both"/>
        <w:rPr>
          <w:b/>
          <w:color w:val="FF0000"/>
          <w:u w:val="single"/>
        </w:rPr>
      </w:pPr>
      <w:r w:rsidRPr="00F50E89">
        <w:rPr>
          <w:b/>
          <w:color w:val="FF0000"/>
          <w:u w:val="single"/>
        </w:rPr>
        <w:t xml:space="preserve">Uno de los factores que diferencian el centro de otros de la zona es la </w:t>
      </w:r>
      <w:r w:rsidRPr="00F50E89">
        <w:rPr>
          <w:rStyle w:val="Textoennegrita"/>
          <w:color w:val="FF0000"/>
        </w:rPr>
        <w:t>separación por sexos</w:t>
      </w:r>
      <w:r w:rsidRPr="00F50E89">
        <w:rPr>
          <w:b/>
          <w:color w:val="FF0000"/>
          <w:u w:val="single"/>
        </w:rPr>
        <w:t xml:space="preserve">, que en un principio no convencía a Bradley, hasta que apenas un par de horas después de su llegada al centro cayó enamorada “por la manera en que las alumnas se expresaban, </w:t>
      </w:r>
      <w:r w:rsidRPr="00F50E89">
        <w:rPr>
          <w:rStyle w:val="Textoennegrita"/>
          <w:color w:val="FF0000"/>
        </w:rPr>
        <w:t>la libertad que sentían</w:t>
      </w:r>
      <w:r w:rsidRPr="00F50E89">
        <w:rPr>
          <w:b/>
          <w:color w:val="FF0000"/>
          <w:u w:val="single"/>
        </w:rPr>
        <w:t>, cómo hacían su trabajo”, especialmente en comparación con su formación como mujer en un centro mixto.</w:t>
      </w:r>
    </w:p>
    <w:p w:rsidR="00E02187" w:rsidRPr="00F50E89" w:rsidRDefault="00E02187" w:rsidP="00E02187">
      <w:pPr>
        <w:pStyle w:val="NormalWeb"/>
        <w:jc w:val="both"/>
        <w:rPr>
          <w:b/>
          <w:color w:val="FF0000"/>
          <w:u w:val="single"/>
        </w:rPr>
      </w:pPr>
      <w:r w:rsidRPr="00F50E89">
        <w:rPr>
          <w:b/>
          <w:color w:val="FF0000"/>
          <w:u w:val="single"/>
        </w:rPr>
        <w:t xml:space="preserve">La ausencia de chicos no es, en opinión de la autora, una limitación en la formación de las jóvenes, sino una manera de sortear distracciones, y también de evitar que las chicas se plieguen a la consolidada y poderosa cultura masculina. Por eso en la escuela inciden especialmente en </w:t>
      </w:r>
      <w:r w:rsidRPr="00F50E89">
        <w:rPr>
          <w:rStyle w:val="Textoennegrita"/>
          <w:color w:val="FF0000"/>
        </w:rPr>
        <w:t>materias como matemáticas o ciencias</w:t>
      </w:r>
      <w:r w:rsidRPr="00F50E89">
        <w:rPr>
          <w:b/>
          <w:color w:val="FF0000"/>
          <w:u w:val="single"/>
        </w:rPr>
        <w:t>, puesto que son aquellas en las que las mujeres tienen una menor presencia en el mercado laboral.</w:t>
      </w:r>
    </w:p>
    <w:p w:rsidR="00E02187" w:rsidRPr="00F50E89" w:rsidRDefault="00E02187" w:rsidP="00E02187">
      <w:pPr>
        <w:pStyle w:val="NormalWeb"/>
        <w:jc w:val="both"/>
        <w:rPr>
          <w:color w:val="FF0000"/>
          <w:u w:val="single"/>
        </w:rPr>
      </w:pPr>
      <w:r w:rsidRPr="00F50E89">
        <w:rPr>
          <w:color w:val="FF0000"/>
          <w:u w:val="single"/>
        </w:rPr>
        <w:t>Por el contrario, el lema escrito en la ropa de las estudiantes (“</w:t>
      </w:r>
      <w:r w:rsidRPr="00F50E89">
        <w:rPr>
          <w:rStyle w:val="nfasis"/>
          <w:rFonts w:eastAsiaTheme="majorEastAsia"/>
          <w:color w:val="FF0000"/>
          <w:u w:val="single"/>
        </w:rPr>
        <w:t>girls rule</w:t>
      </w:r>
      <w:r w:rsidRPr="00F50E89">
        <w:rPr>
          <w:color w:val="FF0000"/>
          <w:u w:val="single"/>
        </w:rPr>
        <w:t xml:space="preserve">”, es decir, “las chicas mandan”) deja claro que esta es </w:t>
      </w:r>
      <w:r w:rsidRPr="00F50E89">
        <w:rPr>
          <w:rStyle w:val="Textoennegrita"/>
          <w:color w:val="FF0000"/>
        </w:rPr>
        <w:t>una escuela de mujeres para mujeres</w:t>
      </w:r>
      <w:r w:rsidRPr="00F50E89">
        <w:rPr>
          <w:color w:val="FF0000"/>
          <w:u w:val="single"/>
        </w:rPr>
        <w:t xml:space="preserve"> que han de llegar lejos. Como aseguran algunas de las alumnas en un documental realizado por el centro, esta ausencia del sexo masculino en las aulas las permite estar más concentradas, "no tener que preocuparme por mi aspecto físico”, “sentirnos más poderosas”, “no tener que competir por la atención de un hombre”, etc.</w:t>
      </w:r>
    </w:p>
    <w:p w:rsidR="00E02187" w:rsidRPr="00F50E89" w:rsidRDefault="00E02187" w:rsidP="00E02187">
      <w:pPr>
        <w:pStyle w:val="NormalWeb"/>
        <w:jc w:val="both"/>
        <w:rPr>
          <w:color w:val="FF0000"/>
          <w:u w:val="single"/>
        </w:rPr>
      </w:pPr>
      <w:r w:rsidRPr="00F50E89">
        <w:rPr>
          <w:b/>
          <w:color w:val="FF0000"/>
          <w:u w:val="single"/>
        </w:rPr>
        <w:lastRenderedPageBreak/>
        <w:t>La implantación de este sistema no sería posible sin la gran autonomía que el sistema educativo americano permite a cada uno de sus centros, más allá de la consecución de unos objetivos establecidos a nivel nacional. Pero, como recuerda Bradley, “no es un ‘haz lo que quieras’; si los resultados no son buenos, no tienes libertad y</w:t>
      </w:r>
      <w:r w:rsidRPr="00F50E89">
        <w:rPr>
          <w:color w:val="FF0000"/>
          <w:u w:val="single"/>
        </w:rPr>
        <w:t xml:space="preserve"> </w:t>
      </w:r>
      <w:r w:rsidRPr="00F50E89">
        <w:rPr>
          <w:rStyle w:val="Textoennegrita"/>
          <w:color w:val="FF0000"/>
        </w:rPr>
        <w:t>el centro cierra</w:t>
      </w:r>
      <w:r w:rsidRPr="00F50E89">
        <w:rPr>
          <w:color w:val="FF0000"/>
          <w:u w:val="single"/>
        </w:rPr>
        <w:t>”.</w:t>
      </w:r>
    </w:p>
    <w:p w:rsidR="00E02187" w:rsidRPr="003713FE" w:rsidRDefault="00E02187" w:rsidP="00E02187">
      <w:pPr>
        <w:pStyle w:val="NormalWeb"/>
        <w:jc w:val="both"/>
        <w:rPr>
          <w:b/>
        </w:rPr>
      </w:pPr>
      <w:r w:rsidRPr="003713FE">
        <w:rPr>
          <w:rStyle w:val="Textoennegrita"/>
          <w:b w:val="0"/>
        </w:rPr>
        <w:t>Calidad y excelencia, pero para todos</w:t>
      </w:r>
    </w:p>
    <w:p w:rsidR="00E02187" w:rsidRPr="002A359C" w:rsidRDefault="00E02187" w:rsidP="00E02187">
      <w:pPr>
        <w:pStyle w:val="NormalWeb"/>
        <w:jc w:val="both"/>
        <w:rPr>
          <w:color w:val="FF0000"/>
          <w:u w:val="single"/>
        </w:rPr>
      </w:pPr>
      <w:r w:rsidRPr="002A359C">
        <w:rPr>
          <w:u w:val="single"/>
        </w:rPr>
        <w:t xml:space="preserve">La YMLS parece salir de la peligrosa disyuntiva en la que se encuentran la mayor parte </w:t>
      </w:r>
      <w:r w:rsidRPr="00D762BF">
        <w:rPr>
          <w:u w:val="single"/>
        </w:rPr>
        <w:t xml:space="preserve">de </w:t>
      </w:r>
      <w:hyperlink r:id="rId260" w:history="1">
        <w:r w:rsidRPr="00D762BF">
          <w:rPr>
            <w:rStyle w:val="Hipervnculo"/>
            <w:rFonts w:eastAsiaTheme="majorEastAsia"/>
            <w:color w:val="auto"/>
          </w:rPr>
          <w:t>discusiones sobre educación en España</w:t>
        </w:r>
      </w:hyperlink>
      <w:r w:rsidRPr="002A359C">
        <w:rPr>
          <w:u w:val="single"/>
        </w:rPr>
        <w:t>, según la cual, y simplificando, la educación universal y la excelencia académica son términos excluyentes: si queremos llegar a todos, tendremos que bajar sensiblemente el listón, y si queremos calidad, tendremos que separar a los alumnos menos válidos</w:t>
      </w:r>
      <w:r>
        <w:t xml:space="preserve">. </w:t>
      </w:r>
      <w:r w:rsidRPr="002A359C">
        <w:rPr>
          <w:color w:val="FF0000"/>
          <w:u w:val="single"/>
        </w:rPr>
        <w:t>Por el contrario, la YWLS demuestra que ambas cosas son posibles. Como indica Bradley, “</w:t>
      </w:r>
      <w:r w:rsidRPr="002A359C">
        <w:rPr>
          <w:rStyle w:val="Textoennegrita"/>
          <w:color w:val="FF0000"/>
        </w:rPr>
        <w:t>seas pobre o rico, mereces lo mejor</w:t>
      </w:r>
      <w:r w:rsidRPr="002A359C">
        <w:rPr>
          <w:color w:val="FF0000"/>
          <w:u w:val="single"/>
        </w:rPr>
        <w:t>”.</w:t>
      </w:r>
    </w:p>
    <w:p w:rsidR="00E02187" w:rsidRPr="002A359C" w:rsidRDefault="00E02187" w:rsidP="00E02187">
      <w:pPr>
        <w:pStyle w:val="NormalWeb"/>
        <w:jc w:val="both"/>
        <w:rPr>
          <w:color w:val="FF0000"/>
          <w:u w:val="single"/>
        </w:rPr>
      </w:pPr>
      <w:r w:rsidRPr="002A359C">
        <w:rPr>
          <w:color w:val="FF0000"/>
          <w:u w:val="single"/>
        </w:rPr>
        <w:t xml:space="preserve">En ese sentido, tanto el esfuerzo del alumno como el empeño del profesor son clave: “No permitimos que un alumno diga ‘ya está, no puedo hacer nada’ o ‘es suficiente’, </w:t>
      </w:r>
      <w:r w:rsidRPr="002A359C">
        <w:rPr>
          <w:rStyle w:val="Textoennegrita"/>
          <w:color w:val="FF0000"/>
        </w:rPr>
        <w:t>no puede fracasar ninguno</w:t>
      </w:r>
      <w:r w:rsidRPr="002A359C">
        <w:rPr>
          <w:color w:val="FF0000"/>
          <w:u w:val="single"/>
        </w:rPr>
        <w:t>”. Los profesores no niegan la alta exigencia que piden al estudiante, pero también la que ellos mismos sienten. “Los profesores que no trabajan mucho no duran”, recuerda la directora. “Los propios estudiantes han aprendido que tienen derecho a lo mejor”.</w:t>
      </w:r>
    </w:p>
    <w:p w:rsidR="00E02187" w:rsidRPr="002A359C" w:rsidRDefault="00E02187" w:rsidP="00E02187">
      <w:pPr>
        <w:pStyle w:val="NormalWeb"/>
        <w:jc w:val="both"/>
        <w:rPr>
          <w:color w:val="FF0000"/>
          <w:u w:val="single"/>
        </w:rPr>
      </w:pPr>
      <w:r w:rsidRPr="002A359C">
        <w:rPr>
          <w:color w:val="FF0000"/>
          <w:u w:val="single"/>
        </w:rPr>
        <w:t xml:space="preserve">Para ello han creado los COPR Angels, acrónimo de “confident”, “open minded”, “responsible” y “respectful”, es decir, “seguro”, “de mente abierta”, “responsable” y “respetuoso”, tutores que no tienen como objetivo la transmisión de conocimientos sino </w:t>
      </w:r>
      <w:r w:rsidRPr="002A359C">
        <w:rPr>
          <w:rStyle w:val="Textoennegrita"/>
          <w:color w:val="FF0000"/>
        </w:rPr>
        <w:t>la formación “de buenas personas”</w:t>
      </w:r>
      <w:r w:rsidRPr="002A359C">
        <w:rPr>
          <w:color w:val="FF0000"/>
          <w:u w:val="single"/>
        </w:rPr>
        <w:t>. El último factor de la ecuación son los padres, a los que Bradley define como “socios” y a los que se pide que “aunque no tengan por qué estar de acuerdo en todo, mantengan sus discrepancias al margen de los hijos, para que el mensaje que transmiten el colegio y los padres sea el mismo”.</w:t>
      </w:r>
    </w:p>
    <w:p w:rsidR="00E02187" w:rsidRPr="003713FE" w:rsidRDefault="00E02187" w:rsidP="00E02187">
      <w:pPr>
        <w:pStyle w:val="NormalWeb"/>
        <w:jc w:val="both"/>
        <w:rPr>
          <w:b/>
        </w:rPr>
      </w:pPr>
      <w:r w:rsidRPr="003713FE">
        <w:rPr>
          <w:rStyle w:val="Textoennegrita"/>
          <w:b w:val="0"/>
        </w:rPr>
        <w:t>Un viejo modelo para nuevos tiempos</w:t>
      </w:r>
    </w:p>
    <w:p w:rsidR="00E02187" w:rsidRPr="002A359C" w:rsidRDefault="00E02187" w:rsidP="00E02187">
      <w:pPr>
        <w:pStyle w:val="NormalWeb"/>
        <w:jc w:val="both"/>
        <w:rPr>
          <w:u w:val="single"/>
        </w:rPr>
      </w:pPr>
      <w:r>
        <w:t xml:space="preserve">La de Brooklyn no es la primera de las escuelas abiertas de la Young Women’s Leadership School, sino la del barrio de Harlem en Nueva York, fundada en 1996. </w:t>
      </w:r>
      <w:r w:rsidRPr="002A359C">
        <w:rPr>
          <w:u w:val="single"/>
        </w:rPr>
        <w:t xml:space="preserve">La educación diferenciada ha existido desde hace siglos, pero este retorno no obedece a la </w:t>
      </w:r>
      <w:r w:rsidRPr="002A359C">
        <w:rPr>
          <w:rStyle w:val="Textoennegrita"/>
        </w:rPr>
        <w:t>nostalgia por lo tradicional</w:t>
      </w:r>
      <w:r w:rsidRPr="002A359C">
        <w:rPr>
          <w:u w:val="single"/>
        </w:rPr>
        <w:t>, sino a una reacción moderna frente a las complejidades de la vida contemporánea.</w:t>
      </w:r>
    </w:p>
    <w:p w:rsidR="00E02187" w:rsidRPr="002A359C" w:rsidRDefault="00E02187" w:rsidP="00E02187">
      <w:pPr>
        <w:pStyle w:val="NormalWeb"/>
        <w:jc w:val="both"/>
        <w:rPr>
          <w:color w:val="FF0000"/>
          <w:u w:val="single"/>
        </w:rPr>
      </w:pPr>
      <w:r>
        <w:t xml:space="preserve">Como explicó la profesora de derecho de la Universidad de Saint Jones de Nueva York </w:t>
      </w:r>
      <w:r>
        <w:rPr>
          <w:rStyle w:val="Textoennegrita"/>
        </w:rPr>
        <w:t>Rosemary C. Salomone</w:t>
      </w:r>
      <w:r>
        <w:t xml:space="preserve"> a </w:t>
      </w:r>
      <w:r>
        <w:rPr>
          <w:rStyle w:val="nfasis"/>
          <w:rFonts w:eastAsiaTheme="majorEastAsia"/>
        </w:rPr>
        <w:t>El Confidencial</w:t>
      </w:r>
      <w:r>
        <w:t xml:space="preserve"> “</w:t>
      </w:r>
      <w:hyperlink r:id="rId261" w:history="1">
        <w:r w:rsidRPr="00D762BF">
          <w:rPr>
            <w:rStyle w:val="Hipervnculo"/>
            <w:rFonts w:eastAsiaTheme="majorEastAsia"/>
            <w:color w:val="auto"/>
          </w:rPr>
          <w:t xml:space="preserve">las nuevas escuelas diferenciadas </w:t>
        </w:r>
      </w:hyperlink>
      <w:hyperlink r:id="rId262" w:history="1">
        <w:r w:rsidRPr="00D762BF">
          <w:rPr>
            <w:rStyle w:val="Hipervnculo"/>
            <w:rFonts w:eastAsiaTheme="majorEastAsia"/>
            <w:color w:val="auto"/>
          </w:rPr>
          <w:t>mejoran a la mujer</w:t>
        </w:r>
      </w:hyperlink>
      <w:r w:rsidRPr="00D762BF">
        <w:rPr>
          <w:rStyle w:val="Textoennegrita"/>
        </w:rPr>
        <w:t>, porque la hacen más fuerte</w:t>
      </w:r>
      <w:r w:rsidRPr="00D762BF">
        <w:rPr>
          <w:u w:val="single"/>
        </w:rPr>
        <w:t>”</w:t>
      </w:r>
      <w:r w:rsidRPr="00D762BF">
        <w:t>. La</w:t>
      </w:r>
      <w:r>
        <w:t xml:space="preserve"> mirada externa de la que goza Salomone la ayuda a enunciar de manera más explícita el pensamiento de la organización: </w:t>
      </w:r>
      <w:r w:rsidRPr="002A359C">
        <w:rPr>
          <w:color w:val="FF0000"/>
          <w:u w:val="single"/>
        </w:rPr>
        <w:t>“Hay un punto en la vida de toda chica que tiene que elegir entre ser inteligente y ser popular”.</w:t>
      </w:r>
    </w:p>
    <w:p w:rsidR="00E02187" w:rsidRDefault="00E02187" w:rsidP="00E02187">
      <w:pPr>
        <w:pStyle w:val="NormalWeb"/>
        <w:jc w:val="both"/>
        <w:rPr>
          <w:color w:val="FF0000"/>
          <w:u w:val="single"/>
        </w:rPr>
      </w:pPr>
      <w:r>
        <w:t xml:space="preserve">Estas chicas no han de sacrificar una cosa u otra, sino que pueden ser ambas al mismo tiempo. </w:t>
      </w:r>
      <w:r w:rsidRPr="002A359C">
        <w:rPr>
          <w:color w:val="FF0000"/>
          <w:u w:val="single"/>
        </w:rPr>
        <w:t xml:space="preserve">Sin embargo, ni Bradley ni ninguno de sus compañeros defienden que el suyo debe ser el modelo a seguir por todos los centros, sino una alternativa más para aquellos que creen en ella. Como explica Bradley, “no podemos cambiar todas las escuelas, pero sí ofrecer </w:t>
      </w:r>
      <w:r w:rsidRPr="002A359C">
        <w:rPr>
          <w:rStyle w:val="Textoennegrita"/>
          <w:color w:val="FF0000"/>
        </w:rPr>
        <w:t>una alternativa pública de calidad</w:t>
      </w:r>
      <w:r w:rsidRPr="002A359C">
        <w:rPr>
          <w:color w:val="FF0000"/>
          <w:u w:val="single"/>
        </w:rPr>
        <w:t>”.</w:t>
      </w:r>
    </w:p>
    <w:p w:rsidR="00E02187" w:rsidRDefault="00E02187" w:rsidP="00E02187">
      <w:pPr>
        <w:pStyle w:val="NormalWeb"/>
        <w:jc w:val="both"/>
        <w:rPr>
          <w:rStyle w:val="nfasis"/>
          <w:rFonts w:eastAsiaTheme="majorEastAsia"/>
          <w:i w:val="0"/>
          <w:u w:val="single"/>
        </w:rPr>
      </w:pPr>
      <w:r w:rsidRPr="00B42B2E">
        <w:rPr>
          <w:u w:val="single"/>
        </w:rPr>
        <w:lastRenderedPageBreak/>
        <w:t xml:space="preserve">Otra aportación sugerente de Fedea: </w:t>
      </w:r>
      <w:r w:rsidRPr="00B42B2E">
        <w:rPr>
          <w:i/>
          <w:u w:val="single"/>
        </w:rPr>
        <w:t>“</w:t>
      </w:r>
      <w:r w:rsidRPr="00B42B2E">
        <w:rPr>
          <w:rStyle w:val="nfasis"/>
          <w:rFonts w:eastAsiaTheme="majorEastAsia"/>
          <w:i w:val="0"/>
          <w:u w:val="single"/>
        </w:rPr>
        <w:t>teaching to the test”</w:t>
      </w:r>
    </w:p>
    <w:p w:rsidR="00E02187" w:rsidRPr="00B42B2E" w:rsidRDefault="00E02187" w:rsidP="00E02187">
      <w:pPr>
        <w:pStyle w:val="NormalWeb"/>
        <w:jc w:val="both"/>
        <w:rPr>
          <w:i/>
          <w:u w:val="single"/>
        </w:rPr>
      </w:pPr>
      <w:r>
        <w:t xml:space="preserve">- </w:t>
      </w:r>
      <w:r w:rsidRPr="00CE0424">
        <w:rPr>
          <w:u w:val="single"/>
        </w:rPr>
        <w:t xml:space="preserve">Exámenes externos, resultados y </w:t>
      </w:r>
      <w:r w:rsidRPr="00CE0424">
        <w:rPr>
          <w:rStyle w:val="nfasis"/>
          <w:rFonts w:eastAsiaTheme="majorEastAsia"/>
          <w:b/>
          <w:u w:val="single"/>
        </w:rPr>
        <w:t>teaching to the test</w:t>
      </w:r>
      <w:r>
        <w:rPr>
          <w:rStyle w:val="nfasis"/>
          <w:rFonts w:eastAsiaTheme="majorEastAsia"/>
          <w:b/>
        </w:rPr>
        <w:t xml:space="preserve"> </w:t>
      </w:r>
      <w:r w:rsidRPr="00B42B2E">
        <w:rPr>
          <w:rStyle w:val="nfasis"/>
          <w:rFonts w:eastAsiaTheme="majorEastAsia"/>
          <w:i w:val="0"/>
        </w:rPr>
        <w:t xml:space="preserve">(Fedea - </w:t>
      </w:r>
      <w:r w:rsidRPr="00B42B2E">
        <w:rPr>
          <w:rStyle w:val="nfasis"/>
          <w:rFonts w:eastAsiaTheme="majorEastAsia"/>
          <w:b/>
          <w:i w:val="0"/>
        </w:rPr>
        <w:t>28/10/13</w:t>
      </w:r>
      <w:r w:rsidRPr="00B42B2E">
        <w:rPr>
          <w:rStyle w:val="nfasis"/>
          <w:rFonts w:eastAsiaTheme="majorEastAsia"/>
          <w:i w:val="0"/>
        </w:rPr>
        <w:t>)</w:t>
      </w:r>
    </w:p>
    <w:p w:rsidR="00E02187" w:rsidRPr="00CE0424" w:rsidRDefault="00E02187" w:rsidP="00E02187">
      <w:pPr>
        <w:pStyle w:val="headlinemeta"/>
        <w:jc w:val="both"/>
      </w:pPr>
      <w:r>
        <w:t>(</w:t>
      </w:r>
      <w:r w:rsidRPr="00CE0424">
        <w:t xml:space="preserve">Por </w:t>
      </w:r>
      <w:hyperlink r:id="rId263" w:history="1">
        <w:r w:rsidRPr="00D762BF">
          <w:rPr>
            <w:rStyle w:val="Hipervnculo"/>
            <w:rFonts w:eastAsiaTheme="majorEastAsia"/>
            <w:color w:val="auto"/>
            <w:u w:val="none"/>
          </w:rPr>
          <w:t>Antonio Cabrales</w:t>
        </w:r>
      </w:hyperlink>
      <w:r w:rsidRPr="00D762BF">
        <w:t>)</w:t>
      </w:r>
      <w:r>
        <w:t xml:space="preserve">                                                                     Lectura recomendada</w:t>
      </w:r>
    </w:p>
    <w:p w:rsidR="00E02187" w:rsidRDefault="00E02187" w:rsidP="00E02187">
      <w:pPr>
        <w:pStyle w:val="NormalWeb"/>
        <w:jc w:val="both"/>
      </w:pPr>
      <w:r>
        <w:t xml:space="preserve">Ya aprobada la LOMCE quizá no tiene mucho sentido comentarla más, sino esperar a que vaya generando resultados. Pero quizá vale la pena que quede por escrito una predicción, para que luego alguien pueda venir a sacarme los colores cuando se haga el análisis. De todo lo que hay en esa ley lo que me parece más probable que tenga un efecto duradero, y probablemente positivo, son los exámenes de fin de ciclo (también llamados CBEEE por su acrónimo en inglés), particularmente el examen de final de la secundaria. Y no solo eso, también será interesante averiguar si estos exámenes tendrán efectos negativos en actividades no cubiertas por el examen. Yo creo, énfasis en </w:t>
      </w:r>
      <w:r>
        <w:rPr>
          <w:rStyle w:val="nfasis"/>
          <w:rFonts w:eastAsiaTheme="majorEastAsia"/>
        </w:rPr>
        <w:t>creo</w:t>
      </w:r>
      <w:r>
        <w:t xml:space="preserve"> porque la evidencia de esto es más circunstancial, que no, siempre y cuando las pruebas se diseñen bien. </w:t>
      </w:r>
    </w:p>
    <w:p w:rsidR="00E02187" w:rsidRDefault="00E02187" w:rsidP="00E02187">
      <w:pPr>
        <w:pStyle w:val="NormalWeb"/>
        <w:jc w:val="both"/>
      </w:pPr>
      <w:r>
        <w:t>Alguna de la evidencia relevante ya la hemos comentado aquí. El gráfico que sigue ha salido en varias entradas de este blog. Lo que recoge es la diferencia de resultados individuales entre países (después de controlar por las variables observables relevantes de TIMSS) divididos en cuatro bloques. Las columnas en azul representan los resultados de países con exámenes externos de fin de ciclo, las columnas en amarillo los de países sin exámenes externos. Las columnas de la derecha representan países con cierta autonomía en la gestión de recursos humanos en las escuelas. Las de la izquierda, países sin autonomía. Como se puede ver los exámenes externos tienen una influencia importante, y cuando existen la autonomía todavía ayuda algo. Por el contrario, si no hay exámenes, la autonomía es, de hecho, negativa. Mi interpretación es que exámenes comparables objetivamente crean un entorno de rendición de cuentas, en el que la autonomía permite optimizar mejor, con el conocimiento del terreno. Por el contrario, dar libertad sin pedir cuentas es una receta para el desastre.</w:t>
      </w:r>
    </w:p>
    <w:p w:rsidR="00E02187" w:rsidRDefault="00E02187" w:rsidP="00E02187">
      <w:pPr>
        <w:pStyle w:val="NormalWeb"/>
        <w:jc w:val="both"/>
      </w:pPr>
      <w:r>
        <w:rPr>
          <w:noProof/>
          <w:color w:val="0000FF"/>
        </w:rPr>
        <w:drawing>
          <wp:inline distT="0" distB="0" distL="0" distR="0" wp14:anchorId="7DC4B87F" wp14:editId="7EE6DEFD">
            <wp:extent cx="5091379" cy="2494483"/>
            <wp:effectExtent l="0" t="0" r="0" b="1270"/>
            <wp:docPr id="114" name="Imagen 114" descr="cbeee1">
              <a:hlinkClick xmlns:a="http://schemas.openxmlformats.org/drawingml/2006/main" r:id="rId2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beee1">
                      <a:hlinkClick r:id="rId264"/>
                    </pic:cNvPr>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091622" cy="2494602"/>
                    </a:xfrm>
                    <a:prstGeom prst="rect">
                      <a:avLst/>
                    </a:prstGeom>
                    <a:noFill/>
                    <a:ln>
                      <a:noFill/>
                    </a:ln>
                  </pic:spPr>
                </pic:pic>
              </a:graphicData>
            </a:graphic>
          </wp:inline>
        </w:drawing>
      </w:r>
    </w:p>
    <w:p w:rsidR="00E02187" w:rsidRDefault="00E02187" w:rsidP="00E02187">
      <w:pPr>
        <w:pStyle w:val="NormalWeb"/>
        <w:jc w:val="both"/>
      </w:pPr>
      <w:r>
        <w:t xml:space="preserve">Es legítimo pensar que con esta evidencia no es suficiente para concluir que los exámenes serán beneficiosos. Los países se distinguen en muchas cosas entre sí y aunque las que observa TIMSS ya están controladas en la regresión (incluyendo renta del país y de las familias, recursos de la escuela, inmigración y otros sospechosos </w:t>
      </w:r>
      <w:r>
        <w:lastRenderedPageBreak/>
        <w:t>habituales), siempre podría ser que los países especialmente motivados por la educación, o mejor gestionados en general, fueran los que impusieran estos exámenes, y lo que estuviéramos capturando fuera simplemente ese plus de motivación o buena organización.</w:t>
      </w:r>
    </w:p>
    <w:p w:rsidR="00E02187" w:rsidRDefault="00E02187" w:rsidP="00E02187">
      <w:pPr>
        <w:pStyle w:val="NormalWeb"/>
        <w:jc w:val="both"/>
      </w:pPr>
      <w:r>
        <w:t xml:space="preserve">Por esto vale la pena mirar a otros estudios. </w:t>
      </w:r>
      <w:hyperlink r:id="rId266" w:history="1">
        <w:r w:rsidRPr="00D762BF">
          <w:rPr>
            <w:rStyle w:val="Hipervnculo"/>
            <w:rFonts w:eastAsiaTheme="majorEastAsia"/>
            <w:color w:val="auto"/>
          </w:rPr>
          <w:t>Ludger Woessman</w:t>
        </w:r>
      </w:hyperlink>
      <w:r w:rsidRPr="00D762BF">
        <w:t xml:space="preserve"> ha estudiado las diferencias de resultados entre estados alemanes en PISA. Aunque</w:t>
      </w:r>
      <w:r>
        <w:t xml:space="preserve"> muchas de las críticas al estudio anterior se pueden repetir para este, dentro de un país hay muchas más cosas no observables que se pueden mantener constantes, como la cultura, la lengua o el marco de bienestar y legal. Los resultados por estados controlando por las variables observables más importantes (estatus socioeconómico y profesional de los padres) se pueden ver en el gráfico que sigue.</w:t>
      </w:r>
    </w:p>
    <w:p w:rsidR="00E02187" w:rsidRDefault="00E02187" w:rsidP="00E02187">
      <w:pPr>
        <w:pStyle w:val="NormalWeb"/>
        <w:jc w:val="both"/>
      </w:pPr>
      <w:r>
        <w:rPr>
          <w:noProof/>
          <w:color w:val="0000FF"/>
        </w:rPr>
        <w:drawing>
          <wp:inline distT="0" distB="0" distL="0" distR="0" wp14:anchorId="77BAEC0B" wp14:editId="58FE66B1">
            <wp:extent cx="5193792" cy="2662733"/>
            <wp:effectExtent l="0" t="0" r="6985" b="4445"/>
            <wp:docPr id="113" name="Imagen 113" descr="cbeee2">
              <a:hlinkClick xmlns:a="http://schemas.openxmlformats.org/drawingml/2006/main" r:id="rId2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beee2">
                      <a:hlinkClick r:id="rId267"/>
                    </pic:cNvPr>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194089" cy="2662885"/>
                    </a:xfrm>
                    <a:prstGeom prst="rect">
                      <a:avLst/>
                    </a:prstGeom>
                    <a:noFill/>
                    <a:ln>
                      <a:noFill/>
                    </a:ln>
                  </pic:spPr>
                </pic:pic>
              </a:graphicData>
            </a:graphic>
          </wp:inline>
        </w:drawing>
      </w:r>
    </w:p>
    <w:p w:rsidR="00E02187" w:rsidRPr="00883676" w:rsidRDefault="00E02187" w:rsidP="00E02187">
      <w:pPr>
        <w:pStyle w:val="NormalWeb"/>
        <w:jc w:val="both"/>
        <w:rPr>
          <w:color w:val="FF0000"/>
          <w:u w:val="single"/>
        </w:rPr>
      </w:pPr>
      <w:r w:rsidRPr="00883676">
        <w:rPr>
          <w:color w:val="FF0000"/>
          <w:u w:val="single"/>
        </w:rPr>
        <w:t>Los efectos son de una magnitud algo inferior, pero nada despreciables. Cerca de 30 puntos de PISA. Igual me pongo pesado con esto, pero si 100 puntos más de PISA son 2 puntos más de crecimiento, como sugieren algunas estimaciones, 30 puntos son… hagan la cuenta, que luego viene el tío PIAAC con la rebaja. En todo caso, quién los pillara.</w:t>
      </w:r>
    </w:p>
    <w:p w:rsidR="00E02187" w:rsidRDefault="00E02187" w:rsidP="00E02187">
      <w:pPr>
        <w:pStyle w:val="NormalWeb"/>
        <w:jc w:val="both"/>
      </w:pPr>
      <w:r>
        <w:t xml:space="preserve">¿Será esto algo que solamente pasa en Alemania? Vamos a ver que no, usando datos de Estados Unidos y Canadá. Seguramente el mejor estudio sobre exámenes externos es el </w:t>
      </w:r>
      <w:r w:rsidRPr="00D762BF">
        <w:t xml:space="preserve">de </w:t>
      </w:r>
      <w:hyperlink r:id="rId269" w:history="1">
        <w:r w:rsidRPr="00D762BF">
          <w:rPr>
            <w:rStyle w:val="Hipervnculo"/>
            <w:rFonts w:eastAsiaTheme="majorEastAsia"/>
            <w:color w:val="auto"/>
          </w:rPr>
          <w:t>Dee y Jacob</w:t>
        </w:r>
      </w:hyperlink>
      <w:r w:rsidRPr="00D762BF">
        <w:t xml:space="preserve">, que estudia el impacto de la ley </w:t>
      </w:r>
      <w:hyperlink r:id="rId270" w:history="1">
        <w:r w:rsidRPr="00D762BF">
          <w:rPr>
            <w:rStyle w:val="Hipervnculo"/>
            <w:rFonts w:eastAsiaTheme="majorEastAsia"/>
            <w:color w:val="auto"/>
          </w:rPr>
          <w:t xml:space="preserve">NCLB (No Child Left Behind, </w:t>
        </w:r>
      </w:hyperlink>
      <w:r w:rsidRPr="00D762BF">
        <w:t xml:space="preserve">o Ningún Niño Rezagado) que se aprobó en el congreso americano en 2001, ya bajo el </w:t>
      </w:r>
      <w:r>
        <w:t>mandato de George Bush, aunque había sido diseñada bajo la administración Clinton, con un apoyo de los dos partidos muy poco habitual. La ley pretendía mejorar los resultados de las escuelas exigiendo que los estados pusieran unos estándares mínimos para cada escuela pública medidos por exámenes externos, con premios y castigos para las escuelas que no los satisficieran.</w:t>
      </w:r>
    </w:p>
    <w:p w:rsidR="00E02187" w:rsidRDefault="00E02187" w:rsidP="00E02187">
      <w:pPr>
        <w:pStyle w:val="NormalWeb"/>
        <w:jc w:val="both"/>
      </w:pPr>
      <w:r>
        <w:t xml:space="preserve">El artículo explota el hecho de que algunos estados ya habían implementado reformas en la dirección de mayor rendición de cuentas bastantes años antes de que la ley entrara en efecto. Y compara la evolución de los resultados de los estudiantes en los estados que ya habían impuesto exámenes externos con consecuencias, con la de los que solamente la implementaron como consecuencia de NCLB. Crucialmente, el efecto se </w:t>
      </w:r>
      <w:r>
        <w:lastRenderedPageBreak/>
        <w:t xml:space="preserve">estudia con un examen que </w:t>
      </w:r>
      <w:r>
        <w:rPr>
          <w:rStyle w:val="nfasis"/>
          <w:rFonts w:eastAsiaTheme="majorEastAsia"/>
        </w:rPr>
        <w:t>no tiene consecuencias</w:t>
      </w:r>
      <w:r>
        <w:t>, y que es una pura evaluación de diagnóstico (el NAEP o Evaluación Nacional del Progreso Educativo). Esto es importante porque el examen con consecuencias ha sido manipulado en algunos estados que vieron en las evaluaciones iniciales que los resultados eran muy malos. Además NAEP goza de buena reputación por sus propiedades psicométricas.</w:t>
      </w:r>
    </w:p>
    <w:p w:rsidR="00E02187" w:rsidRDefault="00E02187" w:rsidP="00E02187">
      <w:pPr>
        <w:pStyle w:val="NormalWeb"/>
        <w:jc w:val="both"/>
      </w:pPr>
      <w:r>
        <w:t>Aunque el análisis econométrico es más complicado, el siguiente gráfico no indica ya bastante bien los resultados:</w:t>
      </w:r>
    </w:p>
    <w:p w:rsidR="00E02187" w:rsidRDefault="00E02187" w:rsidP="00E02187">
      <w:pPr>
        <w:pStyle w:val="NormalWeb"/>
        <w:jc w:val="both"/>
      </w:pPr>
      <w:r>
        <w:rPr>
          <w:noProof/>
        </w:rPr>
        <w:drawing>
          <wp:inline distT="0" distB="0" distL="0" distR="0" wp14:anchorId="56365B66" wp14:editId="7E5D4020">
            <wp:extent cx="5397608" cy="2494483"/>
            <wp:effectExtent l="0" t="0" r="0" b="1270"/>
            <wp:docPr id="115" name="Imagen 115" descr="http://www.fedeablogs.net/economia/wp-content/uploads/cbee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fedeablogs.net/economia/wp-content/uploads/cbeee3.jp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5400040" cy="2495607"/>
                    </a:xfrm>
                    <a:prstGeom prst="rect">
                      <a:avLst/>
                    </a:prstGeom>
                    <a:noFill/>
                    <a:ln>
                      <a:noFill/>
                    </a:ln>
                  </pic:spPr>
                </pic:pic>
              </a:graphicData>
            </a:graphic>
          </wp:inline>
        </w:drawing>
      </w:r>
    </w:p>
    <w:p w:rsidR="00E02187" w:rsidRDefault="00E02187" w:rsidP="00E02187">
      <w:pPr>
        <w:pStyle w:val="NormalWeb"/>
        <w:jc w:val="both"/>
      </w:pPr>
      <w:r>
        <w:br/>
      </w:r>
      <w:r>
        <w:rPr>
          <w:noProof/>
          <w:color w:val="0000FF"/>
        </w:rPr>
        <w:drawing>
          <wp:inline distT="0" distB="0" distL="0" distR="0" wp14:anchorId="65F461E6" wp14:editId="6B5CA399">
            <wp:extent cx="5793633" cy="2428646"/>
            <wp:effectExtent l="0" t="0" r="0" b="0"/>
            <wp:docPr id="473" name="Imagen 473" descr="cbeee4">
              <a:hlinkClick xmlns:a="http://schemas.openxmlformats.org/drawingml/2006/main" r:id="rId2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beee4">
                      <a:hlinkClick r:id="rId272"/>
                    </pic:cNvPr>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793740" cy="2428691"/>
                    </a:xfrm>
                    <a:prstGeom prst="rect">
                      <a:avLst/>
                    </a:prstGeom>
                    <a:noFill/>
                    <a:ln>
                      <a:noFill/>
                    </a:ln>
                  </pic:spPr>
                </pic:pic>
              </a:graphicData>
            </a:graphic>
          </wp:inline>
        </w:drawing>
      </w:r>
    </w:p>
    <w:p w:rsidR="00E02187" w:rsidRDefault="00E02187" w:rsidP="00E02187">
      <w:pPr>
        <w:pStyle w:val="NormalWeb"/>
        <w:jc w:val="both"/>
      </w:pPr>
      <w:r>
        <w:t>Los gráficos señalan las tendencias de resultados en cuarto curso los estados que ya habían adoptado exámenes externos en 1998 con círculos, y los que lo hicieron después de 2002 con triángulos, primero en matemáticas y luego en lectura. Como se puede ver las tendencias positivas se acentúan más fuertemente en los estados que entran en NCLB en 2002, y esto mismo es lo que recoge el análisis econométrico más sofisticado. Lógicamente puede haber problemas. Quizá los estados más susceptibles a una mejora adoptaron antes los exámenes, pero eso de hecho haría que los efectos aquí identificados subestimaran los efectos.</w:t>
      </w:r>
    </w:p>
    <w:p w:rsidR="00E02187" w:rsidRDefault="00E02187" w:rsidP="00E02187">
      <w:pPr>
        <w:pStyle w:val="NormalWeb"/>
        <w:jc w:val="both"/>
      </w:pPr>
      <w:r>
        <w:lastRenderedPageBreak/>
        <w:t>El estudio también comprueba que los efectos son más importantes en los estudiantes más desfavorecidos, algo esperable dado que la ley se enfoca en aquellas escuelas con resultados muy pobres para empezar en términos absolutos, no en valor añadido. Los autores también comprueban que aunque los exámenes se centran en lectura y matemáticas, no parece haber efectos negativos en ciencia, que también se mide con el NAEP. Ojo, tampoco encuentra efectos positivos en ciencia, por tanto el que la ley se enfoque solamente en matemáticas y lectura puede hacer que se pierda algún efecto positivo potencial.</w:t>
      </w:r>
    </w:p>
    <w:p w:rsidR="00E02187" w:rsidRDefault="00E02187" w:rsidP="00E02187">
      <w:pPr>
        <w:pStyle w:val="NormalWeb"/>
        <w:jc w:val="both"/>
      </w:pPr>
      <w:r>
        <w:t xml:space="preserve">Aún me queda un artículo más que discutir. </w:t>
      </w:r>
      <w:r w:rsidRPr="00D762BF">
        <w:t xml:space="preserve">Este </w:t>
      </w:r>
      <w:hyperlink r:id="rId274" w:history="1">
        <w:r w:rsidRPr="00D762BF">
          <w:rPr>
            <w:rStyle w:val="Hipervnculo"/>
            <w:rFonts w:eastAsiaTheme="majorEastAsia"/>
            <w:color w:val="auto"/>
          </w:rPr>
          <w:t>artículo de Bishop</w:t>
        </w:r>
      </w:hyperlink>
      <w:r w:rsidRPr="00B42B2E">
        <w:t>,</w:t>
      </w:r>
      <w:r>
        <w:t xml:space="preserve"> utiliza datos de Canadá, de un examen internacional de 1991 el IAEP (Evaluación Internacional de Progreso Educativo). La estrategia empírica es parecida a la del artículo de Woessman que ya hemos discutido (como sus problemas), pero usando la variación entre estados de Canadá.</w:t>
      </w:r>
    </w:p>
    <w:p w:rsidR="00E02187" w:rsidRDefault="00E02187" w:rsidP="00E02187">
      <w:pPr>
        <w:pStyle w:val="NormalWeb"/>
        <w:jc w:val="both"/>
      </w:pPr>
      <w:r>
        <w:t>El artículo, sin embargo, me interesa por otro motivo, porque permite ver cómo varían otros resultados y estrategias didácticas además del examen. Esto hace posible saber si la mejora de resultados viene a expensas de otras actividades deseables (el odioso “teach to the test”). Y la buena noticias es que parece que no. Como se ve en el siguiente cuadro, los chicos que están expuestos a los CBEEE ven menos la televisión, leen más por placer y miran más programas de ciencia.</w:t>
      </w:r>
    </w:p>
    <w:p w:rsidR="00E02187" w:rsidRDefault="00E02187" w:rsidP="00E02187">
      <w:pPr>
        <w:pStyle w:val="NormalWeb"/>
        <w:jc w:val="both"/>
      </w:pPr>
      <w:r>
        <w:rPr>
          <w:noProof/>
          <w:color w:val="0000FF"/>
        </w:rPr>
        <w:drawing>
          <wp:inline distT="0" distB="0" distL="0" distR="0" wp14:anchorId="689C230F" wp14:editId="48F9DCBA">
            <wp:extent cx="5508625" cy="1331595"/>
            <wp:effectExtent l="0" t="0" r="0" b="1905"/>
            <wp:docPr id="48" name="Imagen 48" descr="cbeee5">
              <a:hlinkClick xmlns:a="http://schemas.openxmlformats.org/drawingml/2006/main" r:id="rId2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beee5">
                      <a:hlinkClick r:id="rId275"/>
                    </pic:cNvPr>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508625" cy="1331595"/>
                    </a:xfrm>
                    <a:prstGeom prst="rect">
                      <a:avLst/>
                    </a:prstGeom>
                    <a:noFill/>
                    <a:ln>
                      <a:noFill/>
                    </a:ln>
                  </pic:spPr>
                </pic:pic>
              </a:graphicData>
            </a:graphic>
          </wp:inline>
        </w:drawing>
      </w:r>
    </w:p>
    <w:p w:rsidR="00E02187" w:rsidRDefault="00E02187" w:rsidP="00E02187">
      <w:pPr>
        <w:pStyle w:val="NormalWeb"/>
        <w:jc w:val="both"/>
      </w:pPr>
    </w:p>
    <w:p w:rsidR="00E02187" w:rsidRDefault="00E02187" w:rsidP="00E02187">
      <w:pPr>
        <w:pStyle w:val="NormalWeb"/>
        <w:jc w:val="both"/>
      </w:pPr>
      <w:r>
        <w:t>Tampoco parece que las estrategias de los profesores sean peores en estos estados. Los estudiantes hacen más experimentos (¡en cuarto de primaria, señores! Mi hijo hizo su primer experimento en primero de la ESO como un trabajo extra y porque su padre es un “freaky” que se dedica a esto profesionalmente.) en los estados expuestos a los CBEEE y enfatizan menos los cálculos con números enteros, una competencia que se considera más apropiada para quinto curso.</w:t>
      </w:r>
    </w:p>
    <w:p w:rsidR="00E02187" w:rsidRDefault="00E02187" w:rsidP="00E02187">
      <w:pPr>
        <w:pStyle w:val="NormalWeb"/>
        <w:jc w:val="both"/>
      </w:pPr>
      <w:r>
        <w:rPr>
          <w:noProof/>
          <w:color w:val="0000FF"/>
        </w:rPr>
        <w:drawing>
          <wp:inline distT="0" distB="0" distL="0" distR="0" wp14:anchorId="21A0C884" wp14:editId="303943B9">
            <wp:extent cx="5274310" cy="1257935"/>
            <wp:effectExtent l="0" t="0" r="2540" b="0"/>
            <wp:docPr id="50" name="Imagen 50" descr="cbeee6">
              <a:hlinkClick xmlns:a="http://schemas.openxmlformats.org/drawingml/2006/main" r:id="rId2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beee6">
                      <a:hlinkClick r:id="rId277"/>
                    </pic:cNvPr>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274310" cy="1257935"/>
                    </a:xfrm>
                    <a:prstGeom prst="rect">
                      <a:avLst/>
                    </a:prstGeom>
                    <a:noFill/>
                    <a:ln>
                      <a:noFill/>
                    </a:ln>
                  </pic:spPr>
                </pic:pic>
              </a:graphicData>
            </a:graphic>
          </wp:inline>
        </w:drawing>
      </w:r>
    </w:p>
    <w:p w:rsidR="00E02187" w:rsidRDefault="00E02187" w:rsidP="00E02187">
      <w:pPr>
        <w:pStyle w:val="NormalWeb"/>
        <w:jc w:val="both"/>
      </w:pPr>
    </w:p>
    <w:p w:rsidR="00E02187" w:rsidRDefault="00E02187" w:rsidP="00E02187">
      <w:pPr>
        <w:pStyle w:val="NormalWeb"/>
        <w:jc w:val="both"/>
      </w:pPr>
      <w:r>
        <w:lastRenderedPageBreak/>
        <w:t>Una forma (parcial e incompleta) de ver si las provincias que adoptan exámenes son las más motivadas es ver si se diferencian en alguna dimensión previsiblemente relacionada con la motivación. La respuesta es que no. Los problemas de disciplina que tienen son parecidos a los de otros estados y de hecho tienen más absentismo de los estudiantes que las que no tienen CBEEE.</w:t>
      </w:r>
    </w:p>
    <w:p w:rsidR="00E02187" w:rsidRDefault="00E02187" w:rsidP="00E02187">
      <w:pPr>
        <w:pStyle w:val="NormalWeb"/>
        <w:jc w:val="both"/>
      </w:pPr>
      <w:r>
        <w:rPr>
          <w:noProof/>
          <w:color w:val="0000FF"/>
        </w:rPr>
        <w:drawing>
          <wp:inline distT="0" distB="0" distL="0" distR="0" wp14:anchorId="19C6158B" wp14:editId="5F352E84">
            <wp:extent cx="5625465" cy="812165"/>
            <wp:effectExtent l="0" t="0" r="0" b="6985"/>
            <wp:docPr id="108" name="Imagen 108" descr="cbeee7">
              <a:hlinkClick xmlns:a="http://schemas.openxmlformats.org/drawingml/2006/main" r:id="rId2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beee7">
                      <a:hlinkClick r:id="rId279"/>
                    </pic:cNvPr>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5625465" cy="812165"/>
                    </a:xfrm>
                    <a:prstGeom prst="rect">
                      <a:avLst/>
                    </a:prstGeom>
                    <a:noFill/>
                    <a:ln>
                      <a:noFill/>
                    </a:ln>
                  </pic:spPr>
                </pic:pic>
              </a:graphicData>
            </a:graphic>
          </wp:inline>
        </w:drawing>
      </w:r>
    </w:p>
    <w:p w:rsidR="00E02187" w:rsidRDefault="00E02187" w:rsidP="00E02187">
      <w:pPr>
        <w:pStyle w:val="NormalWeb"/>
        <w:jc w:val="both"/>
      </w:pPr>
      <w:r>
        <w:t>Ninguna de esta evidencia es totalmente convincente porque no es experimental, pero tanta acumulación de evidencia circunstancial nos sugiere que hay algo detrás. Particularmente cuando la lógica económica detrás del resultado es contundente. Si las acciones de los individuos tienen consecuencias es natural que estos como mínimo intenten que las consecuencias sean favorables.</w:t>
      </w:r>
    </w:p>
    <w:p w:rsidR="00E02187" w:rsidRDefault="00E02187" w:rsidP="00E02187">
      <w:pPr>
        <w:pStyle w:val="NormalWeb"/>
        <w:jc w:val="both"/>
      </w:pPr>
      <w:r>
        <w:t xml:space="preserve">Esta misma lógica sugiere por cierto, que por el mismo motivo el </w:t>
      </w:r>
      <w:r>
        <w:rPr>
          <w:rStyle w:val="nfasis"/>
          <w:rFonts w:eastAsiaTheme="majorEastAsia"/>
        </w:rPr>
        <w:t>teach to the test</w:t>
      </w:r>
      <w:r>
        <w:t xml:space="preserve"> debe ser una preocupación. Preocupación que comparto, y por esto el primer paso es que el “test” tiene que estar muy bien diseñado. Todos los profesores evaluamos, de una u otra manera, y por tanto todos enseñamos para el “test”. La cuestión es que procuramos pensar mucho en el tipo de examen que ponemos. La otra observación es que las competencias cognitivas compiten menos entre ellos de lo que podríamos pensar. Por esto los resultados de ciencia no empeoran por efecto del NCLB y los chicos en Canadá no dejaron de ver NOVA por hacer CBEEE. Una posible excepción, claro, es la memoria. Si vamos a diseñar exámenes memorísticos sí que veo posible que enfocarnos en dos asignaturas puede ir en detrimento de las demás. Pero si se trata de resolver problemas novedosos es incluso posible que trabajar en ciencia ayude en la resolución de matemáticas o al revés. Por esto pienso que el </w:t>
      </w:r>
      <w:r>
        <w:rPr>
          <w:rStyle w:val="nfasis"/>
          <w:rFonts w:eastAsiaTheme="majorEastAsia"/>
        </w:rPr>
        <w:t>teach to the test</w:t>
      </w:r>
      <w:r>
        <w:t xml:space="preserve"> no será tan grave problema si se diseñan bien los exámenes.</w:t>
      </w:r>
    </w:p>
    <w:p w:rsidR="00E02187" w:rsidRPr="00A066EF" w:rsidRDefault="00E02187" w:rsidP="00E02187">
      <w:pPr>
        <w:pStyle w:val="NormalWeb"/>
        <w:jc w:val="both"/>
        <w:rPr>
          <w:u w:val="single"/>
        </w:rPr>
      </w:pPr>
      <w:r w:rsidRPr="00A066EF">
        <w:rPr>
          <w:u w:val="single"/>
        </w:rPr>
        <w:t xml:space="preserve">Cómo liderar el Informe PISA </w:t>
      </w:r>
      <w:r>
        <w:rPr>
          <w:u w:val="single"/>
        </w:rPr>
        <w:t>(lo mismo de siempre, pero mejor</w:t>
      </w:r>
      <w:r w:rsidRPr="00A066EF">
        <w:rPr>
          <w:u w:val="single"/>
        </w:rPr>
        <w:t>)</w:t>
      </w:r>
    </w:p>
    <w:p w:rsidR="00E02187" w:rsidRPr="00A066EF" w:rsidRDefault="00E02187" w:rsidP="00E02187">
      <w:pPr>
        <w:pStyle w:val="NormalWeb"/>
        <w:jc w:val="both"/>
        <w:rPr>
          <w:i/>
        </w:rPr>
      </w:pPr>
      <w:r>
        <w:rPr>
          <w:i/>
        </w:rPr>
        <w:t>“</w:t>
      </w:r>
      <w:r w:rsidRPr="00A066EF">
        <w:rPr>
          <w:i/>
        </w:rPr>
        <w:t xml:space="preserve">Cuando en el año 2009 el informe PISA (Programa Internacional para la Evolución de Estudiantes) señaló que </w:t>
      </w:r>
      <w:r w:rsidRPr="00A066EF">
        <w:rPr>
          <w:rStyle w:val="Textoennegrita"/>
          <w:rFonts w:eastAsiaTheme="majorEastAsia"/>
          <w:b w:val="0"/>
          <w:i/>
        </w:rPr>
        <w:t>las escuelas secundarias públic</w:t>
      </w:r>
      <w:r>
        <w:rPr>
          <w:rStyle w:val="Textoennegrita"/>
          <w:rFonts w:eastAsiaTheme="majorEastAsia"/>
          <w:b w:val="0"/>
          <w:i/>
        </w:rPr>
        <w:t>as de la ciudad china de Shanghá</w:t>
      </w:r>
      <w:r w:rsidRPr="00A066EF">
        <w:rPr>
          <w:rStyle w:val="Textoennegrita"/>
          <w:rFonts w:eastAsiaTheme="majorEastAsia"/>
          <w:b w:val="0"/>
          <w:i/>
        </w:rPr>
        <w:t>i</w:t>
      </w:r>
      <w:r w:rsidRPr="00A066EF">
        <w:rPr>
          <w:i/>
        </w:rPr>
        <w:t xml:space="preserve"> ocupaban el primer puesto en el </w:t>
      </w:r>
      <w:r w:rsidRPr="00A066EF">
        <w:rPr>
          <w:rStyle w:val="nfasis"/>
          <w:i w:val="0"/>
        </w:rPr>
        <w:t>ranking</w:t>
      </w:r>
      <w:r w:rsidRPr="00A066EF">
        <w:rPr>
          <w:i/>
        </w:rPr>
        <w:t xml:space="preserve"> mundial, muchos se llevaron las manos a la cabeza, sorprendidos. ¿Cómo podía ser que ese país que hace apenas unas décadas no destacaba precisamente por su nivel educativo se hubiese encaramado de la noche a la mañana a los puestos preeminentes? ¿Qué nos estábamos perdiendo de su sistema educativo? Y sobre todo, ¿qué podemos aprender de dichas escuelas que podamos aplicar en nuestros países?</w:t>
      </w:r>
      <w:r>
        <w:rPr>
          <w:i/>
        </w:rPr>
        <w:t xml:space="preserve">”… </w:t>
      </w:r>
      <w:r w:rsidRPr="00267A35">
        <w:rPr>
          <w:u w:val="single"/>
        </w:rPr>
        <w:t>La ecuación ganadora de Shanghái</w:t>
      </w:r>
      <w:r>
        <w:t xml:space="preserve"> (El Confidencial - </w:t>
      </w:r>
      <w:r w:rsidRPr="00267A35">
        <w:rPr>
          <w:b/>
        </w:rPr>
        <w:t>5/11/13</w:t>
      </w:r>
      <w:r>
        <w:t>)</w:t>
      </w:r>
    </w:p>
    <w:p w:rsidR="00E02187" w:rsidRDefault="00E02187" w:rsidP="00E02187">
      <w:pPr>
        <w:pStyle w:val="NormalWeb"/>
        <w:jc w:val="both"/>
      </w:pPr>
      <w:r>
        <w:t xml:space="preserve">A finales de octubre (2013), el tres veces ganador del Premio Pulitzer </w:t>
      </w:r>
      <w:r w:rsidRPr="00A066EF">
        <w:rPr>
          <w:rStyle w:val="Textoennegrita"/>
          <w:rFonts w:eastAsiaTheme="majorEastAsia"/>
          <w:b w:val="0"/>
        </w:rPr>
        <w:t>Thomas L. Friedman</w:t>
      </w:r>
      <w:r>
        <w:t xml:space="preserve">, autor de </w:t>
      </w:r>
      <w:r>
        <w:rPr>
          <w:rStyle w:val="nfasis"/>
        </w:rPr>
        <w:t xml:space="preserve">La tierra es plana, una breve historia del siglo XXI </w:t>
      </w:r>
      <w:r>
        <w:t xml:space="preserve">(Martínez Roca), señalaba en su columna en </w:t>
      </w:r>
      <w:r>
        <w:rPr>
          <w:rStyle w:val="nfasis"/>
        </w:rPr>
        <w:t xml:space="preserve">The New York Times </w:t>
      </w:r>
      <w:r>
        <w:t xml:space="preserve">que había descubierto el secreto que se escondía detrás del </w:t>
      </w:r>
      <w:r w:rsidRPr="00A066EF">
        <w:rPr>
          <w:rStyle w:val="Textoennegrita"/>
          <w:rFonts w:eastAsiaTheme="majorEastAsia"/>
          <w:b w:val="0"/>
        </w:rPr>
        <w:t>milagro educativo chino</w:t>
      </w:r>
      <w:r>
        <w:t xml:space="preserve">, y era simple y llanamente, que no había ningún secreto. No se trata de que hagan algo esencialmente distinto a lo que la mayor </w:t>
      </w:r>
      <w:r>
        <w:lastRenderedPageBreak/>
        <w:t>parte de expertos considera que contribuye a mejorar la educación en un país, sino que lo hacen mejor que nadie.</w:t>
      </w:r>
    </w:p>
    <w:p w:rsidR="00E02187" w:rsidRPr="00D762BF" w:rsidRDefault="00E02187" w:rsidP="00E02187">
      <w:pPr>
        <w:pStyle w:val="NormalWeb"/>
        <w:jc w:val="both"/>
      </w:pPr>
      <w:r>
        <w:t xml:space="preserve">Friedman ha visitado recientemente China junto con parte del </w:t>
      </w:r>
      <w:r w:rsidRPr="00D762BF">
        <w:t>equipo de “</w:t>
      </w:r>
      <w:hyperlink r:id="rId281" w:history="1">
        <w:r w:rsidRPr="00D762BF">
          <w:rPr>
            <w:rStyle w:val="Hipervnculo"/>
            <w:rFonts w:eastAsiaTheme="majorEastAsia"/>
            <w:color w:val="auto"/>
          </w:rPr>
          <w:t>Teach for America</w:t>
        </w:r>
      </w:hyperlink>
      <w:r w:rsidRPr="00D762BF">
        <w:t xml:space="preserve">”, una organización estadounidense sin ánimo de lucro fundada por </w:t>
      </w:r>
      <w:r w:rsidRPr="00D762BF">
        <w:rPr>
          <w:rStyle w:val="Textoennegrita"/>
          <w:rFonts w:eastAsiaTheme="majorEastAsia"/>
          <w:b w:val="0"/>
        </w:rPr>
        <w:t>Wendy Klopp</w:t>
      </w:r>
      <w:r w:rsidRPr="00D762BF">
        <w:rPr>
          <w:rStyle w:val="Textoennegrita"/>
          <w:rFonts w:eastAsiaTheme="majorEastAsia"/>
        </w:rPr>
        <w:t xml:space="preserve"> </w:t>
      </w:r>
      <w:r w:rsidRPr="00D762BF">
        <w:t xml:space="preserve">que tiene como objetivo mejorar la educación americana y que, para ello, envía a profesionales a </w:t>
      </w:r>
      <w:r w:rsidRPr="00D762BF">
        <w:rPr>
          <w:rStyle w:val="Textoennegrita"/>
          <w:rFonts w:eastAsiaTheme="majorEastAsia"/>
          <w:b w:val="0"/>
        </w:rPr>
        <w:t>32 países diferentes</w:t>
      </w:r>
      <w:r w:rsidRPr="00D762BF">
        <w:rPr>
          <w:rStyle w:val="Textoennegrita"/>
          <w:rFonts w:eastAsiaTheme="majorEastAsia"/>
        </w:rPr>
        <w:t xml:space="preserve"> </w:t>
      </w:r>
      <w:r w:rsidRPr="00D762BF">
        <w:t>para que investiguen los modelos de aprendizaje que utiliza cada región. Para el escritor, los buenos resultados de Shanghái son la consecuencia lógica de “30 años de inversión en educación e infraestructuras”.</w:t>
      </w:r>
    </w:p>
    <w:p w:rsidR="00E02187" w:rsidRPr="00D762BF" w:rsidRDefault="00E02187" w:rsidP="00E02187">
      <w:pPr>
        <w:pStyle w:val="NormalWeb"/>
        <w:jc w:val="both"/>
      </w:pPr>
      <w:r w:rsidRPr="00D762BF">
        <w:t xml:space="preserve">El veterano periodista sintetiza con la siguiente sentencia todo aquello que marca la diferencia en la ciudad más poblada de China: “Un profundo compromiso con la formación de los profesores, el aprendizaje entre compañeros y la implicación de los padres en la formación de sus hijos, </w:t>
      </w:r>
      <w:r w:rsidRPr="00D762BF">
        <w:rPr>
          <w:rStyle w:val="Textoennegrita"/>
          <w:rFonts w:eastAsiaTheme="majorEastAsia"/>
          <w:b w:val="0"/>
        </w:rPr>
        <w:t>la insistencia de cada centro en conseguir los estándares más altos</w:t>
      </w:r>
      <w:r w:rsidRPr="00D762BF">
        <w:t xml:space="preserve"> y una cultura que premia la educación y respeta a los profesores”.</w:t>
      </w:r>
    </w:p>
    <w:p w:rsidR="00E02187" w:rsidRPr="00D762BF" w:rsidRDefault="00E02187" w:rsidP="00E02187">
      <w:pPr>
        <w:pStyle w:val="NormalWeb"/>
        <w:jc w:val="both"/>
      </w:pPr>
      <w:r w:rsidRPr="00D762BF">
        <w:t xml:space="preserve">Es decir, nada de </w:t>
      </w:r>
      <w:hyperlink r:id="rId282" w:history="1">
        <w:r w:rsidRPr="00D762BF">
          <w:rPr>
            <w:rStyle w:val="Hipervnculo"/>
            <w:rFonts w:eastAsiaTheme="majorEastAsia"/>
            <w:color w:val="auto"/>
          </w:rPr>
          <w:t>tecnologías de ultimísima generación</w:t>
        </w:r>
      </w:hyperlink>
      <w:r w:rsidRPr="00D762BF">
        <w:t xml:space="preserve"> ni de la rápida implantación de </w:t>
      </w:r>
      <w:hyperlink r:id="rId283" w:history="1">
        <w:r w:rsidRPr="00D762BF">
          <w:rPr>
            <w:rStyle w:val="Hipervnculo"/>
            <w:rFonts w:eastAsiaTheme="majorEastAsia"/>
            <w:color w:val="auto"/>
          </w:rPr>
          <w:t>nuevas tendencias educativas</w:t>
        </w:r>
      </w:hyperlink>
      <w:r w:rsidRPr="00D762BF">
        <w:t xml:space="preserve">: la fórmula es bien conocida por todos, si bien raramente se aplica, debido quizá a los altos costes económicos que implicaría. Quién sabe si los docentes estarían dispuestos a dedicar gran parte de su día a aprender, y no a enseñar, algo que suelen hacer la mayor parte de los docentes chinos. Friedman señala que “los profesores </w:t>
      </w:r>
      <w:r w:rsidRPr="00D762BF">
        <w:rPr>
          <w:rStyle w:val="Textoennegrita"/>
          <w:rFonts w:eastAsiaTheme="majorEastAsia"/>
          <w:b w:val="0"/>
        </w:rPr>
        <w:t>pasan el 70% de su jornada enseñando</w:t>
      </w:r>
      <w:r w:rsidRPr="00D762BF">
        <w:t xml:space="preserve"> y el 30% restante desarrollando sus habilidades y planificando sus clases”.</w:t>
      </w:r>
    </w:p>
    <w:p w:rsidR="00E02187" w:rsidRDefault="00E02187" w:rsidP="00E02187">
      <w:pPr>
        <w:pStyle w:val="NormalWeb"/>
        <w:jc w:val="both"/>
      </w:pPr>
      <w:r>
        <w:t xml:space="preserve">Como recuerda Friedman, “los expertos están de acuerdo en que, de todas las cosas que mejoran una escuela, no hay nada (ni el tamaño de la clase ni la duración de la jornada escolar) que resulte más rentable que darle a los profesores el tiempo necesario para la revisión entre pares y la retroalimentación positiva, </w:t>
      </w:r>
      <w:r w:rsidRPr="00132E54">
        <w:rPr>
          <w:rStyle w:val="Textoennegrita"/>
          <w:rFonts w:eastAsiaTheme="majorEastAsia"/>
          <w:b w:val="0"/>
        </w:rPr>
        <w:t>la exposición a la mejor forma de enseñanza</w:t>
      </w:r>
      <w:r>
        <w:rPr>
          <w:rStyle w:val="Textoennegrita"/>
          <w:rFonts w:eastAsiaTheme="majorEastAsia"/>
        </w:rPr>
        <w:t xml:space="preserve"> </w:t>
      </w:r>
      <w:r>
        <w:t>y el tiempo para profundizar en su conocimiento de lo que están enseñando”.</w:t>
      </w:r>
    </w:p>
    <w:p w:rsidR="00E02187" w:rsidRDefault="00E02187" w:rsidP="00E02187">
      <w:pPr>
        <w:pStyle w:val="NormalWeb"/>
        <w:jc w:val="both"/>
      </w:pPr>
      <w:r>
        <w:t xml:space="preserve">El modelo constructivista del aprendizaje defendido por </w:t>
      </w:r>
      <w:r w:rsidRPr="00132E54">
        <w:rPr>
          <w:rStyle w:val="Textoennegrita"/>
          <w:rFonts w:eastAsiaTheme="majorEastAsia"/>
          <w:b w:val="0"/>
        </w:rPr>
        <w:t>Albert Bandura</w:t>
      </w:r>
      <w:r>
        <w:t xml:space="preserve">, entre otros, defendía la necesidad de proporcionar al alumno las herramientas necesarias para que pudiera convertirse en el protagonista de su proceso de aprendizaje; en este caso, ocurre algo semejante, pero con la figura del profesor. Su tiempo fuera del aula </w:t>
      </w:r>
      <w:r w:rsidRPr="00132E54">
        <w:rPr>
          <w:rStyle w:val="Textoennegrita"/>
          <w:rFonts w:eastAsiaTheme="majorEastAsia"/>
          <w:b w:val="0"/>
        </w:rPr>
        <w:t>no se destina exclusivamente a corregir exámenes y trabajos</w:t>
      </w:r>
      <w:r>
        <w:t>, sino a compartir con sus colegas sus experiencias.</w:t>
      </w:r>
    </w:p>
    <w:p w:rsidR="00E02187" w:rsidRDefault="00E02187" w:rsidP="00E02187">
      <w:pPr>
        <w:pStyle w:val="NormalWeb"/>
        <w:jc w:val="both"/>
      </w:pPr>
      <w:r>
        <w:t xml:space="preserve">Ello implica que algunos profesores pasen gran parte de tiempo </w:t>
      </w:r>
      <w:r w:rsidRPr="00132E54">
        <w:rPr>
          <w:rStyle w:val="Textoennegrita"/>
          <w:rFonts w:eastAsiaTheme="majorEastAsia"/>
          <w:b w:val="0"/>
        </w:rPr>
        <w:t>observando las clases de sus compañeros</w:t>
      </w:r>
      <w:r>
        <w:t>, un método ideal para comprobar lo que mejor y peor funciona en cada circunstancia. También se mantienen en contacto por internet con sus compañeros y dialogan con ellos, especialmente con los más veteranos, para ver de qué manera pueden superar los problemas que encuentran en el día a día.</w:t>
      </w:r>
    </w:p>
    <w:p w:rsidR="00E02187" w:rsidRDefault="00E02187" w:rsidP="00E02187">
      <w:pPr>
        <w:pStyle w:val="NormalWeb"/>
        <w:jc w:val="both"/>
      </w:pPr>
      <w:r>
        <w:t>¿El último factor que hace de esta una ecuación ganadora? Los padres, por supuesto, que se implican en la educación de sus hijos de una manera mucho más profunda que la que es habitual en España. Friedman asegura que “</w:t>
      </w:r>
      <w:r w:rsidRPr="00132E54">
        <w:rPr>
          <w:rStyle w:val="Textoennegrita"/>
          <w:rFonts w:eastAsiaTheme="majorEastAsia"/>
          <w:b w:val="0"/>
        </w:rPr>
        <w:t>los padres acuden al centro educativo de tres a cinco veces</w:t>
      </w:r>
      <w:r>
        <w:t xml:space="preserve"> cada semestre para desarrollar habilidades informáticas que les permitan ayudar a sus hijos con los deberes”.</w:t>
      </w:r>
    </w:p>
    <w:p w:rsidR="00E02187" w:rsidRDefault="00E02187" w:rsidP="00E02187">
      <w:pPr>
        <w:pStyle w:val="NormalWeb"/>
        <w:jc w:val="both"/>
      </w:pPr>
      <w:r>
        <w:lastRenderedPageBreak/>
        <w:t xml:space="preserve">En el mismo artículo, </w:t>
      </w:r>
      <w:r w:rsidRPr="00132E54">
        <w:rPr>
          <w:rStyle w:val="Textoennegrita"/>
          <w:rFonts w:eastAsiaTheme="majorEastAsia"/>
          <w:b w:val="0"/>
        </w:rPr>
        <w:t>Andreas Schleicher</w:t>
      </w:r>
      <w:r>
        <w:t xml:space="preserve">, el máximo encargado de la realización de los informes PISA, hacía referencia a la increíble mejora que había experimentado la educación china en apenas un decenio, al mismo tiempo que </w:t>
      </w:r>
      <w:r w:rsidRPr="00132E54">
        <w:rPr>
          <w:rStyle w:val="Textoennegrita"/>
          <w:rFonts w:eastAsiaTheme="majorEastAsia"/>
          <w:b w:val="0"/>
        </w:rPr>
        <w:t>ha reducido la brecha entre los mejores centros y los peores</w:t>
      </w:r>
      <w:r w:rsidRPr="00132E54">
        <w:rPr>
          <w:b/>
        </w:rPr>
        <w:t>.</w:t>
      </w:r>
      <w:r>
        <w:t xml:space="preserve"> El experto cree que ello se debe al propio mecanismo de mejora colectiva que caracteriza la educación china, y que ayuda a que los más avanzados tiren de los rezagados.</w:t>
      </w:r>
    </w:p>
    <w:p w:rsidR="00E02187" w:rsidRDefault="00E02187" w:rsidP="00E02187">
      <w:pPr>
        <w:pStyle w:val="NormalWeb"/>
        <w:jc w:val="both"/>
      </w:pPr>
      <w:r>
        <w:t xml:space="preserve"> “El sistema es muy adecuado para atraer a la gente media y hacerlos muy productivos", señala Schleicher, también subdirector de la OCDE: “Pone a los mejores profesores al frente de las clases más conflictivas”. En una entrevista previa concedida a la BBC, Schleicher ya había señalado que lo que distingue a los estudiantes chinos es </w:t>
      </w:r>
      <w:r w:rsidRPr="00132E54">
        <w:rPr>
          <w:rStyle w:val="Textoennegrita"/>
          <w:rFonts w:eastAsiaTheme="majorEastAsia"/>
          <w:b w:val="0"/>
        </w:rPr>
        <w:t>su “resiliencia” a la hora de afrontar las dificultades</w:t>
      </w:r>
      <w:r w:rsidRPr="00132E54">
        <w:t>:</w:t>
      </w:r>
      <w:r>
        <w:t xml:space="preserve"> “En China, la idea de que la educación es la llave de la movilidad social del éxito está muy enraizada”.</w:t>
      </w:r>
    </w:p>
    <w:p w:rsidR="00E02187" w:rsidRDefault="00E02187" w:rsidP="00E02187">
      <w:pPr>
        <w:pStyle w:val="NormalWeb"/>
        <w:jc w:val="both"/>
      </w:pPr>
      <w:r>
        <w:t xml:space="preserve">No obstante, algunos han advertido de que los resultados se limitan únicamente a Shanghái y que la situación en las regiones rurales del país, mucho más pobres, es sensiblemente distinta, ya que el informe PISA tan sólo se detiene en doce provincias particularmente exitosas. </w:t>
      </w:r>
      <w:r w:rsidRPr="00132E54">
        <w:rPr>
          <w:rStyle w:val="Textoennegrita"/>
          <w:rFonts w:eastAsiaTheme="majorEastAsia"/>
          <w:b w:val="0"/>
        </w:rPr>
        <w:t>El porcent</w:t>
      </w:r>
      <w:r>
        <w:rPr>
          <w:rStyle w:val="Textoennegrita"/>
          <w:rFonts w:eastAsiaTheme="majorEastAsia"/>
          <w:b w:val="0"/>
        </w:rPr>
        <w:t>aje de universitarios en Shanghá</w:t>
      </w:r>
      <w:r w:rsidRPr="00132E54">
        <w:rPr>
          <w:rStyle w:val="Textoennegrita"/>
          <w:rFonts w:eastAsiaTheme="majorEastAsia"/>
          <w:b w:val="0"/>
        </w:rPr>
        <w:t>i es del 84%</w:t>
      </w:r>
      <w:r w:rsidRPr="00132E54">
        <w:rPr>
          <w:b/>
        </w:rPr>
        <w:t>,</w:t>
      </w:r>
      <w:r>
        <w:t xml:space="preserve"> mientras que en el resto del país se encuentra en el 24%. Además, la inversión de los padres shanghaianos en la educación de sus hijos es mucho más alta que la media del país.</w:t>
      </w:r>
    </w:p>
    <w:p w:rsidR="00E02187" w:rsidRDefault="00E02187" w:rsidP="00E02187">
      <w:pPr>
        <w:pStyle w:val="NormalWeb"/>
        <w:jc w:val="both"/>
      </w:pPr>
      <w:r>
        <w:t xml:space="preserve">Aun así, Schleicher ha querido recordar que </w:t>
      </w:r>
      <w:r>
        <w:rPr>
          <w:rStyle w:val="Textoennegrita"/>
          <w:rFonts w:eastAsiaTheme="majorEastAsia"/>
          <w:b w:val="0"/>
        </w:rPr>
        <w:t>la mentalidad de Shanghá</w:t>
      </w:r>
      <w:r w:rsidRPr="00132E54">
        <w:rPr>
          <w:rStyle w:val="Textoennegrita"/>
          <w:rFonts w:eastAsiaTheme="majorEastAsia"/>
          <w:b w:val="0"/>
        </w:rPr>
        <w:t>i sobre la educación se extiende a todo el país</w:t>
      </w:r>
      <w:r>
        <w:t xml:space="preserve"> y que es ello lo que distingue al gigante asiático de los países occidentales. “En Europa, todo consiste en la herencia social: ‘Mi padre era fontanero, así que yo también lo voy a ser’”, señalaba el alemán. “En China, nueve de cada diez niños te dirían ‘si estudio mucho y me esfuerzo, puedo alcanzar el éxito’”.</w:t>
      </w:r>
    </w:p>
    <w:p w:rsidR="00E02187" w:rsidRPr="00CD47E5" w:rsidRDefault="00E02187" w:rsidP="00E02187">
      <w:pPr>
        <w:pStyle w:val="NormalWeb"/>
        <w:jc w:val="both"/>
        <w:rPr>
          <w:color w:val="FF0000"/>
        </w:rPr>
      </w:pPr>
      <w:r w:rsidRPr="00CD47E5">
        <w:rPr>
          <w:color w:val="FF0000"/>
        </w:rPr>
        <w:t xml:space="preserve">Me he prometido a mí mismo, por respeto a los lectores y para no condicionar su valoración, no hacer acotaciones, comentarios o agregados a la información de hemeroteca, pero casi al final, perdonen ustedes, no quiero dejar de resaltar, los aspectos claves </w:t>
      </w:r>
      <w:r>
        <w:rPr>
          <w:color w:val="FF0000"/>
        </w:rPr>
        <w:t>del éxito d</w:t>
      </w:r>
      <w:r w:rsidRPr="00CD47E5">
        <w:rPr>
          <w:color w:val="FF0000"/>
        </w:rPr>
        <w:t>el sistema de educación “moderno” en los países “tri</w:t>
      </w:r>
      <w:r>
        <w:rPr>
          <w:color w:val="FF0000"/>
        </w:rPr>
        <w:t>unfadores”: “volver al origen” (</w:t>
      </w:r>
      <w:r w:rsidRPr="00CD47E5">
        <w:rPr>
          <w:color w:val="FF0000"/>
        </w:rPr>
        <w:t>casi, casi, el “mismo sistema” con el que estudié hace 60 años</w:t>
      </w:r>
      <w:r>
        <w:rPr>
          <w:color w:val="FF0000"/>
        </w:rPr>
        <w:t>)</w:t>
      </w:r>
      <w:r w:rsidRPr="00CD47E5">
        <w:rPr>
          <w:color w:val="FF0000"/>
        </w:rPr>
        <w:t xml:space="preserve">.   </w:t>
      </w:r>
    </w:p>
    <w:p w:rsidR="00E02187" w:rsidRPr="009C1A8E" w:rsidRDefault="00E02187" w:rsidP="00E02187">
      <w:pPr>
        <w:spacing w:line="240" w:lineRule="auto"/>
        <w:jc w:val="both"/>
        <w:rPr>
          <w:rStyle w:val="contenido-apoyo"/>
          <w:rFonts w:ascii="Times New Roman" w:hAnsi="Times New Roman" w:cs="Times New Roman"/>
          <w:color w:val="FF0000"/>
          <w:sz w:val="24"/>
          <w:szCs w:val="24"/>
        </w:rPr>
      </w:pPr>
      <w:r w:rsidRPr="009C1A8E">
        <w:rPr>
          <w:rStyle w:val="contenido-apoyo"/>
          <w:rFonts w:ascii="Times New Roman" w:hAnsi="Times New Roman" w:cs="Times New Roman"/>
          <w:color w:val="FF0000"/>
          <w:sz w:val="24"/>
          <w:szCs w:val="24"/>
        </w:rPr>
        <w:t>Los padres se implican en la educación de sus hijos de una forma más profunda que en occidente</w:t>
      </w:r>
    </w:p>
    <w:p w:rsidR="00E02187" w:rsidRPr="009C1A8E" w:rsidRDefault="00E02187" w:rsidP="00E02187">
      <w:pPr>
        <w:spacing w:line="240" w:lineRule="auto"/>
        <w:jc w:val="both"/>
        <w:rPr>
          <w:rStyle w:val="contenido-apoyo"/>
          <w:rFonts w:ascii="Times New Roman" w:hAnsi="Times New Roman" w:cs="Times New Roman"/>
          <w:color w:val="FF0000"/>
          <w:sz w:val="24"/>
          <w:szCs w:val="24"/>
        </w:rPr>
      </w:pPr>
      <w:r w:rsidRPr="009C1A8E">
        <w:rPr>
          <w:rStyle w:val="contenido-apoyo"/>
          <w:rFonts w:ascii="Times New Roman" w:hAnsi="Times New Roman" w:cs="Times New Roman"/>
          <w:color w:val="FF0000"/>
          <w:sz w:val="24"/>
          <w:szCs w:val="24"/>
        </w:rPr>
        <w:t>En China, la idea de que la educación es la llave de la movilidad social del éxito está muy enraizada</w:t>
      </w:r>
    </w:p>
    <w:p w:rsidR="00E02187" w:rsidRDefault="00E02187" w:rsidP="00E02187">
      <w:pPr>
        <w:spacing w:line="240" w:lineRule="auto"/>
        <w:jc w:val="both"/>
        <w:rPr>
          <w:rStyle w:val="contenido-apoyo"/>
          <w:rFonts w:ascii="Times New Roman" w:hAnsi="Times New Roman" w:cs="Times New Roman"/>
          <w:color w:val="FF0000"/>
          <w:sz w:val="24"/>
          <w:szCs w:val="24"/>
        </w:rPr>
      </w:pPr>
      <w:r w:rsidRPr="009C1A8E">
        <w:rPr>
          <w:rStyle w:val="contenido-apoyo"/>
          <w:rFonts w:ascii="Times New Roman" w:hAnsi="Times New Roman" w:cs="Times New Roman"/>
          <w:color w:val="FF0000"/>
          <w:sz w:val="24"/>
          <w:szCs w:val="24"/>
        </w:rPr>
        <w:t>En China, los niños piensan que si estudian mucho y se esfuerzan, pueden alcanzar el éxito</w:t>
      </w:r>
    </w:p>
    <w:p w:rsidR="00E02187" w:rsidRDefault="00E02187" w:rsidP="00E02187">
      <w:pPr>
        <w:spacing w:line="240" w:lineRule="auto"/>
        <w:jc w:val="both"/>
        <w:rPr>
          <w:rStyle w:val="contenido-apoyo"/>
          <w:rFonts w:ascii="Times New Roman" w:hAnsi="Times New Roman" w:cs="Times New Roman"/>
          <w:color w:val="FF0000"/>
          <w:sz w:val="24"/>
          <w:szCs w:val="24"/>
        </w:rPr>
      </w:pPr>
      <w:r>
        <w:rPr>
          <w:rStyle w:val="contenido-apoyo"/>
          <w:rFonts w:ascii="Times New Roman" w:hAnsi="Times New Roman" w:cs="Times New Roman"/>
          <w:color w:val="FF0000"/>
          <w:sz w:val="24"/>
          <w:szCs w:val="24"/>
        </w:rPr>
        <w:t>Si reemplazamos China por Argentina, la “puñetera” verdad sobre la educación era la misma. No había milagros, ni atajos, ni relativismo: solo trabajo, respeto, y exigencia.</w:t>
      </w:r>
    </w:p>
    <w:p w:rsidR="00E02187" w:rsidRPr="005F304D" w:rsidRDefault="00E02187" w:rsidP="00E02187">
      <w:pPr>
        <w:spacing w:line="240" w:lineRule="auto"/>
        <w:jc w:val="both"/>
        <w:rPr>
          <w:rStyle w:val="contenido-apoyo"/>
          <w:rFonts w:ascii="Times New Roman" w:hAnsi="Times New Roman" w:cs="Times New Roman"/>
          <w:color w:val="FF0000"/>
          <w:sz w:val="24"/>
          <w:szCs w:val="24"/>
        </w:rPr>
      </w:pPr>
      <w:r>
        <w:rPr>
          <w:rStyle w:val="contenido-apoyo"/>
          <w:rFonts w:ascii="Times New Roman" w:hAnsi="Times New Roman" w:cs="Times New Roman"/>
          <w:color w:val="FF0000"/>
          <w:sz w:val="24"/>
          <w:szCs w:val="24"/>
        </w:rPr>
        <w:t xml:space="preserve">Todo esto se fue a la “mierda”, cuando se toleró </w:t>
      </w:r>
      <w:r>
        <w:rPr>
          <w:rFonts w:ascii="Times New Roman" w:hAnsi="Times New Roman" w:cs="Times New Roman"/>
          <w:color w:val="FF0000"/>
          <w:sz w:val="24"/>
          <w:szCs w:val="24"/>
        </w:rPr>
        <w:t>“</w:t>
      </w:r>
      <w:r w:rsidRPr="005F304D">
        <w:rPr>
          <w:rFonts w:ascii="Times New Roman" w:hAnsi="Times New Roman" w:cs="Times New Roman"/>
          <w:color w:val="FF0000"/>
          <w:sz w:val="24"/>
          <w:szCs w:val="24"/>
        </w:rPr>
        <w:t>la insoportable levedad del cortoplacism</w:t>
      </w:r>
      <w:r>
        <w:rPr>
          <w:rFonts w:ascii="Times New Roman" w:hAnsi="Times New Roman" w:cs="Times New Roman"/>
          <w:color w:val="FF0000"/>
          <w:sz w:val="24"/>
          <w:szCs w:val="24"/>
        </w:rPr>
        <w:t xml:space="preserve">o de la política con minúsculas”, que prefirió opciones mediocres, populistas, clientelares, corporativistas, de menor coste electoral y mayor rentabilidad mediática, confundiendo la “des-educación”, con la “igualdad de oportunidades”. </w:t>
      </w:r>
    </w:p>
    <w:p w:rsidR="00E02187" w:rsidRPr="00E02187" w:rsidRDefault="00E02187" w:rsidP="00E02187">
      <w:pPr>
        <w:spacing w:line="240" w:lineRule="auto"/>
        <w:jc w:val="both"/>
        <w:rPr>
          <w:rFonts w:ascii="Times New Roman" w:hAnsi="Times New Roman" w:cs="Times New Roman"/>
          <w:color w:val="FF0000"/>
          <w:sz w:val="24"/>
          <w:szCs w:val="24"/>
        </w:rPr>
      </w:pPr>
      <w:r>
        <w:rPr>
          <w:rStyle w:val="contenido-apoyo"/>
          <w:rFonts w:ascii="Times New Roman" w:hAnsi="Times New Roman" w:cs="Times New Roman"/>
          <w:color w:val="FF0000"/>
          <w:sz w:val="24"/>
          <w:szCs w:val="24"/>
        </w:rPr>
        <w:t xml:space="preserve">¿Para qué seguir dando vueltas, y vueltas, si ya está todo inventado? </w:t>
      </w:r>
      <w:r w:rsidRPr="004D0D7D">
        <w:rPr>
          <w:rStyle w:val="contenido-apoyo"/>
          <w:rFonts w:ascii="Times New Roman" w:hAnsi="Times New Roman" w:cs="Times New Roman"/>
          <w:b/>
          <w:color w:val="FF0000"/>
          <w:sz w:val="24"/>
          <w:szCs w:val="24"/>
        </w:rPr>
        <w:t>“Fly to quality”</w:t>
      </w:r>
      <w:r w:rsidRPr="004D0D7D">
        <w:rPr>
          <w:rStyle w:val="contenido-apoyo"/>
          <w:rFonts w:ascii="Times New Roman" w:hAnsi="Times New Roman" w:cs="Times New Roman"/>
          <w:color w:val="FF0000"/>
          <w:sz w:val="24"/>
          <w:szCs w:val="24"/>
        </w:rPr>
        <w:t>.</w:t>
      </w:r>
      <w:r>
        <w:rPr>
          <w:rStyle w:val="contenido-apoyo"/>
          <w:rFonts w:ascii="Times New Roman" w:hAnsi="Times New Roman" w:cs="Times New Roman"/>
          <w:color w:val="FF0000"/>
          <w:sz w:val="24"/>
          <w:szCs w:val="24"/>
        </w:rPr>
        <w:t xml:space="preserve"> </w:t>
      </w:r>
    </w:p>
    <w:sectPr w:rsidR="00E02187" w:rsidRPr="00E02187">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alt="foton" style="width:.6pt;height:.6pt;visibility:visible;mso-wrap-style:square" o:bullet="t">
        <v:imagedata r:id="rId1" o:title="foton"/>
      </v:shape>
    </w:pict>
  </w:numPicBullet>
  <w:abstractNum w:abstractNumId="0">
    <w:nsid w:val="005A3BEB"/>
    <w:multiLevelType w:val="multilevel"/>
    <w:tmpl w:val="DB4EB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030B6E"/>
    <w:multiLevelType w:val="multilevel"/>
    <w:tmpl w:val="408C8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6D53E4"/>
    <w:multiLevelType w:val="multilevel"/>
    <w:tmpl w:val="421A6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B172D4"/>
    <w:multiLevelType w:val="multilevel"/>
    <w:tmpl w:val="DB6C4E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097188B"/>
    <w:multiLevelType w:val="multilevel"/>
    <w:tmpl w:val="771E32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16F03D1"/>
    <w:multiLevelType w:val="multilevel"/>
    <w:tmpl w:val="39805A1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13060FB5"/>
    <w:multiLevelType w:val="multilevel"/>
    <w:tmpl w:val="9A90F8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3986FD8"/>
    <w:multiLevelType w:val="multilevel"/>
    <w:tmpl w:val="1C5EA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96A1EE2"/>
    <w:multiLevelType w:val="multilevel"/>
    <w:tmpl w:val="ECEEED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C7B3E60"/>
    <w:multiLevelType w:val="multilevel"/>
    <w:tmpl w:val="41C204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DBF67CD"/>
    <w:multiLevelType w:val="multilevel"/>
    <w:tmpl w:val="E4008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5D50CAF"/>
    <w:multiLevelType w:val="hybridMultilevel"/>
    <w:tmpl w:val="785490A6"/>
    <w:lvl w:ilvl="0" w:tplc="AED6C2FA">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
    <w:nsid w:val="29EF621A"/>
    <w:multiLevelType w:val="multilevel"/>
    <w:tmpl w:val="A232DC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B46506E"/>
    <w:multiLevelType w:val="multilevel"/>
    <w:tmpl w:val="95406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DDB7554"/>
    <w:multiLevelType w:val="multilevel"/>
    <w:tmpl w:val="DDEAF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F2B4E6E"/>
    <w:multiLevelType w:val="hybridMultilevel"/>
    <w:tmpl w:val="3118DE30"/>
    <w:lvl w:ilvl="0" w:tplc="79180FA0">
      <w:start w:val="1"/>
      <w:numFmt w:val="bullet"/>
      <w:lvlText w:val=""/>
      <w:lvlPicBulletId w:val="0"/>
      <w:lvlJc w:val="left"/>
      <w:pPr>
        <w:tabs>
          <w:tab w:val="num" w:pos="720"/>
        </w:tabs>
        <w:ind w:left="720" w:hanging="360"/>
      </w:pPr>
      <w:rPr>
        <w:rFonts w:ascii="Symbol" w:hAnsi="Symbol" w:hint="default"/>
      </w:rPr>
    </w:lvl>
    <w:lvl w:ilvl="1" w:tplc="C066A890" w:tentative="1">
      <w:start w:val="1"/>
      <w:numFmt w:val="bullet"/>
      <w:lvlText w:val=""/>
      <w:lvlJc w:val="left"/>
      <w:pPr>
        <w:tabs>
          <w:tab w:val="num" w:pos="1440"/>
        </w:tabs>
        <w:ind w:left="1440" w:hanging="360"/>
      </w:pPr>
      <w:rPr>
        <w:rFonts w:ascii="Symbol" w:hAnsi="Symbol" w:hint="default"/>
      </w:rPr>
    </w:lvl>
    <w:lvl w:ilvl="2" w:tplc="0BF6475C" w:tentative="1">
      <w:start w:val="1"/>
      <w:numFmt w:val="bullet"/>
      <w:lvlText w:val=""/>
      <w:lvlJc w:val="left"/>
      <w:pPr>
        <w:tabs>
          <w:tab w:val="num" w:pos="2160"/>
        </w:tabs>
        <w:ind w:left="2160" w:hanging="360"/>
      </w:pPr>
      <w:rPr>
        <w:rFonts w:ascii="Symbol" w:hAnsi="Symbol" w:hint="default"/>
      </w:rPr>
    </w:lvl>
    <w:lvl w:ilvl="3" w:tplc="0D000C30" w:tentative="1">
      <w:start w:val="1"/>
      <w:numFmt w:val="bullet"/>
      <w:lvlText w:val=""/>
      <w:lvlJc w:val="left"/>
      <w:pPr>
        <w:tabs>
          <w:tab w:val="num" w:pos="2880"/>
        </w:tabs>
        <w:ind w:left="2880" w:hanging="360"/>
      </w:pPr>
      <w:rPr>
        <w:rFonts w:ascii="Symbol" w:hAnsi="Symbol" w:hint="default"/>
      </w:rPr>
    </w:lvl>
    <w:lvl w:ilvl="4" w:tplc="DD92B81A" w:tentative="1">
      <w:start w:val="1"/>
      <w:numFmt w:val="bullet"/>
      <w:lvlText w:val=""/>
      <w:lvlJc w:val="left"/>
      <w:pPr>
        <w:tabs>
          <w:tab w:val="num" w:pos="3600"/>
        </w:tabs>
        <w:ind w:left="3600" w:hanging="360"/>
      </w:pPr>
      <w:rPr>
        <w:rFonts w:ascii="Symbol" w:hAnsi="Symbol" w:hint="default"/>
      </w:rPr>
    </w:lvl>
    <w:lvl w:ilvl="5" w:tplc="52E0F066" w:tentative="1">
      <w:start w:val="1"/>
      <w:numFmt w:val="bullet"/>
      <w:lvlText w:val=""/>
      <w:lvlJc w:val="left"/>
      <w:pPr>
        <w:tabs>
          <w:tab w:val="num" w:pos="4320"/>
        </w:tabs>
        <w:ind w:left="4320" w:hanging="360"/>
      </w:pPr>
      <w:rPr>
        <w:rFonts w:ascii="Symbol" w:hAnsi="Symbol" w:hint="default"/>
      </w:rPr>
    </w:lvl>
    <w:lvl w:ilvl="6" w:tplc="060C6566" w:tentative="1">
      <w:start w:val="1"/>
      <w:numFmt w:val="bullet"/>
      <w:lvlText w:val=""/>
      <w:lvlJc w:val="left"/>
      <w:pPr>
        <w:tabs>
          <w:tab w:val="num" w:pos="5040"/>
        </w:tabs>
        <w:ind w:left="5040" w:hanging="360"/>
      </w:pPr>
      <w:rPr>
        <w:rFonts w:ascii="Symbol" w:hAnsi="Symbol" w:hint="default"/>
      </w:rPr>
    </w:lvl>
    <w:lvl w:ilvl="7" w:tplc="756076E8" w:tentative="1">
      <w:start w:val="1"/>
      <w:numFmt w:val="bullet"/>
      <w:lvlText w:val=""/>
      <w:lvlJc w:val="left"/>
      <w:pPr>
        <w:tabs>
          <w:tab w:val="num" w:pos="5760"/>
        </w:tabs>
        <w:ind w:left="5760" w:hanging="360"/>
      </w:pPr>
      <w:rPr>
        <w:rFonts w:ascii="Symbol" w:hAnsi="Symbol" w:hint="default"/>
      </w:rPr>
    </w:lvl>
    <w:lvl w:ilvl="8" w:tplc="4538C464" w:tentative="1">
      <w:start w:val="1"/>
      <w:numFmt w:val="bullet"/>
      <w:lvlText w:val=""/>
      <w:lvlJc w:val="left"/>
      <w:pPr>
        <w:tabs>
          <w:tab w:val="num" w:pos="6480"/>
        </w:tabs>
        <w:ind w:left="6480" w:hanging="360"/>
      </w:pPr>
      <w:rPr>
        <w:rFonts w:ascii="Symbol" w:hAnsi="Symbol" w:hint="default"/>
      </w:rPr>
    </w:lvl>
  </w:abstractNum>
  <w:abstractNum w:abstractNumId="16">
    <w:nsid w:val="34BE2796"/>
    <w:multiLevelType w:val="multilevel"/>
    <w:tmpl w:val="CB8402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61761B7"/>
    <w:multiLevelType w:val="multilevel"/>
    <w:tmpl w:val="E2E281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C5B25E0"/>
    <w:multiLevelType w:val="hybridMultilevel"/>
    <w:tmpl w:val="BD96B38C"/>
    <w:lvl w:ilvl="0" w:tplc="17902FD0">
      <w:start w:val="1"/>
      <w:numFmt w:val="decimal"/>
      <w:lvlText w:val="(%1)"/>
      <w:lvlJc w:val="left"/>
      <w:pPr>
        <w:tabs>
          <w:tab w:val="num" w:pos="420"/>
        </w:tabs>
        <w:ind w:left="420" w:hanging="360"/>
      </w:pPr>
      <w:rPr>
        <w:rFonts w:hint="default"/>
      </w:rPr>
    </w:lvl>
    <w:lvl w:ilvl="1" w:tplc="0C0A0019" w:tentative="1">
      <w:start w:val="1"/>
      <w:numFmt w:val="lowerLetter"/>
      <w:lvlText w:val="%2."/>
      <w:lvlJc w:val="left"/>
      <w:pPr>
        <w:tabs>
          <w:tab w:val="num" w:pos="1140"/>
        </w:tabs>
        <w:ind w:left="1140" w:hanging="360"/>
      </w:pPr>
    </w:lvl>
    <w:lvl w:ilvl="2" w:tplc="0C0A001B" w:tentative="1">
      <w:start w:val="1"/>
      <w:numFmt w:val="lowerRoman"/>
      <w:lvlText w:val="%3."/>
      <w:lvlJc w:val="right"/>
      <w:pPr>
        <w:tabs>
          <w:tab w:val="num" w:pos="1860"/>
        </w:tabs>
        <w:ind w:left="1860" w:hanging="180"/>
      </w:pPr>
    </w:lvl>
    <w:lvl w:ilvl="3" w:tplc="0C0A000F" w:tentative="1">
      <w:start w:val="1"/>
      <w:numFmt w:val="decimal"/>
      <w:lvlText w:val="%4."/>
      <w:lvlJc w:val="left"/>
      <w:pPr>
        <w:tabs>
          <w:tab w:val="num" w:pos="2580"/>
        </w:tabs>
        <w:ind w:left="2580" w:hanging="360"/>
      </w:pPr>
    </w:lvl>
    <w:lvl w:ilvl="4" w:tplc="0C0A0019" w:tentative="1">
      <w:start w:val="1"/>
      <w:numFmt w:val="lowerLetter"/>
      <w:lvlText w:val="%5."/>
      <w:lvlJc w:val="left"/>
      <w:pPr>
        <w:tabs>
          <w:tab w:val="num" w:pos="3300"/>
        </w:tabs>
        <w:ind w:left="3300" w:hanging="360"/>
      </w:pPr>
    </w:lvl>
    <w:lvl w:ilvl="5" w:tplc="0C0A001B" w:tentative="1">
      <w:start w:val="1"/>
      <w:numFmt w:val="lowerRoman"/>
      <w:lvlText w:val="%6."/>
      <w:lvlJc w:val="right"/>
      <w:pPr>
        <w:tabs>
          <w:tab w:val="num" w:pos="4020"/>
        </w:tabs>
        <w:ind w:left="4020" w:hanging="180"/>
      </w:pPr>
    </w:lvl>
    <w:lvl w:ilvl="6" w:tplc="0C0A000F" w:tentative="1">
      <w:start w:val="1"/>
      <w:numFmt w:val="decimal"/>
      <w:lvlText w:val="%7."/>
      <w:lvlJc w:val="left"/>
      <w:pPr>
        <w:tabs>
          <w:tab w:val="num" w:pos="4740"/>
        </w:tabs>
        <w:ind w:left="4740" w:hanging="360"/>
      </w:pPr>
    </w:lvl>
    <w:lvl w:ilvl="7" w:tplc="0C0A0019" w:tentative="1">
      <w:start w:val="1"/>
      <w:numFmt w:val="lowerLetter"/>
      <w:lvlText w:val="%8."/>
      <w:lvlJc w:val="left"/>
      <w:pPr>
        <w:tabs>
          <w:tab w:val="num" w:pos="5460"/>
        </w:tabs>
        <w:ind w:left="5460" w:hanging="360"/>
      </w:pPr>
    </w:lvl>
    <w:lvl w:ilvl="8" w:tplc="0C0A001B" w:tentative="1">
      <w:start w:val="1"/>
      <w:numFmt w:val="lowerRoman"/>
      <w:lvlText w:val="%9."/>
      <w:lvlJc w:val="right"/>
      <w:pPr>
        <w:tabs>
          <w:tab w:val="num" w:pos="6180"/>
        </w:tabs>
        <w:ind w:left="6180" w:hanging="180"/>
      </w:pPr>
    </w:lvl>
  </w:abstractNum>
  <w:abstractNum w:abstractNumId="19">
    <w:nsid w:val="3D330183"/>
    <w:multiLevelType w:val="hybridMultilevel"/>
    <w:tmpl w:val="EA1CF7AC"/>
    <w:lvl w:ilvl="0" w:tplc="45CC39B2">
      <w:start w:val="6"/>
      <w:numFmt w:val="bullet"/>
      <w:lvlText w:val="-"/>
      <w:lvlJc w:val="left"/>
      <w:pPr>
        <w:tabs>
          <w:tab w:val="num" w:pos="720"/>
        </w:tabs>
        <w:ind w:left="720" w:hanging="360"/>
      </w:pPr>
      <w:rPr>
        <w:rFonts w:ascii="Arial Narrow" w:eastAsia="Times New Roman" w:hAnsi="Arial Narrow" w:cs="Times New Roman" w:hint="default"/>
        <w:b/>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nsid w:val="40692FA2"/>
    <w:multiLevelType w:val="multilevel"/>
    <w:tmpl w:val="1A0E0A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5F21DF2"/>
    <w:multiLevelType w:val="multilevel"/>
    <w:tmpl w:val="0D42D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82C7E69"/>
    <w:multiLevelType w:val="multilevel"/>
    <w:tmpl w:val="C0562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EBA6D00"/>
    <w:multiLevelType w:val="hybridMultilevel"/>
    <w:tmpl w:val="FE7C6896"/>
    <w:lvl w:ilvl="0" w:tplc="0C0A0011">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4">
    <w:nsid w:val="4EBB21E7"/>
    <w:multiLevelType w:val="hybridMultilevel"/>
    <w:tmpl w:val="7188F106"/>
    <w:lvl w:ilvl="0" w:tplc="6D247E08">
      <w:start w:val="1"/>
      <w:numFmt w:val="low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nsid w:val="4FDB5DD9"/>
    <w:multiLevelType w:val="multilevel"/>
    <w:tmpl w:val="55E80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3CA3FB8"/>
    <w:multiLevelType w:val="multilevel"/>
    <w:tmpl w:val="785601D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5FA51AA8"/>
    <w:multiLevelType w:val="multilevel"/>
    <w:tmpl w:val="CFE417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13C7AFA"/>
    <w:multiLevelType w:val="multilevel"/>
    <w:tmpl w:val="3DF65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1D1668B"/>
    <w:multiLevelType w:val="multilevel"/>
    <w:tmpl w:val="7F30B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3B602F5"/>
    <w:multiLevelType w:val="multilevel"/>
    <w:tmpl w:val="3AAC6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4597B2B"/>
    <w:multiLevelType w:val="multilevel"/>
    <w:tmpl w:val="F37C8C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662E332B"/>
    <w:multiLevelType w:val="multilevel"/>
    <w:tmpl w:val="ACA48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11C0D4C"/>
    <w:multiLevelType w:val="multilevel"/>
    <w:tmpl w:val="9AA2C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1EF1F06"/>
    <w:multiLevelType w:val="multilevel"/>
    <w:tmpl w:val="A1EED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76BF4A2C"/>
    <w:multiLevelType w:val="multilevel"/>
    <w:tmpl w:val="CBD06CBA"/>
    <w:lvl w:ilvl="0">
      <w:start w:val="1"/>
      <w:numFmt w:val="bullet"/>
      <w:lvlText w:val=""/>
      <w:lvlJc w:val="left"/>
      <w:pPr>
        <w:tabs>
          <w:tab w:val="num" w:pos="720"/>
        </w:tabs>
        <w:ind w:left="720" w:hanging="360"/>
      </w:pPr>
      <w:rPr>
        <w:rFonts w:ascii="Symbol" w:hAnsi="Symbol" w:hint="default"/>
        <w:sz w:val="20"/>
      </w:rPr>
    </w:lvl>
    <w:lvl w:ilvl="1">
      <w:start w:val="3"/>
      <w:numFmt w:val="bullet"/>
      <w:lvlText w:val="-"/>
      <w:lvlJc w:val="left"/>
      <w:pPr>
        <w:ind w:left="1440" w:hanging="360"/>
      </w:pPr>
      <w:rPr>
        <w:rFonts w:ascii="Times New Roman" w:eastAsiaTheme="minorHAnsi"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6E165B5"/>
    <w:multiLevelType w:val="multilevel"/>
    <w:tmpl w:val="3EFEF1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6E210B2"/>
    <w:multiLevelType w:val="multilevel"/>
    <w:tmpl w:val="6A2C7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6E8652B"/>
    <w:multiLevelType w:val="multilevel"/>
    <w:tmpl w:val="D91E1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C550ABB"/>
    <w:multiLevelType w:val="multilevel"/>
    <w:tmpl w:val="A3966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D04453C"/>
    <w:multiLevelType w:val="multilevel"/>
    <w:tmpl w:val="BF443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E3B6A01"/>
    <w:multiLevelType w:val="multilevel"/>
    <w:tmpl w:val="DC3439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1"/>
  </w:num>
  <w:num w:numId="2">
    <w:abstractNumId w:val="20"/>
  </w:num>
  <w:num w:numId="3">
    <w:abstractNumId w:val="25"/>
  </w:num>
  <w:num w:numId="4">
    <w:abstractNumId w:val="32"/>
  </w:num>
  <w:num w:numId="5">
    <w:abstractNumId w:val="6"/>
  </w:num>
  <w:num w:numId="6">
    <w:abstractNumId w:val="13"/>
  </w:num>
  <w:num w:numId="7">
    <w:abstractNumId w:val="27"/>
  </w:num>
  <w:num w:numId="8">
    <w:abstractNumId w:val="29"/>
  </w:num>
  <w:num w:numId="9">
    <w:abstractNumId w:val="28"/>
  </w:num>
  <w:num w:numId="10">
    <w:abstractNumId w:val="3"/>
  </w:num>
  <w:num w:numId="11">
    <w:abstractNumId w:val="22"/>
  </w:num>
  <w:num w:numId="12">
    <w:abstractNumId w:val="12"/>
  </w:num>
  <w:num w:numId="13">
    <w:abstractNumId w:val="38"/>
  </w:num>
  <w:num w:numId="14">
    <w:abstractNumId w:val="35"/>
  </w:num>
  <w:num w:numId="15">
    <w:abstractNumId w:val="37"/>
  </w:num>
  <w:num w:numId="16">
    <w:abstractNumId w:val="21"/>
  </w:num>
  <w:num w:numId="17">
    <w:abstractNumId w:val="2"/>
  </w:num>
  <w:num w:numId="18">
    <w:abstractNumId w:val="9"/>
  </w:num>
  <w:num w:numId="19">
    <w:abstractNumId w:val="33"/>
  </w:num>
  <w:num w:numId="20">
    <w:abstractNumId w:val="4"/>
  </w:num>
  <w:num w:numId="21">
    <w:abstractNumId w:val="39"/>
  </w:num>
  <w:num w:numId="22">
    <w:abstractNumId w:val="0"/>
  </w:num>
  <w:num w:numId="23">
    <w:abstractNumId w:val="41"/>
  </w:num>
  <w:num w:numId="24">
    <w:abstractNumId w:val="7"/>
  </w:num>
  <w:num w:numId="25">
    <w:abstractNumId w:val="1"/>
  </w:num>
  <w:num w:numId="26">
    <w:abstractNumId w:val="14"/>
  </w:num>
  <w:num w:numId="27">
    <w:abstractNumId w:val="10"/>
  </w:num>
  <w:num w:numId="28">
    <w:abstractNumId w:val="36"/>
    <w:lvlOverride w:ilvl="0">
      <w:lvl w:ilvl="0">
        <w:numFmt w:val="bullet"/>
        <w:lvlText w:val=""/>
        <w:lvlJc w:val="left"/>
        <w:pPr>
          <w:tabs>
            <w:tab w:val="num" w:pos="720"/>
          </w:tabs>
          <w:ind w:left="720" w:hanging="360"/>
        </w:pPr>
        <w:rPr>
          <w:rFonts w:ascii="Wingdings" w:hAnsi="Wingdings" w:hint="default"/>
          <w:sz w:val="20"/>
        </w:rPr>
      </w:lvl>
    </w:lvlOverride>
  </w:num>
  <w:num w:numId="29">
    <w:abstractNumId w:val="30"/>
  </w:num>
  <w:num w:numId="30">
    <w:abstractNumId w:val="26"/>
  </w:num>
  <w:num w:numId="31">
    <w:abstractNumId w:val="5"/>
  </w:num>
  <w:num w:numId="32">
    <w:abstractNumId w:val="16"/>
  </w:num>
  <w:num w:numId="33">
    <w:abstractNumId w:val="15"/>
  </w:num>
  <w:num w:numId="34">
    <w:abstractNumId w:val="23"/>
  </w:num>
  <w:num w:numId="35">
    <w:abstractNumId w:val="11"/>
  </w:num>
  <w:num w:numId="36">
    <w:abstractNumId w:val="18"/>
  </w:num>
  <w:num w:numId="37">
    <w:abstractNumId w:val="19"/>
  </w:num>
  <w:num w:numId="38">
    <w:abstractNumId w:val="40"/>
  </w:num>
  <w:num w:numId="39">
    <w:abstractNumId w:val="24"/>
  </w:num>
  <w:num w:numId="40">
    <w:abstractNumId w:val="8"/>
  </w:num>
  <w:num w:numId="41">
    <w:abstractNumId w:val="34"/>
  </w:num>
  <w:num w:numId="4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7B36"/>
    <w:rsid w:val="00020E0F"/>
    <w:rsid w:val="001D6EF6"/>
    <w:rsid w:val="002B0CA1"/>
    <w:rsid w:val="00393CD5"/>
    <w:rsid w:val="003F5965"/>
    <w:rsid w:val="005B3402"/>
    <w:rsid w:val="00627E17"/>
    <w:rsid w:val="007C5A7D"/>
    <w:rsid w:val="007E428E"/>
    <w:rsid w:val="008170B3"/>
    <w:rsid w:val="009140FB"/>
    <w:rsid w:val="00953C11"/>
    <w:rsid w:val="009F2E09"/>
    <w:rsid w:val="00A159A8"/>
    <w:rsid w:val="00A8717C"/>
    <w:rsid w:val="00AB230B"/>
    <w:rsid w:val="00BB7B36"/>
    <w:rsid w:val="00CC5F5A"/>
    <w:rsid w:val="00D762BF"/>
    <w:rsid w:val="00D9787A"/>
    <w:rsid w:val="00DA47DE"/>
    <w:rsid w:val="00DE4E52"/>
    <w:rsid w:val="00E02187"/>
    <w:rsid w:val="00E54BA5"/>
    <w:rsid w:val="00E93C9B"/>
    <w:rsid w:val="00F721A7"/>
    <w:rsid w:val="00FE273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B7B36"/>
  </w:style>
  <w:style w:type="paragraph" w:styleId="Ttulo1">
    <w:name w:val="heading 1"/>
    <w:basedOn w:val="Normal"/>
    <w:next w:val="Normal"/>
    <w:link w:val="Ttulo1Car"/>
    <w:uiPriority w:val="9"/>
    <w:qFormat/>
    <w:rsid w:val="00BB7B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BB7B3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BB7B36"/>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5">
    <w:name w:val="heading 5"/>
    <w:basedOn w:val="Normal"/>
    <w:next w:val="Normal"/>
    <w:link w:val="Ttulo5Car"/>
    <w:uiPriority w:val="9"/>
    <w:semiHidden/>
    <w:unhideWhenUsed/>
    <w:qFormat/>
    <w:rsid w:val="00BB7B36"/>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B7B36"/>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BB7B36"/>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BB7B36"/>
    <w:rPr>
      <w:rFonts w:asciiTheme="majorHAnsi" w:eastAsiaTheme="majorEastAsia" w:hAnsiTheme="majorHAnsi" w:cstheme="majorBidi"/>
      <w:b/>
      <w:bCs/>
      <w:color w:val="4F81BD" w:themeColor="accent1"/>
      <w:lang w:eastAsia="es-ES"/>
    </w:rPr>
  </w:style>
  <w:style w:type="character" w:customStyle="1" w:styleId="Ttulo5Car">
    <w:name w:val="Título 5 Car"/>
    <w:basedOn w:val="Fuentedeprrafopredeter"/>
    <w:link w:val="Ttulo5"/>
    <w:uiPriority w:val="9"/>
    <w:semiHidden/>
    <w:rsid w:val="00BB7B36"/>
    <w:rPr>
      <w:rFonts w:asciiTheme="majorHAnsi" w:eastAsiaTheme="majorEastAsia" w:hAnsiTheme="majorHAnsi" w:cstheme="majorBidi"/>
      <w:color w:val="243F60" w:themeColor="accent1" w:themeShade="7F"/>
    </w:rPr>
  </w:style>
  <w:style w:type="paragraph" w:styleId="Textodeglobo">
    <w:name w:val="Balloon Text"/>
    <w:basedOn w:val="Normal"/>
    <w:link w:val="TextodegloboCar"/>
    <w:uiPriority w:val="99"/>
    <w:semiHidden/>
    <w:unhideWhenUsed/>
    <w:rsid w:val="00BB7B3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B7B36"/>
    <w:rPr>
      <w:rFonts w:ascii="Tahoma" w:hAnsi="Tahoma" w:cs="Tahoma"/>
      <w:sz w:val="16"/>
      <w:szCs w:val="16"/>
    </w:rPr>
  </w:style>
  <w:style w:type="paragraph" w:styleId="NormalWeb">
    <w:name w:val="Normal (Web)"/>
    <w:basedOn w:val="Normal"/>
    <w:uiPriority w:val="99"/>
    <w:unhideWhenUsed/>
    <w:rsid w:val="00BB7B3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uiPriority w:val="99"/>
    <w:unhideWhenUsed/>
    <w:rsid w:val="00BB7B36"/>
    <w:rPr>
      <w:color w:val="0000FF"/>
      <w:u w:val="single"/>
    </w:rPr>
  </w:style>
  <w:style w:type="character" w:styleId="nfasis">
    <w:name w:val="Emphasis"/>
    <w:uiPriority w:val="20"/>
    <w:qFormat/>
    <w:rsid w:val="00BB7B36"/>
    <w:rPr>
      <w:i/>
      <w:iCs/>
    </w:rPr>
  </w:style>
  <w:style w:type="character" w:styleId="Textoennegrita">
    <w:name w:val="Strong"/>
    <w:uiPriority w:val="22"/>
    <w:qFormat/>
    <w:rsid w:val="00BB7B36"/>
    <w:rPr>
      <w:b/>
      <w:bCs/>
    </w:rPr>
  </w:style>
  <w:style w:type="paragraph" w:customStyle="1" w:styleId="headlinemeta">
    <w:name w:val="headline_meta"/>
    <w:basedOn w:val="Normal"/>
    <w:rsid w:val="00BB7B3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hor">
    <w:name w:val="author"/>
    <w:basedOn w:val="Fuentedeprrafopredeter"/>
    <w:rsid w:val="00BB7B36"/>
  </w:style>
  <w:style w:type="paragraph" w:customStyle="1" w:styleId="centro-texto-notis">
    <w:name w:val="centro-texto-notis"/>
    <w:basedOn w:val="Normal"/>
    <w:rsid w:val="00BB7B3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irma-negra-grande-sin">
    <w:name w:val="firma-negra-grande-sin"/>
    <w:basedOn w:val="Fuentedeprrafopredeter"/>
    <w:rsid w:val="00BB7B36"/>
  </w:style>
  <w:style w:type="paragraph" w:customStyle="1" w:styleId="figcaption">
    <w:name w:val="figcaption"/>
    <w:basedOn w:val="Normal"/>
    <w:rsid w:val="00BB7B36"/>
    <w:pPr>
      <w:spacing w:after="0" w:line="240" w:lineRule="auto"/>
    </w:pPr>
    <w:rPr>
      <w:rFonts w:ascii="Times New Roman" w:eastAsia="Times New Roman" w:hAnsi="Times New Roman" w:cs="Times New Roman"/>
      <w:sz w:val="24"/>
      <w:szCs w:val="24"/>
      <w:lang w:eastAsia="es-ES"/>
    </w:rPr>
  </w:style>
  <w:style w:type="character" w:customStyle="1" w:styleId="firma">
    <w:name w:val="firma"/>
    <w:basedOn w:val="Fuentedeprrafopredeter"/>
    <w:rsid w:val="00BB7B36"/>
  </w:style>
  <w:style w:type="character" w:customStyle="1" w:styleId="firma-negra-grande">
    <w:name w:val="firma-negra-grande"/>
    <w:basedOn w:val="Fuentedeprrafopredeter"/>
    <w:rsid w:val="00BB7B36"/>
  </w:style>
  <w:style w:type="paragraph" w:customStyle="1" w:styleId="centro-texto-opinion">
    <w:name w:val="centro-texto-opinion"/>
    <w:basedOn w:val="Normal"/>
    <w:rsid w:val="00BB7B3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hora-publi">
    <w:name w:val="hora-publi"/>
    <w:basedOn w:val="Fuentedeprrafopredeter"/>
    <w:rsid w:val="00BB7B36"/>
  </w:style>
  <w:style w:type="paragraph" w:customStyle="1" w:styleId="wp-caption-text">
    <w:name w:val="wp-caption-text"/>
    <w:basedOn w:val="Normal"/>
    <w:rsid w:val="00BB7B3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or2">
    <w:name w:val="autor2"/>
    <w:rsid w:val="00BB7B36"/>
    <w:rPr>
      <w:b/>
      <w:bCs/>
      <w:i w:val="0"/>
      <w:iCs w:val="0"/>
      <w:color w:val="AAAAAA"/>
    </w:rPr>
  </w:style>
  <w:style w:type="paragraph" w:customStyle="1" w:styleId="entradilla1">
    <w:name w:val="entradilla1"/>
    <w:basedOn w:val="Normal"/>
    <w:rsid w:val="00BB7B36"/>
    <w:pPr>
      <w:spacing w:before="150" w:after="100" w:afterAutospacing="1" w:line="300" w:lineRule="atLeast"/>
    </w:pPr>
    <w:rPr>
      <w:rFonts w:ascii="Arial" w:eastAsia="Times New Roman" w:hAnsi="Arial" w:cs="Arial"/>
      <w:b/>
      <w:bCs/>
      <w:color w:val="666666"/>
      <w:sz w:val="21"/>
      <w:szCs w:val="21"/>
      <w:lang w:eastAsia="es-ES"/>
    </w:rPr>
  </w:style>
  <w:style w:type="character" w:customStyle="1" w:styleId="firma7">
    <w:name w:val="firma7"/>
    <w:basedOn w:val="Fuentedeprrafopredeter"/>
    <w:rsid w:val="00BB7B36"/>
  </w:style>
  <w:style w:type="character" w:customStyle="1" w:styleId="autor11">
    <w:name w:val="autor11"/>
    <w:basedOn w:val="Fuentedeprrafopredeter"/>
    <w:rsid w:val="00BB7B36"/>
  </w:style>
  <w:style w:type="paragraph" w:customStyle="1" w:styleId="textogrande4">
    <w:name w:val="texto_grande4"/>
    <w:basedOn w:val="Normal"/>
    <w:rsid w:val="00BB7B36"/>
    <w:pPr>
      <w:spacing w:after="0" w:line="420" w:lineRule="atLeast"/>
    </w:pPr>
    <w:rPr>
      <w:rFonts w:ascii="Georgia" w:eastAsia="Times New Roman" w:hAnsi="Georgia" w:cs="Times New Roman"/>
      <w:spacing w:val="-15"/>
      <w:sz w:val="30"/>
      <w:szCs w:val="30"/>
      <w:lang w:eastAsia="es-ES"/>
    </w:rPr>
  </w:style>
  <w:style w:type="character" w:customStyle="1" w:styleId="contenido77">
    <w:name w:val="contenido77"/>
    <w:basedOn w:val="Fuentedeprrafopredeter"/>
    <w:rsid w:val="00BB7B36"/>
  </w:style>
  <w:style w:type="character" w:customStyle="1" w:styleId="ampliarfoto1">
    <w:name w:val="ampliar_foto1"/>
    <w:basedOn w:val="Fuentedeprrafopredeter"/>
    <w:rsid w:val="00BB7B36"/>
    <w:rPr>
      <w:vanish w:val="0"/>
      <w:webHidden w:val="0"/>
      <w:shd w:val="clear" w:color="auto" w:fill="333333"/>
      <w:specVanish w:val="0"/>
    </w:rPr>
  </w:style>
  <w:style w:type="character" w:customStyle="1" w:styleId="contenido-apoyo">
    <w:name w:val="contenido-apoyo"/>
    <w:basedOn w:val="Fuentedeprrafopredeter"/>
    <w:rsid w:val="00BB7B36"/>
  </w:style>
  <w:style w:type="paragraph" w:styleId="Prrafodelista">
    <w:name w:val="List Paragraph"/>
    <w:basedOn w:val="Normal"/>
    <w:uiPriority w:val="34"/>
    <w:qFormat/>
    <w:rsid w:val="00BB7B36"/>
    <w:pPr>
      <w:ind w:left="720"/>
      <w:contextualSpacing/>
    </w:pPr>
  </w:style>
  <w:style w:type="paragraph" w:customStyle="1" w:styleId="Estndar">
    <w:name w:val="Estándar"/>
    <w:rsid w:val="00BB7B36"/>
    <w:pPr>
      <w:spacing w:after="0" w:line="240" w:lineRule="auto"/>
    </w:pPr>
    <w:rPr>
      <w:rFonts w:ascii="Times New Roman" w:eastAsia="Times New Roman" w:hAnsi="Times New Roman" w:cs="Times New Roman"/>
      <w:color w:val="000000"/>
      <w:sz w:val="24"/>
      <w:szCs w:val="20"/>
      <w:lang w:val="es-ES_tradnl" w:eastAsia="es-ES"/>
    </w:rPr>
  </w:style>
  <w:style w:type="character" w:customStyle="1" w:styleId="transparent">
    <w:name w:val="transparent"/>
    <w:basedOn w:val="Fuentedeprrafopredeter"/>
    <w:rsid w:val="00BB7B36"/>
  </w:style>
  <w:style w:type="character" w:customStyle="1" w:styleId="titulo21">
    <w:name w:val="titulo21"/>
    <w:basedOn w:val="Fuentedeprrafopredeter"/>
    <w:rsid w:val="00BB7B36"/>
    <w:rPr>
      <w:b/>
      <w:bCs/>
      <w:strike w:val="0"/>
      <w:dstrike w:val="0"/>
      <w:color w:val="000000"/>
      <w:sz w:val="41"/>
      <w:szCs w:val="41"/>
      <w:u w:val="none"/>
      <w:effect w:val="none"/>
    </w:rPr>
  </w:style>
  <w:style w:type="paragraph" w:customStyle="1" w:styleId="entradilla2">
    <w:name w:val="entradilla2"/>
    <w:basedOn w:val="Normal"/>
    <w:rsid w:val="00BB7B36"/>
    <w:pPr>
      <w:spacing w:before="100" w:beforeAutospacing="1" w:after="100" w:afterAutospacing="1" w:line="330" w:lineRule="atLeast"/>
    </w:pPr>
    <w:rPr>
      <w:rFonts w:ascii="Times New Roman" w:eastAsia="Times New Roman" w:hAnsi="Times New Roman" w:cs="Times New Roman"/>
      <w:color w:val="333333"/>
      <w:sz w:val="23"/>
      <w:szCs w:val="23"/>
      <w:lang w:eastAsia="es-ES"/>
    </w:rPr>
  </w:style>
  <w:style w:type="character" w:customStyle="1" w:styleId="ladillo2">
    <w:name w:val="ladillo2"/>
    <w:basedOn w:val="Fuentedeprrafopredeter"/>
    <w:rsid w:val="00BB7B36"/>
    <w:rPr>
      <w:b/>
      <w:bCs/>
      <w:vanish w:val="0"/>
      <w:webHidden w:val="0"/>
      <w:color w:val="333333"/>
      <w:sz w:val="27"/>
      <w:szCs w:val="27"/>
      <w:specVanish w:val="0"/>
    </w:rPr>
  </w:style>
  <w:style w:type="paragraph" w:customStyle="1" w:styleId="ingress">
    <w:name w:val="ingress"/>
    <w:basedOn w:val="Normal"/>
    <w:rsid w:val="00BB7B36"/>
    <w:pPr>
      <w:spacing w:before="100" w:beforeAutospacing="1" w:after="240" w:line="240" w:lineRule="auto"/>
    </w:pPr>
    <w:rPr>
      <w:rFonts w:ascii="Times New Roman" w:eastAsia="Times New Roman" w:hAnsi="Times New Roman" w:cs="Times New Roman"/>
      <w:b/>
      <w:bCs/>
      <w:sz w:val="24"/>
      <w:szCs w:val="24"/>
      <w:lang w:eastAsia="es-ES"/>
    </w:rPr>
  </w:style>
  <w:style w:type="paragraph" w:customStyle="1" w:styleId="name">
    <w:name w:val="name"/>
    <w:basedOn w:val="Normal"/>
    <w:rsid w:val="00BB7B36"/>
    <w:pPr>
      <w:spacing w:before="100" w:beforeAutospacing="1" w:after="240" w:line="240" w:lineRule="auto"/>
    </w:pPr>
    <w:rPr>
      <w:rFonts w:ascii="Times New Roman" w:eastAsia="Times New Roman" w:hAnsi="Times New Roman" w:cs="Times New Roman"/>
      <w:sz w:val="24"/>
      <w:szCs w:val="24"/>
      <w:lang w:eastAsia="es-ES"/>
    </w:rPr>
  </w:style>
  <w:style w:type="paragraph" w:customStyle="1" w:styleId="Epgrafe1">
    <w:name w:val="Epígrafe1"/>
    <w:basedOn w:val="Normal"/>
    <w:rsid w:val="00BB7B36"/>
    <w:pPr>
      <w:spacing w:before="100" w:beforeAutospacing="1" w:after="240" w:line="240" w:lineRule="auto"/>
    </w:pPr>
    <w:rPr>
      <w:rFonts w:ascii="Times New Roman" w:eastAsia="Times New Roman" w:hAnsi="Times New Roman" w:cs="Times New Roman"/>
      <w:sz w:val="24"/>
      <w:szCs w:val="24"/>
      <w:lang w:eastAsia="es-ES"/>
    </w:rPr>
  </w:style>
  <w:style w:type="character" w:customStyle="1" w:styleId="cintillo">
    <w:name w:val="cintillo"/>
    <w:basedOn w:val="Fuentedeprrafopredeter"/>
    <w:rsid w:val="00BB7B3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B7B36"/>
  </w:style>
  <w:style w:type="paragraph" w:styleId="Ttulo1">
    <w:name w:val="heading 1"/>
    <w:basedOn w:val="Normal"/>
    <w:next w:val="Normal"/>
    <w:link w:val="Ttulo1Car"/>
    <w:uiPriority w:val="9"/>
    <w:qFormat/>
    <w:rsid w:val="00BB7B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BB7B3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BB7B36"/>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5">
    <w:name w:val="heading 5"/>
    <w:basedOn w:val="Normal"/>
    <w:next w:val="Normal"/>
    <w:link w:val="Ttulo5Car"/>
    <w:uiPriority w:val="9"/>
    <w:semiHidden/>
    <w:unhideWhenUsed/>
    <w:qFormat/>
    <w:rsid w:val="00BB7B36"/>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B7B36"/>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BB7B36"/>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BB7B36"/>
    <w:rPr>
      <w:rFonts w:asciiTheme="majorHAnsi" w:eastAsiaTheme="majorEastAsia" w:hAnsiTheme="majorHAnsi" w:cstheme="majorBidi"/>
      <w:b/>
      <w:bCs/>
      <w:color w:val="4F81BD" w:themeColor="accent1"/>
      <w:lang w:eastAsia="es-ES"/>
    </w:rPr>
  </w:style>
  <w:style w:type="character" w:customStyle="1" w:styleId="Ttulo5Car">
    <w:name w:val="Título 5 Car"/>
    <w:basedOn w:val="Fuentedeprrafopredeter"/>
    <w:link w:val="Ttulo5"/>
    <w:uiPriority w:val="9"/>
    <w:semiHidden/>
    <w:rsid w:val="00BB7B36"/>
    <w:rPr>
      <w:rFonts w:asciiTheme="majorHAnsi" w:eastAsiaTheme="majorEastAsia" w:hAnsiTheme="majorHAnsi" w:cstheme="majorBidi"/>
      <w:color w:val="243F60" w:themeColor="accent1" w:themeShade="7F"/>
    </w:rPr>
  </w:style>
  <w:style w:type="paragraph" w:styleId="Textodeglobo">
    <w:name w:val="Balloon Text"/>
    <w:basedOn w:val="Normal"/>
    <w:link w:val="TextodegloboCar"/>
    <w:uiPriority w:val="99"/>
    <w:semiHidden/>
    <w:unhideWhenUsed/>
    <w:rsid w:val="00BB7B3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B7B36"/>
    <w:rPr>
      <w:rFonts w:ascii="Tahoma" w:hAnsi="Tahoma" w:cs="Tahoma"/>
      <w:sz w:val="16"/>
      <w:szCs w:val="16"/>
    </w:rPr>
  </w:style>
  <w:style w:type="paragraph" w:styleId="NormalWeb">
    <w:name w:val="Normal (Web)"/>
    <w:basedOn w:val="Normal"/>
    <w:uiPriority w:val="99"/>
    <w:unhideWhenUsed/>
    <w:rsid w:val="00BB7B3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uiPriority w:val="99"/>
    <w:unhideWhenUsed/>
    <w:rsid w:val="00BB7B36"/>
    <w:rPr>
      <w:color w:val="0000FF"/>
      <w:u w:val="single"/>
    </w:rPr>
  </w:style>
  <w:style w:type="character" w:styleId="nfasis">
    <w:name w:val="Emphasis"/>
    <w:uiPriority w:val="20"/>
    <w:qFormat/>
    <w:rsid w:val="00BB7B36"/>
    <w:rPr>
      <w:i/>
      <w:iCs/>
    </w:rPr>
  </w:style>
  <w:style w:type="character" w:styleId="Textoennegrita">
    <w:name w:val="Strong"/>
    <w:uiPriority w:val="22"/>
    <w:qFormat/>
    <w:rsid w:val="00BB7B36"/>
    <w:rPr>
      <w:b/>
      <w:bCs/>
    </w:rPr>
  </w:style>
  <w:style w:type="paragraph" w:customStyle="1" w:styleId="headlinemeta">
    <w:name w:val="headline_meta"/>
    <w:basedOn w:val="Normal"/>
    <w:rsid w:val="00BB7B3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hor">
    <w:name w:val="author"/>
    <w:basedOn w:val="Fuentedeprrafopredeter"/>
    <w:rsid w:val="00BB7B36"/>
  </w:style>
  <w:style w:type="paragraph" w:customStyle="1" w:styleId="centro-texto-notis">
    <w:name w:val="centro-texto-notis"/>
    <w:basedOn w:val="Normal"/>
    <w:rsid w:val="00BB7B3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irma-negra-grande-sin">
    <w:name w:val="firma-negra-grande-sin"/>
    <w:basedOn w:val="Fuentedeprrafopredeter"/>
    <w:rsid w:val="00BB7B36"/>
  </w:style>
  <w:style w:type="paragraph" w:customStyle="1" w:styleId="figcaption">
    <w:name w:val="figcaption"/>
    <w:basedOn w:val="Normal"/>
    <w:rsid w:val="00BB7B36"/>
    <w:pPr>
      <w:spacing w:after="0" w:line="240" w:lineRule="auto"/>
    </w:pPr>
    <w:rPr>
      <w:rFonts w:ascii="Times New Roman" w:eastAsia="Times New Roman" w:hAnsi="Times New Roman" w:cs="Times New Roman"/>
      <w:sz w:val="24"/>
      <w:szCs w:val="24"/>
      <w:lang w:eastAsia="es-ES"/>
    </w:rPr>
  </w:style>
  <w:style w:type="character" w:customStyle="1" w:styleId="firma">
    <w:name w:val="firma"/>
    <w:basedOn w:val="Fuentedeprrafopredeter"/>
    <w:rsid w:val="00BB7B36"/>
  </w:style>
  <w:style w:type="character" w:customStyle="1" w:styleId="firma-negra-grande">
    <w:name w:val="firma-negra-grande"/>
    <w:basedOn w:val="Fuentedeprrafopredeter"/>
    <w:rsid w:val="00BB7B36"/>
  </w:style>
  <w:style w:type="paragraph" w:customStyle="1" w:styleId="centro-texto-opinion">
    <w:name w:val="centro-texto-opinion"/>
    <w:basedOn w:val="Normal"/>
    <w:rsid w:val="00BB7B3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hora-publi">
    <w:name w:val="hora-publi"/>
    <w:basedOn w:val="Fuentedeprrafopredeter"/>
    <w:rsid w:val="00BB7B36"/>
  </w:style>
  <w:style w:type="paragraph" w:customStyle="1" w:styleId="wp-caption-text">
    <w:name w:val="wp-caption-text"/>
    <w:basedOn w:val="Normal"/>
    <w:rsid w:val="00BB7B3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or2">
    <w:name w:val="autor2"/>
    <w:rsid w:val="00BB7B36"/>
    <w:rPr>
      <w:b/>
      <w:bCs/>
      <w:i w:val="0"/>
      <w:iCs w:val="0"/>
      <w:color w:val="AAAAAA"/>
    </w:rPr>
  </w:style>
  <w:style w:type="paragraph" w:customStyle="1" w:styleId="entradilla1">
    <w:name w:val="entradilla1"/>
    <w:basedOn w:val="Normal"/>
    <w:rsid w:val="00BB7B36"/>
    <w:pPr>
      <w:spacing w:before="150" w:after="100" w:afterAutospacing="1" w:line="300" w:lineRule="atLeast"/>
    </w:pPr>
    <w:rPr>
      <w:rFonts w:ascii="Arial" w:eastAsia="Times New Roman" w:hAnsi="Arial" w:cs="Arial"/>
      <w:b/>
      <w:bCs/>
      <w:color w:val="666666"/>
      <w:sz w:val="21"/>
      <w:szCs w:val="21"/>
      <w:lang w:eastAsia="es-ES"/>
    </w:rPr>
  </w:style>
  <w:style w:type="character" w:customStyle="1" w:styleId="firma7">
    <w:name w:val="firma7"/>
    <w:basedOn w:val="Fuentedeprrafopredeter"/>
    <w:rsid w:val="00BB7B36"/>
  </w:style>
  <w:style w:type="character" w:customStyle="1" w:styleId="autor11">
    <w:name w:val="autor11"/>
    <w:basedOn w:val="Fuentedeprrafopredeter"/>
    <w:rsid w:val="00BB7B36"/>
  </w:style>
  <w:style w:type="paragraph" w:customStyle="1" w:styleId="textogrande4">
    <w:name w:val="texto_grande4"/>
    <w:basedOn w:val="Normal"/>
    <w:rsid w:val="00BB7B36"/>
    <w:pPr>
      <w:spacing w:after="0" w:line="420" w:lineRule="atLeast"/>
    </w:pPr>
    <w:rPr>
      <w:rFonts w:ascii="Georgia" w:eastAsia="Times New Roman" w:hAnsi="Georgia" w:cs="Times New Roman"/>
      <w:spacing w:val="-15"/>
      <w:sz w:val="30"/>
      <w:szCs w:val="30"/>
      <w:lang w:eastAsia="es-ES"/>
    </w:rPr>
  </w:style>
  <w:style w:type="character" w:customStyle="1" w:styleId="contenido77">
    <w:name w:val="contenido77"/>
    <w:basedOn w:val="Fuentedeprrafopredeter"/>
    <w:rsid w:val="00BB7B36"/>
  </w:style>
  <w:style w:type="character" w:customStyle="1" w:styleId="ampliarfoto1">
    <w:name w:val="ampliar_foto1"/>
    <w:basedOn w:val="Fuentedeprrafopredeter"/>
    <w:rsid w:val="00BB7B36"/>
    <w:rPr>
      <w:vanish w:val="0"/>
      <w:webHidden w:val="0"/>
      <w:shd w:val="clear" w:color="auto" w:fill="333333"/>
      <w:specVanish w:val="0"/>
    </w:rPr>
  </w:style>
  <w:style w:type="character" w:customStyle="1" w:styleId="contenido-apoyo">
    <w:name w:val="contenido-apoyo"/>
    <w:basedOn w:val="Fuentedeprrafopredeter"/>
    <w:rsid w:val="00BB7B36"/>
  </w:style>
  <w:style w:type="paragraph" w:styleId="Prrafodelista">
    <w:name w:val="List Paragraph"/>
    <w:basedOn w:val="Normal"/>
    <w:uiPriority w:val="34"/>
    <w:qFormat/>
    <w:rsid w:val="00BB7B36"/>
    <w:pPr>
      <w:ind w:left="720"/>
      <w:contextualSpacing/>
    </w:pPr>
  </w:style>
  <w:style w:type="paragraph" w:customStyle="1" w:styleId="Estndar">
    <w:name w:val="Estándar"/>
    <w:rsid w:val="00BB7B36"/>
    <w:pPr>
      <w:spacing w:after="0" w:line="240" w:lineRule="auto"/>
    </w:pPr>
    <w:rPr>
      <w:rFonts w:ascii="Times New Roman" w:eastAsia="Times New Roman" w:hAnsi="Times New Roman" w:cs="Times New Roman"/>
      <w:color w:val="000000"/>
      <w:sz w:val="24"/>
      <w:szCs w:val="20"/>
      <w:lang w:val="es-ES_tradnl" w:eastAsia="es-ES"/>
    </w:rPr>
  </w:style>
  <w:style w:type="character" w:customStyle="1" w:styleId="transparent">
    <w:name w:val="transparent"/>
    <w:basedOn w:val="Fuentedeprrafopredeter"/>
    <w:rsid w:val="00BB7B36"/>
  </w:style>
  <w:style w:type="character" w:customStyle="1" w:styleId="titulo21">
    <w:name w:val="titulo21"/>
    <w:basedOn w:val="Fuentedeprrafopredeter"/>
    <w:rsid w:val="00BB7B36"/>
    <w:rPr>
      <w:b/>
      <w:bCs/>
      <w:strike w:val="0"/>
      <w:dstrike w:val="0"/>
      <w:color w:val="000000"/>
      <w:sz w:val="41"/>
      <w:szCs w:val="41"/>
      <w:u w:val="none"/>
      <w:effect w:val="none"/>
    </w:rPr>
  </w:style>
  <w:style w:type="paragraph" w:customStyle="1" w:styleId="entradilla2">
    <w:name w:val="entradilla2"/>
    <w:basedOn w:val="Normal"/>
    <w:rsid w:val="00BB7B36"/>
    <w:pPr>
      <w:spacing w:before="100" w:beforeAutospacing="1" w:after="100" w:afterAutospacing="1" w:line="330" w:lineRule="atLeast"/>
    </w:pPr>
    <w:rPr>
      <w:rFonts w:ascii="Times New Roman" w:eastAsia="Times New Roman" w:hAnsi="Times New Roman" w:cs="Times New Roman"/>
      <w:color w:val="333333"/>
      <w:sz w:val="23"/>
      <w:szCs w:val="23"/>
      <w:lang w:eastAsia="es-ES"/>
    </w:rPr>
  </w:style>
  <w:style w:type="character" w:customStyle="1" w:styleId="ladillo2">
    <w:name w:val="ladillo2"/>
    <w:basedOn w:val="Fuentedeprrafopredeter"/>
    <w:rsid w:val="00BB7B36"/>
    <w:rPr>
      <w:b/>
      <w:bCs/>
      <w:vanish w:val="0"/>
      <w:webHidden w:val="0"/>
      <w:color w:val="333333"/>
      <w:sz w:val="27"/>
      <w:szCs w:val="27"/>
      <w:specVanish w:val="0"/>
    </w:rPr>
  </w:style>
  <w:style w:type="paragraph" w:customStyle="1" w:styleId="ingress">
    <w:name w:val="ingress"/>
    <w:basedOn w:val="Normal"/>
    <w:rsid w:val="00BB7B36"/>
    <w:pPr>
      <w:spacing w:before="100" w:beforeAutospacing="1" w:after="240" w:line="240" w:lineRule="auto"/>
    </w:pPr>
    <w:rPr>
      <w:rFonts w:ascii="Times New Roman" w:eastAsia="Times New Roman" w:hAnsi="Times New Roman" w:cs="Times New Roman"/>
      <w:b/>
      <w:bCs/>
      <w:sz w:val="24"/>
      <w:szCs w:val="24"/>
      <w:lang w:eastAsia="es-ES"/>
    </w:rPr>
  </w:style>
  <w:style w:type="paragraph" w:customStyle="1" w:styleId="name">
    <w:name w:val="name"/>
    <w:basedOn w:val="Normal"/>
    <w:rsid w:val="00BB7B36"/>
    <w:pPr>
      <w:spacing w:before="100" w:beforeAutospacing="1" w:after="240" w:line="240" w:lineRule="auto"/>
    </w:pPr>
    <w:rPr>
      <w:rFonts w:ascii="Times New Roman" w:eastAsia="Times New Roman" w:hAnsi="Times New Roman" w:cs="Times New Roman"/>
      <w:sz w:val="24"/>
      <w:szCs w:val="24"/>
      <w:lang w:eastAsia="es-ES"/>
    </w:rPr>
  </w:style>
  <w:style w:type="paragraph" w:customStyle="1" w:styleId="Epgrafe1">
    <w:name w:val="Epígrafe1"/>
    <w:basedOn w:val="Normal"/>
    <w:rsid w:val="00BB7B36"/>
    <w:pPr>
      <w:spacing w:before="100" w:beforeAutospacing="1" w:after="240" w:line="240" w:lineRule="auto"/>
    </w:pPr>
    <w:rPr>
      <w:rFonts w:ascii="Times New Roman" w:eastAsia="Times New Roman" w:hAnsi="Times New Roman" w:cs="Times New Roman"/>
      <w:sz w:val="24"/>
      <w:szCs w:val="24"/>
      <w:lang w:eastAsia="es-ES"/>
    </w:rPr>
  </w:style>
  <w:style w:type="character" w:customStyle="1" w:styleId="cintillo">
    <w:name w:val="cintillo"/>
    <w:basedOn w:val="Fuentedeprrafopredeter"/>
    <w:rsid w:val="00BB7B3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7.jpeg"/><Relationship Id="rId21" Type="http://schemas.openxmlformats.org/officeDocument/2006/relationships/image" Target="media/image17.jpeg"/><Relationship Id="rId42" Type="http://schemas.openxmlformats.org/officeDocument/2006/relationships/hyperlink" Target="http://s.libertaddigital.com/fotos/noticias/CONTR01.jpg" TargetMode="External"/><Relationship Id="rId63" Type="http://schemas.openxmlformats.org/officeDocument/2006/relationships/hyperlink" Target="http://www.fedeablogs.net/economia/%20http:/www.arwu.org/" TargetMode="External"/><Relationship Id="rId84" Type="http://schemas.openxmlformats.org/officeDocument/2006/relationships/hyperlink" Target="http://www.fedeablogs.net/economia/wp-content/uploads/graf3.jpg" TargetMode="External"/><Relationship Id="rId138" Type="http://schemas.openxmlformats.org/officeDocument/2006/relationships/hyperlink" Target="http://www.fedeablogs.net/economia/?p=19999" TargetMode="External"/><Relationship Id="rId159" Type="http://schemas.openxmlformats.org/officeDocument/2006/relationships/hyperlink" Target="http://www.fedeablogs.net/economia/?p=14960" TargetMode="External"/><Relationship Id="rId170" Type="http://schemas.openxmlformats.org/officeDocument/2006/relationships/hyperlink" Target="http://www.cnbc.com/id/48148304/Student_Debt_Americarsquos_1_Trillion_Time_Bomb" TargetMode="External"/><Relationship Id="rId191" Type="http://schemas.openxmlformats.org/officeDocument/2006/relationships/image" Target="media/image61.jpeg"/><Relationship Id="rId205" Type="http://schemas.openxmlformats.org/officeDocument/2006/relationships/hyperlink" Target="http://www.fedeablogs.net/economia/?attachment_id=29517" TargetMode="External"/><Relationship Id="rId226" Type="http://schemas.openxmlformats.org/officeDocument/2006/relationships/image" Target="media/image71.jpeg"/><Relationship Id="rId247" Type="http://schemas.openxmlformats.org/officeDocument/2006/relationships/image" Target="media/image77.jpeg"/><Relationship Id="rId107" Type="http://schemas.openxmlformats.org/officeDocument/2006/relationships/image" Target="media/image45.jpeg"/><Relationship Id="rId268" Type="http://schemas.openxmlformats.org/officeDocument/2006/relationships/image" Target="media/image80.jpeg"/><Relationship Id="rId11" Type="http://schemas.openxmlformats.org/officeDocument/2006/relationships/image" Target="media/image7.jpeg"/><Relationship Id="rId32" Type="http://schemas.openxmlformats.org/officeDocument/2006/relationships/hyperlink" Target="http://www.libremercado.com/2012-12-21/holanda-asi-funciona-el-mejor-sistema-sanitario-de-europa-1276477439/" TargetMode="External"/><Relationship Id="rId53" Type="http://schemas.openxmlformats.org/officeDocument/2006/relationships/hyperlink" Target="http://www.invertia.com/noticias/articulo-final.asp?idNoticia=2842577&amp;strGoo=asesores-merkel-reclaman-espana-impuesto-vivienda&amp;" TargetMode="External"/><Relationship Id="rId74" Type="http://schemas.openxmlformats.org/officeDocument/2006/relationships/image" Target="media/image37.jpeg"/><Relationship Id="rId128" Type="http://schemas.openxmlformats.org/officeDocument/2006/relationships/image" Target="media/image52.jpeg"/><Relationship Id="rId149" Type="http://schemas.openxmlformats.org/officeDocument/2006/relationships/hyperlink" Target="http://www.fedeablogs.net/economia/?p=14960" TargetMode="External"/><Relationship Id="rId5" Type="http://schemas.openxmlformats.org/officeDocument/2006/relationships/webSettings" Target="webSettings.xml"/><Relationship Id="rId95" Type="http://schemas.openxmlformats.org/officeDocument/2006/relationships/image" Target="media/image42.jpeg"/><Relationship Id="rId160" Type="http://schemas.openxmlformats.org/officeDocument/2006/relationships/hyperlink" Target="http://www.swissinfo.ch/spa/economia/Estudiar_y_trabajar,_paliativo_contra_el_paro_juvenil.html?cid=31522788" TargetMode="External"/><Relationship Id="rId181" Type="http://schemas.openxmlformats.org/officeDocument/2006/relationships/hyperlink" Target="http://www.libremercado.com/2011-10-18/los-profesores-vagos-no-pueden-ganar-lo-mismo-que-los-que-trabajan-bien-1276438418/" TargetMode="External"/><Relationship Id="rId216" Type="http://schemas.openxmlformats.org/officeDocument/2006/relationships/image" Target="media/image68.jpeg"/><Relationship Id="rId237" Type="http://schemas.openxmlformats.org/officeDocument/2006/relationships/hyperlink" Target="http://www.libremercado.com/2012-02-09/espana-destruye-el-90-del-empleo-temporal-en-la-ue-1276449537/" TargetMode="External"/><Relationship Id="rId258" Type="http://schemas.openxmlformats.org/officeDocument/2006/relationships/hyperlink" Target="http://www.elconfidencial.com/alma-corazon-vida/2013-10-08/solo-uno-de-cada-tres-espanoles-sabe-leer-un-texto-largo-o-comparar-ofertas_38387/" TargetMode="External"/><Relationship Id="rId279" Type="http://schemas.openxmlformats.org/officeDocument/2006/relationships/hyperlink" Target="http://www.fedeablogs.net/economia/wp-content/uploads/cbeee7.jpg" TargetMode="External"/><Relationship Id="rId22" Type="http://schemas.openxmlformats.org/officeDocument/2006/relationships/image" Target="media/image18.jpeg"/><Relationship Id="rId43" Type="http://schemas.openxmlformats.org/officeDocument/2006/relationships/image" Target="media/image27.jpeg"/><Relationship Id="rId64" Type="http://schemas.openxmlformats.org/officeDocument/2006/relationships/hyperlink" Target="http://isihighlycited.com/" TargetMode="External"/><Relationship Id="rId118" Type="http://schemas.openxmlformats.org/officeDocument/2006/relationships/image" Target="media/image48.jpeg"/><Relationship Id="rId139" Type="http://schemas.openxmlformats.org/officeDocument/2006/relationships/hyperlink" Target="http://www.fedeablogs.net/economia/wp-content/uploads/autonomia-1.png" TargetMode="External"/><Relationship Id="rId85" Type="http://schemas.openxmlformats.org/officeDocument/2006/relationships/image" Target="media/image40.jpeg"/><Relationship Id="rId150" Type="http://schemas.openxmlformats.org/officeDocument/2006/relationships/hyperlink" Target="http://www.fedeablogs.net/economia/?p=8712" TargetMode="External"/><Relationship Id="rId171" Type="http://schemas.openxmlformats.org/officeDocument/2006/relationships/hyperlink" Target="http://econlog.econlib.org/archives/2012/10/why_not_a_free.html" TargetMode="External"/><Relationship Id="rId192" Type="http://schemas.openxmlformats.org/officeDocument/2006/relationships/hyperlink" Target="http://www.libremercado.com/2012-04-14/funcionarios-una-fuerza-laboral-de-elite-con-los-peores-incentivos-1276455718/" TargetMode="External"/><Relationship Id="rId206" Type="http://schemas.openxmlformats.org/officeDocument/2006/relationships/image" Target="media/image65.jpeg"/><Relationship Id="rId227" Type="http://schemas.openxmlformats.org/officeDocument/2006/relationships/hyperlink" Target="http://s.libertaddigital.com/fotos/noticias/grafico-sueldos-2.jpg" TargetMode="External"/><Relationship Id="rId248" Type="http://schemas.openxmlformats.org/officeDocument/2006/relationships/hyperlink" Target="http://www.fedeablogs.net/economia/wp-content/uploads/academy-4-4.jpg" TargetMode="External"/><Relationship Id="rId269" Type="http://schemas.openxmlformats.org/officeDocument/2006/relationships/hyperlink" Target="http://www.nber.org/papers/w15531" TargetMode="External"/><Relationship Id="rId12" Type="http://schemas.openxmlformats.org/officeDocument/2006/relationships/image" Target="media/image8.jpeg"/><Relationship Id="rId33" Type="http://schemas.openxmlformats.org/officeDocument/2006/relationships/hyperlink" Target="http://www.libremercado.com/2013-09-07/pensiones-en-suecia-la-reforma-que-el-pp-no-se-atreve-a-hacer-1276498823/" TargetMode="External"/><Relationship Id="rId108" Type="http://schemas.openxmlformats.org/officeDocument/2006/relationships/hyperlink" Target="http://www.elconfidencial.com/fotos/noticias_2011/20110906100sist_edu_finlandia.jpg" TargetMode="External"/><Relationship Id="rId129" Type="http://schemas.openxmlformats.org/officeDocument/2006/relationships/hyperlink" Target="http://www.fedeablogs.net/economia/wp-content/uploads/sin-excusas-3.jpg" TargetMode="External"/><Relationship Id="rId280" Type="http://schemas.openxmlformats.org/officeDocument/2006/relationships/image" Target="media/image85.jpeg"/><Relationship Id="rId54" Type="http://schemas.openxmlformats.org/officeDocument/2006/relationships/image" Target="media/image29.jpeg"/><Relationship Id="rId75" Type="http://schemas.openxmlformats.org/officeDocument/2006/relationships/hyperlink" Target="http://www.rae.ac.uk/" TargetMode="External"/><Relationship Id="rId96" Type="http://schemas.openxmlformats.org/officeDocument/2006/relationships/hyperlink" Target="http://en.wikipedia.org/wiki/Montessori" TargetMode="External"/><Relationship Id="rId140" Type="http://schemas.openxmlformats.org/officeDocument/2006/relationships/image" Target="media/image56.png"/><Relationship Id="rId161" Type="http://schemas.openxmlformats.org/officeDocument/2006/relationships/hyperlink" Target="http://money.cnn.com/2010/10/14/pf/boomerang_kids_move_home/index.htm" TargetMode="External"/><Relationship Id="rId182" Type="http://schemas.openxmlformats.org/officeDocument/2006/relationships/hyperlink" Target="http://www.fedeablogs.net/economia/?cat=163" TargetMode="External"/><Relationship Id="rId217" Type="http://schemas.openxmlformats.org/officeDocument/2006/relationships/hyperlink" Target="http://s.libertaddigital.com/fotos/noticias/ocde_educacion_graf_2.jpg" TargetMode="External"/><Relationship Id="rId6" Type="http://schemas.openxmlformats.org/officeDocument/2006/relationships/image" Target="media/image2.jpeg"/><Relationship Id="rId238" Type="http://schemas.openxmlformats.org/officeDocument/2006/relationships/hyperlink" Target="http://www.libremercado.com/2013-07-17/espana-pierde-dos-millones-de-trabajos-temporales-durante-la-crisis-1276495349/" TargetMode="External"/><Relationship Id="rId259" Type="http://schemas.openxmlformats.org/officeDocument/2006/relationships/hyperlink" Target="http://www.elconfidencial.com/alma-corazon-vida/2013-08-09/es-posible-cobrar-4-millones-de-dolares-por-ser-profesor-pero-solo-en-corea_16141/" TargetMode="External"/><Relationship Id="rId23" Type="http://schemas.openxmlformats.org/officeDocument/2006/relationships/image" Target="media/image19.jpeg"/><Relationship Id="rId119" Type="http://schemas.openxmlformats.org/officeDocument/2006/relationships/image" Target="media/image49.jpeg"/><Relationship Id="rId270" Type="http://schemas.openxmlformats.org/officeDocument/2006/relationships/hyperlink" Target="http://en.wikipedia.org/wiki/No_Child_Left_Behind_Act" TargetMode="External"/><Relationship Id="rId44" Type="http://schemas.openxmlformats.org/officeDocument/2006/relationships/hyperlink" Target="http://s.libertaddigital.com/fotos/noticias/CONTR03.jpg" TargetMode="External"/><Relationship Id="rId65" Type="http://schemas.openxmlformats.org/officeDocument/2006/relationships/hyperlink" Target="http://www.fedeablogs.net/economia/%20http:/www.fedeablogs.net/economia/?p=4258" TargetMode="External"/><Relationship Id="rId86" Type="http://schemas.openxmlformats.org/officeDocument/2006/relationships/hyperlink" Target="http://www.fedeablogs.net/economia/wp-content/uploads/graficos-universidad-5.jpg" TargetMode="External"/><Relationship Id="rId130" Type="http://schemas.openxmlformats.org/officeDocument/2006/relationships/image" Target="media/image53.jpeg"/><Relationship Id="rId151" Type="http://schemas.openxmlformats.org/officeDocument/2006/relationships/hyperlink" Target="http://www.fedeablogs.net/economia/?p=9891" TargetMode="External"/><Relationship Id="rId172" Type="http://schemas.openxmlformats.org/officeDocument/2006/relationships/hyperlink" Target="http://www.amazon.com/Academically-Adrift-Limited-Learning-Campuses/dp/0226028569" TargetMode="External"/><Relationship Id="rId193" Type="http://schemas.openxmlformats.org/officeDocument/2006/relationships/hyperlink" Target="http://www.fedeablogs.net/economia/?p=19902" TargetMode="External"/><Relationship Id="rId207" Type="http://schemas.openxmlformats.org/officeDocument/2006/relationships/hyperlink" Target="http://www.fedeablogs.net/economia/wp-content/uploads/OECD-hours.jpg" TargetMode="External"/><Relationship Id="rId228" Type="http://schemas.openxmlformats.org/officeDocument/2006/relationships/image" Target="media/image72.jpeg"/><Relationship Id="rId249" Type="http://schemas.openxmlformats.org/officeDocument/2006/relationships/image" Target="media/image78.jpeg"/><Relationship Id="rId13" Type="http://schemas.openxmlformats.org/officeDocument/2006/relationships/image" Target="media/image9.jpeg"/><Relationship Id="rId18" Type="http://schemas.openxmlformats.org/officeDocument/2006/relationships/image" Target="media/image14.jpeg"/><Relationship Id="rId39" Type="http://schemas.openxmlformats.org/officeDocument/2006/relationships/image" Target="media/image25.jpeg"/><Relationship Id="rId109" Type="http://schemas.openxmlformats.org/officeDocument/2006/relationships/image" Target="media/image46.jpeg"/><Relationship Id="rId260" Type="http://schemas.openxmlformats.org/officeDocument/2006/relationships/hyperlink" Target="http://www.elconfidencial.com/alma-corazon-vida/2013/06/09/por-que-la-lomce-es-tan-polemica-los-educadores-contestan-al-ministro-wert-122590/" TargetMode="External"/><Relationship Id="rId265" Type="http://schemas.openxmlformats.org/officeDocument/2006/relationships/image" Target="media/image79.jpeg"/><Relationship Id="rId281" Type="http://schemas.openxmlformats.org/officeDocument/2006/relationships/hyperlink" Target="http://www.teachforamerica.org/" TargetMode="External"/><Relationship Id="rId34" Type="http://schemas.openxmlformats.org/officeDocument/2006/relationships/hyperlink" Target="http://www.libremercado.com/2013-07-03/la-mitad-de-los-espanoles-pagaria-mas-irpf-si-les-rebajaran-el-tipo-maximo-1276494429/" TargetMode="External"/><Relationship Id="rId50" Type="http://schemas.openxmlformats.org/officeDocument/2006/relationships/hyperlink" Target="http://www.nber.org/papers/w3096.pdf?new_window=1" TargetMode="External"/><Relationship Id="rId55" Type="http://schemas.openxmlformats.org/officeDocument/2006/relationships/hyperlink" Target="http://www.fedeablogs.net/economia/wp-content/uploads/graficos_post_video_game_def-1.jpg" TargetMode="External"/><Relationship Id="rId76" Type="http://schemas.openxmlformats.org/officeDocument/2006/relationships/hyperlink" Target="http://www.educacion.es/mecd/estadisticas/educativas/cee/Edicion2011/C2.xls" TargetMode="External"/><Relationship Id="rId97" Type="http://schemas.openxmlformats.org/officeDocument/2006/relationships/hyperlink" Target="http://en.wikipedia.org/wiki/Waldorf_school" TargetMode="External"/><Relationship Id="rId104" Type="http://schemas.openxmlformats.org/officeDocument/2006/relationships/hyperlink" Target="http://www.fedeablogs.net/economia/wp-content/uploads/teaching-styles-2.jpg" TargetMode="External"/><Relationship Id="rId120" Type="http://schemas.openxmlformats.org/officeDocument/2006/relationships/image" Target="media/image50.jpeg"/><Relationship Id="rId125" Type="http://schemas.openxmlformats.org/officeDocument/2006/relationships/hyperlink" Target="http://www.fedeablogs.net/economia/wp-content/uploads/sin-excusas-1.jpg" TargetMode="External"/><Relationship Id="rId141" Type="http://schemas.openxmlformats.org/officeDocument/2006/relationships/hyperlink" Target="http://www.fedeablogs.net/economia/wp-content/uploads/autonomia-2.png" TargetMode="External"/><Relationship Id="rId146" Type="http://schemas.openxmlformats.org/officeDocument/2006/relationships/hyperlink" Target="http://www.fedeablogs.net/economia/?p=2087" TargetMode="External"/><Relationship Id="rId167" Type="http://schemas.openxmlformats.org/officeDocument/2006/relationships/hyperlink" Target="http://www.theatlantic.com/business/archive/2011/08/chart-of-the-day-student-loans-have-grown-511-since-1999/243821/" TargetMode="External"/><Relationship Id="rId188" Type="http://schemas.openxmlformats.org/officeDocument/2006/relationships/hyperlink" Target="http://www.libertaddigital.com/economia/por-que-espana-fracasa-ano-tras-ano-en-el-informe-pisa-1276412914/" TargetMode="External"/><Relationship Id="rId7" Type="http://schemas.openxmlformats.org/officeDocument/2006/relationships/image" Target="media/image3.jpeg"/><Relationship Id="rId71" Type="http://schemas.openxmlformats.org/officeDocument/2006/relationships/image" Target="media/image36.jpeg"/><Relationship Id="rId92" Type="http://schemas.openxmlformats.org/officeDocument/2006/relationships/hyperlink" Target="http://papers.nber.org/papers/w16606" TargetMode="External"/><Relationship Id="rId162" Type="http://schemas.openxmlformats.org/officeDocument/2006/relationships/hyperlink" Target="http://www.learnliberty.org/videos/why-is-higher-education-so-expensive" TargetMode="External"/><Relationship Id="rId183" Type="http://schemas.openxmlformats.org/officeDocument/2006/relationships/hyperlink" Target="http://www.fedeablogs.net/presentaciones/la-LOMCE-AC-v3.pdf" TargetMode="External"/><Relationship Id="rId213" Type="http://schemas.openxmlformats.org/officeDocument/2006/relationships/hyperlink" Target="http://www.libertaddigital.com/economia/por-que-espana-fracasa-ano-tras-ano-en-el-informe-pisa-1276412914/" TargetMode="External"/><Relationship Id="rId218" Type="http://schemas.openxmlformats.org/officeDocument/2006/relationships/image" Target="media/image69.jpeg"/><Relationship Id="rId234" Type="http://schemas.openxmlformats.org/officeDocument/2006/relationships/hyperlink" Target="http://www.libertaddigital.com/economia/el-drama-de-la-generacion-mejor-preparada-de-nuestra-historia-1276414027/" TargetMode="External"/><Relationship Id="rId239" Type="http://schemas.openxmlformats.org/officeDocument/2006/relationships/hyperlink" Target="http://epp.eurostat.ec.europa.eu/portal/page/portal/eurostat/home/" TargetMode="External"/><Relationship Id="rId2" Type="http://schemas.openxmlformats.org/officeDocument/2006/relationships/styles" Target="styles.xml"/><Relationship Id="rId29" Type="http://schemas.openxmlformats.org/officeDocument/2006/relationships/hyperlink" Target="http://www.libremercado.com/2013-09-21/ha-muerto-el-estado-del-bienestar-1276499880/" TargetMode="External"/><Relationship Id="rId250" Type="http://schemas.openxmlformats.org/officeDocument/2006/relationships/hyperlink" Target="http://www.fedeablogs.net/economia/?p=22134" TargetMode="External"/><Relationship Id="rId255" Type="http://schemas.openxmlformats.org/officeDocument/2006/relationships/hyperlink" Target="http://www.libertaddigital.com/internacional/europa/2013-10-04/sabado-que-tiene-el-modelo-educativo-finlandes-que-no-tiene-el-espanol-1276501044/" TargetMode="External"/><Relationship Id="rId271" Type="http://schemas.openxmlformats.org/officeDocument/2006/relationships/image" Target="media/image81.jpeg"/><Relationship Id="rId276" Type="http://schemas.openxmlformats.org/officeDocument/2006/relationships/image" Target="media/image83.jpeg"/><Relationship Id="rId24" Type="http://schemas.openxmlformats.org/officeDocument/2006/relationships/image" Target="media/image20.jpeg"/><Relationship Id="rId40" Type="http://schemas.openxmlformats.org/officeDocument/2006/relationships/hyperlink" Target="http://s.libertaddigital.com/fotos/noticias/futuro_empresas_2.jpg" TargetMode="External"/><Relationship Id="rId45" Type="http://schemas.openxmlformats.org/officeDocument/2006/relationships/image" Target="media/image28.jpeg"/><Relationship Id="rId66" Type="http://schemas.openxmlformats.org/officeDocument/2006/relationships/hyperlink" Target="http://www.fedeablogs.net/economia/wp-content/uploads/graficos-universidad-11.jpg" TargetMode="External"/><Relationship Id="rId87" Type="http://schemas.openxmlformats.org/officeDocument/2006/relationships/image" Target="media/image41.jpeg"/><Relationship Id="rId110" Type="http://schemas.openxmlformats.org/officeDocument/2006/relationships/hyperlink" Target="http://www.consumerfinance.gov/blog/too-big-to-fail-student-debt-hits-a-trillion/" TargetMode="External"/><Relationship Id="rId115" Type="http://schemas.openxmlformats.org/officeDocument/2006/relationships/hyperlink" Target="http://www.elconfidencial.com/autores/Miguel-Ayuso" TargetMode="External"/><Relationship Id="rId131" Type="http://schemas.openxmlformats.org/officeDocument/2006/relationships/hyperlink" Target="http://www.fedeablogs.net/economia/wp-content/uploads/sin-excusas-41.jpg" TargetMode="External"/><Relationship Id="rId136" Type="http://schemas.openxmlformats.org/officeDocument/2006/relationships/hyperlink" Target="http://www.fedeablogs.net/economia/?p=9843" TargetMode="External"/><Relationship Id="rId157" Type="http://schemas.openxmlformats.org/officeDocument/2006/relationships/hyperlink" Target="http://www.libremercado.com/2012-02-08/la-legislacion-laboral-condena-a-los-jovenes-al-paro-1276449404/" TargetMode="External"/><Relationship Id="rId178" Type="http://schemas.openxmlformats.org/officeDocument/2006/relationships/hyperlink" Target="http://www.elconfidencial.com/alma-corazon-vida/2012/11/06/educacion-de-elite-para-todos-como-estudiar-en-princeton-gratis-108633/" TargetMode="External"/><Relationship Id="rId61" Type="http://schemas.openxmlformats.org/officeDocument/2006/relationships/hyperlink" Target="http://www.fedeablogs.net/economia/wp-content/uploads/graficos_post_video_game_def-4.jpg" TargetMode="External"/><Relationship Id="rId82" Type="http://schemas.openxmlformats.org/officeDocument/2006/relationships/hyperlink" Target="http://www.fedeablogs.net/economia/?p=1554" TargetMode="External"/><Relationship Id="rId152" Type="http://schemas.openxmlformats.org/officeDocument/2006/relationships/hyperlink" Target="http://www.fedeablogs.net/economia/?p=16608" TargetMode="External"/><Relationship Id="rId173" Type="http://schemas.openxmlformats.org/officeDocument/2006/relationships/hyperlink" Target="http://www.economist.com/blogs/schumpeter/2011/04/higher_education" TargetMode="External"/><Relationship Id="rId194" Type="http://schemas.openxmlformats.org/officeDocument/2006/relationships/hyperlink" Target="http://www.fedeablogs.net/economia/?p=2581" TargetMode="External"/><Relationship Id="rId199" Type="http://schemas.openxmlformats.org/officeDocument/2006/relationships/hyperlink" Target="http://www.fedeablogs.net/economia/?attachment_id=29513" TargetMode="External"/><Relationship Id="rId203" Type="http://schemas.openxmlformats.org/officeDocument/2006/relationships/hyperlink" Target="http://www.fedeablogs.net/economia/?attachment_id=29516" TargetMode="External"/><Relationship Id="rId208" Type="http://schemas.openxmlformats.org/officeDocument/2006/relationships/image" Target="media/image66.jpeg"/><Relationship Id="rId229" Type="http://schemas.openxmlformats.org/officeDocument/2006/relationships/hyperlink" Target="http://s.libertaddigital.com/fotos/noticias/grafico-alumnos-profesor.jpg" TargetMode="External"/><Relationship Id="rId19" Type="http://schemas.openxmlformats.org/officeDocument/2006/relationships/image" Target="media/image15.jpeg"/><Relationship Id="rId224" Type="http://schemas.openxmlformats.org/officeDocument/2006/relationships/hyperlink" Target="http://www.oecd.org/about/membersandpartners/" TargetMode="External"/><Relationship Id="rId240" Type="http://schemas.openxmlformats.org/officeDocument/2006/relationships/image" Target="media/image74.jpeg"/><Relationship Id="rId245" Type="http://schemas.openxmlformats.org/officeDocument/2006/relationships/image" Target="media/image76.jpeg"/><Relationship Id="rId261" Type="http://schemas.openxmlformats.org/officeDocument/2006/relationships/hyperlink" Target="http://www.elconfidencial.com/alma-corazon-vida/2012/03/27/las-nuevas-escuelas-solo-para-chicas-hacen-a-la-mujer-mas-fuerte-95049" TargetMode="External"/><Relationship Id="rId266" Type="http://schemas.openxmlformats.org/officeDocument/2006/relationships/hyperlink" Target="http://ftp.iza.org/dp2880.pdf" TargetMode="External"/><Relationship Id="rId14" Type="http://schemas.openxmlformats.org/officeDocument/2006/relationships/image" Target="media/image10.jpeg"/><Relationship Id="rId30" Type="http://schemas.openxmlformats.org/officeDocument/2006/relationships/hyperlink" Target="http://www.bbc.co.uk/news/uk-10680062" TargetMode="External"/><Relationship Id="rId35" Type="http://schemas.openxmlformats.org/officeDocument/2006/relationships/hyperlink" Target="http://www.libremercado.com/2013-01-15/el-esfuerzo-fiscal-en-espana-es-el-mas-alto-de-la-eurozona-1276479317/" TargetMode="External"/><Relationship Id="rId56" Type="http://schemas.openxmlformats.org/officeDocument/2006/relationships/image" Target="media/image30.jpeg"/><Relationship Id="rId77" Type="http://schemas.openxmlformats.org/officeDocument/2006/relationships/hyperlink" Target="http://www.fedeablogs.net/economia/wp-content/uploads/graf1.jpg" TargetMode="External"/><Relationship Id="rId100" Type="http://schemas.openxmlformats.org/officeDocument/2006/relationships/hyperlink" Target="http://educac.tripod.com/legislac/logse.htm" TargetMode="External"/><Relationship Id="rId105" Type="http://schemas.openxmlformats.org/officeDocument/2006/relationships/image" Target="media/image44.jpeg"/><Relationship Id="rId126" Type="http://schemas.openxmlformats.org/officeDocument/2006/relationships/image" Target="media/image51.jpeg"/><Relationship Id="rId147" Type="http://schemas.openxmlformats.org/officeDocument/2006/relationships/hyperlink" Target="http://www.fedeablogs.net/economia/?p=7681" TargetMode="External"/><Relationship Id="rId168" Type="http://schemas.openxmlformats.org/officeDocument/2006/relationships/hyperlink" Target="http://blogs.wsj.com/economics/2012/05/19/number-of-the-week-student-loan-bubble/" TargetMode="External"/><Relationship Id="rId282" Type="http://schemas.openxmlformats.org/officeDocument/2006/relationships/hyperlink" Target="http://www.elconfidencial.com/alma-corazon-vida/2013-10-30/el-futuro-ya-esta-aqui-como-sera-la-educacion-en-el-ano-2018-o-antes_47708/" TargetMode="External"/><Relationship Id="rId8" Type="http://schemas.openxmlformats.org/officeDocument/2006/relationships/image" Target="media/image4.jpeg"/><Relationship Id="rId51" Type="http://schemas.openxmlformats.org/officeDocument/2006/relationships/hyperlink" Target="http://www.cambridge.org/us/academic/subjects/economics/public-economics-and-public-policy/public-debt-management-theory-and-history" TargetMode="External"/><Relationship Id="rId72" Type="http://schemas.openxmlformats.org/officeDocument/2006/relationships/hyperlink" Target="http://en.wikipedia.org/wiki/Pork_barrel" TargetMode="External"/><Relationship Id="rId93" Type="http://schemas.openxmlformats.org/officeDocument/2006/relationships/hyperlink" Target="http://papers.nber.org/papers/w16606" TargetMode="External"/><Relationship Id="rId98" Type="http://schemas.openxmlformats.org/officeDocument/2006/relationships/hyperlink" Target="http://en.wikipedia.org/wiki/Summerhill_School" TargetMode="External"/><Relationship Id="rId121" Type="http://schemas.openxmlformats.org/officeDocument/2006/relationships/hyperlink" Target="http://www.economics.harvard.edu/faculty/fryer/files/effective_schools.pdf" TargetMode="External"/><Relationship Id="rId142" Type="http://schemas.openxmlformats.org/officeDocument/2006/relationships/image" Target="media/image57.png"/><Relationship Id="rId163" Type="http://schemas.openxmlformats.org/officeDocument/2006/relationships/hyperlink" Target="http://opensource.com/education/12/3/infographic-education-bubble" TargetMode="External"/><Relationship Id="rId184" Type="http://schemas.openxmlformats.org/officeDocument/2006/relationships/hyperlink" Target="http://www.mecd.gob.es/inee/publicaciones/estudios-internacionales.html" TargetMode="External"/><Relationship Id="rId189" Type="http://schemas.openxmlformats.org/officeDocument/2006/relationships/hyperlink" Target="http://www.fedea.net/educacion/manifiesto_educacion_2012_print_def.pdf" TargetMode="External"/><Relationship Id="rId219" Type="http://schemas.openxmlformats.org/officeDocument/2006/relationships/hyperlink" Target="http://www.libertaddigital.com/espana/2013-06-25/wert-revisara-la-nota-para-acceder-a-las-becas-tras-las-criticas-en-su-propio-partido-1276493759/" TargetMode="External"/><Relationship Id="rId3" Type="http://schemas.microsoft.com/office/2007/relationships/stylesWithEffects" Target="stylesWithEffects.xml"/><Relationship Id="rId214" Type="http://schemas.openxmlformats.org/officeDocument/2006/relationships/hyperlink" Target="http://www.libremercado.com/2012-04-12/espana-gasta-mas-en-educacion-que-sus-vecinos-y-saca-peores-resultados-1276455527/" TargetMode="External"/><Relationship Id="rId230" Type="http://schemas.openxmlformats.org/officeDocument/2006/relationships/image" Target="media/image73.jpeg"/><Relationship Id="rId235" Type="http://schemas.openxmlformats.org/officeDocument/2006/relationships/hyperlink" Target="http://www.libremercado.com/2012-11-18/la-fp-dual-que-wert-quiere-imitar-las-claves-del-exito-de-suiza-1276474493/" TargetMode="External"/><Relationship Id="rId251" Type="http://schemas.openxmlformats.org/officeDocument/2006/relationships/hyperlink" Target="http://www.libertaddigital.com/economia/por-que-espana-fracasa-ano-tras-ano-en-el-informe-pisa-1276412914/" TargetMode="External"/><Relationship Id="rId256" Type="http://schemas.openxmlformats.org/officeDocument/2006/relationships/hyperlink" Target="http://www.libertaddigital.com/internacional/europa/2013-10-04/sabado-que-tiene-el-modelo-educativo-finlandes-que-no-tiene-el-espanol-1276501044/" TargetMode="External"/><Relationship Id="rId277" Type="http://schemas.openxmlformats.org/officeDocument/2006/relationships/hyperlink" Target="http://www.fedeablogs.net/economia/wp-content/uploads/cbeee6.jpg" TargetMode="External"/><Relationship Id="rId25" Type="http://schemas.openxmlformats.org/officeDocument/2006/relationships/image" Target="media/image21.jpeg"/><Relationship Id="rId46" Type="http://schemas.openxmlformats.org/officeDocument/2006/relationships/hyperlink" Target="http://www.libremercado.com/2013-09-16/espana-registra-el-mayor-volumen-de-deuda-publica-desde-1909-1276499479/" TargetMode="External"/><Relationship Id="rId67" Type="http://schemas.openxmlformats.org/officeDocument/2006/relationships/image" Target="media/image34.jpeg"/><Relationship Id="rId116" Type="http://schemas.openxmlformats.org/officeDocument/2006/relationships/hyperlink" Target="http://www.thersa.org/" TargetMode="External"/><Relationship Id="rId137" Type="http://schemas.openxmlformats.org/officeDocument/2006/relationships/hyperlink" Target="http://www.fedeablogs.net/economia/?p=20881" TargetMode="External"/><Relationship Id="rId158" Type="http://schemas.openxmlformats.org/officeDocument/2006/relationships/hyperlink" Target="http://www.libremercado.com/2012-10-26/la-tasa-de-paro-juvenil-se-situa-en-el-5234-1276472523/" TargetMode="External"/><Relationship Id="rId272" Type="http://schemas.openxmlformats.org/officeDocument/2006/relationships/hyperlink" Target="http://www.fedeablogs.net/economia/wp-content/uploads/cbeee4.jpg" TargetMode="External"/><Relationship Id="rId20" Type="http://schemas.openxmlformats.org/officeDocument/2006/relationships/image" Target="media/image16.jpeg"/><Relationship Id="rId41" Type="http://schemas.openxmlformats.org/officeDocument/2006/relationships/image" Target="media/image26.jpeg"/><Relationship Id="rId62" Type="http://schemas.openxmlformats.org/officeDocument/2006/relationships/image" Target="media/image33.jpeg"/><Relationship Id="rId83" Type="http://schemas.openxmlformats.org/officeDocument/2006/relationships/hyperlink" Target="http://www.isei-ivei.net/cast/pub/Repeticiones_cas.pdf" TargetMode="External"/><Relationship Id="rId88" Type="http://schemas.openxmlformats.org/officeDocument/2006/relationships/hyperlink" Target="http://dl.dropbox.com/u/2021568/hanoushek.pdf" TargetMode="External"/><Relationship Id="rId111" Type="http://schemas.openxmlformats.org/officeDocument/2006/relationships/hyperlink" Target="http://www.elconfidencial.com/mundo/2012/04/01/la-nueva-burbuja-del-credito-en-estados-unidos-esta-en-las-aulas-de-las-universidades-95343/" TargetMode="External"/><Relationship Id="rId132" Type="http://schemas.openxmlformats.org/officeDocument/2006/relationships/image" Target="media/image54.jpeg"/><Relationship Id="rId153" Type="http://schemas.openxmlformats.org/officeDocument/2006/relationships/hyperlink" Target="http://www.libremercado.com/2012-11-09/las-claves-de-la-fp-dual-aprobada-por-el-gobierno-1276473765/" TargetMode="External"/><Relationship Id="rId174" Type="http://schemas.openxmlformats.org/officeDocument/2006/relationships/hyperlink" Target="http://diego-sanchez-de-la-cruz.libremercado.com/2012/06/20/peter-thiel/" TargetMode="External"/><Relationship Id="rId179" Type="http://schemas.openxmlformats.org/officeDocument/2006/relationships/hyperlink" Target="https://www.coursera.org/" TargetMode="External"/><Relationship Id="rId195" Type="http://schemas.openxmlformats.org/officeDocument/2006/relationships/hyperlink" Target="http://www.fedeablogs.net/economia/?p=18226" TargetMode="External"/><Relationship Id="rId209" Type="http://schemas.openxmlformats.org/officeDocument/2006/relationships/hyperlink" Target="http://www.uis.unesco.org/Education/Documents/oecd-eag-2012-en.pdf" TargetMode="External"/><Relationship Id="rId190" Type="http://schemas.openxmlformats.org/officeDocument/2006/relationships/hyperlink" Target="http://s.libertaddigital.com/fotos/noticias/seleccion_profesores_finlandia.jpg" TargetMode="External"/><Relationship Id="rId204" Type="http://schemas.openxmlformats.org/officeDocument/2006/relationships/image" Target="media/image64.jpeg"/><Relationship Id="rId220" Type="http://schemas.openxmlformats.org/officeDocument/2006/relationships/hyperlink" Target="http://www.crue.org/Publicaciones/UEC.html" TargetMode="External"/><Relationship Id="rId225" Type="http://schemas.openxmlformats.org/officeDocument/2006/relationships/hyperlink" Target="http://s.libertaddigital.com/fotos/noticias/grafica-sueldos-1.jpg" TargetMode="External"/><Relationship Id="rId241" Type="http://schemas.openxmlformats.org/officeDocument/2006/relationships/image" Target="media/image75.jpeg"/><Relationship Id="rId246" Type="http://schemas.openxmlformats.org/officeDocument/2006/relationships/hyperlink" Target="http://www.fedeablogs.net/economia/wp-content/uploads/academy-3-2.jpg" TargetMode="External"/><Relationship Id="rId267" Type="http://schemas.openxmlformats.org/officeDocument/2006/relationships/hyperlink" Target="http://www.fedeablogs.net/economia/wp-content/uploads/cbeee2.jpg" TargetMode="External"/><Relationship Id="rId15" Type="http://schemas.openxmlformats.org/officeDocument/2006/relationships/image" Target="media/image11.jpeg"/><Relationship Id="rId36" Type="http://schemas.openxmlformats.org/officeDocument/2006/relationships/image" Target="media/image22.jpeg"/><Relationship Id="rId57" Type="http://schemas.openxmlformats.org/officeDocument/2006/relationships/hyperlink" Target="http://www.fedeablogs.net/economia/wp-content/uploads/graficos_post_video_game_def-2.jpg" TargetMode="External"/><Relationship Id="rId106" Type="http://schemas.openxmlformats.org/officeDocument/2006/relationships/hyperlink" Target="http://www.fedeablogs.net/economia/wp-content/uploads/teaching-styles-3.jpg" TargetMode="External"/><Relationship Id="rId127" Type="http://schemas.openxmlformats.org/officeDocument/2006/relationships/hyperlink" Target="http://www.fedeablogs.net/economia/wp-content/uploads/sin-excusas-2.jpg" TargetMode="External"/><Relationship Id="rId262" Type="http://schemas.openxmlformats.org/officeDocument/2006/relationships/hyperlink" Target="http://www.elconfidencial.com/alma-corazon-vida/2012/03/27/las-nuevas-escuelas-solo-para-chicas-hacen-a-la-mujer-mas-fuerte-95049" TargetMode="External"/><Relationship Id="rId283" Type="http://schemas.openxmlformats.org/officeDocument/2006/relationships/hyperlink" Target="http://www.elconfidencial.com/alma-corazon-vida/2013/02/18/asi-sera-la-escuela-del-futuro-si-no-desaparece-antes-114373/" TargetMode="External"/><Relationship Id="rId10" Type="http://schemas.openxmlformats.org/officeDocument/2006/relationships/image" Target="media/image6.jpeg"/><Relationship Id="rId31" Type="http://schemas.openxmlformats.org/officeDocument/2006/relationships/hyperlink" Target="http://www.libremercado.com/2013-02-17/el-milagro-que-llego-del-frio-por-que-los-nordicos-estan-de-moda-1276482449/" TargetMode="External"/><Relationship Id="rId52" Type="http://schemas.openxmlformats.org/officeDocument/2006/relationships/hyperlink" Target="http://www.voxeu.org/article/eurozone-crisis-time-tax-rich" TargetMode="External"/><Relationship Id="rId73" Type="http://schemas.openxmlformats.org/officeDocument/2006/relationships/hyperlink" Target="http://www.fedeablogs.net/economia/wp-content/uploads/graficos-universidad-4.jpg" TargetMode="External"/><Relationship Id="rId78" Type="http://schemas.openxmlformats.org/officeDocument/2006/relationships/image" Target="media/image38.jpeg"/><Relationship Id="rId94" Type="http://schemas.openxmlformats.org/officeDocument/2006/relationships/hyperlink" Target="http://www.expansion.com/2011/02/15/entorno/1297732831.html" TargetMode="External"/><Relationship Id="rId99" Type="http://schemas.openxmlformats.org/officeDocument/2006/relationships/hyperlink" Target="http://www.fedeablogs.net/economia/%20http:/es.wikipedia.org/wiki/Emilio,_o_De_la_educaci%C3%B3n" TargetMode="External"/><Relationship Id="rId101" Type="http://schemas.openxmlformats.org/officeDocument/2006/relationships/hyperlink" Target="http://www.fedeablogs.net/economia/%20http:/economics.huji.ac.il/facultye/lavy/Teachers_Text%20and%20Tables_March__9_2011.pdf%20" TargetMode="External"/><Relationship Id="rId122" Type="http://schemas.openxmlformats.org/officeDocument/2006/relationships/hyperlink" Target="http://www.fedeablogs.net/economia/?p=11066" TargetMode="External"/><Relationship Id="rId143" Type="http://schemas.openxmlformats.org/officeDocument/2006/relationships/hyperlink" Target="http://www.fedeablogs.net/economia/wp-content/uploads/autonomia-rendicion-cuentas.png" TargetMode="External"/><Relationship Id="rId148" Type="http://schemas.openxmlformats.org/officeDocument/2006/relationships/hyperlink" Target="http://www.fedeablogs.net/economia/?p=7045" TargetMode="External"/><Relationship Id="rId164" Type="http://schemas.openxmlformats.org/officeDocument/2006/relationships/image" Target="media/image59.jpeg"/><Relationship Id="rId169" Type="http://schemas.openxmlformats.org/officeDocument/2006/relationships/hyperlink" Target="http://chronicle.com/blogs/innovations/why-did-17-million-students-go-to-college/27634" TargetMode="External"/><Relationship Id="rId185" Type="http://schemas.openxmlformats.org/officeDocument/2006/relationships/hyperlink" Target="http://www.oecd.org/pisa/pisaproducts/48852721.pdf" TargetMode="External"/><Relationship Id="rId4" Type="http://schemas.openxmlformats.org/officeDocument/2006/relationships/settings" Target="settings.xml"/><Relationship Id="rId9" Type="http://schemas.openxmlformats.org/officeDocument/2006/relationships/image" Target="media/image5.jpeg"/><Relationship Id="rId180" Type="http://schemas.openxmlformats.org/officeDocument/2006/relationships/hyperlink" Target="http://www.fedea.es/" TargetMode="External"/><Relationship Id="rId210" Type="http://schemas.openxmlformats.org/officeDocument/2006/relationships/image" Target="media/image67.png"/><Relationship Id="rId215" Type="http://schemas.openxmlformats.org/officeDocument/2006/relationships/hyperlink" Target="http://s.libertaddigital.com/fotos/noticias/ocde_educacion_graf_1.jpg" TargetMode="External"/><Relationship Id="rId236" Type="http://schemas.openxmlformats.org/officeDocument/2006/relationships/hyperlink" Target="http://www.libremercado.com/2013-03-17/el-mercado-laboral-espanol-diez-razones-de-un-fracaso-1276485050/" TargetMode="External"/><Relationship Id="rId257" Type="http://schemas.openxmlformats.org/officeDocument/2006/relationships/hyperlink" Target="http://www.libremercado.com/2013-06-28/los-profesores-espanoles-bien-pagados-mal-tratados-1276494021/" TargetMode="External"/><Relationship Id="rId278" Type="http://schemas.openxmlformats.org/officeDocument/2006/relationships/image" Target="media/image84.jpeg"/><Relationship Id="rId26" Type="http://schemas.openxmlformats.org/officeDocument/2006/relationships/hyperlink" Target="http://www.libremercado.com/2013-09-17/el-rey-de-holanda-anuncia-nuevos-recortes-por-valor-de-6000-millones-1276499625/" TargetMode="External"/><Relationship Id="rId231" Type="http://schemas.openxmlformats.org/officeDocument/2006/relationships/hyperlink" Target="http://www.coiim.es/revista/Articulos/59_Art.%20Hacia%20una%20nueva%20industrializaci%C3%B3n.aspx" TargetMode="External"/><Relationship Id="rId252" Type="http://schemas.openxmlformats.org/officeDocument/2006/relationships/hyperlink" Target="http://www.libertaddigital.com/internacional/europa/2013-10-04/sabado-que-tiene-el-modelo-educativo-finlandes-que-no-tiene-el-espanol-1276501044/" TargetMode="External"/><Relationship Id="rId273" Type="http://schemas.openxmlformats.org/officeDocument/2006/relationships/image" Target="media/image82.jpeg"/><Relationship Id="rId47" Type="http://schemas.openxmlformats.org/officeDocument/2006/relationships/hyperlink" Target="http://www.libremercado.com/2013-09-30/la-deuda-publica-rozara-el-100-del-pib-en-2014-1276500582/" TargetMode="External"/><Relationship Id="rId68" Type="http://schemas.openxmlformats.org/officeDocument/2006/relationships/hyperlink" Target="http://www.fedeablogs.net/economia/wp-content/uploads/graficos-universidad-2.jpg" TargetMode="External"/><Relationship Id="rId89" Type="http://schemas.openxmlformats.org/officeDocument/2006/relationships/hyperlink" Target="http://www.elsevier.com/wps/find/bookdescription.cws_home/724027/description" TargetMode="External"/><Relationship Id="rId112" Type="http://schemas.openxmlformats.org/officeDocument/2006/relationships/hyperlink" Target="http://www.smartmoney.com/borrow/student-loans/student-loans-on-rise--for-kindergarten-1332957614617/?mg=com-sec-sm" TargetMode="External"/><Relationship Id="rId133" Type="http://schemas.openxmlformats.org/officeDocument/2006/relationships/hyperlink" Target="http://es.wikipedia.org/wiki/Vujadin_Bo%C5%A1kov" TargetMode="External"/><Relationship Id="rId154" Type="http://schemas.openxmlformats.org/officeDocument/2006/relationships/hyperlink" Target="http://www.boe.es/boe/dias/2012/11/09/pdfs/BOE-A-2012-13846.pdf" TargetMode="External"/><Relationship Id="rId175" Type="http://schemas.openxmlformats.org/officeDocument/2006/relationships/hyperlink" Target="http://www.youtube.com/watch?v=AIcfMMVcYZg" TargetMode="External"/><Relationship Id="rId196" Type="http://schemas.openxmlformats.org/officeDocument/2006/relationships/hyperlink" Target="http://ftp.iza.org/dp5101.pdf" TargetMode="External"/><Relationship Id="rId200" Type="http://schemas.openxmlformats.org/officeDocument/2006/relationships/image" Target="media/image62.jpeg"/><Relationship Id="rId16" Type="http://schemas.openxmlformats.org/officeDocument/2006/relationships/image" Target="media/image12.jpeg"/><Relationship Id="rId221" Type="http://schemas.openxmlformats.org/officeDocument/2006/relationships/hyperlink" Target="http://www.libertaddigital.com/economia/estado-social-asi-arrincona-espana-a-los-jovenes-sin-recursos-1276415476/" TargetMode="External"/><Relationship Id="rId242" Type="http://schemas.openxmlformats.org/officeDocument/2006/relationships/hyperlink" Target="http://www.fedeablogs.net/economia/?author=10" TargetMode="External"/><Relationship Id="rId263" Type="http://schemas.openxmlformats.org/officeDocument/2006/relationships/hyperlink" Target="http://www.fedeablogs.net/economia/?author=10" TargetMode="External"/><Relationship Id="rId284" Type="http://schemas.openxmlformats.org/officeDocument/2006/relationships/fontTable" Target="fontTable.xml"/><Relationship Id="rId37" Type="http://schemas.openxmlformats.org/officeDocument/2006/relationships/image" Target="media/image23.jpeg"/><Relationship Id="rId58" Type="http://schemas.openxmlformats.org/officeDocument/2006/relationships/image" Target="media/image31.jpeg"/><Relationship Id="rId79" Type="http://schemas.openxmlformats.org/officeDocument/2006/relationships/hyperlink" Target="http://www.fedeablogs.net/economia/wp-content/uploads/graf22.jpg" TargetMode="External"/><Relationship Id="rId102" Type="http://schemas.openxmlformats.org/officeDocument/2006/relationships/hyperlink" Target="http://www.fedeablogs.net/economia/wp-content/uploads/teaching-styles-1.jpg" TargetMode="External"/><Relationship Id="rId123" Type="http://schemas.openxmlformats.org/officeDocument/2006/relationships/hyperlink" Target="http://www.fedeablogs.net/economia/%20http:/www.fedeablogs.net/economia/?p=766" TargetMode="External"/><Relationship Id="rId144" Type="http://schemas.openxmlformats.org/officeDocument/2006/relationships/image" Target="media/image58.png"/><Relationship Id="rId90" Type="http://schemas.openxmlformats.org/officeDocument/2006/relationships/hyperlink" Target="http://www.fedeablogs.net/economia/?p=8480" TargetMode="External"/><Relationship Id="rId165" Type="http://schemas.openxmlformats.org/officeDocument/2006/relationships/hyperlink" Target="http://opensource.com/education/12/3/infographic-higher-education-bubble-part-two" TargetMode="External"/><Relationship Id="rId186" Type="http://schemas.openxmlformats.org/officeDocument/2006/relationships/hyperlink" Target="http://mckinseyonsociety.com/downloads/reports/Education/Como_hicieron_los_sistemas_educativos.pdf" TargetMode="External"/><Relationship Id="rId211" Type="http://schemas.openxmlformats.org/officeDocument/2006/relationships/hyperlink" Target="http://www.libremercado.com/2012-04-12/espana-gasta-mas-en-educacion-que-sus-vecinos-y-saca-peores-resultados-1276455527/" TargetMode="External"/><Relationship Id="rId232" Type="http://schemas.openxmlformats.org/officeDocument/2006/relationships/hyperlink" Target="http://www.coiim.es/Revista/Pages/Todos%20los%20Numeros.aspx" TargetMode="External"/><Relationship Id="rId253" Type="http://schemas.openxmlformats.org/officeDocument/2006/relationships/hyperlink" Target="http://www.madrid.fi/index.php?lang=es" TargetMode="External"/><Relationship Id="rId274" Type="http://schemas.openxmlformats.org/officeDocument/2006/relationships/hyperlink" Target="http://digitalcommons.ilr.cornell.edu/cgi/viewcontent.cgi?article=1168&amp;context=cahrswp%3cbr%20/%3e%3cbr%20/%3e%3cbr%20/%3e" TargetMode="External"/><Relationship Id="rId27" Type="http://schemas.openxmlformats.org/officeDocument/2006/relationships/hyperlink" Target="http://www.expansion.com/2010/10/10/opinion/tribunas/1286738394.html?a=9ee8c99375e8e0a3940df3ef43f6c4b4&amp;t=1379689921" TargetMode="External"/><Relationship Id="rId48" Type="http://schemas.openxmlformats.org/officeDocument/2006/relationships/hyperlink" Target="http://www.imf.org/external/pubs/ft/fm/2013/02/pdf/fm1302.pdf" TargetMode="External"/><Relationship Id="rId69" Type="http://schemas.openxmlformats.org/officeDocument/2006/relationships/image" Target="media/image35.jpeg"/><Relationship Id="rId113" Type="http://schemas.openxmlformats.org/officeDocument/2006/relationships/hyperlink" Target="http://www.forbes.com/sites/sherylnancenash/2012/03/30/student-loans-for-kindergarten-2/?href=linkedin" TargetMode="External"/><Relationship Id="rId134" Type="http://schemas.openxmlformats.org/officeDocument/2006/relationships/hyperlink" Target="http://www.fedeablogs.net/economia/wp-content/uploads/PISA-partents-educated.jpg" TargetMode="External"/><Relationship Id="rId80" Type="http://schemas.openxmlformats.org/officeDocument/2006/relationships/image" Target="media/image39.jpeg"/><Relationship Id="rId155" Type="http://schemas.openxmlformats.org/officeDocument/2006/relationships/hyperlink" Target="http://www.libremercado.com/2012-11-09/el-empresario-vera-como-la-fp-dual-contribuira-al-beneficio-de-su-empresa-1276473781/" TargetMode="External"/><Relationship Id="rId176" Type="http://schemas.openxmlformats.org/officeDocument/2006/relationships/hyperlink" Target="http://www.youtube.com/watch?v=g3hc6LoAlu0" TargetMode="External"/><Relationship Id="rId197" Type="http://schemas.openxmlformats.org/officeDocument/2006/relationships/hyperlink" Target="http://www.iea.nl/?id=20" TargetMode="External"/><Relationship Id="rId201" Type="http://schemas.openxmlformats.org/officeDocument/2006/relationships/hyperlink" Target="http://www.fedeablogs.net/economia/?attachment_id=29514" TargetMode="External"/><Relationship Id="rId222" Type="http://schemas.openxmlformats.org/officeDocument/2006/relationships/image" Target="media/image70.jpeg"/><Relationship Id="rId243" Type="http://schemas.openxmlformats.org/officeDocument/2006/relationships/hyperlink" Target="http://sole-jole.org/13359.pdf" TargetMode="External"/><Relationship Id="rId264" Type="http://schemas.openxmlformats.org/officeDocument/2006/relationships/hyperlink" Target="http://www.fedeablogs.net/economia/wp-content/uploads/cbeee1.jpg" TargetMode="External"/><Relationship Id="rId285" Type="http://schemas.openxmlformats.org/officeDocument/2006/relationships/theme" Target="theme/theme1.xml"/><Relationship Id="rId17" Type="http://schemas.openxmlformats.org/officeDocument/2006/relationships/image" Target="media/image13.jpeg"/><Relationship Id="rId38" Type="http://schemas.openxmlformats.org/officeDocument/2006/relationships/image" Target="media/image24.jpeg"/><Relationship Id="rId59" Type="http://schemas.openxmlformats.org/officeDocument/2006/relationships/hyperlink" Target="http://www.fedeablogs.net/economia/wp-content/uploads/graficos_post_video_game_def-3.jpg" TargetMode="External"/><Relationship Id="rId103" Type="http://schemas.openxmlformats.org/officeDocument/2006/relationships/image" Target="media/image43.jpeg"/><Relationship Id="rId124" Type="http://schemas.openxmlformats.org/officeDocument/2006/relationships/hyperlink" Target="http://www.fedeablogs.net/economia/%20http:/www.fedeablogs.net/economia/?p=14116" TargetMode="External"/><Relationship Id="rId70" Type="http://schemas.openxmlformats.org/officeDocument/2006/relationships/hyperlink" Target="http://www.fedeablogs.net/economia/wp-content/uploads/graficos-universidad-3.jpg" TargetMode="External"/><Relationship Id="rId91" Type="http://schemas.openxmlformats.org/officeDocument/2006/relationships/hyperlink" Target="http://www.fedeablogs.net/economia/?p=8117" TargetMode="External"/><Relationship Id="rId145" Type="http://schemas.openxmlformats.org/officeDocument/2006/relationships/hyperlink" Target="http://www.fedeablogs.net/economia/?p=8903" TargetMode="External"/><Relationship Id="rId166" Type="http://schemas.openxmlformats.org/officeDocument/2006/relationships/hyperlink" Target="http://www.cnbc.com/id/48148304/Student_Debt_Americarsquos_1_Trillion_Time_Bomb" TargetMode="External"/><Relationship Id="rId187" Type="http://schemas.openxmlformats.org/officeDocument/2006/relationships/hyperlink" Target="http://mckinseyonsociety.com/how-the-worlds-best-performing-schools-come-out-on-top/" TargetMode="External"/><Relationship Id="rId1" Type="http://schemas.openxmlformats.org/officeDocument/2006/relationships/numbering" Target="numbering.xml"/><Relationship Id="rId212" Type="http://schemas.openxmlformats.org/officeDocument/2006/relationships/hyperlink" Target="http://www.mecd.gob.es/dctm/inee/internacional/panoramadelaeducacion2013informe-espanol.pdf?documentId=0901e72b816996b6" TargetMode="External"/><Relationship Id="rId233" Type="http://schemas.openxmlformats.org/officeDocument/2006/relationships/hyperlink" Target="http://www.ine.es/jaxi/menu.do?type=pcaxis&amp;path=%2Ft05%2Fp048&amp;file=inebase&amp;L=0" TargetMode="External"/><Relationship Id="rId254" Type="http://schemas.openxmlformats.org/officeDocument/2006/relationships/hyperlink" Target="http://www.libertaddigital.com/internacional/europa/2013-10-04/sabado-que-tiene-el-modelo-educativo-finlandes-que-no-tiene-el-espanol-1276501044/" TargetMode="External"/><Relationship Id="rId28" Type="http://schemas.openxmlformats.org/officeDocument/2006/relationships/hyperlink" Target="http://www.libertaddigital.com/opinion/libros/suecia-el-fin-de-la-mayor-utopia-progre-del-siglo-xx-1276234571.html" TargetMode="External"/><Relationship Id="rId49" Type="http://schemas.openxmlformats.org/officeDocument/2006/relationships/hyperlink" Target="http://www.libremercado.com/2013-10-09/el-fmi-espana-tiene-espacio-para-aumentar-los-ingresos-del-iva-1276501399/" TargetMode="External"/><Relationship Id="rId114" Type="http://schemas.openxmlformats.org/officeDocument/2006/relationships/hyperlink" Target="http://www.dalton.org/" TargetMode="External"/><Relationship Id="rId275" Type="http://schemas.openxmlformats.org/officeDocument/2006/relationships/hyperlink" Target="http://www.fedeablogs.net/economia/wp-content/uploads/cbeee5.jpg" TargetMode="External"/><Relationship Id="rId60" Type="http://schemas.openxmlformats.org/officeDocument/2006/relationships/image" Target="media/image32.jpeg"/><Relationship Id="rId81" Type="http://schemas.openxmlformats.org/officeDocument/2006/relationships/hyperlink" Target="http://www.isei-ivei.net/cast/pub/Repeticiones_cas.pdf" TargetMode="External"/><Relationship Id="rId135" Type="http://schemas.openxmlformats.org/officeDocument/2006/relationships/image" Target="media/image55.jpeg"/><Relationship Id="rId156" Type="http://schemas.openxmlformats.org/officeDocument/2006/relationships/hyperlink" Target="http://www.libertaddigital.com/economia/estado-social-asi-arrincona-espana-a-los-jovenes-sin-recursos-1276415476/" TargetMode="External"/><Relationship Id="rId177" Type="http://schemas.openxmlformats.org/officeDocument/2006/relationships/image" Target="media/image60.jpeg"/><Relationship Id="rId198" Type="http://schemas.openxmlformats.org/officeDocument/2006/relationships/hyperlink" Target="http://www.mecd.gob.es/dctm/inee/internacional/teds-mlinea.pdf?documentId=0901e72b8143866e" TargetMode="External"/><Relationship Id="rId202" Type="http://schemas.openxmlformats.org/officeDocument/2006/relationships/image" Target="media/image63.jpeg"/><Relationship Id="rId223" Type="http://schemas.openxmlformats.org/officeDocument/2006/relationships/hyperlink" Target="http://www.libertaddigital.com/documentos/panorama-de-la-educacion-2013-ocde-41912977.html" TargetMode="External"/><Relationship Id="rId244" Type="http://schemas.openxmlformats.org/officeDocument/2006/relationships/hyperlink" Target="http://www.fedeablogs.net/economia/wp-content/uploads/academy-11.jpg"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243</Pages>
  <Words>105448</Words>
  <Characters>579969</Characters>
  <Application>Microsoft Office Word</Application>
  <DocSecurity>0</DocSecurity>
  <Lines>4833</Lines>
  <Paragraphs>1368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684049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2</cp:revision>
  <dcterms:created xsi:type="dcterms:W3CDTF">2013-11-13T11:33:00Z</dcterms:created>
  <dcterms:modified xsi:type="dcterms:W3CDTF">2013-11-13T11:33:00Z</dcterms:modified>
</cp:coreProperties>
</file>